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ubtitle"/>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ubtitle"/>
                  <w:rPr>
                    <w:rFonts w:cs="Arial"/>
                  </w:rPr>
                </w:pP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261F73">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ListParagraph"/>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261F73">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49B217B" w:rsidR="00C85C8B" w:rsidRPr="00C85C8B" w:rsidRDefault="00B75BF3" w:rsidP="00C85C8B">
                <w:pPr>
                  <w:rPr>
                    <w:rFonts w:ascii="Arial" w:hAnsi="Arial" w:cs="Arial"/>
                    <w:color w:val="808080"/>
                    <w:sz w:val="20"/>
                    <w:lang w:eastAsia="de-DE"/>
                  </w:rPr>
                </w:pPr>
                <w:r>
                  <w:rPr>
                    <w:rFonts w:ascii="Arial" w:hAnsi="Arial" w:cs="Arial"/>
                    <w:color w:val="808080"/>
                    <w:sz w:val="20"/>
                    <w:lang w:eastAsia="de-DE"/>
                  </w:rPr>
                  <w:t>The Investment Association</w:t>
                </w:r>
              </w:p>
            </w:tc>
          </w:sdtContent>
        </w:sdt>
      </w:tr>
      <w:tr w:rsidR="00C85C8B" w:rsidRPr="00C85C8B" w14:paraId="216F3E57" w14:textId="77777777" w:rsidTr="00261F73">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93864D4" w:rsidR="00C85C8B" w:rsidRPr="00C85C8B" w:rsidRDefault="00506DD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75BF3">
                  <w:rPr>
                    <w:rFonts w:ascii="Arial" w:hAnsi="Arial" w:cs="Arial"/>
                    <w:sz w:val="20"/>
                    <w:lang w:eastAsia="de-DE"/>
                  </w:rPr>
                  <w:t>Other Financial service providers</w:t>
                </w:r>
              </w:sdtContent>
            </w:sdt>
          </w:p>
        </w:tc>
      </w:tr>
      <w:tr w:rsidR="00C85C8B" w:rsidRPr="00C85C8B" w14:paraId="0D216581" w14:textId="77777777" w:rsidTr="00261F73">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0FF0B9D" w:rsidR="00C85C8B" w:rsidRPr="00C85C8B" w:rsidRDefault="00B75BF3"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261F73">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E740457" w:rsidR="00C85C8B" w:rsidRPr="00C85C8B" w:rsidRDefault="00B75BF3"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2AC24DE1" w14:textId="77777777" w:rsidR="00261F73" w:rsidRPr="00D16E91" w:rsidRDefault="00261F73" w:rsidP="00261F73">
      <w:pPr>
        <w:spacing w:after="250" w:line="276" w:lineRule="auto"/>
        <w:jc w:val="both"/>
        <w:rPr>
          <w:rFonts w:ascii="Arial" w:eastAsiaTheme="minorEastAsia" w:hAnsi="Arial" w:cs="Arial"/>
          <w:sz w:val="22"/>
          <w:szCs w:val="20"/>
          <w:lang w:eastAsia="en-US"/>
        </w:rPr>
      </w:pPr>
      <w:permStart w:id="885457707" w:edGrp="everyone"/>
      <w:r w:rsidRPr="00D16E91">
        <w:rPr>
          <w:rFonts w:ascii="Arial" w:eastAsiaTheme="minorEastAsia" w:hAnsi="Arial" w:cs="Arial"/>
          <w:sz w:val="22"/>
          <w:szCs w:val="20"/>
          <w:lang w:eastAsia="en-US"/>
        </w:rPr>
        <w:t>The Investment Association is the trade body that represents UK investment managers, whose 240 members collectively manage over £7.7trillion on behalf of clients.  Our purpose is to ensure investment managers are in the best possible position to:</w:t>
      </w:r>
    </w:p>
    <w:p w14:paraId="7B327D03" w14:textId="77777777" w:rsidR="00261F73" w:rsidRPr="00D16E91" w:rsidRDefault="00261F73" w:rsidP="00261F73">
      <w:pPr>
        <w:spacing w:after="250" w:line="276" w:lineRule="auto"/>
        <w:jc w:val="both"/>
        <w:rPr>
          <w:rFonts w:ascii="Arial" w:eastAsiaTheme="minorEastAsia" w:hAnsi="Arial" w:cs="Arial"/>
          <w:sz w:val="22"/>
          <w:szCs w:val="20"/>
          <w:lang w:eastAsia="en-US"/>
        </w:rPr>
      </w:pPr>
      <w:r w:rsidRPr="00D16E91">
        <w:rPr>
          <w:rFonts w:ascii="Arial" w:eastAsiaTheme="minorEastAsia" w:hAnsi="Arial" w:cs="Arial"/>
          <w:sz w:val="22"/>
          <w:szCs w:val="20"/>
          <w:lang w:eastAsia="en-US"/>
        </w:rPr>
        <w:t>•</w:t>
      </w:r>
      <w:r w:rsidRPr="00D16E91">
        <w:rPr>
          <w:rFonts w:ascii="Arial" w:eastAsiaTheme="minorEastAsia" w:hAnsi="Arial" w:cs="Arial"/>
          <w:sz w:val="22"/>
          <w:szCs w:val="20"/>
          <w:lang w:eastAsia="en-US"/>
        </w:rPr>
        <w:tab/>
        <w:t>Build people’s resilience to financial adversity</w:t>
      </w:r>
    </w:p>
    <w:p w14:paraId="5AF2D8D8" w14:textId="77777777" w:rsidR="00261F73" w:rsidRPr="00D16E91" w:rsidRDefault="00261F73" w:rsidP="00261F73">
      <w:pPr>
        <w:spacing w:after="250" w:line="276" w:lineRule="auto"/>
        <w:jc w:val="both"/>
        <w:rPr>
          <w:rFonts w:ascii="Arial" w:eastAsiaTheme="minorEastAsia" w:hAnsi="Arial" w:cs="Arial"/>
          <w:sz w:val="22"/>
          <w:szCs w:val="20"/>
          <w:lang w:eastAsia="en-US"/>
        </w:rPr>
      </w:pPr>
      <w:r w:rsidRPr="00D16E91">
        <w:rPr>
          <w:rFonts w:ascii="Arial" w:eastAsiaTheme="minorEastAsia" w:hAnsi="Arial" w:cs="Arial"/>
          <w:sz w:val="22"/>
          <w:szCs w:val="20"/>
          <w:lang w:eastAsia="en-US"/>
        </w:rPr>
        <w:t>•</w:t>
      </w:r>
      <w:r w:rsidRPr="00D16E91">
        <w:rPr>
          <w:rFonts w:ascii="Arial" w:eastAsiaTheme="minorEastAsia" w:hAnsi="Arial" w:cs="Arial"/>
          <w:sz w:val="22"/>
          <w:szCs w:val="20"/>
          <w:lang w:eastAsia="en-US"/>
        </w:rPr>
        <w:tab/>
        <w:t>Help people achieve their financial aspirations</w:t>
      </w:r>
    </w:p>
    <w:p w14:paraId="3175C0F1" w14:textId="77777777" w:rsidR="00261F73" w:rsidRPr="00D16E91" w:rsidRDefault="00261F73" w:rsidP="00261F73">
      <w:pPr>
        <w:spacing w:after="250" w:line="276" w:lineRule="auto"/>
        <w:jc w:val="both"/>
        <w:rPr>
          <w:rFonts w:ascii="Arial" w:eastAsiaTheme="minorEastAsia" w:hAnsi="Arial" w:cs="Arial"/>
          <w:sz w:val="22"/>
          <w:szCs w:val="20"/>
          <w:lang w:eastAsia="en-US"/>
        </w:rPr>
      </w:pPr>
      <w:r w:rsidRPr="00D16E91">
        <w:rPr>
          <w:rFonts w:ascii="Arial" w:eastAsiaTheme="minorEastAsia" w:hAnsi="Arial" w:cs="Arial"/>
          <w:sz w:val="22"/>
          <w:szCs w:val="20"/>
          <w:lang w:eastAsia="en-US"/>
        </w:rPr>
        <w:t>•</w:t>
      </w:r>
      <w:r w:rsidRPr="00D16E91">
        <w:rPr>
          <w:rFonts w:ascii="Arial" w:eastAsiaTheme="minorEastAsia" w:hAnsi="Arial" w:cs="Arial"/>
          <w:sz w:val="22"/>
          <w:szCs w:val="20"/>
          <w:lang w:eastAsia="en-US"/>
        </w:rPr>
        <w:tab/>
        <w:t>Enable people to maintain a decent standard of living as they grow older</w:t>
      </w:r>
    </w:p>
    <w:p w14:paraId="0D77BBAA" w14:textId="77777777" w:rsidR="00261F73" w:rsidRPr="00D16E91" w:rsidRDefault="00261F73" w:rsidP="00261F73">
      <w:pPr>
        <w:spacing w:after="250" w:line="276" w:lineRule="auto"/>
        <w:jc w:val="both"/>
        <w:rPr>
          <w:rFonts w:ascii="Arial" w:eastAsiaTheme="minorEastAsia" w:hAnsi="Arial" w:cs="Arial"/>
          <w:sz w:val="22"/>
          <w:szCs w:val="20"/>
          <w:lang w:eastAsia="en-US"/>
        </w:rPr>
      </w:pPr>
      <w:r w:rsidRPr="00D16E91">
        <w:rPr>
          <w:rFonts w:ascii="Arial" w:eastAsiaTheme="minorEastAsia" w:hAnsi="Arial" w:cs="Arial"/>
          <w:sz w:val="22"/>
          <w:szCs w:val="20"/>
          <w:lang w:eastAsia="en-US"/>
        </w:rPr>
        <w:t>•</w:t>
      </w:r>
      <w:r w:rsidRPr="00D16E91">
        <w:rPr>
          <w:rFonts w:ascii="Arial" w:eastAsiaTheme="minorEastAsia" w:hAnsi="Arial" w:cs="Arial"/>
          <w:sz w:val="22"/>
          <w:szCs w:val="20"/>
          <w:lang w:eastAsia="en-US"/>
        </w:rPr>
        <w:tab/>
        <w:t>Contribute to economic growth through the efficient allocation of capital</w:t>
      </w:r>
    </w:p>
    <w:p w14:paraId="456721A1" w14:textId="77777777" w:rsidR="00261F73" w:rsidRPr="00D16E91" w:rsidRDefault="00261F73" w:rsidP="00261F73">
      <w:pPr>
        <w:spacing w:after="250" w:line="276" w:lineRule="auto"/>
        <w:jc w:val="both"/>
        <w:rPr>
          <w:rFonts w:ascii="Arial" w:eastAsiaTheme="minorEastAsia" w:hAnsi="Arial" w:cs="Arial"/>
          <w:sz w:val="22"/>
          <w:szCs w:val="20"/>
          <w:lang w:eastAsia="en-US"/>
        </w:rPr>
      </w:pPr>
      <w:r w:rsidRPr="00D16E91">
        <w:rPr>
          <w:rFonts w:ascii="Arial" w:eastAsiaTheme="minorEastAsia" w:hAnsi="Arial" w:cs="Arial"/>
          <w:sz w:val="22"/>
          <w:szCs w:val="20"/>
          <w:lang w:eastAsia="en-US"/>
        </w:rPr>
        <w:t>The money our members manage is in a wide variety of investment vehicles including authorised investment funds, pension funds and stocks &amp; shares ISAs. The UK is the second largest investment management centre in the world and manages 37% of European assets.</w:t>
      </w:r>
    </w:p>
    <w:p w14:paraId="2081F229" w14:textId="6155C4F4" w:rsidR="00261F73" w:rsidRDefault="00261F73" w:rsidP="00261F73">
      <w:pPr>
        <w:spacing w:after="250" w:line="276" w:lineRule="auto"/>
        <w:jc w:val="both"/>
        <w:rPr>
          <w:rFonts w:ascii="Arial" w:eastAsiaTheme="minorEastAsia" w:hAnsi="Arial" w:cs="Arial"/>
          <w:sz w:val="22"/>
          <w:szCs w:val="20"/>
          <w:lang w:eastAsia="en-US"/>
        </w:rPr>
      </w:pPr>
      <w:r w:rsidRPr="00D16E91">
        <w:rPr>
          <w:rFonts w:ascii="Arial" w:eastAsiaTheme="minorEastAsia" w:hAnsi="Arial" w:cs="Arial"/>
          <w:sz w:val="22"/>
          <w:szCs w:val="20"/>
          <w:lang w:eastAsia="en-US"/>
        </w:rPr>
        <w:t xml:space="preserve">More information can be viewed on our </w:t>
      </w:r>
      <w:hyperlink r:id="rId25" w:history="1">
        <w:r w:rsidRPr="007D5426">
          <w:rPr>
            <w:rStyle w:val="Hyperlink"/>
            <w:rFonts w:ascii="Arial" w:eastAsiaTheme="minorEastAsia" w:hAnsi="Arial" w:cs="Arial"/>
            <w:sz w:val="22"/>
            <w:szCs w:val="20"/>
            <w:lang w:eastAsia="en-US"/>
          </w:rPr>
          <w:t>website</w:t>
        </w:r>
      </w:hyperlink>
      <w:r w:rsidRPr="00D16E91">
        <w:rPr>
          <w:rFonts w:ascii="Arial" w:eastAsiaTheme="minorEastAsia" w:hAnsi="Arial" w:cs="Arial"/>
          <w:sz w:val="22"/>
          <w:szCs w:val="20"/>
          <w:lang w:eastAsia="en-US"/>
        </w:rPr>
        <w:t>.</w:t>
      </w:r>
    </w:p>
    <w:p w14:paraId="4DD94F56" w14:textId="5FDA1D6F" w:rsidR="007D5426" w:rsidRDefault="00261F73"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Please note that we </w:t>
      </w:r>
      <w:r w:rsidR="00CF1536">
        <w:rPr>
          <w:rFonts w:ascii="Arial" w:eastAsiaTheme="minorEastAsia" w:hAnsi="Arial" w:cs="Arial"/>
          <w:sz w:val="22"/>
          <w:szCs w:val="20"/>
          <w:lang w:eastAsia="en-US"/>
        </w:rPr>
        <w:t xml:space="preserve">have </w:t>
      </w:r>
      <w:r>
        <w:rPr>
          <w:rFonts w:ascii="Arial" w:eastAsiaTheme="minorEastAsia" w:hAnsi="Arial" w:cs="Arial"/>
          <w:sz w:val="22"/>
          <w:szCs w:val="20"/>
          <w:lang w:eastAsia="en-US"/>
        </w:rPr>
        <w:t xml:space="preserve">also submitted comments on the draft validation rules in separate file named </w:t>
      </w:r>
      <w:r w:rsidRPr="000D2005">
        <w:rPr>
          <w:rFonts w:ascii="Arial" w:eastAsiaTheme="minorEastAsia" w:hAnsi="Arial" w:cs="Arial"/>
          <w:sz w:val="22"/>
          <w:szCs w:val="20"/>
          <w:lang w:eastAsia="en-US"/>
        </w:rPr>
        <w:t>ESMA_</w:t>
      </w:r>
      <w:r>
        <w:rPr>
          <w:rFonts w:ascii="Arial" w:eastAsiaTheme="minorEastAsia" w:hAnsi="Arial" w:cs="Arial"/>
          <w:sz w:val="22"/>
          <w:szCs w:val="20"/>
          <w:lang w:eastAsia="en-US"/>
        </w:rPr>
        <w:t>TSTR</w:t>
      </w:r>
      <w:r w:rsidRPr="000D2005">
        <w:rPr>
          <w:rFonts w:ascii="Arial" w:eastAsiaTheme="minorEastAsia" w:hAnsi="Arial" w:cs="Arial"/>
          <w:sz w:val="22"/>
          <w:szCs w:val="20"/>
          <w:lang w:eastAsia="en-US"/>
        </w:rPr>
        <w:t>_THEIA</w:t>
      </w:r>
      <w:bookmarkStart w:id="1" w:name="_GoBack"/>
      <w:bookmarkEnd w:id="1"/>
      <w:r w:rsidRPr="000D2005">
        <w:rPr>
          <w:rFonts w:ascii="Arial" w:eastAsiaTheme="minorEastAsia" w:hAnsi="Arial" w:cs="Arial"/>
          <w:sz w:val="22"/>
          <w:szCs w:val="20"/>
          <w:lang w:eastAsia="en-US"/>
        </w:rPr>
        <w:t>_RESPONSEFORM.xlsx</w:t>
      </w:r>
    </w:p>
    <w:permEnd w:id="885457707"/>
    <w:p w14:paraId="15D00E65" w14:textId="3271ABD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506DDE"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60596A56" w14:textId="67F5C0A6" w:rsidR="008D4AEE" w:rsidRDefault="0025282F" w:rsidP="008D4AEE">
      <w:pPr>
        <w:rPr>
          <w:rFonts w:ascii="Arial" w:hAnsi="Arial" w:cs="Arial"/>
        </w:rPr>
      </w:pPr>
      <w:permStart w:id="1700739651" w:edGrp="everyone"/>
      <w:r>
        <w:rPr>
          <w:rFonts w:ascii="Arial" w:hAnsi="Arial" w:cs="Arial"/>
        </w:rPr>
        <w:t>We se</w:t>
      </w:r>
      <w:r w:rsidR="00127320">
        <w:rPr>
          <w:rFonts w:ascii="Arial" w:hAnsi="Arial" w:cs="Arial"/>
        </w:rPr>
        <w:t>e</w:t>
      </w:r>
      <w:r>
        <w:rPr>
          <w:rFonts w:ascii="Arial" w:hAnsi="Arial" w:cs="Arial"/>
        </w:rPr>
        <w:t xml:space="preserve"> no further specific challenges.</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506DDE"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265C9C12" w14:textId="5B9791E2" w:rsidR="008D4AEE" w:rsidRDefault="0025282F" w:rsidP="008D4AEE">
      <w:pPr>
        <w:rPr>
          <w:rFonts w:ascii="Arial" w:hAnsi="Arial" w:cs="Arial"/>
        </w:rPr>
      </w:pPr>
      <w:permStart w:id="1307781427" w:edGrp="everyone"/>
      <w:r>
        <w:rPr>
          <w:rFonts w:ascii="Arial" w:hAnsi="Arial" w:cs="Arial"/>
        </w:rPr>
        <w:t xml:space="preserve">We </w:t>
      </w:r>
      <w:r w:rsidRPr="00981E62">
        <w:rPr>
          <w:rFonts w:ascii="Arial" w:hAnsi="Arial" w:cs="Arial"/>
        </w:rPr>
        <w:t>agree</w:t>
      </w:r>
      <w:r>
        <w:rPr>
          <w:rFonts w:ascii="Arial" w:hAnsi="Arial" w:cs="Arial"/>
        </w:rPr>
        <w:t xml:space="preserve"> with the proposals.</w:t>
      </w:r>
    </w:p>
    <w:permEnd w:id="1307781427"/>
    <w:p w14:paraId="49DC2FB0" w14:textId="77777777"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5B8BC616" w14:textId="3EA1ADDB" w:rsidR="008D4AEE" w:rsidRDefault="0025282F" w:rsidP="008D4AEE">
      <w:pPr>
        <w:rPr>
          <w:rFonts w:ascii="Arial" w:hAnsi="Arial" w:cs="Arial"/>
        </w:rPr>
      </w:pPr>
      <w:permStart w:id="1765678444" w:edGrp="everyone"/>
      <w:r>
        <w:rPr>
          <w:rFonts w:ascii="Arial" w:hAnsi="Arial" w:cs="Arial"/>
        </w:rPr>
        <w:t>We believe the scenario is sufficiently clear.</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506DDE"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2EC442FA" w:rsidR="008D4AEE" w:rsidRDefault="0025282F" w:rsidP="008D4AEE">
      <w:pPr>
        <w:rPr>
          <w:rFonts w:ascii="Arial" w:hAnsi="Arial" w:cs="Arial"/>
        </w:rPr>
      </w:pPr>
      <w:permStart w:id="1935095984" w:edGrp="everyone"/>
      <w:r>
        <w:rPr>
          <w:rFonts w:ascii="Arial" w:hAnsi="Arial" w:cs="Arial"/>
        </w:rPr>
        <w:t>We believe the aspects covered are sufficient.</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506DDE"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CD44B1" w14:textId="43063676" w:rsidR="00D37FEA" w:rsidRPr="00981E62" w:rsidRDefault="0025282F" w:rsidP="008D4AEE">
      <w:pPr>
        <w:rPr>
          <w:rFonts w:ascii="Arial" w:hAnsi="Arial" w:cs="Arial"/>
        </w:rPr>
      </w:pPr>
      <w:permStart w:id="859575107" w:edGrp="everyone"/>
      <w:r w:rsidRPr="00981E62">
        <w:rPr>
          <w:rFonts w:ascii="Arial" w:hAnsi="Arial" w:cs="Arial"/>
        </w:rPr>
        <w:t>We do not see any additional challenges.</w:t>
      </w:r>
    </w:p>
    <w:permEnd w:id="859575107"/>
    <w:p w14:paraId="2E250CE9" w14:textId="1C778245"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506DDE"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4AE7E5D0" w14:textId="4278D5A7" w:rsidR="002F565D" w:rsidRPr="00981E62" w:rsidRDefault="0025282F" w:rsidP="008D4AEE">
      <w:pPr>
        <w:rPr>
          <w:rFonts w:ascii="Arial" w:hAnsi="Arial" w:cs="Arial"/>
        </w:rPr>
      </w:pPr>
      <w:permStart w:id="2116830762" w:edGrp="everyone"/>
      <w:r w:rsidRPr="00981E62">
        <w:rPr>
          <w:rFonts w:ascii="Arial" w:hAnsi="Arial" w:cs="Arial"/>
        </w:rPr>
        <w:t xml:space="preserve">We would suggest that the NFC- and FC should be able to agree bilaterally upon the </w:t>
      </w:r>
      <w:r w:rsidR="002F565D" w:rsidRPr="00981E62">
        <w:rPr>
          <w:rFonts w:ascii="Arial" w:hAnsi="Arial" w:cs="Arial"/>
        </w:rPr>
        <w:t xml:space="preserve">period of notice to be given by the NFC- to perform the reporting itself or give up that responsibility, subject to a minimum of five </w:t>
      </w:r>
      <w:r w:rsidR="001D32F1" w:rsidRPr="00981E62">
        <w:rPr>
          <w:rFonts w:ascii="Arial" w:hAnsi="Arial" w:cs="Arial"/>
        </w:rPr>
        <w:t xml:space="preserve">business </w:t>
      </w:r>
      <w:r w:rsidR="002F565D" w:rsidRPr="00981E62">
        <w:rPr>
          <w:rFonts w:ascii="Arial" w:hAnsi="Arial" w:cs="Arial"/>
        </w:rPr>
        <w:t>days.</w:t>
      </w:r>
    </w:p>
    <w:permEnd w:id="2116830762"/>
    <w:p w14:paraId="59963591" w14:textId="7986FEBF"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506DDE"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t>&lt;ESMA_QUESTION_TSTR_7&gt;</w:t>
      </w:r>
    </w:p>
    <w:p w14:paraId="22F6E5BE" w14:textId="28F1525C" w:rsidR="008D4AEE" w:rsidRDefault="009B2FF7" w:rsidP="008D4AEE">
      <w:pPr>
        <w:rPr>
          <w:rFonts w:ascii="Arial" w:hAnsi="Arial" w:cs="Arial"/>
        </w:rPr>
      </w:pPr>
      <w:permStart w:id="1312109853" w:edGrp="everyone"/>
      <w:r>
        <w:rPr>
          <w:rFonts w:ascii="Arial" w:hAnsi="Arial" w:cs="Arial"/>
        </w:rPr>
        <w:t>We do not see any issues with the approach suggested in the case of delegated reporting.</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506DDE"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3B5B7B09" w14:textId="667201DC" w:rsidR="00D37FEA" w:rsidRDefault="000C3EDA" w:rsidP="00D37FEA">
      <w:pPr>
        <w:rPr>
          <w:rFonts w:ascii="Arial" w:hAnsi="Arial" w:cs="Arial"/>
        </w:rPr>
      </w:pPr>
      <w:permStart w:id="735321313" w:edGrp="everyone"/>
      <w:r>
        <w:rPr>
          <w:rFonts w:ascii="Arial" w:hAnsi="Arial" w:cs="Arial"/>
        </w:rPr>
        <w:t>We believe r</w:t>
      </w:r>
      <w:r w:rsidR="00D37FEA" w:rsidRPr="00D37FEA">
        <w:rPr>
          <w:rFonts w:ascii="Arial" w:hAnsi="Arial" w:cs="Arial"/>
        </w:rPr>
        <w:t>econciliation breaks should not be reportable in themselves</w:t>
      </w:r>
      <w:r>
        <w:rPr>
          <w:rFonts w:ascii="Arial" w:hAnsi="Arial" w:cs="Arial"/>
        </w:rPr>
        <w:t xml:space="preserve"> and, once these are resolved, a counterparty should be responsible only for notifying their competent authority for errors and omissions in their own reports.</w:t>
      </w:r>
    </w:p>
    <w:p w14:paraId="3EBE36DB" w14:textId="7472AD6D" w:rsidR="000C3EDA" w:rsidRDefault="000C3EDA" w:rsidP="00D37FEA">
      <w:pPr>
        <w:rPr>
          <w:rFonts w:ascii="Arial" w:hAnsi="Arial" w:cs="Arial"/>
        </w:rPr>
      </w:pPr>
    </w:p>
    <w:p w14:paraId="6E7419F8" w14:textId="4B7C559C" w:rsidR="000C3EDA" w:rsidRPr="00D37FEA" w:rsidRDefault="000C3EDA" w:rsidP="00D37FEA">
      <w:pPr>
        <w:rPr>
          <w:rFonts w:ascii="Arial" w:hAnsi="Arial" w:cs="Arial"/>
        </w:rPr>
      </w:pPr>
      <w:r>
        <w:rPr>
          <w:rFonts w:ascii="Arial" w:hAnsi="Arial" w:cs="Arial"/>
        </w:rPr>
        <w:t xml:space="preserve">We believe a distinction should be made between minor and/or isolated errors, which firms should be required merely to record, and provide details to the competent authority on request; and more material or systemically significant failures, which should be notified to the authority. </w:t>
      </w:r>
    </w:p>
    <w:p w14:paraId="74A79B41" w14:textId="292994B9" w:rsidR="00D37FEA" w:rsidRDefault="00D37FEA" w:rsidP="000C3EDA">
      <w:pPr>
        <w:rPr>
          <w:rFonts w:ascii="Arial" w:hAnsi="Arial" w:cs="Arial"/>
        </w:rPr>
      </w:pPr>
    </w:p>
    <w:p w14:paraId="2C1F5E05" w14:textId="334B7B2F" w:rsidR="008D4AEE" w:rsidRDefault="000C3EDA" w:rsidP="00D37FEA">
      <w:pPr>
        <w:rPr>
          <w:rFonts w:ascii="Arial" w:hAnsi="Arial" w:cs="Arial"/>
        </w:rPr>
      </w:pPr>
      <w:r>
        <w:rPr>
          <w:rFonts w:ascii="Arial" w:hAnsi="Arial" w:cs="Arial"/>
        </w:rPr>
        <w:t xml:space="preserve">A specific concern, which has to some </w:t>
      </w:r>
      <w:r w:rsidR="001D32F1">
        <w:rPr>
          <w:rFonts w:ascii="Arial" w:hAnsi="Arial" w:cs="Arial"/>
        </w:rPr>
        <w:t xml:space="preserve">extent </w:t>
      </w:r>
      <w:r>
        <w:rPr>
          <w:rFonts w:ascii="Arial" w:hAnsi="Arial" w:cs="Arial"/>
        </w:rPr>
        <w:t xml:space="preserve">persisted for our members since 2014 is </w:t>
      </w:r>
      <w:r w:rsidR="00236885">
        <w:rPr>
          <w:rFonts w:ascii="Arial" w:hAnsi="Arial" w:cs="Arial"/>
        </w:rPr>
        <w:t>the approach they should take when the responsibility to generate the UTI rest with another party, but is not made available in time for them to report on T+1.  At different times authorities have expressed preferences for the firm to report initially with a "dummy" UTI, and then cancel/replace that report in due course when the UTI becomes available; or to wait for the UTI and report late.  We would recommend that this eventuality be considered in Article 7 of the RTS.  In any event, whether the result is an erroneous or late report by the non-generating party, an</w:t>
      </w:r>
      <w:r w:rsidR="00127320">
        <w:rPr>
          <w:rFonts w:ascii="Arial" w:hAnsi="Arial" w:cs="Arial"/>
        </w:rPr>
        <w:t>y</w:t>
      </w:r>
      <w:r w:rsidR="00236885">
        <w:rPr>
          <w:rFonts w:ascii="Arial" w:hAnsi="Arial" w:cs="Arial"/>
        </w:rPr>
        <w:t xml:space="preserve"> requirement to notify the competent </w:t>
      </w:r>
      <w:r w:rsidR="00646D8D">
        <w:rPr>
          <w:rFonts w:ascii="Arial" w:hAnsi="Arial" w:cs="Arial"/>
        </w:rPr>
        <w:t xml:space="preserve">authority should rest with </w:t>
      </w:r>
      <w:r w:rsidR="00236885">
        <w:rPr>
          <w:rFonts w:ascii="Arial" w:hAnsi="Arial" w:cs="Arial"/>
        </w:rPr>
        <w:t xml:space="preserve">the generating party </w:t>
      </w:r>
      <w:r w:rsidR="00646D8D">
        <w:rPr>
          <w:rFonts w:ascii="Arial" w:hAnsi="Arial" w:cs="Arial"/>
        </w:rPr>
        <w:t>for its failure to satisfy Article 7(3). The consequent error or omission in the other party's reporting should need only to be recordable in their register of breaches.</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506DDE"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2E201553" w14:textId="333FF664" w:rsidR="008D4AEE" w:rsidRDefault="00646D8D" w:rsidP="008D4AEE">
      <w:pPr>
        <w:rPr>
          <w:rFonts w:ascii="Arial" w:hAnsi="Arial" w:cs="Arial"/>
        </w:rPr>
      </w:pPr>
      <w:permStart w:id="1998397961" w:edGrp="everyone"/>
      <w:r>
        <w:rPr>
          <w:rFonts w:ascii="Arial" w:hAnsi="Arial" w:cs="Arial"/>
        </w:rPr>
        <w:t>We believe the standards should make it clear that such procedures are required only between two counterparties that are subject to the reporting obligation under EMIR.</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506DDE"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39C61D1A" w14:textId="42426E06" w:rsidR="003371A9" w:rsidRPr="003371A9" w:rsidRDefault="00646D8D" w:rsidP="003371A9">
      <w:pPr>
        <w:rPr>
          <w:rFonts w:ascii="Arial" w:hAnsi="Arial" w:cs="Arial"/>
        </w:rPr>
      </w:pPr>
      <w:permStart w:id="1453872786" w:edGrp="everyone"/>
      <w:r>
        <w:rPr>
          <w:rFonts w:ascii="Arial" w:hAnsi="Arial" w:cs="Arial"/>
        </w:rPr>
        <w:lastRenderedPageBreak/>
        <w:t xml:space="preserve">We would observe that </w:t>
      </w:r>
      <w:r w:rsidR="003371A9" w:rsidRPr="003371A9">
        <w:rPr>
          <w:rFonts w:ascii="Arial" w:hAnsi="Arial" w:cs="Arial"/>
        </w:rPr>
        <w:t xml:space="preserve">data </w:t>
      </w:r>
      <w:r>
        <w:rPr>
          <w:rFonts w:ascii="Arial" w:hAnsi="Arial" w:cs="Arial"/>
        </w:rPr>
        <w:t xml:space="preserve">quality </w:t>
      </w:r>
      <w:r w:rsidR="003371A9" w:rsidRPr="003371A9">
        <w:rPr>
          <w:rFonts w:ascii="Arial" w:hAnsi="Arial" w:cs="Arial"/>
        </w:rPr>
        <w:t xml:space="preserve">issues will never be fully </w:t>
      </w:r>
      <w:r>
        <w:rPr>
          <w:rFonts w:ascii="Arial" w:hAnsi="Arial" w:cs="Arial"/>
        </w:rPr>
        <w:t xml:space="preserve">overcome because of the inevitable challenges of </w:t>
      </w:r>
      <w:r w:rsidR="003371A9" w:rsidRPr="003371A9">
        <w:rPr>
          <w:rFonts w:ascii="Arial" w:hAnsi="Arial" w:cs="Arial"/>
        </w:rPr>
        <w:t>interpret</w:t>
      </w:r>
      <w:r>
        <w:rPr>
          <w:rFonts w:ascii="Arial" w:hAnsi="Arial" w:cs="Arial"/>
        </w:rPr>
        <w:t>ing rules and guidance consistently however clear they may appear to any reader.</w:t>
      </w:r>
    </w:p>
    <w:p w14:paraId="005741FF" w14:textId="77777777" w:rsidR="003371A9" w:rsidRPr="003371A9" w:rsidRDefault="003371A9" w:rsidP="003371A9">
      <w:pPr>
        <w:rPr>
          <w:rFonts w:ascii="Arial" w:hAnsi="Arial" w:cs="Arial"/>
        </w:rPr>
      </w:pPr>
    </w:p>
    <w:p w14:paraId="084D96A5" w14:textId="4EFAA3D2" w:rsidR="008D4AEE" w:rsidRDefault="00442D9D" w:rsidP="003371A9">
      <w:pPr>
        <w:rPr>
          <w:rFonts w:ascii="Arial" w:hAnsi="Arial" w:cs="Arial"/>
        </w:rPr>
      </w:pPr>
      <w:r>
        <w:rPr>
          <w:rFonts w:ascii="Arial" w:hAnsi="Arial" w:cs="Arial"/>
        </w:rPr>
        <w:t xml:space="preserve">One particular </w:t>
      </w:r>
      <w:r w:rsidR="007D125C">
        <w:rPr>
          <w:rFonts w:ascii="Arial" w:hAnsi="Arial" w:cs="Arial"/>
        </w:rPr>
        <w:t xml:space="preserve">issue we believe </w:t>
      </w:r>
      <w:r w:rsidR="00A464A2">
        <w:rPr>
          <w:rFonts w:ascii="Arial" w:hAnsi="Arial" w:cs="Arial"/>
        </w:rPr>
        <w:t>needs to be addressed, albeit in the validation rules rather than the legislation, is the understanding of the term "optional".  We would suggest to use an alternative</w:t>
      </w:r>
      <w:r w:rsidR="00127320">
        <w:rPr>
          <w:rFonts w:ascii="Arial" w:hAnsi="Arial" w:cs="Arial"/>
        </w:rPr>
        <w:t xml:space="preserve"> term</w:t>
      </w:r>
      <w:r w:rsidR="00A464A2">
        <w:rPr>
          <w:rFonts w:ascii="Arial" w:hAnsi="Arial" w:cs="Arial"/>
        </w:rPr>
        <w:t xml:space="preserve"> that more clearly indicates that it is in fact mandatory to report where the data item concerned is pertinent to the instrument or transaction.</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506DDE"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131C0C6F" w14:textId="24EB44A6" w:rsidR="008D4AEE" w:rsidRDefault="00A464A2" w:rsidP="008D4AEE">
      <w:pPr>
        <w:rPr>
          <w:rFonts w:ascii="Arial" w:hAnsi="Arial" w:cs="Arial"/>
        </w:rPr>
      </w:pPr>
      <w:permStart w:id="4403910" w:edGrp="everyone"/>
      <w:r>
        <w:rPr>
          <w:rFonts w:ascii="Arial" w:hAnsi="Arial" w:cs="Arial"/>
        </w:rPr>
        <w:t>We agree with the proposal to mandate the use of ISO 20022 for reporting</w:t>
      </w:r>
      <w:r w:rsidR="00EE363E">
        <w:rPr>
          <w:rFonts w:ascii="Arial" w:hAnsi="Arial" w:cs="Arial"/>
        </w:rPr>
        <w:t>.</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506DDE"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6DB4E15D" w14:textId="2B41AAB0" w:rsidR="008D4AEE" w:rsidRDefault="00EE363E" w:rsidP="008D4AEE">
      <w:pPr>
        <w:rPr>
          <w:rFonts w:ascii="Arial" w:hAnsi="Arial" w:cs="Arial"/>
        </w:rPr>
      </w:pPr>
      <w:permStart w:id="2116957744" w:edGrp="everyone"/>
      <w:r>
        <w:rPr>
          <w:rFonts w:ascii="Arial" w:hAnsi="Arial" w:cs="Arial"/>
        </w:rPr>
        <w:t>The implementation of any technical format for reporting will involve challenges, but we support the consistency this will maintain with the other recent mandates in the trade and transaction reporting space (MiFIR Article 26, SFTR Article 4).  As we have seen with those, vendor services will be available to counterparties who would prefer to generate their reporting in other formats initially and have them translated to the required ISO 20022 structure.</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506DDE"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03A04286" w14:textId="71C191D0" w:rsidR="003371A9" w:rsidRDefault="00CE3F35" w:rsidP="008D4AEE">
      <w:pPr>
        <w:rPr>
          <w:rFonts w:ascii="Arial" w:hAnsi="Arial" w:cs="Arial"/>
        </w:rPr>
      </w:pPr>
      <w:permStart w:id="1519548536" w:edGrp="everyone"/>
      <w:r>
        <w:rPr>
          <w:rFonts w:ascii="Arial" w:hAnsi="Arial" w:cs="Arial"/>
        </w:rPr>
        <w:t xml:space="preserve">We do not agree that the trade repository (TR) should form part of the waterfall, as suggested in </w:t>
      </w:r>
      <w:r w:rsidRPr="003371A9">
        <w:rPr>
          <w:rFonts w:ascii="Arial" w:hAnsi="Arial" w:cs="Arial"/>
        </w:rPr>
        <w:t>Article 7(2)(c)(iii)</w:t>
      </w:r>
      <w:r>
        <w:rPr>
          <w:rFonts w:ascii="Arial" w:hAnsi="Arial" w:cs="Arial"/>
        </w:rPr>
        <w:t xml:space="preserve"> of the proposed ITS.  This would place an unnecessary burden on the TRs to build the required capability and would require further logic, which is not provided, to determine which TR should generate in the event that the counterparties did no</w:t>
      </w:r>
      <w:r w:rsidR="007B7105">
        <w:rPr>
          <w:rFonts w:ascii="Arial" w:hAnsi="Arial" w:cs="Arial"/>
        </w:rPr>
        <w:t>t.  We would therefore recommend that sub-paragraph (2)(c)</w:t>
      </w:r>
      <w:r w:rsidR="007B7105" w:rsidRPr="003371A9">
        <w:rPr>
          <w:rFonts w:ascii="Arial" w:hAnsi="Arial" w:cs="Arial"/>
        </w:rPr>
        <w:t>(iii)</w:t>
      </w:r>
      <w:r w:rsidR="007B7105">
        <w:rPr>
          <w:rFonts w:ascii="Arial" w:hAnsi="Arial" w:cs="Arial"/>
        </w:rPr>
        <w:t xml:space="preserve"> be deleted</w:t>
      </w:r>
      <w:r w:rsidR="00F27BEF">
        <w:rPr>
          <w:rFonts w:ascii="Arial" w:hAnsi="Arial" w:cs="Arial"/>
        </w:rPr>
        <w:t>.</w:t>
      </w:r>
    </w:p>
    <w:permEnd w:id="1519548536"/>
    <w:p w14:paraId="78FD5C97" w14:textId="7B0B82A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506DDE"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t>&lt;ESMA_QUESTION_TSTR_14&gt;</w:t>
      </w:r>
    </w:p>
    <w:p w14:paraId="0C354285" w14:textId="75C6B1C6" w:rsidR="00F27BEF" w:rsidRDefault="00F27BEF" w:rsidP="008D4AEE">
      <w:pPr>
        <w:rPr>
          <w:rFonts w:ascii="Arial" w:hAnsi="Arial" w:cs="Arial"/>
        </w:rPr>
      </w:pPr>
      <w:permStart w:id="801795100" w:edGrp="everyone"/>
      <w:r>
        <w:rPr>
          <w:rFonts w:ascii="Arial" w:hAnsi="Arial" w:cs="Arial"/>
        </w:rPr>
        <w:t>We do not believe any further guidance is necessary with regard to UTIs for position level reports.</w:t>
      </w:r>
    </w:p>
    <w:permEnd w:id="801795100"/>
    <w:p w14:paraId="16C509BA" w14:textId="09B1FCA0" w:rsidR="008D4AEE" w:rsidRDefault="008D4AEE" w:rsidP="008D4AEE">
      <w:pPr>
        <w:rPr>
          <w:rFonts w:ascii="Arial" w:hAnsi="Arial" w:cs="Arial"/>
        </w:rPr>
      </w:pPr>
      <w:r>
        <w:rPr>
          <w:rFonts w:ascii="Arial" w:hAnsi="Arial" w:cs="Arial"/>
        </w:rPr>
        <w:lastRenderedPageBreak/>
        <w:t>&lt;ESMA_QUESTION_TSTR_14&gt;</w:t>
      </w:r>
    </w:p>
    <w:p w14:paraId="2012D533" w14:textId="77777777" w:rsidR="008D4AEE" w:rsidRDefault="008D4AEE" w:rsidP="008D4AEE">
      <w:pPr>
        <w:rPr>
          <w:rFonts w:ascii="Arial" w:hAnsi="Arial" w:cs="Arial"/>
        </w:rPr>
      </w:pPr>
    </w:p>
    <w:p w14:paraId="0D89DAF3" w14:textId="77777777" w:rsidR="008D4AEE" w:rsidRDefault="00506DDE"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018B059D" w:rsidR="008D4AEE" w:rsidRPr="00981E62" w:rsidRDefault="00F27BEF" w:rsidP="009E18C1">
      <w:pPr>
        <w:rPr>
          <w:rFonts w:ascii="Arial" w:hAnsi="Arial" w:cs="Arial"/>
        </w:rPr>
      </w:pPr>
      <w:permStart w:id="1350438964" w:edGrp="everyone"/>
      <w:r w:rsidRPr="00981E62">
        <w:rPr>
          <w:rFonts w:ascii="Arial" w:hAnsi="Arial" w:cs="Arial"/>
        </w:rPr>
        <w:t>This issue does not appear to be considered in the text of the consultation</w:t>
      </w:r>
      <w:r w:rsidR="0015421A" w:rsidRPr="00981E62">
        <w:rPr>
          <w:rFonts w:ascii="Arial" w:hAnsi="Arial" w:cs="Arial"/>
        </w:rPr>
        <w:t xml:space="preserve"> and we are not aware that this is a common scenario, if it occurs at all</w:t>
      </w:r>
      <w:r w:rsidRPr="00981E62">
        <w:rPr>
          <w:rFonts w:ascii="Arial" w:hAnsi="Arial" w:cs="Arial"/>
        </w:rPr>
        <w:t>.</w:t>
      </w:r>
      <w:r w:rsidR="0015421A" w:rsidRPr="00981E62">
        <w:rPr>
          <w:rFonts w:ascii="Arial" w:hAnsi="Arial" w:cs="Arial"/>
        </w:rPr>
        <w:t xml:space="preserve"> </w:t>
      </w:r>
      <w:r w:rsidR="00846B4A" w:rsidRPr="00981E62">
        <w:rPr>
          <w:rFonts w:ascii="Arial" w:hAnsi="Arial" w:cs="Arial"/>
        </w:rPr>
        <w:t xml:space="preserve"> </w:t>
      </w:r>
      <w:r w:rsidR="0015421A" w:rsidRPr="00981E62">
        <w:rPr>
          <w:rFonts w:ascii="Arial" w:hAnsi="Arial" w:cs="Arial"/>
        </w:rPr>
        <w:t>However we believe any action to bring the trade under the rules of a venue subsequent to the initial execution should be ignored for the purposes of determining the responsibility to generate the UTI.</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506DDE"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27BBB6AA" w:rsidR="008D4AEE" w:rsidRPr="00981E62" w:rsidRDefault="00846B4A" w:rsidP="008D4AEE">
      <w:pPr>
        <w:rPr>
          <w:rFonts w:ascii="Arial" w:hAnsi="Arial" w:cs="Arial"/>
        </w:rPr>
      </w:pPr>
      <w:permStart w:id="614089966" w:edGrp="everyone"/>
      <w:r w:rsidRPr="00981E62">
        <w:rPr>
          <w:rFonts w:ascii="Arial" w:hAnsi="Arial" w:cs="Arial"/>
        </w:rPr>
        <w:t xml:space="preserve">We would suggest to add a new paragraph after Article 7(2) of the ITS stating that where the entity </w:t>
      </w:r>
      <w:r w:rsidR="00154FF6" w:rsidRPr="00981E62">
        <w:rPr>
          <w:rFonts w:ascii="Arial" w:hAnsi="Arial" w:cs="Arial"/>
        </w:rPr>
        <w:t xml:space="preserve">determined to have responsibility for generating the UTI </w:t>
      </w:r>
      <w:r w:rsidRPr="00981E62">
        <w:rPr>
          <w:rFonts w:ascii="Arial" w:hAnsi="Arial" w:cs="Arial"/>
        </w:rPr>
        <w:t xml:space="preserve">under </w:t>
      </w:r>
      <w:r w:rsidR="00F6613F" w:rsidRPr="00981E62">
        <w:rPr>
          <w:rFonts w:ascii="Arial" w:hAnsi="Arial" w:cs="Arial"/>
        </w:rPr>
        <w:t xml:space="preserve">any </w:t>
      </w:r>
      <w:r w:rsidR="00154FF6" w:rsidRPr="00981E62">
        <w:rPr>
          <w:rFonts w:ascii="Arial" w:hAnsi="Arial" w:cs="Arial"/>
        </w:rPr>
        <w:t xml:space="preserve">part of </w:t>
      </w:r>
      <w:r w:rsidRPr="00981E62">
        <w:rPr>
          <w:rFonts w:ascii="Arial" w:hAnsi="Arial" w:cs="Arial"/>
        </w:rPr>
        <w:t xml:space="preserve">paragraph 2 is subject </w:t>
      </w:r>
      <w:r w:rsidR="00E238BF" w:rsidRPr="00981E62">
        <w:rPr>
          <w:rFonts w:ascii="Arial" w:hAnsi="Arial" w:cs="Arial"/>
        </w:rPr>
        <w:t xml:space="preserve">to </w:t>
      </w:r>
      <w:r w:rsidRPr="00981E62">
        <w:rPr>
          <w:rFonts w:ascii="Arial" w:hAnsi="Arial" w:cs="Arial"/>
        </w:rPr>
        <w:t>the laws of a jurisdiction that has not implemented the UTI guidance</w:t>
      </w:r>
      <w:r w:rsidR="00F6613F" w:rsidRPr="00981E62">
        <w:rPr>
          <w:rFonts w:ascii="Arial" w:hAnsi="Arial" w:cs="Arial"/>
        </w:rPr>
        <w:t xml:space="preserve">, the determination shall be made according to the </w:t>
      </w:r>
      <w:r w:rsidR="00154FF6" w:rsidRPr="00981E62">
        <w:rPr>
          <w:rFonts w:ascii="Arial" w:hAnsi="Arial" w:cs="Arial"/>
        </w:rPr>
        <w:t>next part</w:t>
      </w:r>
      <w:r w:rsidR="00E238BF" w:rsidRPr="00981E62">
        <w:rPr>
          <w:rFonts w:ascii="Arial" w:hAnsi="Arial" w:cs="Arial"/>
        </w:rPr>
        <w:t xml:space="preserve"> of paragraph 2</w:t>
      </w:r>
      <w:r w:rsidR="00F6613F" w:rsidRPr="00981E62">
        <w:rPr>
          <w:rFonts w:ascii="Arial" w:hAnsi="Arial" w:cs="Arial"/>
        </w:rPr>
        <w:t>.</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506DDE"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0DFB3C1B" w14:textId="5404184A" w:rsidR="008D4AEE" w:rsidRDefault="00F6613F" w:rsidP="008D4AEE">
      <w:pPr>
        <w:rPr>
          <w:rFonts w:ascii="Arial" w:hAnsi="Arial" w:cs="Arial"/>
        </w:rPr>
      </w:pPr>
      <w:permStart w:id="1657497489" w:edGrp="everyone"/>
      <w:r>
        <w:rPr>
          <w:rFonts w:ascii="Arial" w:hAnsi="Arial" w:cs="Arial"/>
        </w:rPr>
        <w:t xml:space="preserve">We would suggest to add a new provision before paragraph 2(e)(iii) stating that </w:t>
      </w:r>
      <w:r w:rsidRPr="00F6613F">
        <w:rPr>
          <w:rFonts w:ascii="Arial" w:hAnsi="Arial" w:cs="Arial"/>
        </w:rPr>
        <w:t xml:space="preserve">for derivatives </w:t>
      </w:r>
      <w:r>
        <w:rPr>
          <w:rFonts w:ascii="Arial" w:hAnsi="Arial" w:cs="Arial"/>
        </w:rPr>
        <w:t>that are not address</w:t>
      </w:r>
      <w:r w:rsidR="000E6715">
        <w:rPr>
          <w:rFonts w:ascii="Arial" w:hAnsi="Arial" w:cs="Arial"/>
        </w:rPr>
        <w:t>ed</w:t>
      </w:r>
      <w:r>
        <w:rPr>
          <w:rFonts w:ascii="Arial" w:hAnsi="Arial" w:cs="Arial"/>
        </w:rPr>
        <w:t xml:space="preserve"> </w:t>
      </w:r>
      <w:r w:rsidRPr="00F6613F">
        <w:rPr>
          <w:rFonts w:ascii="Arial" w:hAnsi="Arial" w:cs="Arial"/>
        </w:rPr>
        <w:t>in points (i) and (ii)</w:t>
      </w:r>
      <w:r>
        <w:rPr>
          <w:rFonts w:ascii="Arial" w:hAnsi="Arial" w:cs="Arial"/>
        </w:rPr>
        <w:t xml:space="preserve">, and where the reporting is delegated to the non-reporting counterparty, that entity should </w:t>
      </w:r>
      <w:r w:rsidR="009E18C1" w:rsidRPr="009E18C1">
        <w:rPr>
          <w:rFonts w:ascii="Arial" w:hAnsi="Arial" w:cs="Arial"/>
        </w:rPr>
        <w:t xml:space="preserve">generate </w:t>
      </w:r>
      <w:r>
        <w:rPr>
          <w:rFonts w:ascii="Arial" w:hAnsi="Arial" w:cs="Arial"/>
        </w:rPr>
        <w:t>the UTI.</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506DDE"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0CB67974" w:rsidR="008D4AEE" w:rsidRPr="00981E62" w:rsidRDefault="00964BBC" w:rsidP="008D4AEE">
      <w:pPr>
        <w:rPr>
          <w:rFonts w:ascii="Arial" w:hAnsi="Arial" w:cs="Arial"/>
        </w:rPr>
      </w:pPr>
      <w:permStart w:id="1062486001" w:edGrp="everyone"/>
      <w:r w:rsidRPr="00981E62">
        <w:rPr>
          <w:rFonts w:ascii="Arial" w:hAnsi="Arial" w:cs="Arial"/>
        </w:rPr>
        <w:t xml:space="preserve">We believe Option 2 offers the simpler implementation, </w:t>
      </w:r>
      <w:r w:rsidR="00666938" w:rsidRPr="00981E62">
        <w:rPr>
          <w:rFonts w:ascii="Arial" w:hAnsi="Arial" w:cs="Arial"/>
        </w:rPr>
        <w:t>with only one parameter - the nature of the counterparties - needing to be considered.  Where both parties are of the same nature and do not have any agreement on UTI generation, the determination would be according to the alphabetical sorting of their LEIs.</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506DDE"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13FC316C" w14:textId="1B163C68" w:rsidR="009E18C1" w:rsidRDefault="000E6715" w:rsidP="008D4AEE">
      <w:pPr>
        <w:rPr>
          <w:rFonts w:ascii="Arial" w:hAnsi="Arial" w:cs="Arial"/>
        </w:rPr>
      </w:pPr>
      <w:permStart w:id="1669478115" w:edGrp="everyone"/>
      <w:r>
        <w:rPr>
          <w:rFonts w:ascii="Arial" w:hAnsi="Arial" w:cs="Arial"/>
        </w:rPr>
        <w:t>W</w:t>
      </w:r>
      <w:r w:rsidR="00EB407B">
        <w:rPr>
          <w:rFonts w:ascii="Arial" w:hAnsi="Arial" w:cs="Arial"/>
        </w:rPr>
        <w:t xml:space="preserve">e believe the sorting of the counterparty LEIs would be an appropriate final tie-breaker to determine the responsibility for </w:t>
      </w:r>
      <w:r>
        <w:rPr>
          <w:rFonts w:ascii="Arial" w:hAnsi="Arial" w:cs="Arial"/>
        </w:rPr>
        <w:t>U</w:t>
      </w:r>
      <w:r w:rsidR="00EB407B">
        <w:rPr>
          <w:rFonts w:ascii="Arial" w:hAnsi="Arial" w:cs="Arial"/>
        </w:rPr>
        <w:t>TI generation.</w:t>
      </w:r>
    </w:p>
    <w:p w14:paraId="0DC7FCB1" w14:textId="073DDA1C" w:rsidR="00EB407B" w:rsidRDefault="00EB407B" w:rsidP="008D4AEE">
      <w:pPr>
        <w:rPr>
          <w:rFonts w:ascii="Arial" w:hAnsi="Arial" w:cs="Arial"/>
        </w:rPr>
      </w:pPr>
    </w:p>
    <w:p w14:paraId="6AE51C84" w14:textId="1F1B0712" w:rsidR="00EB407B" w:rsidRDefault="00EB407B" w:rsidP="008D4AEE">
      <w:pPr>
        <w:rPr>
          <w:rFonts w:ascii="Arial" w:hAnsi="Arial" w:cs="Arial"/>
        </w:rPr>
      </w:pPr>
      <w:r>
        <w:rPr>
          <w:rFonts w:ascii="Arial" w:hAnsi="Arial" w:cs="Arial"/>
        </w:rPr>
        <w:t>We would support Option 1 (ASCII order) for this purpose.</w:t>
      </w:r>
    </w:p>
    <w:permEnd w:id="1669478115"/>
    <w:p w14:paraId="31640D4B" w14:textId="1DC11981"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506DDE"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t>&lt;ESMA_QUESTION_TSTR_20&gt;</w:t>
      </w:r>
    </w:p>
    <w:p w14:paraId="3853819E" w14:textId="1E523229" w:rsidR="008D4AEE" w:rsidRDefault="00EB407B" w:rsidP="008D4AEE">
      <w:pPr>
        <w:rPr>
          <w:rFonts w:ascii="Arial" w:hAnsi="Arial" w:cs="Arial"/>
        </w:rPr>
      </w:pPr>
      <w:permStart w:id="1147748217" w:edGrp="everyone"/>
      <w:r>
        <w:rPr>
          <w:rFonts w:ascii="Arial" w:hAnsi="Arial" w:cs="Arial"/>
        </w:rPr>
        <w:t>We do not believe further rules are necessary.</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506DDE"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152BF801" w14:textId="208B65DC" w:rsidR="009E18C1" w:rsidRDefault="00EB407B" w:rsidP="00EB407B">
      <w:pPr>
        <w:rPr>
          <w:rFonts w:ascii="Arial" w:hAnsi="Arial" w:cs="Arial"/>
        </w:rPr>
      </w:pPr>
      <w:permStart w:id="75703674" w:edGrp="everyone"/>
      <w:r>
        <w:rPr>
          <w:rFonts w:ascii="Arial" w:hAnsi="Arial" w:cs="Arial"/>
        </w:rPr>
        <w:t>We believe option 1 offers the more straight forward solution, but wo</w:t>
      </w:r>
      <w:r w:rsidR="008A4D37">
        <w:rPr>
          <w:rFonts w:ascii="Arial" w:hAnsi="Arial" w:cs="Arial"/>
        </w:rPr>
        <w:t>u</w:t>
      </w:r>
      <w:r>
        <w:rPr>
          <w:rFonts w:ascii="Arial" w:hAnsi="Arial" w:cs="Arial"/>
        </w:rPr>
        <w:t>ld suggest that consideration be given to an earlier deadline of, say, 10.00  in order to allow more time for the consuming counterparty to complete the process on the one hand and minimise the compression of reporting for the TRs o</w:t>
      </w:r>
      <w:r w:rsidR="008A4D37">
        <w:rPr>
          <w:rFonts w:ascii="Arial" w:hAnsi="Arial" w:cs="Arial"/>
        </w:rPr>
        <w:t>n</w:t>
      </w:r>
      <w:r>
        <w:rPr>
          <w:rFonts w:ascii="Arial" w:hAnsi="Arial" w:cs="Arial"/>
        </w:rPr>
        <w:t xml:space="preserve"> the other. </w:t>
      </w:r>
    </w:p>
    <w:permEnd w:id="75703674"/>
    <w:p w14:paraId="66E1972F" w14:textId="3ED1E431"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506DDE"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1FCD512F" w14:textId="5691FEAA" w:rsidR="008D4AEE" w:rsidRDefault="00EB407B" w:rsidP="008D4AEE">
      <w:pPr>
        <w:rPr>
          <w:rFonts w:ascii="Arial" w:hAnsi="Arial" w:cs="Arial"/>
        </w:rPr>
      </w:pPr>
      <w:permStart w:id="232997355" w:edGrp="everyone"/>
      <w:r>
        <w:rPr>
          <w:rFonts w:ascii="Arial" w:hAnsi="Arial" w:cs="Arial"/>
        </w:rPr>
        <w:t xml:space="preserve">We do not anticipate </w:t>
      </w:r>
      <w:r w:rsidR="007C116C">
        <w:rPr>
          <w:rFonts w:ascii="Arial" w:hAnsi="Arial" w:cs="Arial"/>
        </w:rPr>
        <w:t>any issues regarding the need to use a new or the existing UTI.</w:t>
      </w:r>
      <w:r>
        <w:rPr>
          <w:rFonts w:ascii="Arial" w:hAnsi="Arial" w:cs="Arial"/>
        </w:rPr>
        <w:t xml:space="preserve"> </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506DDE"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700ED782" w14:textId="65277750" w:rsidR="007C116C" w:rsidRDefault="007C116C" w:rsidP="008D4AEE">
      <w:pPr>
        <w:rPr>
          <w:rFonts w:ascii="Arial" w:hAnsi="Arial" w:cs="Arial"/>
        </w:rPr>
      </w:pPr>
      <w:permStart w:id="2066573421" w:edGrp="everyone"/>
      <w:r>
        <w:rPr>
          <w:rFonts w:ascii="Arial" w:hAnsi="Arial" w:cs="Arial"/>
        </w:rPr>
        <w:t>We do not anticipate any issues with the structure of the UTI for new trades.  However, we request that the validation rules do not prevent the reporting of lifecycle events on legacy trades with UTIs that may include one of more of the four special characters permitted currently.</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506DDE"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3227289A" w14:textId="31AF8F15" w:rsidR="004A1F8F" w:rsidRPr="00981E62" w:rsidRDefault="004A1F8F" w:rsidP="004A1F8F">
      <w:pPr>
        <w:rPr>
          <w:rFonts w:ascii="Arial" w:hAnsi="Arial" w:cs="Arial"/>
        </w:rPr>
      </w:pPr>
      <w:permStart w:id="1216759637" w:edGrp="everyone"/>
      <w:r w:rsidRPr="00981E62">
        <w:rPr>
          <w:rFonts w:ascii="Arial" w:hAnsi="Arial" w:cs="Arial"/>
        </w:rPr>
        <w:t xml:space="preserve">Given the existence of the UPI for all OTC derivatives, which will provide all the information required at product for the purposes of monitoring risk.  We therefore do not believe it should be necessary to report an ISIN for these products, even it exists. Rather we would suggest to require instrument/product/classification information (Fields </w:t>
      </w:r>
      <w:r w:rsidR="00840621" w:rsidRPr="00981E62">
        <w:rPr>
          <w:rFonts w:ascii="Arial" w:hAnsi="Arial" w:cs="Arial"/>
        </w:rPr>
        <w:t>2.</w:t>
      </w:r>
      <w:r w:rsidRPr="00981E62">
        <w:rPr>
          <w:rFonts w:ascii="Arial" w:hAnsi="Arial" w:cs="Arial"/>
        </w:rPr>
        <w:t>7-</w:t>
      </w:r>
      <w:r w:rsidR="00840621" w:rsidRPr="00981E62">
        <w:rPr>
          <w:rFonts w:ascii="Arial" w:hAnsi="Arial" w:cs="Arial"/>
        </w:rPr>
        <w:t>2.9</w:t>
      </w:r>
      <w:r w:rsidRPr="00981E62">
        <w:rPr>
          <w:rFonts w:ascii="Arial" w:hAnsi="Arial" w:cs="Arial"/>
        </w:rPr>
        <w:t>) to be provided as follows:</w:t>
      </w:r>
    </w:p>
    <w:p w14:paraId="0FFD3121" w14:textId="6EFC8C88" w:rsidR="004A1F8F" w:rsidRPr="00981E62" w:rsidRDefault="004A1F8F" w:rsidP="004A1F8F">
      <w:pPr>
        <w:rPr>
          <w:rFonts w:ascii="Arial" w:hAnsi="Arial" w:cs="Arial"/>
        </w:rPr>
      </w:pPr>
    </w:p>
    <w:p w14:paraId="69A820D5" w14:textId="2F988C23" w:rsidR="004A1F8F" w:rsidRPr="00981E62" w:rsidRDefault="001909ED" w:rsidP="001909ED">
      <w:pPr>
        <w:tabs>
          <w:tab w:val="left" w:pos="3119"/>
        </w:tabs>
        <w:rPr>
          <w:rFonts w:ascii="Arial" w:hAnsi="Arial" w:cs="Arial"/>
        </w:rPr>
      </w:pPr>
      <w:r w:rsidRPr="00981E62">
        <w:rPr>
          <w:rFonts w:ascii="Arial" w:hAnsi="Arial" w:cs="Arial"/>
        </w:rPr>
        <w:t xml:space="preserve">TOTV/uTOTV </w:t>
      </w:r>
      <w:r w:rsidR="004A1F8F" w:rsidRPr="00981E62">
        <w:rPr>
          <w:rFonts w:ascii="Arial" w:hAnsi="Arial" w:cs="Arial"/>
        </w:rPr>
        <w:t>ETDs</w:t>
      </w:r>
      <w:r w:rsidRPr="00981E62">
        <w:rPr>
          <w:rFonts w:ascii="Arial" w:hAnsi="Arial" w:cs="Arial"/>
        </w:rPr>
        <w:t>:</w:t>
      </w:r>
      <w:r w:rsidRPr="00981E62">
        <w:rPr>
          <w:rFonts w:ascii="Arial" w:hAnsi="Arial" w:cs="Arial"/>
        </w:rPr>
        <w:tab/>
        <w:t>ISIN + CFI</w:t>
      </w:r>
    </w:p>
    <w:p w14:paraId="501A8F86" w14:textId="4B2486CA" w:rsidR="001909ED" w:rsidRPr="00981E62" w:rsidRDefault="001909ED" w:rsidP="001909ED">
      <w:pPr>
        <w:tabs>
          <w:tab w:val="left" w:pos="3119"/>
        </w:tabs>
        <w:rPr>
          <w:rFonts w:ascii="Arial" w:hAnsi="Arial" w:cs="Arial"/>
        </w:rPr>
      </w:pPr>
      <w:r w:rsidRPr="00981E62">
        <w:rPr>
          <w:rFonts w:ascii="Arial" w:hAnsi="Arial" w:cs="Arial"/>
        </w:rPr>
        <w:t>Other third country ETDs:</w:t>
      </w:r>
      <w:r w:rsidRPr="00981E62">
        <w:rPr>
          <w:rFonts w:ascii="Arial" w:hAnsi="Arial" w:cs="Arial"/>
        </w:rPr>
        <w:tab/>
        <w:t>CFI only</w:t>
      </w:r>
    </w:p>
    <w:p w14:paraId="02B5D85C" w14:textId="31EE316E" w:rsidR="001909ED" w:rsidRPr="00981E62" w:rsidRDefault="001909ED" w:rsidP="001909ED">
      <w:pPr>
        <w:tabs>
          <w:tab w:val="left" w:pos="3119"/>
        </w:tabs>
        <w:rPr>
          <w:rFonts w:ascii="Arial" w:hAnsi="Arial" w:cs="Arial"/>
        </w:rPr>
      </w:pPr>
      <w:r w:rsidRPr="00981E62">
        <w:rPr>
          <w:rFonts w:ascii="Arial" w:hAnsi="Arial" w:cs="Arial"/>
        </w:rPr>
        <w:t>OTC derivatives*:</w:t>
      </w:r>
      <w:r w:rsidRPr="00981E62">
        <w:rPr>
          <w:rFonts w:ascii="Arial" w:hAnsi="Arial" w:cs="Arial"/>
        </w:rPr>
        <w:tab/>
        <w:t>UPI only</w:t>
      </w:r>
    </w:p>
    <w:p w14:paraId="6E86F7F5" w14:textId="7A1F92CD" w:rsidR="001909ED" w:rsidRPr="00981E62" w:rsidRDefault="001909ED" w:rsidP="004A1F8F">
      <w:pPr>
        <w:rPr>
          <w:rFonts w:ascii="Arial" w:hAnsi="Arial" w:cs="Arial"/>
        </w:rPr>
      </w:pPr>
    </w:p>
    <w:p w14:paraId="284FB7F6" w14:textId="638D448A" w:rsidR="001909ED" w:rsidRDefault="001909ED" w:rsidP="004A1F8F">
      <w:pPr>
        <w:rPr>
          <w:rFonts w:ascii="Arial" w:hAnsi="Arial" w:cs="Arial"/>
        </w:rPr>
      </w:pPr>
      <w:r w:rsidRPr="00981E62">
        <w:rPr>
          <w:rFonts w:ascii="Arial" w:hAnsi="Arial" w:cs="Arial"/>
        </w:rPr>
        <w:t xml:space="preserve">* </w:t>
      </w:r>
      <w:r w:rsidRPr="00981E62">
        <w:rPr>
          <w:rFonts w:ascii="Arial" w:hAnsi="Arial" w:cs="Arial"/>
          <w:i/>
          <w:iCs/>
        </w:rPr>
        <w:t>not per the current EMIR definition, which includes ETDs of third venues that are similar to regulated markets but are not subject to an equivalence determination under MiFID (see also our response to Q25</w:t>
      </w:r>
      <w:r w:rsidRPr="00981E62">
        <w:rPr>
          <w:rFonts w:ascii="Arial" w:hAnsi="Arial" w:cs="Arial"/>
        </w:rPr>
        <w:t>.</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506DDE"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77A103ED" w14:textId="19EB1B16" w:rsidR="008D4AEE" w:rsidRPr="00981E62" w:rsidRDefault="001909ED" w:rsidP="009E18C1">
      <w:pPr>
        <w:rPr>
          <w:rFonts w:ascii="Arial" w:hAnsi="Arial" w:cs="Arial"/>
        </w:rPr>
      </w:pPr>
      <w:permStart w:id="132121669" w:edGrp="everyone"/>
      <w:r w:rsidRPr="00981E62">
        <w:rPr>
          <w:rFonts w:ascii="Arial" w:hAnsi="Arial" w:cs="Arial"/>
        </w:rPr>
        <w:t xml:space="preserve">We are aware that the mandate requested of ISO to develop a standard for the UPI does </w:t>
      </w:r>
      <w:r w:rsidRPr="00981E62">
        <w:rPr>
          <w:rFonts w:ascii="Arial" w:hAnsi="Arial" w:cs="Arial"/>
          <w:u w:val="single"/>
        </w:rPr>
        <w:t>not</w:t>
      </w:r>
      <w:r w:rsidRPr="00981E62">
        <w:rPr>
          <w:rFonts w:ascii="Arial" w:hAnsi="Arial" w:cs="Arial"/>
        </w:rPr>
        <w:t xml:space="preserve"> extend to ETDs.  It will there not be possible to require the </w:t>
      </w:r>
      <w:r w:rsidR="00F87517" w:rsidRPr="00981E62">
        <w:rPr>
          <w:rFonts w:ascii="Arial" w:hAnsi="Arial" w:cs="Arial"/>
        </w:rPr>
        <w:t>reporting of a UPI for all derivatives.  Moreover, it will not be possible even to require a UPI for all OTC derivatives as defined currently under Article 2(7) of EMIR, as this includes the ETDs of third country venues that are not determined to be equivalent under MiFID.</w:t>
      </w:r>
    </w:p>
    <w:p w14:paraId="6B7AD176" w14:textId="7957A135" w:rsidR="00F87517" w:rsidRPr="00981E62" w:rsidRDefault="00F87517" w:rsidP="009E18C1">
      <w:pPr>
        <w:rPr>
          <w:rFonts w:ascii="Arial" w:hAnsi="Arial" w:cs="Arial"/>
        </w:rPr>
      </w:pPr>
    </w:p>
    <w:p w14:paraId="31D065C4" w14:textId="779F843C" w:rsidR="00F87517" w:rsidRPr="00981E62" w:rsidRDefault="00F87517" w:rsidP="009E18C1">
      <w:pPr>
        <w:rPr>
          <w:rFonts w:ascii="Arial" w:hAnsi="Arial" w:cs="Arial"/>
        </w:rPr>
      </w:pPr>
      <w:r w:rsidRPr="00981E62">
        <w:rPr>
          <w:rFonts w:ascii="Arial" w:hAnsi="Arial" w:cs="Arial"/>
        </w:rPr>
        <w:t>Per our response to Q24, we believe the UPI should be sufficient on its own for the identification of OTC derivatives, given a narrower definition of "OTC derivative" that does not include third country ETDs.</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506DDE"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t>&lt;ESMA_QUESTION_TSTR_26&gt;</w:t>
      </w:r>
    </w:p>
    <w:p w14:paraId="3C3FB0D2" w14:textId="67457437" w:rsidR="008D4AEE" w:rsidRDefault="00FA4DD3" w:rsidP="008D4AEE">
      <w:pPr>
        <w:rPr>
          <w:rFonts w:ascii="Arial" w:hAnsi="Arial" w:cs="Arial"/>
        </w:rPr>
      </w:pPr>
      <w:permStart w:id="1376140790" w:edGrp="everyone"/>
      <w:r>
        <w:rPr>
          <w:rFonts w:ascii="Arial" w:hAnsi="Arial" w:cs="Arial"/>
        </w:rPr>
        <w:t xml:space="preserve">We agree that </w:t>
      </w:r>
      <w:r w:rsidR="001D37E3">
        <w:rPr>
          <w:rFonts w:ascii="Arial" w:hAnsi="Arial" w:cs="Arial"/>
        </w:rPr>
        <w:t xml:space="preserve">reports might still include </w:t>
      </w:r>
      <w:r>
        <w:rPr>
          <w:rFonts w:ascii="Arial" w:hAnsi="Arial" w:cs="Arial"/>
        </w:rPr>
        <w:t>some elements</w:t>
      </w:r>
      <w:r w:rsidR="001D37E3">
        <w:rPr>
          <w:rFonts w:ascii="Arial" w:hAnsi="Arial" w:cs="Arial"/>
        </w:rPr>
        <w:t xml:space="preserve"> contained in the UPI reference data might where these would facilitate easier initial validation of "conditional" fields by the TRs.</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506DDE" w:rsidP="008D4AEE">
      <w:pPr>
        <w:pStyle w:val="Questionstyle"/>
        <w:numPr>
          <w:ilvl w:val="0"/>
          <w:numId w:val="9"/>
        </w:numPr>
        <w:spacing w:after="250" w:line="276" w:lineRule="auto"/>
      </w:pPr>
      <w:hyperlink w:anchor="_Toc34747702" w:history="1">
        <w:r w:rsidR="008D4AEE">
          <w:t xml:space="preserve">: </w:t>
        </w:r>
        <w:r w:rsidR="008D4AEE" w:rsidRPr="005960C1">
          <w:t xml:space="preserve">Some of the instruments’ characteristics that are expected to be captured by the future UPI reference data are already being reported under EMIR, meaning that </w:t>
        </w:r>
        <w:r w:rsidR="008D4AEE" w:rsidRPr="005960C1">
          <w:lastRenderedPageBreak/>
          <w:t>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14EE84E2" w14:textId="0A5A2A2E" w:rsidR="00FA4DD3" w:rsidRDefault="00FA4DD3" w:rsidP="00FA4DD3">
      <w:pPr>
        <w:rPr>
          <w:rFonts w:ascii="Arial" w:hAnsi="Arial" w:cs="Arial"/>
        </w:rPr>
      </w:pPr>
      <w:permStart w:id="1838285636" w:edGrp="everyone"/>
      <w:r>
        <w:rPr>
          <w:rFonts w:ascii="Arial" w:hAnsi="Arial" w:cs="Arial"/>
        </w:rPr>
        <w:t xml:space="preserve">We believe the new technical standards should not be applied until the UPI has been implemented.  It would be a mistake to assume that counterparties will not bear unnecessary cost because a number of the elements that might no longer be required are already reported </w:t>
      </w:r>
      <w:r w:rsidR="001D37E3">
        <w:rPr>
          <w:rFonts w:ascii="Arial" w:hAnsi="Arial" w:cs="Arial"/>
        </w:rPr>
        <w:t xml:space="preserve">under the current regime.  Counterparties </w:t>
      </w:r>
      <w:r>
        <w:rPr>
          <w:rFonts w:ascii="Arial" w:hAnsi="Arial" w:cs="Arial"/>
        </w:rPr>
        <w:t>would still need to develop new reporting logic to report those elements according to the proposed technical standards, and then revise that logic to exclude those elements in due course.  It would be far less costly to undertake only one phase of development to reach the final state.</w:t>
      </w:r>
    </w:p>
    <w:permEnd w:id="1838285636"/>
    <w:p w14:paraId="72C35381" w14:textId="66DE0384"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506DDE"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75297F18" w14:textId="62848B4B" w:rsidR="008D4AEE" w:rsidRDefault="001D37E3" w:rsidP="00B61D40">
      <w:pPr>
        <w:rPr>
          <w:rFonts w:ascii="Arial" w:hAnsi="Arial" w:cs="Arial"/>
        </w:rPr>
      </w:pPr>
      <w:permStart w:id="105922360" w:edGrp="everyone"/>
      <w:r>
        <w:rPr>
          <w:rFonts w:ascii="Arial" w:hAnsi="Arial" w:cs="Arial"/>
        </w:rPr>
        <w:t xml:space="preserve">We agree that the legislation might include a requirement that the </w:t>
      </w:r>
      <w:r w:rsidRPr="001D37E3">
        <w:rPr>
          <w:rFonts w:ascii="Arial" w:hAnsi="Arial" w:cs="Arial"/>
        </w:rPr>
        <w:t>LEI of the reporting counterparty should be duly renewed and maintained</w:t>
      </w:r>
      <w:r>
        <w:rPr>
          <w:rFonts w:ascii="Arial" w:hAnsi="Arial" w:cs="Arial"/>
        </w:rPr>
        <w:t xml:space="preserve"> and</w:t>
      </w:r>
      <w:r w:rsidR="00840621">
        <w:rPr>
          <w:rFonts w:ascii="Arial" w:hAnsi="Arial" w:cs="Arial"/>
        </w:rPr>
        <w:t xml:space="preserve">, moreover, </w:t>
      </w:r>
      <w:r>
        <w:rPr>
          <w:rFonts w:ascii="Arial" w:hAnsi="Arial" w:cs="Arial"/>
        </w:rPr>
        <w:t xml:space="preserve">that this might </w:t>
      </w:r>
      <w:r w:rsidR="00840621">
        <w:rPr>
          <w:rFonts w:ascii="Arial" w:hAnsi="Arial" w:cs="Arial"/>
        </w:rPr>
        <w:t xml:space="preserve">be </w:t>
      </w:r>
      <w:r>
        <w:rPr>
          <w:rFonts w:ascii="Arial" w:hAnsi="Arial" w:cs="Arial"/>
        </w:rPr>
        <w:t>subject to validat</w:t>
      </w:r>
      <w:r w:rsidR="00840621">
        <w:rPr>
          <w:rFonts w:ascii="Arial" w:hAnsi="Arial" w:cs="Arial"/>
        </w:rPr>
        <w:t>ion as suggested in Field 4 of Table 1 to the ITS.</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506DDE"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21126DF8" w14:textId="77777777" w:rsidR="00840621" w:rsidRDefault="001D37E3" w:rsidP="008D4AEE">
      <w:pPr>
        <w:rPr>
          <w:rFonts w:ascii="Arial" w:hAnsi="Arial" w:cs="Arial"/>
        </w:rPr>
      </w:pPr>
      <w:permStart w:id="939348898" w:edGrp="everyone"/>
      <w:r>
        <w:rPr>
          <w:rFonts w:ascii="Arial" w:hAnsi="Arial" w:cs="Arial"/>
        </w:rPr>
        <w:t>We agree that all parties listed in Article 3(1) of the proposed ITS should be obliged to renew and maintain their LEIs.</w:t>
      </w:r>
    </w:p>
    <w:p w14:paraId="4CC7199E" w14:textId="77777777" w:rsidR="00840621" w:rsidRDefault="00840621" w:rsidP="008D4AEE">
      <w:pPr>
        <w:rPr>
          <w:rFonts w:ascii="Arial" w:hAnsi="Arial" w:cs="Arial"/>
        </w:rPr>
      </w:pPr>
    </w:p>
    <w:p w14:paraId="369E6913" w14:textId="77777777" w:rsidR="00840621" w:rsidRDefault="00840621" w:rsidP="008D4AEE">
      <w:pPr>
        <w:rPr>
          <w:rFonts w:ascii="Arial" w:hAnsi="Arial" w:cs="Arial"/>
        </w:rPr>
      </w:pPr>
      <w:r>
        <w:rPr>
          <w:rFonts w:ascii="Arial" w:hAnsi="Arial" w:cs="Arial"/>
        </w:rPr>
        <w:t>However, we do not agree with the current drafting of Table 1 to the ITS, which suggests that submitting entities must ensure that this is the case for many of those parties, over which it has no control.  TRs should be asked to validate the LEI status only of the following:</w:t>
      </w:r>
    </w:p>
    <w:p w14:paraId="6DE42B96" w14:textId="77777777" w:rsidR="00840621" w:rsidRDefault="00840621" w:rsidP="008D4AEE">
      <w:pPr>
        <w:rPr>
          <w:rFonts w:ascii="Arial" w:hAnsi="Arial" w:cs="Arial"/>
        </w:rPr>
      </w:pPr>
    </w:p>
    <w:p w14:paraId="6384F907" w14:textId="3E4A7D2A" w:rsidR="00840621" w:rsidRDefault="00840621" w:rsidP="008D4AEE">
      <w:pPr>
        <w:rPr>
          <w:rFonts w:ascii="Arial" w:hAnsi="Arial" w:cs="Arial"/>
        </w:rPr>
      </w:pPr>
      <w:r>
        <w:rPr>
          <w:rFonts w:ascii="Arial" w:hAnsi="Arial" w:cs="Arial"/>
        </w:rPr>
        <w:t>1.2  Report submitting entity</w:t>
      </w:r>
    </w:p>
    <w:p w14:paraId="34ADBFF0" w14:textId="70C13857" w:rsidR="00840621" w:rsidRDefault="00840621" w:rsidP="008D4AEE">
      <w:pPr>
        <w:rPr>
          <w:rFonts w:ascii="Arial" w:hAnsi="Arial" w:cs="Arial"/>
        </w:rPr>
      </w:pPr>
      <w:r>
        <w:rPr>
          <w:rFonts w:ascii="Arial" w:hAnsi="Arial" w:cs="Arial"/>
        </w:rPr>
        <w:t>1.3  Entity responsible for reporting</w:t>
      </w:r>
    </w:p>
    <w:p w14:paraId="7E09D8D5" w14:textId="5AD05B90" w:rsidR="00840621" w:rsidRDefault="00840621" w:rsidP="008D4AEE">
      <w:pPr>
        <w:rPr>
          <w:rFonts w:ascii="Arial" w:hAnsi="Arial" w:cs="Arial"/>
        </w:rPr>
      </w:pPr>
      <w:r>
        <w:rPr>
          <w:rFonts w:ascii="Arial" w:hAnsi="Arial" w:cs="Arial"/>
        </w:rPr>
        <w:t>1.4  Counterparty 1</w:t>
      </w:r>
    </w:p>
    <w:permEnd w:id="939348898"/>
    <w:p w14:paraId="68BC59DF" w14:textId="35B50EE9"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506DDE"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3B55B160" w14:textId="4B4302E1" w:rsidR="008D4AEE" w:rsidRDefault="00F40C6C" w:rsidP="008D4AEE">
      <w:pPr>
        <w:rPr>
          <w:rFonts w:ascii="Arial" w:hAnsi="Arial" w:cs="Arial"/>
        </w:rPr>
      </w:pPr>
      <w:permStart w:id="1725378041" w:edGrp="everyone"/>
      <w:r>
        <w:rPr>
          <w:rFonts w:ascii="Arial" w:hAnsi="Arial" w:cs="Arial"/>
        </w:rPr>
        <w:lastRenderedPageBreak/>
        <w:t>We agree with the proposal to include the CDEs in the future reporting requirements.</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506DDE"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192575C2" w14:textId="1F467EE4" w:rsidR="00F40C6C" w:rsidRPr="00981E62" w:rsidRDefault="00F40C6C" w:rsidP="008D4AEE">
      <w:pPr>
        <w:rPr>
          <w:rFonts w:ascii="Arial" w:hAnsi="Arial" w:cs="Arial"/>
        </w:rPr>
      </w:pPr>
      <w:permStart w:id="758653477" w:edGrp="everyone"/>
      <w:r w:rsidRPr="00981E62">
        <w:rPr>
          <w:rFonts w:ascii="Arial" w:hAnsi="Arial" w:cs="Arial"/>
        </w:rPr>
        <w:t>We be</w:t>
      </w:r>
      <w:r w:rsidR="00757163" w:rsidRPr="00981E62">
        <w:rPr>
          <w:rFonts w:ascii="Arial" w:hAnsi="Arial" w:cs="Arial"/>
        </w:rPr>
        <w:t>l</w:t>
      </w:r>
      <w:r w:rsidRPr="00981E62">
        <w:rPr>
          <w:rFonts w:ascii="Arial" w:hAnsi="Arial" w:cs="Arial"/>
        </w:rPr>
        <w:t>i</w:t>
      </w:r>
      <w:r w:rsidR="00757163" w:rsidRPr="00981E62">
        <w:rPr>
          <w:rFonts w:ascii="Arial" w:hAnsi="Arial" w:cs="Arial"/>
        </w:rPr>
        <w:t>e</w:t>
      </w:r>
      <w:r w:rsidRPr="00981E62">
        <w:rPr>
          <w:rFonts w:ascii="Arial" w:hAnsi="Arial" w:cs="Arial"/>
        </w:rPr>
        <w:t>ve the lists of actio</w:t>
      </w:r>
      <w:r w:rsidR="00757163" w:rsidRPr="00981E62">
        <w:rPr>
          <w:rFonts w:ascii="Arial" w:hAnsi="Arial" w:cs="Arial"/>
        </w:rPr>
        <w:t>n</w:t>
      </w:r>
      <w:r w:rsidRPr="00981E62">
        <w:rPr>
          <w:rFonts w:ascii="Arial" w:hAnsi="Arial" w:cs="Arial"/>
        </w:rPr>
        <w:t xml:space="preserve"> and eve</w:t>
      </w:r>
      <w:r w:rsidR="00757163" w:rsidRPr="00981E62">
        <w:rPr>
          <w:rFonts w:ascii="Arial" w:hAnsi="Arial" w:cs="Arial"/>
        </w:rPr>
        <w:t>n</w:t>
      </w:r>
      <w:r w:rsidRPr="00981E62">
        <w:rPr>
          <w:rFonts w:ascii="Arial" w:hAnsi="Arial" w:cs="Arial"/>
        </w:rPr>
        <w:t xml:space="preserve">t types </w:t>
      </w:r>
      <w:r w:rsidR="00757163" w:rsidRPr="00981E62">
        <w:rPr>
          <w:rFonts w:ascii="Arial" w:hAnsi="Arial" w:cs="Arial"/>
        </w:rPr>
        <w:t xml:space="preserve">per Tables 4 and 5 are sufficient to cover the various potential scenarios. </w:t>
      </w:r>
    </w:p>
    <w:p w14:paraId="61F76B0D" w14:textId="77777777" w:rsidR="00757163" w:rsidRPr="00981E62" w:rsidRDefault="00757163" w:rsidP="008D4AEE">
      <w:pPr>
        <w:rPr>
          <w:rFonts w:ascii="Arial" w:hAnsi="Arial" w:cs="Arial"/>
        </w:rPr>
      </w:pPr>
    </w:p>
    <w:p w14:paraId="3B9F7D49" w14:textId="1BC23F9C" w:rsidR="00F40C6C" w:rsidRPr="00981E62" w:rsidRDefault="000D11DA" w:rsidP="008D4AEE">
      <w:pPr>
        <w:rPr>
          <w:rFonts w:ascii="Arial" w:hAnsi="Arial" w:cs="Arial"/>
        </w:rPr>
      </w:pPr>
      <w:r w:rsidRPr="00981E62">
        <w:rPr>
          <w:rFonts w:ascii="Arial" w:hAnsi="Arial" w:cs="Arial"/>
        </w:rPr>
        <w:t xml:space="preserve">We are conscious that additional guidelines were needed to explain the use of ETRM and MODI in the event of an early termination of a trade under SFTR, with the proposed approach for EMIR also being different with the addition of the </w:t>
      </w:r>
      <w:r w:rsidR="00597454" w:rsidRPr="00981E62">
        <w:rPr>
          <w:rFonts w:ascii="Arial" w:hAnsi="Arial" w:cs="Arial"/>
        </w:rPr>
        <w:t>E</w:t>
      </w:r>
      <w:r w:rsidRPr="00981E62">
        <w:rPr>
          <w:rFonts w:ascii="Arial" w:hAnsi="Arial" w:cs="Arial"/>
        </w:rPr>
        <w:t xml:space="preserve">vent </w:t>
      </w:r>
      <w:r w:rsidR="00597454" w:rsidRPr="00981E62">
        <w:rPr>
          <w:rFonts w:ascii="Arial" w:hAnsi="Arial" w:cs="Arial"/>
        </w:rPr>
        <w:t>T</w:t>
      </w:r>
      <w:r w:rsidRPr="00981E62">
        <w:rPr>
          <w:rFonts w:ascii="Arial" w:hAnsi="Arial" w:cs="Arial"/>
        </w:rPr>
        <w:t>ype.</w:t>
      </w:r>
    </w:p>
    <w:p w14:paraId="4C150F6A" w14:textId="77777777" w:rsidR="00F40C6C" w:rsidRPr="00981E62" w:rsidRDefault="00F40C6C" w:rsidP="008D4AEE">
      <w:pPr>
        <w:rPr>
          <w:rFonts w:ascii="Arial" w:hAnsi="Arial" w:cs="Arial"/>
        </w:rPr>
      </w:pPr>
    </w:p>
    <w:p w14:paraId="17D1F42B" w14:textId="16ECE624" w:rsidR="008D4AEE" w:rsidRDefault="00F40C6C" w:rsidP="008D4AEE">
      <w:pPr>
        <w:rPr>
          <w:rFonts w:ascii="Arial" w:hAnsi="Arial" w:cs="Arial"/>
        </w:rPr>
      </w:pPr>
      <w:r w:rsidRPr="00981E62">
        <w:rPr>
          <w:rFonts w:ascii="Arial" w:hAnsi="Arial" w:cs="Arial"/>
        </w:rPr>
        <w:t>We note that Table</w:t>
      </w:r>
      <w:r w:rsidR="00757163" w:rsidRPr="00981E62">
        <w:rPr>
          <w:rFonts w:ascii="Arial" w:hAnsi="Arial" w:cs="Arial"/>
        </w:rPr>
        <w:t>s</w:t>
      </w:r>
      <w:r w:rsidRPr="00981E62">
        <w:rPr>
          <w:rFonts w:ascii="Arial" w:hAnsi="Arial" w:cs="Arial"/>
        </w:rPr>
        <w:t xml:space="preserve"> 6 </w:t>
      </w:r>
      <w:r w:rsidR="00757163" w:rsidRPr="00981E62">
        <w:rPr>
          <w:rFonts w:ascii="Arial" w:hAnsi="Arial" w:cs="Arial"/>
        </w:rPr>
        <w:t xml:space="preserve">and 7 </w:t>
      </w:r>
      <w:r w:rsidRPr="00981E62">
        <w:rPr>
          <w:rFonts w:ascii="Arial" w:hAnsi="Arial" w:cs="Arial"/>
        </w:rPr>
        <w:t>do not envisage the combination of MODI and ETRM, which might be valid for cases where an early termination is agreed, but for a future date.  We should be grateful for confirmation as to whether this is an oversight o</w:t>
      </w:r>
      <w:r w:rsidR="008A4D37" w:rsidRPr="00981E62">
        <w:rPr>
          <w:rFonts w:ascii="Arial" w:hAnsi="Arial" w:cs="Arial"/>
        </w:rPr>
        <w:t>r</w:t>
      </w:r>
      <w:r w:rsidRPr="00981E62">
        <w:rPr>
          <w:rFonts w:ascii="Arial" w:hAnsi="Arial" w:cs="Arial"/>
        </w:rPr>
        <w:t xml:space="preserve"> if this should be reported simply as a modification of the terms of the contract (MODI+TRDE; whe</w:t>
      </w:r>
      <w:r w:rsidR="000D11DA" w:rsidRPr="00981E62">
        <w:rPr>
          <w:rFonts w:ascii="Arial" w:hAnsi="Arial" w:cs="Arial"/>
        </w:rPr>
        <w:t>reas ETRM+ETRM would be the approach if the termination were effective immediately.</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506DDE"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t>&lt;ESMA_QUESTION_TSTR_32&gt;</w:t>
      </w:r>
    </w:p>
    <w:p w14:paraId="060FEC55" w14:textId="40D6A370" w:rsidR="008D4AEE" w:rsidRDefault="00F40C6C" w:rsidP="008D4AEE">
      <w:pPr>
        <w:rPr>
          <w:rFonts w:ascii="Arial" w:hAnsi="Arial" w:cs="Arial"/>
        </w:rPr>
      </w:pPr>
      <w:permStart w:id="1653670467" w:edGrp="everyone"/>
      <w:r>
        <w:rPr>
          <w:rFonts w:ascii="Arial" w:hAnsi="Arial" w:cs="Arial"/>
        </w:rPr>
        <w:t xml:space="preserve">We believe </w:t>
      </w:r>
      <w:r w:rsidR="00757163">
        <w:rPr>
          <w:rFonts w:ascii="Arial" w:hAnsi="Arial" w:cs="Arial"/>
        </w:rPr>
        <w:t>this is sufficiently clear.</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506DDE"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t>&lt;ESMA_QUESTION_TSTR_33&gt;</w:t>
      </w:r>
    </w:p>
    <w:p w14:paraId="493DB86D" w14:textId="77777777" w:rsidR="00757163" w:rsidRDefault="00757163" w:rsidP="00757163">
      <w:pPr>
        <w:rPr>
          <w:rFonts w:ascii="Arial" w:hAnsi="Arial" w:cs="Arial"/>
        </w:rPr>
      </w:pPr>
      <w:permStart w:id="472256863" w:edGrp="everyone"/>
      <w:r>
        <w:rPr>
          <w:rFonts w:ascii="Arial" w:hAnsi="Arial" w:cs="Arial"/>
        </w:rPr>
        <w:t>We believe this is sufficiently clear.</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506DDE"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30E355DB" w14:textId="5F1B395B" w:rsidR="008D4AEE" w:rsidRDefault="00757163" w:rsidP="008D4AEE">
      <w:pPr>
        <w:rPr>
          <w:rFonts w:ascii="Arial" w:hAnsi="Arial" w:cs="Arial"/>
        </w:rPr>
      </w:pPr>
      <w:permStart w:id="1700143088" w:edGrp="everyone"/>
      <w:r>
        <w:rPr>
          <w:rFonts w:ascii="Arial" w:hAnsi="Arial" w:cs="Arial"/>
        </w:rPr>
        <w:t xml:space="preserve">As noted in our response to Q31, we would welcome confirmation as to whether MODI+ETRM should be considered a valid combination for the case </w:t>
      </w:r>
      <w:r w:rsidRPr="00757163">
        <w:rPr>
          <w:rFonts w:ascii="Arial" w:hAnsi="Arial" w:cs="Arial"/>
        </w:rPr>
        <w:t>where an early termination is agreed, but for a future date</w:t>
      </w:r>
      <w:r>
        <w:rPr>
          <w:rFonts w:ascii="Arial" w:hAnsi="Arial" w:cs="Arial"/>
        </w:rPr>
        <w:t>.</w:t>
      </w:r>
    </w:p>
    <w:p w14:paraId="32744348" w14:textId="52C7C314" w:rsidR="00757163" w:rsidRDefault="00757163" w:rsidP="008D4AEE">
      <w:pPr>
        <w:rPr>
          <w:rFonts w:ascii="Arial" w:hAnsi="Arial" w:cs="Arial"/>
        </w:rPr>
      </w:pPr>
    </w:p>
    <w:p w14:paraId="5493B14D" w14:textId="443CDE94" w:rsidR="00757163" w:rsidRDefault="00757163" w:rsidP="008D4AEE">
      <w:pPr>
        <w:rPr>
          <w:rFonts w:ascii="Arial" w:hAnsi="Arial" w:cs="Arial"/>
        </w:rPr>
      </w:pPr>
      <w:r>
        <w:rPr>
          <w:rFonts w:ascii="Arial" w:hAnsi="Arial" w:cs="Arial"/>
        </w:rPr>
        <w:t>We see no issues specific</w:t>
      </w:r>
      <w:r w:rsidRPr="00757163">
        <w:rPr>
          <w:rFonts w:ascii="Arial" w:hAnsi="Arial" w:cs="Arial"/>
        </w:rPr>
        <w:t xml:space="preserve"> to their applicability at trade and/or position level</w:t>
      </w:r>
      <w:r>
        <w:rPr>
          <w:rFonts w:ascii="Arial" w:hAnsi="Arial" w:cs="Arial"/>
        </w:rPr>
        <w:t>.</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506DDE"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lastRenderedPageBreak/>
        <w:t>&lt;ESMA_QUESTION_TSTR_35&gt;</w:t>
      </w:r>
    </w:p>
    <w:p w14:paraId="4D841CE8" w14:textId="77777777" w:rsidR="00757163" w:rsidRDefault="00757163" w:rsidP="00757163">
      <w:pPr>
        <w:rPr>
          <w:rFonts w:ascii="Arial" w:hAnsi="Arial" w:cs="Arial"/>
        </w:rPr>
      </w:pPr>
      <w:permStart w:id="1395288820" w:edGrp="everyone"/>
      <w:r>
        <w:rPr>
          <w:rFonts w:ascii="Arial" w:hAnsi="Arial" w:cs="Arial"/>
        </w:rPr>
        <w:t>We believe this is sufficiently clear.</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506DDE"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0EA0E644" w14:textId="665CE327" w:rsidR="00B61D40" w:rsidRDefault="00496270" w:rsidP="00B61D40">
      <w:pPr>
        <w:rPr>
          <w:rFonts w:ascii="Arial" w:hAnsi="Arial" w:cs="Arial"/>
        </w:rPr>
      </w:pPr>
      <w:permStart w:id="417213443" w:edGrp="everyone"/>
      <w:r>
        <w:rPr>
          <w:rFonts w:ascii="Arial" w:hAnsi="Arial" w:cs="Arial"/>
        </w:rPr>
        <w:t>We would note that t</w:t>
      </w:r>
      <w:r w:rsidR="00B61D40" w:rsidRPr="00B61D40">
        <w:rPr>
          <w:rFonts w:ascii="Arial" w:hAnsi="Arial" w:cs="Arial"/>
        </w:rPr>
        <w:t xml:space="preserve">he COLU </w:t>
      </w:r>
      <w:r w:rsidR="00597454">
        <w:rPr>
          <w:rFonts w:ascii="Arial" w:hAnsi="Arial" w:cs="Arial"/>
        </w:rPr>
        <w:t>A</w:t>
      </w:r>
      <w:r w:rsidR="00B61D40" w:rsidRPr="00B61D40">
        <w:rPr>
          <w:rFonts w:ascii="Arial" w:hAnsi="Arial" w:cs="Arial"/>
        </w:rPr>
        <w:t xml:space="preserve">ction </w:t>
      </w:r>
      <w:r w:rsidR="00597454">
        <w:rPr>
          <w:rFonts w:ascii="Arial" w:hAnsi="Arial" w:cs="Arial"/>
        </w:rPr>
        <w:t>T</w:t>
      </w:r>
      <w:r w:rsidR="00B61D40" w:rsidRPr="00B61D40">
        <w:rPr>
          <w:rFonts w:ascii="Arial" w:hAnsi="Arial" w:cs="Arial"/>
        </w:rPr>
        <w:t xml:space="preserve">ype </w:t>
      </w:r>
      <w:r>
        <w:rPr>
          <w:rFonts w:ascii="Arial" w:hAnsi="Arial" w:cs="Arial"/>
        </w:rPr>
        <w:t>s</w:t>
      </w:r>
      <w:r w:rsidRPr="00B61D40">
        <w:rPr>
          <w:rFonts w:ascii="Arial" w:hAnsi="Arial" w:cs="Arial"/>
        </w:rPr>
        <w:t xml:space="preserve">erves no purpose </w:t>
      </w:r>
      <w:r w:rsidR="00B61D40" w:rsidRPr="00B61D40">
        <w:rPr>
          <w:rFonts w:ascii="Arial" w:hAnsi="Arial" w:cs="Arial"/>
        </w:rPr>
        <w:t xml:space="preserve">in Table </w:t>
      </w:r>
      <w:r>
        <w:rPr>
          <w:rFonts w:ascii="Arial" w:hAnsi="Arial" w:cs="Arial"/>
        </w:rPr>
        <w:t xml:space="preserve">2, as </w:t>
      </w:r>
      <w:r w:rsidR="00B61D40" w:rsidRPr="00B61D40">
        <w:rPr>
          <w:rFonts w:ascii="Arial" w:hAnsi="Arial" w:cs="Arial"/>
        </w:rPr>
        <w:t xml:space="preserve">the updates are </w:t>
      </w:r>
      <w:r>
        <w:rPr>
          <w:rFonts w:ascii="Arial" w:hAnsi="Arial" w:cs="Arial"/>
        </w:rPr>
        <w:t xml:space="preserve">provided by way of </w:t>
      </w:r>
      <w:r w:rsidR="00B61D40" w:rsidRPr="00B61D40">
        <w:rPr>
          <w:rFonts w:ascii="Arial" w:hAnsi="Arial" w:cs="Arial"/>
        </w:rPr>
        <w:t>Table 3</w:t>
      </w:r>
      <w:r>
        <w:rPr>
          <w:rFonts w:ascii="Arial" w:hAnsi="Arial" w:cs="Arial"/>
        </w:rPr>
        <w:t xml:space="preserve">, which clearly would be a standalone report.  We therefore believe that COLU should be removed as an </w:t>
      </w:r>
      <w:r w:rsidR="00597454">
        <w:rPr>
          <w:rFonts w:ascii="Arial" w:hAnsi="Arial" w:cs="Arial"/>
        </w:rPr>
        <w:t>A</w:t>
      </w:r>
      <w:r>
        <w:rPr>
          <w:rFonts w:ascii="Arial" w:hAnsi="Arial" w:cs="Arial"/>
        </w:rPr>
        <w:t xml:space="preserve">ction </w:t>
      </w:r>
      <w:r w:rsidR="00597454">
        <w:rPr>
          <w:rFonts w:ascii="Arial" w:hAnsi="Arial" w:cs="Arial"/>
        </w:rPr>
        <w:t>T</w:t>
      </w:r>
      <w:r>
        <w:rPr>
          <w:rFonts w:ascii="Arial" w:hAnsi="Arial" w:cs="Arial"/>
        </w:rPr>
        <w:t>ype</w:t>
      </w:r>
    </w:p>
    <w:p w14:paraId="7AE4B95C" w14:textId="79D828CE" w:rsidR="00496270" w:rsidRDefault="00496270" w:rsidP="00B61D40">
      <w:pPr>
        <w:rPr>
          <w:rFonts w:ascii="Arial" w:hAnsi="Arial" w:cs="Arial"/>
        </w:rPr>
      </w:pPr>
    </w:p>
    <w:p w14:paraId="78BA0377" w14:textId="686421E5" w:rsidR="00496270" w:rsidRPr="00981E62" w:rsidRDefault="00496270" w:rsidP="00B61D40">
      <w:pPr>
        <w:rPr>
          <w:rFonts w:ascii="Arial" w:hAnsi="Arial" w:cs="Arial"/>
          <w:strike/>
        </w:rPr>
      </w:pPr>
      <w:r w:rsidRPr="00981E62">
        <w:rPr>
          <w:rFonts w:ascii="Arial" w:hAnsi="Arial" w:cs="Arial"/>
          <w:strike/>
        </w:rPr>
        <w:t xml:space="preserve">As </w:t>
      </w:r>
      <w:r w:rsidR="00B61D40" w:rsidRPr="00981E62">
        <w:rPr>
          <w:rFonts w:ascii="Arial" w:hAnsi="Arial" w:cs="Arial"/>
          <w:strike/>
        </w:rPr>
        <w:t>NFC-</w:t>
      </w:r>
      <w:r w:rsidRPr="00981E62">
        <w:rPr>
          <w:rFonts w:ascii="Arial" w:hAnsi="Arial" w:cs="Arial"/>
          <w:strike/>
        </w:rPr>
        <w:t xml:space="preserve"> </w:t>
      </w:r>
      <w:r w:rsidR="00B61D40" w:rsidRPr="00981E62">
        <w:rPr>
          <w:rFonts w:ascii="Arial" w:hAnsi="Arial" w:cs="Arial"/>
          <w:strike/>
        </w:rPr>
        <w:t xml:space="preserve">and </w:t>
      </w:r>
      <w:r w:rsidRPr="00981E62">
        <w:rPr>
          <w:rFonts w:ascii="Arial" w:hAnsi="Arial" w:cs="Arial"/>
          <w:strike/>
        </w:rPr>
        <w:t>variation margin i</w:t>
      </w:r>
      <w:r w:rsidR="00B61D40" w:rsidRPr="00981E62">
        <w:rPr>
          <w:rFonts w:ascii="Arial" w:hAnsi="Arial" w:cs="Arial"/>
          <w:strike/>
        </w:rPr>
        <w:t xml:space="preserve">s linked to the </w:t>
      </w:r>
      <w:r w:rsidRPr="00981E62">
        <w:rPr>
          <w:rFonts w:ascii="Arial" w:hAnsi="Arial" w:cs="Arial"/>
          <w:strike/>
        </w:rPr>
        <w:t>valuation of the contract, we believe it the valuation data (Table 2, Fields 17-20) should also b</w:t>
      </w:r>
      <w:r w:rsidR="00B61D40" w:rsidRPr="00981E62">
        <w:rPr>
          <w:rFonts w:ascii="Arial" w:hAnsi="Arial" w:cs="Arial"/>
          <w:strike/>
        </w:rPr>
        <w:t>e</w:t>
      </w:r>
      <w:r w:rsidRPr="00981E62">
        <w:rPr>
          <w:rFonts w:ascii="Arial" w:hAnsi="Arial" w:cs="Arial"/>
          <w:strike/>
        </w:rPr>
        <w:t xml:space="preserve"> moved to T</w:t>
      </w:r>
      <w:r w:rsidR="00B61D40" w:rsidRPr="00981E62">
        <w:rPr>
          <w:rFonts w:ascii="Arial" w:hAnsi="Arial" w:cs="Arial"/>
          <w:strike/>
        </w:rPr>
        <w:t>able 3</w:t>
      </w:r>
      <w:r w:rsidRPr="00981E62">
        <w:rPr>
          <w:rFonts w:ascii="Arial" w:hAnsi="Arial" w:cs="Arial"/>
          <w:strike/>
        </w:rPr>
        <w:t>.</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506DDE"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08A78FB2" w14:textId="18B05D64" w:rsidR="00597454" w:rsidRDefault="00496270" w:rsidP="008D4AEE">
      <w:pPr>
        <w:rPr>
          <w:rFonts w:ascii="Arial" w:hAnsi="Arial" w:cs="Arial"/>
        </w:rPr>
      </w:pPr>
      <w:permStart w:id="1574257390" w:edGrp="everyone"/>
      <w:r>
        <w:rPr>
          <w:rFonts w:ascii="Arial" w:hAnsi="Arial" w:cs="Arial"/>
        </w:rPr>
        <w:t>We agree with the proposed Action Type "Revive"</w:t>
      </w:r>
      <w:r w:rsidR="00597454">
        <w:rPr>
          <w:rFonts w:ascii="Arial" w:hAnsi="Arial" w:cs="Arial"/>
        </w:rPr>
        <w:t xml:space="preserve"> and its use as suggested.</w:t>
      </w:r>
    </w:p>
    <w:p w14:paraId="04885DCF" w14:textId="77777777" w:rsidR="00597454" w:rsidRDefault="00597454" w:rsidP="008D4AEE">
      <w:pPr>
        <w:rPr>
          <w:rFonts w:ascii="Arial" w:hAnsi="Arial" w:cs="Arial"/>
        </w:rPr>
      </w:pPr>
    </w:p>
    <w:p w14:paraId="7E0BBB9D" w14:textId="7933E5F9" w:rsidR="00B61D40" w:rsidRDefault="00597454" w:rsidP="008D4AEE">
      <w:pPr>
        <w:rPr>
          <w:rFonts w:ascii="Arial" w:hAnsi="Arial" w:cs="Arial"/>
        </w:rPr>
      </w:pPr>
      <w:r>
        <w:rPr>
          <w:rFonts w:ascii="Arial" w:hAnsi="Arial" w:cs="Arial"/>
        </w:rPr>
        <w:t xml:space="preserve">We would suggest, however, that consideration </w:t>
      </w:r>
      <w:r w:rsidR="00B61D40" w:rsidRPr="00B61D40">
        <w:rPr>
          <w:rFonts w:ascii="Arial" w:hAnsi="Arial" w:cs="Arial"/>
        </w:rPr>
        <w:t xml:space="preserve">should </w:t>
      </w:r>
      <w:r>
        <w:rPr>
          <w:rFonts w:ascii="Arial" w:hAnsi="Arial" w:cs="Arial"/>
        </w:rPr>
        <w:t>be given to imposing a time limit of, say, 30 days, in which it might be used following the error or termination report.</w:t>
      </w:r>
    </w:p>
    <w:permEnd w:id="1574257390"/>
    <w:p w14:paraId="280DE4A8" w14:textId="5AA81A74"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506DDE"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0A11DD1D" w14:textId="77777777" w:rsidR="00597454" w:rsidRDefault="00597454" w:rsidP="00597454">
      <w:pPr>
        <w:rPr>
          <w:rFonts w:ascii="Arial" w:hAnsi="Arial" w:cs="Arial"/>
        </w:rPr>
      </w:pPr>
      <w:permStart w:id="1164276294" w:edGrp="everyone"/>
      <w:r>
        <w:rPr>
          <w:rFonts w:ascii="Arial" w:hAnsi="Arial" w:cs="Arial"/>
        </w:rPr>
        <w:t>We believe this is sufficiently clear.</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506DDE"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609A5BAC" w14:textId="03EFE98D" w:rsidR="00597454" w:rsidRDefault="00597454" w:rsidP="008D4AEE">
      <w:pPr>
        <w:rPr>
          <w:rFonts w:ascii="Arial" w:hAnsi="Arial" w:cs="Arial"/>
        </w:rPr>
      </w:pPr>
      <w:permStart w:id="2138008195" w:edGrp="everyone"/>
      <w:r>
        <w:rPr>
          <w:rFonts w:ascii="Arial" w:hAnsi="Arial" w:cs="Arial"/>
        </w:rPr>
        <w:t>We believe the required details are available.</w:t>
      </w:r>
    </w:p>
    <w:permEnd w:id="2138008195"/>
    <w:p w14:paraId="461C23F7" w14:textId="2F1C028B"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506DDE"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2889A5CC" w14:textId="51BC56DE" w:rsidR="00B61D40" w:rsidRDefault="007311C1" w:rsidP="007311C1">
      <w:pPr>
        <w:rPr>
          <w:rFonts w:ascii="Arial" w:hAnsi="Arial" w:cs="Arial"/>
        </w:rPr>
      </w:pPr>
      <w:permStart w:id="1012599412" w:edGrp="everyone"/>
      <w:r>
        <w:rPr>
          <w:rFonts w:ascii="Arial" w:hAnsi="Arial" w:cs="Arial"/>
        </w:rPr>
        <w:lastRenderedPageBreak/>
        <w:t>We understand that the products for which position-level reporting is appropriate are those where contracts that may be entered into at different.  This would include CfDs are suggested, as well as ETDs created by regulated venues and similar third country venues that may or may not be determined as equivalent under MiFIR.</w:t>
      </w:r>
    </w:p>
    <w:permEnd w:id="1012599412"/>
    <w:p w14:paraId="1E270EEF" w14:textId="54930DEA"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506DDE"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4E1392B3" w14:textId="1A911522" w:rsidR="00B61D40" w:rsidRDefault="00680F10" w:rsidP="008D4AEE">
      <w:pPr>
        <w:rPr>
          <w:rFonts w:ascii="Arial" w:hAnsi="Arial" w:cs="Arial"/>
        </w:rPr>
      </w:pPr>
      <w:permStart w:id="58078574" w:edGrp="everyone"/>
      <w:r>
        <w:rPr>
          <w:rFonts w:ascii="Arial" w:hAnsi="Arial" w:cs="Arial"/>
        </w:rPr>
        <w:t>We believe it wo</w:t>
      </w:r>
      <w:r w:rsidR="00DF232C">
        <w:rPr>
          <w:rFonts w:ascii="Arial" w:hAnsi="Arial" w:cs="Arial"/>
        </w:rPr>
        <w:t>u</w:t>
      </w:r>
      <w:r>
        <w:rPr>
          <w:rFonts w:ascii="Arial" w:hAnsi="Arial" w:cs="Arial"/>
        </w:rPr>
        <w:t>ld be helpful to indicate explicitly in Article 4 of the RTS that Table 3 (margin data) is to be used for reporting of collateral for both centrally cleared and non-cleared contracts - this is in contrast with SFTR, where the corresponding Table 3 is only for reporting margin on centrally cleared contracts.</w:t>
      </w:r>
    </w:p>
    <w:p w14:paraId="161CFEA5" w14:textId="032EDF78" w:rsidR="003644D7" w:rsidRDefault="003644D7" w:rsidP="008D4AEE">
      <w:pPr>
        <w:rPr>
          <w:rFonts w:ascii="Arial" w:hAnsi="Arial" w:cs="Arial"/>
        </w:rPr>
      </w:pPr>
    </w:p>
    <w:p w14:paraId="383FBB49" w14:textId="7CBEA3A6" w:rsidR="003644D7" w:rsidRPr="00981E62" w:rsidRDefault="003644D7" w:rsidP="008D4AEE">
      <w:pPr>
        <w:rPr>
          <w:rFonts w:ascii="Arial" w:hAnsi="Arial" w:cs="Arial"/>
        </w:rPr>
      </w:pPr>
      <w:r w:rsidRPr="00981E62">
        <w:rPr>
          <w:rFonts w:ascii="Arial" w:hAnsi="Arial" w:cs="Arial"/>
        </w:rPr>
        <w:t xml:space="preserve">It is not entirely clear in the absence of either validation table or XML definition of the reports, whether Fields 9 (collateral portfolio code) and 10 (UTI) </w:t>
      </w:r>
      <w:r w:rsidR="00C10FDE" w:rsidRPr="00981E62">
        <w:rPr>
          <w:rFonts w:ascii="Arial" w:hAnsi="Arial" w:cs="Arial"/>
        </w:rPr>
        <w:t xml:space="preserve">will be a mandatory choice or if, as is the case today, the same portfolio-level collateral data should be reported for each UTI separately.  We assume from paragraph 185 of the consultation, however, that counterparties should populate </w:t>
      </w:r>
      <w:r w:rsidR="00C10FDE" w:rsidRPr="00981E62">
        <w:rPr>
          <w:rFonts w:ascii="Arial" w:hAnsi="Arial" w:cs="Arial"/>
          <w:u w:val="single"/>
        </w:rPr>
        <w:t>either</w:t>
      </w:r>
      <w:r w:rsidR="00C10FDE" w:rsidRPr="00981E62">
        <w:rPr>
          <w:rFonts w:ascii="Arial" w:hAnsi="Arial" w:cs="Arial"/>
        </w:rPr>
        <w:t xml:space="preserve"> Field 9, where transactions are collateralised on a portfolio basis; </w:t>
      </w:r>
      <w:r w:rsidR="00C10FDE" w:rsidRPr="00981E62">
        <w:rPr>
          <w:rFonts w:ascii="Arial" w:hAnsi="Arial" w:cs="Arial"/>
          <w:u w:val="single"/>
        </w:rPr>
        <w:t>or F</w:t>
      </w:r>
      <w:r w:rsidR="00C10FDE" w:rsidRPr="00981E62">
        <w:rPr>
          <w:rFonts w:ascii="Arial" w:hAnsi="Arial" w:cs="Arial"/>
        </w:rPr>
        <w:t>ield 10, where the collateral pertains to an individual derivative or position.</w:t>
      </w:r>
    </w:p>
    <w:p w14:paraId="3BADF622" w14:textId="444B4D4C" w:rsidR="00680F10" w:rsidRPr="00981E62" w:rsidRDefault="00680F10" w:rsidP="008D4AEE">
      <w:pPr>
        <w:rPr>
          <w:rFonts w:ascii="Arial" w:hAnsi="Arial" w:cs="Arial"/>
        </w:rPr>
      </w:pPr>
    </w:p>
    <w:p w14:paraId="17E127FD" w14:textId="2370A4FC" w:rsidR="00680F10" w:rsidRPr="00981E62" w:rsidRDefault="00680F10" w:rsidP="00B16026">
      <w:pPr>
        <w:rPr>
          <w:rFonts w:ascii="Arial" w:hAnsi="Arial" w:cs="Arial"/>
        </w:rPr>
      </w:pPr>
      <w:r w:rsidRPr="00981E62">
        <w:rPr>
          <w:rFonts w:ascii="Arial" w:hAnsi="Arial" w:cs="Arial"/>
        </w:rPr>
        <w:t xml:space="preserve">We also note </w:t>
      </w:r>
      <w:r w:rsidR="002255D6" w:rsidRPr="00981E62">
        <w:rPr>
          <w:rFonts w:ascii="Arial" w:hAnsi="Arial" w:cs="Arial"/>
        </w:rPr>
        <w:t>numerous i</w:t>
      </w:r>
      <w:r w:rsidRPr="00981E62">
        <w:rPr>
          <w:rFonts w:ascii="Arial" w:hAnsi="Arial" w:cs="Arial"/>
        </w:rPr>
        <w:t>nconsistencies among the c</w:t>
      </w:r>
      <w:r w:rsidR="003644D7" w:rsidRPr="00981E62">
        <w:rPr>
          <w:rFonts w:ascii="Arial" w:hAnsi="Arial" w:cs="Arial"/>
        </w:rPr>
        <w:t>r</w:t>
      </w:r>
      <w:r w:rsidRPr="00981E62">
        <w:rPr>
          <w:rFonts w:ascii="Arial" w:hAnsi="Arial" w:cs="Arial"/>
        </w:rPr>
        <w:t>oss</w:t>
      </w:r>
      <w:r w:rsidR="003644D7" w:rsidRPr="00981E62">
        <w:rPr>
          <w:rFonts w:ascii="Arial" w:hAnsi="Arial" w:cs="Arial"/>
        </w:rPr>
        <w:t>-references fr</w:t>
      </w:r>
      <w:r w:rsidR="00B16026" w:rsidRPr="00981E62">
        <w:rPr>
          <w:rFonts w:ascii="Arial" w:hAnsi="Arial" w:cs="Arial"/>
        </w:rPr>
        <w:t>o</w:t>
      </w:r>
      <w:r w:rsidR="003644D7" w:rsidRPr="00981E62">
        <w:rPr>
          <w:rFonts w:ascii="Arial" w:hAnsi="Arial" w:cs="Arial"/>
        </w:rPr>
        <w:t xml:space="preserve">m the text of the RTS and ITS to </w:t>
      </w:r>
      <w:r w:rsidR="00B16026" w:rsidRPr="00981E62">
        <w:rPr>
          <w:rFonts w:ascii="Arial" w:hAnsi="Arial" w:cs="Arial"/>
        </w:rPr>
        <w:t xml:space="preserve">the </w:t>
      </w:r>
      <w:r w:rsidR="003644D7" w:rsidRPr="00981E62">
        <w:rPr>
          <w:rFonts w:ascii="Arial" w:hAnsi="Arial" w:cs="Arial"/>
        </w:rPr>
        <w:t>tables of reporting fields</w:t>
      </w:r>
      <w:r w:rsidR="00B16026" w:rsidRPr="00981E62">
        <w:rPr>
          <w:rFonts w:ascii="Arial" w:hAnsi="Arial" w:cs="Arial"/>
        </w:rPr>
        <w:t>, and also within those tables, which we assume ESMA itself identify and correct in the course of finalising the text of its proposals to the European Commission.</w:t>
      </w:r>
    </w:p>
    <w:permEnd w:id="58078574"/>
    <w:p w14:paraId="152463B6" w14:textId="7CD9E42D"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506DDE"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513A010D" w14:textId="4B35354E" w:rsidR="00B61D40" w:rsidRDefault="00AF0C2D" w:rsidP="008D4AEE">
      <w:pPr>
        <w:rPr>
          <w:rFonts w:ascii="Arial" w:hAnsi="Arial" w:cs="Arial"/>
        </w:rPr>
      </w:pPr>
      <w:permStart w:id="2082438525" w:edGrp="everyone"/>
      <w:r>
        <w:rPr>
          <w:rFonts w:ascii="Arial" w:hAnsi="Arial" w:cs="Arial"/>
        </w:rPr>
        <w:t>We believe the definition is adequate, but wonder if the repetition of the term "unadjusted" across this and other fields (admittedly taken from the CDE) is necessary.</w:t>
      </w:r>
    </w:p>
    <w:permEnd w:id="2082438525"/>
    <w:p w14:paraId="66AD95C3" w14:textId="072FD639"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506DDE"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777C88B4" w14:textId="77777777" w:rsidR="0075473C" w:rsidRDefault="0075473C" w:rsidP="008D4AEE">
      <w:pPr>
        <w:rPr>
          <w:rFonts w:ascii="Arial" w:hAnsi="Arial" w:cs="Arial"/>
        </w:rPr>
      </w:pPr>
      <w:permStart w:id="1876325810" w:edGrp="everyone"/>
      <w:r>
        <w:rPr>
          <w:rFonts w:ascii="Arial" w:hAnsi="Arial" w:cs="Arial"/>
        </w:rPr>
        <w:t>We believe the definition is adequate.</w:t>
      </w:r>
    </w:p>
    <w:p w14:paraId="1CAC058F" w14:textId="77777777" w:rsidR="0075473C" w:rsidRDefault="0075473C" w:rsidP="008D4AEE">
      <w:pPr>
        <w:rPr>
          <w:rFonts w:ascii="Arial" w:hAnsi="Arial" w:cs="Arial"/>
        </w:rPr>
      </w:pPr>
    </w:p>
    <w:p w14:paraId="000410FE" w14:textId="490C3394" w:rsidR="0075473C" w:rsidRPr="00981E62" w:rsidRDefault="0075473C" w:rsidP="008D4AEE">
      <w:pPr>
        <w:rPr>
          <w:rFonts w:ascii="Arial" w:hAnsi="Arial" w:cs="Arial"/>
        </w:rPr>
      </w:pPr>
      <w:r w:rsidRPr="00981E62">
        <w:rPr>
          <w:rFonts w:ascii="Arial" w:hAnsi="Arial" w:cs="Arial"/>
        </w:rPr>
        <w:lastRenderedPageBreak/>
        <w:t>In the event that the trade is not confirmed or the confirmation has not yet been received, we would still expect the parties to understand the terms of the contract into which they have entered, including the expiry date.</w:t>
      </w:r>
    </w:p>
    <w:permEnd w:id="1876325810"/>
    <w:p w14:paraId="5FC1CCD6" w14:textId="08214942"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506DDE"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6EE25D38" w14:textId="13C59966" w:rsidR="00B61D40" w:rsidRPr="00981E62" w:rsidRDefault="002820D7" w:rsidP="008D4AEE">
      <w:pPr>
        <w:rPr>
          <w:rFonts w:ascii="Arial" w:hAnsi="Arial" w:cs="Arial"/>
        </w:rPr>
      </w:pPr>
      <w:permStart w:id="290272723" w:edGrp="everyone"/>
      <w:r w:rsidRPr="00981E62">
        <w:rPr>
          <w:rFonts w:ascii="Arial" w:hAnsi="Arial" w:cs="Arial"/>
        </w:rPr>
        <w:t>We believe the definition is adequate.</w:t>
      </w:r>
    </w:p>
    <w:permEnd w:id="290272723"/>
    <w:p w14:paraId="6D4E2263" w14:textId="7732B1F8"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506DDE"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t>&lt;ESMA_QUESTION_TSTR_45&gt;</w:t>
      </w:r>
    </w:p>
    <w:p w14:paraId="1E9AA577" w14:textId="77777777" w:rsidR="002820D7" w:rsidRDefault="002820D7" w:rsidP="002820D7">
      <w:pPr>
        <w:rPr>
          <w:rFonts w:ascii="Arial" w:hAnsi="Arial" w:cs="Arial"/>
        </w:rPr>
      </w:pPr>
      <w:permStart w:id="1754423441" w:edGrp="everyone"/>
      <w:r>
        <w:rPr>
          <w:rFonts w:ascii="Arial" w:hAnsi="Arial" w:cs="Arial"/>
        </w:rPr>
        <w:t>We believe the definition is adequate.</w:t>
      </w:r>
    </w:p>
    <w:permEnd w:id="1754423441"/>
    <w:p w14:paraId="25CDB5C9" w14:textId="7777777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506DDE"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2DCA7DAE" w14:textId="65A78CC5" w:rsidR="002820D7" w:rsidRDefault="002820D7" w:rsidP="002820D7">
      <w:pPr>
        <w:rPr>
          <w:rFonts w:ascii="Arial" w:hAnsi="Arial" w:cs="Arial"/>
        </w:rPr>
      </w:pPr>
      <w:permStart w:id="1561884341" w:edGrp="everyone"/>
      <w:r>
        <w:rPr>
          <w:rFonts w:ascii="Arial" w:hAnsi="Arial" w:cs="Arial"/>
        </w:rPr>
        <w:t>We do not foresee any difficulties in populating this field.</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506DDE"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C6F9F9E" w14:textId="67367181" w:rsidR="002820D7" w:rsidRDefault="002820D7" w:rsidP="008D4AEE">
      <w:pPr>
        <w:rPr>
          <w:rFonts w:ascii="Arial" w:hAnsi="Arial" w:cs="Arial"/>
        </w:rPr>
      </w:pPr>
      <w:permStart w:id="2089631404" w:edGrp="everyone"/>
      <w:r>
        <w:rPr>
          <w:rFonts w:ascii="Arial" w:hAnsi="Arial" w:cs="Arial"/>
        </w:rPr>
        <w:t>We do not foresee any difficulties if the structure recommended for the CDE were adopted.</w:t>
      </w:r>
    </w:p>
    <w:permEnd w:id="2089631404"/>
    <w:p w14:paraId="36CEAE77" w14:textId="1ED27F70"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506DDE"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7B636F5E" w14:textId="4F30CAD2" w:rsidR="002820D7" w:rsidRDefault="002820D7" w:rsidP="002820D7">
      <w:pPr>
        <w:rPr>
          <w:rFonts w:ascii="Arial" w:hAnsi="Arial" w:cs="Arial"/>
        </w:rPr>
      </w:pPr>
      <w:permStart w:id="1267730323" w:edGrp="everyone"/>
      <w:r>
        <w:rPr>
          <w:rFonts w:ascii="Arial" w:hAnsi="Arial" w:cs="Arial"/>
        </w:rPr>
        <w:t>We believe the approach recommended for the CDE is appropriate in the context of EMIR reporting, especially given that the data might be shared among regulators across jurisdictions and the potential data projection considerations if personal data were included per the MiFIR approach.  In addition, as such codes would b</w:t>
      </w:r>
      <w:r w:rsidR="007A3180">
        <w:rPr>
          <w:rFonts w:ascii="Arial" w:hAnsi="Arial" w:cs="Arial"/>
        </w:rPr>
        <w:t>e</w:t>
      </w:r>
      <w:r>
        <w:rPr>
          <w:rFonts w:ascii="Arial" w:hAnsi="Arial" w:cs="Arial"/>
        </w:rPr>
        <w:t xml:space="preserve"> used only where the client were not an entity </w:t>
      </w:r>
      <w:r w:rsidR="006D1B07">
        <w:rPr>
          <w:rFonts w:ascii="Arial" w:hAnsi="Arial" w:cs="Arial"/>
        </w:rPr>
        <w:t>that qualified for an LEI, the reporting would be one-sided, so there would be no benefit from a data aggregation perspective.</w:t>
      </w:r>
      <w:r>
        <w:rPr>
          <w:rFonts w:ascii="Arial" w:hAnsi="Arial" w:cs="Arial"/>
        </w:rPr>
        <w:t xml:space="preserve"> </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506DDE"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0E04CA6C" w14:textId="226DDAC7" w:rsidR="006D1B07" w:rsidRDefault="006D1B07" w:rsidP="008D4AEE">
      <w:pPr>
        <w:rPr>
          <w:rFonts w:ascii="Arial" w:hAnsi="Arial" w:cs="Arial"/>
        </w:rPr>
      </w:pPr>
      <w:permStart w:id="1142892561" w:edGrp="everyone"/>
      <w:r>
        <w:rPr>
          <w:rFonts w:ascii="Arial" w:hAnsi="Arial" w:cs="Arial"/>
        </w:rPr>
        <w:t>We agree with the proposal.</w:t>
      </w:r>
    </w:p>
    <w:permEnd w:id="1142892561"/>
    <w:p w14:paraId="38E970EF" w14:textId="1677D3CB"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506DDE"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8096EF5" w14:textId="4F2014F2" w:rsidR="006D1B07" w:rsidRDefault="006D1B07" w:rsidP="008D4AEE">
      <w:pPr>
        <w:rPr>
          <w:rFonts w:ascii="Arial" w:hAnsi="Arial" w:cs="Arial"/>
        </w:rPr>
      </w:pPr>
      <w:permStart w:id="2087463377" w:edGrp="everyone"/>
      <w:r>
        <w:rPr>
          <w:rFonts w:ascii="Arial" w:hAnsi="Arial" w:cs="Arial"/>
        </w:rPr>
        <w:t>We agree with the timespan as proposed.</w:t>
      </w:r>
    </w:p>
    <w:permEnd w:id="2087463377"/>
    <w:p w14:paraId="28DDE2D0" w14:textId="5EF13EF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506DDE"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240B343F" w14:textId="04797D4F" w:rsidR="008D4AEE" w:rsidRDefault="006D1B07" w:rsidP="008D4AEE">
      <w:pPr>
        <w:rPr>
          <w:rFonts w:ascii="Arial" w:hAnsi="Arial" w:cs="Arial"/>
        </w:rPr>
      </w:pPr>
      <w:permStart w:id="764154991" w:edGrp="everyone"/>
      <w:r>
        <w:rPr>
          <w:rFonts w:ascii="Arial" w:hAnsi="Arial" w:cs="Arial"/>
        </w:rPr>
        <w:t>We agree that the update should be applied to all transactions that were outstanding at the time of the event that caused the LEI to change.</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2FC58F7A" w14:textId="1165C7CD" w:rsidR="006675F8" w:rsidRPr="00981E62" w:rsidRDefault="004C2141" w:rsidP="008D4AEE">
      <w:pPr>
        <w:rPr>
          <w:rFonts w:ascii="Arial" w:hAnsi="Arial" w:cs="Arial"/>
        </w:rPr>
      </w:pPr>
      <w:permStart w:id="30083185" w:edGrp="everyone"/>
      <w:r>
        <w:rPr>
          <w:rFonts w:ascii="Arial" w:hAnsi="Arial" w:cs="Arial"/>
        </w:rPr>
        <w:t>We would suggest that reporting counterparties (or submitting entities, if different) whose reports are impacted by changes to the LEI of other entities should be advised by their TR within 5 business days of the TR being made aware of the change.</w:t>
      </w:r>
    </w:p>
    <w:permEnd w:id="30083185"/>
    <w:p w14:paraId="52A9F8EA" w14:textId="76BF9BB6"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506DDE"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60A3C98E" w:rsidR="008D4AEE" w:rsidRPr="00981E62" w:rsidRDefault="004C2141" w:rsidP="008D4AEE">
      <w:pPr>
        <w:rPr>
          <w:rFonts w:ascii="Arial" w:hAnsi="Arial" w:cs="Arial"/>
        </w:rPr>
      </w:pPr>
      <w:permStart w:id="117770069" w:edGrp="everyone"/>
      <w:r w:rsidRPr="00981E62">
        <w:rPr>
          <w:rFonts w:ascii="Arial" w:hAnsi="Arial" w:cs="Arial"/>
        </w:rPr>
        <w:t>When a reporting counterparty (or submitting entity) is advised by the TR of changes to another entity's LEI, it should have an opportunity to confirm whether all or a sub-set of its reports are impacted</w:t>
      </w:r>
      <w:r w:rsidR="000646DC" w:rsidRPr="00981E62">
        <w:rPr>
          <w:rFonts w:ascii="Arial" w:hAnsi="Arial" w:cs="Arial"/>
        </w:rPr>
        <w:t xml:space="preserve">. </w:t>
      </w:r>
      <w:r w:rsidR="007A3180" w:rsidRPr="00981E62">
        <w:rPr>
          <w:rFonts w:ascii="Arial" w:hAnsi="Arial" w:cs="Arial"/>
        </w:rPr>
        <w:t xml:space="preserve"> We would suggest that counterparties be given a period of 5 business </w:t>
      </w:r>
      <w:r w:rsidR="004E5FA2" w:rsidRPr="00981E62">
        <w:rPr>
          <w:rFonts w:ascii="Arial" w:hAnsi="Arial" w:cs="Arial"/>
        </w:rPr>
        <w:t xml:space="preserve">days </w:t>
      </w:r>
      <w:r w:rsidR="007A3180" w:rsidRPr="00981E62">
        <w:rPr>
          <w:rFonts w:ascii="Arial" w:hAnsi="Arial" w:cs="Arial"/>
        </w:rPr>
        <w:t xml:space="preserve">in which to do this. </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506DDE"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26B711D3" w14:textId="435FA3FF" w:rsidR="008D4AEE" w:rsidRDefault="000646DC" w:rsidP="008D4AEE">
      <w:pPr>
        <w:rPr>
          <w:rFonts w:ascii="Arial" w:hAnsi="Arial" w:cs="Arial"/>
        </w:rPr>
      </w:pPr>
      <w:permStart w:id="1897232501" w:edGrp="everyone"/>
      <w:r>
        <w:rPr>
          <w:rFonts w:ascii="Arial" w:hAnsi="Arial" w:cs="Arial"/>
        </w:rPr>
        <w:lastRenderedPageBreak/>
        <w:t>We recommend option 2, whereby the party that is not responsible for reporting (ie. NFC-) is required to advise the counterparty that is responsible, who then would communicate with the TR.</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506DDE"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1457FAFC" w:rsidR="008D4AEE" w:rsidRDefault="000646DC" w:rsidP="008D4AEE">
      <w:pPr>
        <w:rPr>
          <w:rFonts w:ascii="Arial" w:hAnsi="Arial" w:cs="Arial"/>
        </w:rPr>
      </w:pPr>
      <w:permStart w:id="470972220" w:edGrp="everyone"/>
      <w:r>
        <w:rPr>
          <w:rFonts w:ascii="Arial" w:hAnsi="Arial" w:cs="Arial"/>
        </w:rPr>
        <w:t>We do not see any other challenges in this respect.</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506DDE"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4FC76657" w14:textId="2C3B03A1" w:rsidR="00B61D40" w:rsidRDefault="000646DC" w:rsidP="00B61D40">
      <w:pPr>
        <w:rPr>
          <w:rFonts w:ascii="Arial" w:hAnsi="Arial" w:cs="Arial"/>
        </w:rPr>
      </w:pPr>
      <w:permStart w:id="1042219582" w:edGrp="everyone"/>
      <w:r>
        <w:rPr>
          <w:rFonts w:ascii="Arial" w:hAnsi="Arial" w:cs="Arial"/>
        </w:rPr>
        <w:t>The IA is aware of only one isolated case and a specific set of circumstances in which a member firm identifies itself as the counterparty and its client as the beneficiary</w:t>
      </w:r>
      <w:r w:rsidR="00B61D40" w:rsidRPr="00B61D40">
        <w:rPr>
          <w:rFonts w:ascii="Arial" w:hAnsi="Arial" w:cs="Arial"/>
        </w:rPr>
        <w:t>.</w:t>
      </w:r>
      <w:r w:rsidR="0017350A">
        <w:rPr>
          <w:rFonts w:ascii="Arial" w:hAnsi="Arial" w:cs="Arial"/>
        </w:rPr>
        <w:t xml:space="preserve">  The case concerns ETDs, where the clearing member will not enter into a relationship with certain of the firm's clients, so the firm itself steps into the contract on their behalf.</w:t>
      </w:r>
    </w:p>
    <w:p w14:paraId="1FC713C2" w14:textId="4B972C1B" w:rsidR="000646DC" w:rsidRDefault="000646DC" w:rsidP="00B61D40">
      <w:pPr>
        <w:rPr>
          <w:rFonts w:ascii="Arial" w:hAnsi="Arial" w:cs="Arial"/>
        </w:rPr>
      </w:pPr>
    </w:p>
    <w:p w14:paraId="70D256A2" w14:textId="48535140" w:rsidR="006239E8" w:rsidRDefault="000646DC" w:rsidP="008D4AEE">
      <w:pPr>
        <w:rPr>
          <w:rFonts w:ascii="Arial" w:hAnsi="Arial" w:cs="Arial"/>
        </w:rPr>
      </w:pPr>
      <w:r>
        <w:rPr>
          <w:rFonts w:ascii="Arial" w:hAnsi="Arial" w:cs="Arial"/>
        </w:rPr>
        <w:t xml:space="preserve">Given that the </w:t>
      </w:r>
      <w:r w:rsidR="0017350A">
        <w:rPr>
          <w:rFonts w:ascii="Arial" w:hAnsi="Arial" w:cs="Arial"/>
        </w:rPr>
        <w:t>exposure rests in the first instance with the firm, we do not believe there is significant value in identifying the beneficiary for the purposes of monitoring systemic risk</w:t>
      </w:r>
      <w:r w:rsidR="006239E8">
        <w:rPr>
          <w:rFonts w:ascii="Arial" w:hAnsi="Arial" w:cs="Arial"/>
        </w:rPr>
        <w:t>. We therefore do not have any concerns with the potential removal of this field.</w:t>
      </w:r>
    </w:p>
    <w:permEnd w:id="1042219582"/>
    <w:p w14:paraId="5AE2D6C2" w14:textId="1D160534"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506DDE"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27F602F2" w14:textId="45E4E799" w:rsidR="008D4AEE" w:rsidRDefault="006239E8" w:rsidP="008D4AEE">
      <w:pPr>
        <w:rPr>
          <w:rFonts w:ascii="Arial" w:hAnsi="Arial" w:cs="Arial"/>
        </w:rPr>
      </w:pPr>
      <w:permStart w:id="1652650691" w:edGrp="everyone"/>
      <w:r>
        <w:rPr>
          <w:rFonts w:ascii="Arial" w:hAnsi="Arial" w:cs="Arial"/>
        </w:rPr>
        <w:t>Even in the case described in our response to Q56, we believe the firm would enter into the cleared contract as principal. We therefore do not have any concerns with the potential removal of this field.</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506DDE"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45F4303A" w14:textId="1FA83D4F" w:rsidR="00B61D40" w:rsidRDefault="001A02AD" w:rsidP="008D4AEE">
      <w:pPr>
        <w:rPr>
          <w:rFonts w:ascii="Arial" w:hAnsi="Arial" w:cs="Arial"/>
        </w:rPr>
      </w:pPr>
      <w:permStart w:id="120933197" w:edGrp="everyone"/>
      <w:r>
        <w:rPr>
          <w:rFonts w:ascii="Arial" w:hAnsi="Arial" w:cs="Arial"/>
        </w:rPr>
        <w:t>We would support adoption of the CDE hybrid approach</w:t>
      </w:r>
      <w:r w:rsidR="00B61D40" w:rsidRPr="00B61D40">
        <w:rPr>
          <w:rFonts w:ascii="Arial" w:hAnsi="Arial" w:cs="Arial"/>
        </w:rPr>
        <w:t>.</w:t>
      </w:r>
    </w:p>
    <w:permEnd w:id="120933197"/>
    <w:p w14:paraId="0B19E9CE" w14:textId="01C38C90"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506DDE"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4098663D" w:rsidR="008D4AEE" w:rsidRPr="00981E62" w:rsidRDefault="001A02AD" w:rsidP="008D4AEE">
      <w:pPr>
        <w:rPr>
          <w:rFonts w:ascii="Arial" w:hAnsi="Arial" w:cs="Arial"/>
        </w:rPr>
      </w:pPr>
      <w:permStart w:id="2135956204" w:edGrp="everyone"/>
      <w:r w:rsidRPr="00981E62">
        <w:rPr>
          <w:rFonts w:ascii="Arial" w:hAnsi="Arial" w:cs="Arial"/>
        </w:rPr>
        <w:t xml:space="preserve">We believe further guidance is necessary to ensure consistency in the determination of which leg is which, particularly in the case of interest rate and FX products.  We would note the </w:t>
      </w:r>
      <w:hyperlink r:id="rId26" w:history="1">
        <w:r w:rsidRPr="001A02AD">
          <w:rPr>
            <w:rStyle w:val="Hyperlink"/>
            <w:rFonts w:ascii="Arial" w:hAnsi="Arial" w:cs="Arial"/>
          </w:rPr>
          <w:t xml:space="preserve">EMIR Regulatory Reporting </w:t>
        </w:r>
        <w:r>
          <w:rPr>
            <w:rStyle w:val="Hyperlink"/>
            <w:rFonts w:ascii="Arial" w:hAnsi="Arial" w:cs="Arial"/>
          </w:rPr>
          <w:t xml:space="preserve">Industry </w:t>
        </w:r>
        <w:r w:rsidRPr="001A02AD">
          <w:rPr>
            <w:rStyle w:val="Hyperlink"/>
            <w:rFonts w:ascii="Arial" w:hAnsi="Arial" w:cs="Arial"/>
          </w:rPr>
          <w:t>Best Practices</w:t>
        </w:r>
      </w:hyperlink>
      <w:r w:rsidRPr="00981E62">
        <w:rPr>
          <w:rFonts w:ascii="Arial" w:hAnsi="Arial" w:cs="Arial"/>
        </w:rPr>
        <w:t xml:space="preserve"> published earlier this year </w:t>
      </w:r>
      <w:r w:rsidR="00034EDD" w:rsidRPr="00981E62">
        <w:rPr>
          <w:rFonts w:ascii="Arial" w:hAnsi="Arial" w:cs="Arial"/>
        </w:rPr>
        <w:t xml:space="preserve">jointly </w:t>
      </w:r>
      <w:r w:rsidRPr="00981E62">
        <w:rPr>
          <w:rFonts w:ascii="Arial" w:hAnsi="Arial" w:cs="Arial"/>
        </w:rPr>
        <w:t xml:space="preserve">by </w:t>
      </w:r>
      <w:r w:rsidR="00034EDD" w:rsidRPr="00981E62">
        <w:rPr>
          <w:rFonts w:ascii="Arial" w:hAnsi="Arial" w:cs="Arial"/>
        </w:rPr>
        <w:t xml:space="preserve">a number of </w:t>
      </w:r>
      <w:r w:rsidRPr="00981E62">
        <w:rPr>
          <w:rFonts w:ascii="Arial" w:hAnsi="Arial" w:cs="Arial"/>
        </w:rPr>
        <w:t>trade associations</w:t>
      </w:r>
      <w:r w:rsidR="00034EDD" w:rsidRPr="00981E62">
        <w:rPr>
          <w:rFonts w:ascii="Arial" w:hAnsi="Arial" w:cs="Arial"/>
        </w:rPr>
        <w:t xml:space="preserve"> provides guidance </w:t>
      </w:r>
      <w:r w:rsidR="002B7673" w:rsidRPr="00981E62">
        <w:rPr>
          <w:rFonts w:ascii="Arial" w:hAnsi="Arial" w:cs="Arial"/>
        </w:rPr>
        <w:t xml:space="preserve">on the alignment of leg 1 and leg 2 for </w:t>
      </w:r>
      <w:r w:rsidR="00034EDD" w:rsidRPr="00981E62">
        <w:rPr>
          <w:rFonts w:ascii="Arial" w:hAnsi="Arial" w:cs="Arial"/>
        </w:rPr>
        <w:t xml:space="preserve">interest rate products and would recommend that this be </w:t>
      </w:r>
      <w:r w:rsidR="002B7673" w:rsidRPr="00981E62">
        <w:rPr>
          <w:rFonts w:ascii="Arial" w:hAnsi="Arial" w:cs="Arial"/>
        </w:rPr>
        <w:t>applied here</w:t>
      </w:r>
      <w:r w:rsidR="006A0920" w:rsidRPr="00981E62">
        <w:rPr>
          <w:rFonts w:ascii="Arial" w:hAnsi="Arial" w:cs="Arial"/>
        </w:rPr>
        <w:t>.</w:t>
      </w:r>
    </w:p>
    <w:p w14:paraId="7A6C0A13" w14:textId="77777777" w:rsidR="006A0920" w:rsidRPr="00981E62" w:rsidRDefault="006A0920" w:rsidP="008D4AEE">
      <w:pPr>
        <w:rPr>
          <w:rFonts w:ascii="Arial" w:hAnsi="Arial" w:cs="Arial"/>
        </w:rPr>
      </w:pPr>
    </w:p>
    <w:p w14:paraId="7AE84F6F" w14:textId="43922AFC" w:rsidR="006A0920" w:rsidRPr="00981E62" w:rsidRDefault="002B7673" w:rsidP="008D4AEE">
      <w:pPr>
        <w:rPr>
          <w:rFonts w:ascii="Arial" w:hAnsi="Arial" w:cs="Arial"/>
        </w:rPr>
      </w:pPr>
      <w:bookmarkStart w:id="2" w:name="_Hlk43997517"/>
      <w:r w:rsidRPr="00981E62">
        <w:rPr>
          <w:rFonts w:ascii="Arial" w:hAnsi="Arial" w:cs="Arial"/>
        </w:rPr>
        <w:t>For FX, we would recommend including guidance</w:t>
      </w:r>
      <w:r w:rsidR="00523ABA" w:rsidRPr="00981E62">
        <w:rPr>
          <w:rFonts w:ascii="Arial" w:hAnsi="Arial" w:cs="Arial"/>
        </w:rPr>
        <w:t xml:space="preserve"> to apply the so-called "FX cash rule"</w:t>
      </w:r>
      <w:r w:rsidRPr="00981E62">
        <w:rPr>
          <w:rFonts w:ascii="Arial" w:hAnsi="Arial" w:cs="Arial"/>
        </w:rPr>
        <w:t xml:space="preserve">, which would also then influence other fields such as notional amount and settlement currency, </w:t>
      </w:r>
      <w:r w:rsidR="00523ABA" w:rsidRPr="00981E62">
        <w:rPr>
          <w:rFonts w:ascii="Arial" w:hAnsi="Arial" w:cs="Arial"/>
        </w:rPr>
        <w:t xml:space="preserve">such </w:t>
      </w:r>
      <w:r w:rsidRPr="00981E62">
        <w:rPr>
          <w:rFonts w:ascii="Arial" w:hAnsi="Arial" w:cs="Arial"/>
        </w:rPr>
        <w:t xml:space="preserve">that leg 1 </w:t>
      </w:r>
      <w:r w:rsidR="00523ABA" w:rsidRPr="00981E62">
        <w:rPr>
          <w:rFonts w:ascii="Arial" w:hAnsi="Arial" w:cs="Arial"/>
        </w:rPr>
        <w:t xml:space="preserve">would </w:t>
      </w:r>
      <w:r w:rsidRPr="00981E62">
        <w:rPr>
          <w:rFonts w:ascii="Arial" w:hAnsi="Arial" w:cs="Arial"/>
        </w:rPr>
        <w:t xml:space="preserve">be the currency </w:t>
      </w:r>
      <w:r w:rsidR="00523ABA" w:rsidRPr="00981E62">
        <w:rPr>
          <w:rFonts w:ascii="Arial" w:hAnsi="Arial" w:cs="Arial"/>
        </w:rPr>
        <w:t xml:space="preserve">with the ISO 4217 code </w:t>
      </w:r>
      <w:r w:rsidRPr="00981E62">
        <w:rPr>
          <w:rFonts w:ascii="Arial" w:hAnsi="Arial" w:cs="Arial"/>
        </w:rPr>
        <w:t>that is sorted first alphabetically</w:t>
      </w:r>
      <w:bookmarkEnd w:id="2"/>
      <w:r w:rsidRPr="00981E62">
        <w:rPr>
          <w:rFonts w:ascii="Arial" w:hAnsi="Arial" w:cs="Arial"/>
        </w:rPr>
        <w:t>.</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506DDE"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9FEE0B5" w14:textId="3E3C521D" w:rsidR="008D4AEE" w:rsidRDefault="00623972" w:rsidP="008D4AEE">
      <w:pPr>
        <w:rPr>
          <w:rFonts w:ascii="Arial" w:hAnsi="Arial" w:cs="Arial"/>
        </w:rPr>
      </w:pPr>
      <w:permStart w:id="1554742035" w:edGrp="everyone"/>
      <w:r>
        <w:rPr>
          <w:rFonts w:ascii="Arial" w:hAnsi="Arial" w:cs="Arial"/>
        </w:rPr>
        <w:t>We do not have any concerns with the proposal to allow this value.</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506DDE"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73EFEFA3" w14:textId="52930D97" w:rsidR="008C0C86" w:rsidRDefault="008C0C86" w:rsidP="008D4AEE">
      <w:pPr>
        <w:rPr>
          <w:rFonts w:ascii="Arial" w:hAnsi="Arial" w:cs="Arial"/>
        </w:rPr>
      </w:pPr>
      <w:permStart w:id="2065195868" w:edGrp="everyone"/>
      <w:r>
        <w:rPr>
          <w:rFonts w:ascii="Arial" w:hAnsi="Arial" w:cs="Arial"/>
        </w:rPr>
        <w:t>W</w:t>
      </w:r>
      <w:r w:rsidR="00623972">
        <w:rPr>
          <w:rFonts w:ascii="Arial" w:hAnsi="Arial" w:cs="Arial"/>
        </w:rPr>
        <w:t xml:space="preserve">e believe strongly that </w:t>
      </w:r>
      <w:r w:rsidR="00B61D40" w:rsidRPr="00B61D40">
        <w:rPr>
          <w:rFonts w:ascii="Arial" w:hAnsi="Arial" w:cs="Arial"/>
        </w:rPr>
        <w:t xml:space="preserve">Article 2(2) </w:t>
      </w:r>
      <w:r>
        <w:rPr>
          <w:rFonts w:ascii="Arial" w:hAnsi="Arial" w:cs="Arial"/>
        </w:rPr>
        <w:t xml:space="preserve">of the RTS </w:t>
      </w:r>
      <w:r w:rsidR="00B61D40" w:rsidRPr="00B61D40">
        <w:rPr>
          <w:rFonts w:ascii="Arial" w:hAnsi="Arial" w:cs="Arial"/>
        </w:rPr>
        <w:t xml:space="preserve">should be extended </w:t>
      </w:r>
      <w:r>
        <w:rPr>
          <w:rFonts w:ascii="Arial" w:hAnsi="Arial" w:cs="Arial"/>
        </w:rPr>
        <w:t>such that the need to report the trade only in its cleared state is applied to a</w:t>
      </w:r>
      <w:r w:rsidR="00B61D40" w:rsidRPr="00B61D40">
        <w:rPr>
          <w:rFonts w:ascii="Arial" w:hAnsi="Arial" w:cs="Arial"/>
        </w:rPr>
        <w:t xml:space="preserve">ll trades that </w:t>
      </w:r>
      <w:r>
        <w:rPr>
          <w:rFonts w:ascii="Arial" w:hAnsi="Arial" w:cs="Arial"/>
        </w:rPr>
        <w:t xml:space="preserve">are centrally cleared </w:t>
      </w:r>
      <w:r w:rsidR="00B61D40" w:rsidRPr="00B61D40">
        <w:rPr>
          <w:rFonts w:ascii="Arial" w:hAnsi="Arial" w:cs="Arial"/>
        </w:rPr>
        <w:t>on trade date, not just on-venue.</w:t>
      </w:r>
    </w:p>
    <w:p w14:paraId="6E7D2F7F" w14:textId="77777777" w:rsidR="008C0C86" w:rsidRDefault="008C0C86" w:rsidP="008D4AEE">
      <w:pPr>
        <w:rPr>
          <w:rFonts w:ascii="Arial" w:hAnsi="Arial" w:cs="Arial"/>
        </w:rPr>
      </w:pPr>
    </w:p>
    <w:p w14:paraId="020368C7" w14:textId="5CDF24C6" w:rsidR="00B61D40" w:rsidRDefault="008C0C86" w:rsidP="008D4AEE">
      <w:pPr>
        <w:rPr>
          <w:rFonts w:ascii="Arial" w:hAnsi="Arial" w:cs="Arial"/>
        </w:rPr>
      </w:pPr>
      <w:r>
        <w:rPr>
          <w:rFonts w:ascii="Arial" w:hAnsi="Arial" w:cs="Arial"/>
        </w:rPr>
        <w:t xml:space="preserve">The current provision creates a false distinction between, in the context of clearing, between OTC derivatives that are concluded on a trading venue </w:t>
      </w:r>
      <w:r w:rsidRPr="008C0C86">
        <w:rPr>
          <w:rFonts w:ascii="Arial" w:hAnsi="Arial" w:cs="Arial"/>
        </w:rPr>
        <w:t>or organised trading platform</w:t>
      </w:r>
      <w:r>
        <w:rPr>
          <w:rFonts w:ascii="Arial" w:hAnsi="Arial" w:cs="Arial"/>
        </w:rPr>
        <w:t xml:space="preserve"> in a third country and those that are not. The key d</w:t>
      </w:r>
      <w:r w:rsidR="002E6F6D">
        <w:rPr>
          <w:rFonts w:ascii="Arial" w:hAnsi="Arial" w:cs="Arial"/>
        </w:rPr>
        <w:t xml:space="preserve">elineation </w:t>
      </w:r>
      <w:r>
        <w:rPr>
          <w:rFonts w:ascii="Arial" w:hAnsi="Arial" w:cs="Arial"/>
        </w:rPr>
        <w:t xml:space="preserve">should be simply between </w:t>
      </w:r>
      <w:r w:rsidR="002E6F6D">
        <w:rPr>
          <w:rFonts w:ascii="Arial" w:hAnsi="Arial" w:cs="Arial"/>
        </w:rPr>
        <w:t xml:space="preserve">transactions that </w:t>
      </w:r>
      <w:r>
        <w:rPr>
          <w:rFonts w:ascii="Arial" w:hAnsi="Arial" w:cs="Arial"/>
        </w:rPr>
        <w:t>that are cleared on trade date and those that are not, regardless of how they were executed.</w:t>
      </w:r>
    </w:p>
    <w:permEnd w:id="2065195868"/>
    <w:p w14:paraId="3E232052" w14:textId="457A5B0A"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506DDE"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lastRenderedPageBreak/>
        <w:t>&lt;ESMA_QUESTION_TSTR_62&gt;</w:t>
      </w:r>
    </w:p>
    <w:p w14:paraId="53866E13" w14:textId="27FC68FD" w:rsidR="008D4AEE" w:rsidRDefault="00485AC3" w:rsidP="008D4AEE">
      <w:pPr>
        <w:rPr>
          <w:rFonts w:ascii="Arial" w:hAnsi="Arial" w:cs="Arial"/>
        </w:rPr>
      </w:pPr>
      <w:permStart w:id="1146161974" w:edGrp="everyone"/>
      <w:r>
        <w:rPr>
          <w:rFonts w:ascii="Arial" w:hAnsi="Arial" w:cs="Arial"/>
        </w:rPr>
        <w:t>We agree with the proposed approac</w:t>
      </w:r>
      <w:r w:rsidR="000C3115">
        <w:rPr>
          <w:rFonts w:ascii="Arial" w:hAnsi="Arial" w:cs="Arial"/>
        </w:rPr>
        <w:t>h.</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506DDE"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05A8458" w14:textId="726DCB84" w:rsidR="00B61D40" w:rsidRDefault="000C3115" w:rsidP="008D4AEE">
      <w:pPr>
        <w:rPr>
          <w:rFonts w:ascii="Arial" w:hAnsi="Arial" w:cs="Arial"/>
        </w:rPr>
      </w:pPr>
      <w:permStart w:id="1665803298" w:edGrp="everyone"/>
      <w:r>
        <w:rPr>
          <w:rFonts w:ascii="Arial" w:hAnsi="Arial" w:cs="Arial"/>
        </w:rPr>
        <w:t xml:space="preserve">We recommend that the </w:t>
      </w:r>
      <w:r w:rsidR="00B61D40" w:rsidRPr="00B61D40">
        <w:rPr>
          <w:rFonts w:ascii="Arial" w:hAnsi="Arial" w:cs="Arial"/>
        </w:rPr>
        <w:t xml:space="preserve">approach </w:t>
      </w:r>
      <w:r>
        <w:rPr>
          <w:rFonts w:ascii="Arial" w:hAnsi="Arial" w:cs="Arial"/>
        </w:rPr>
        <w:t xml:space="preserve">suggested in paragraph 244 of the consultation </w:t>
      </w:r>
      <w:r w:rsidR="00B61D40" w:rsidRPr="00B61D40">
        <w:rPr>
          <w:rFonts w:ascii="Arial" w:hAnsi="Arial" w:cs="Arial"/>
        </w:rPr>
        <w:t xml:space="preserve">to always report the onshore currency </w:t>
      </w:r>
      <w:r>
        <w:rPr>
          <w:rFonts w:ascii="Arial" w:hAnsi="Arial" w:cs="Arial"/>
        </w:rPr>
        <w:t xml:space="preserve">regardless of any offshore variant </w:t>
      </w:r>
      <w:r w:rsidR="00B61D40" w:rsidRPr="00B61D40">
        <w:rPr>
          <w:rFonts w:ascii="Arial" w:hAnsi="Arial" w:cs="Arial"/>
        </w:rPr>
        <w:t>should be enshrined in the ITS table.</w:t>
      </w:r>
    </w:p>
    <w:permEnd w:id="1665803298"/>
    <w:p w14:paraId="13074B6B" w14:textId="406F13E1"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506DDE"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1FBFBF9B" w:rsidR="008D4AEE" w:rsidRDefault="000C3115" w:rsidP="000C3115">
      <w:pPr>
        <w:rPr>
          <w:rFonts w:ascii="Arial" w:hAnsi="Arial" w:cs="Arial"/>
        </w:rPr>
      </w:pPr>
      <w:permStart w:id="1118199268" w:edGrp="everyone"/>
      <w:r>
        <w:rPr>
          <w:rFonts w:ascii="Arial" w:hAnsi="Arial" w:cs="Arial"/>
        </w:rPr>
        <w:t xml:space="preserve">We support adoption of the </w:t>
      </w:r>
      <w:r w:rsidR="00B61D40" w:rsidRPr="00B61D40">
        <w:rPr>
          <w:rFonts w:ascii="Arial" w:hAnsi="Arial" w:cs="Arial"/>
        </w:rPr>
        <w:t>MiFIR approach</w:t>
      </w:r>
      <w:r>
        <w:rPr>
          <w:rFonts w:ascii="Arial" w:hAnsi="Arial" w:cs="Arial"/>
        </w:rPr>
        <w:t>.</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5414AAF2" w:rsidR="008D4AEE" w:rsidRDefault="000C3115" w:rsidP="008D4AEE">
      <w:pPr>
        <w:rPr>
          <w:rFonts w:ascii="Arial" w:hAnsi="Arial" w:cs="Arial"/>
        </w:rPr>
      </w:pPr>
      <w:permStart w:id="1178864638" w:edGrp="everyone"/>
      <w:r>
        <w:rPr>
          <w:rFonts w:ascii="Arial" w:hAnsi="Arial" w:cs="Arial"/>
        </w:rPr>
        <w:t>We do not foresee any difficulties with the proposed approach.</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506DDE"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3BEC68A9" w14:textId="7DD6E681" w:rsidR="008D4AEE" w:rsidRDefault="000C3115" w:rsidP="008D4AEE">
      <w:pPr>
        <w:rPr>
          <w:rFonts w:ascii="Arial" w:hAnsi="Arial" w:cs="Arial"/>
        </w:rPr>
      </w:pPr>
      <w:permStart w:id="1567772749" w:edGrp="everyone"/>
      <w:r w:rsidRPr="00981E62">
        <w:rPr>
          <w:rFonts w:ascii="Arial" w:hAnsi="Arial" w:cs="Arial"/>
        </w:rPr>
        <w:t>We agree that the fields should remain unchanged.</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506DDE"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68DCAAC3" w:rsidR="008D4AEE" w:rsidRDefault="000C3115" w:rsidP="008D4AEE">
      <w:pPr>
        <w:rPr>
          <w:rFonts w:ascii="Arial" w:hAnsi="Arial" w:cs="Arial"/>
        </w:rPr>
      </w:pPr>
      <w:permStart w:id="1404711427" w:edGrp="everyone"/>
      <w:r>
        <w:rPr>
          <w:rFonts w:ascii="Arial" w:hAnsi="Arial" w:cs="Arial"/>
        </w:rPr>
        <w:t>We agree that the fair value should be reported per IFRS 13 without the application of any adjustments.</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506DDE"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0B069460" w:rsidR="008D4AEE" w:rsidRDefault="00591762" w:rsidP="008D4AEE">
      <w:pPr>
        <w:rPr>
          <w:rFonts w:ascii="Arial" w:hAnsi="Arial" w:cs="Arial"/>
        </w:rPr>
      </w:pPr>
      <w:permStart w:id="1008549362" w:edGrp="everyone"/>
      <w:r>
        <w:rPr>
          <w:rFonts w:ascii="Arial" w:hAnsi="Arial" w:cs="Arial"/>
        </w:rPr>
        <w:t>We do not anticipate any issues with the proposal.</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506DDE"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4577DFD4" w14:textId="4E90E932" w:rsidR="00B61D40" w:rsidRDefault="00591762" w:rsidP="008D4AEE">
      <w:pPr>
        <w:rPr>
          <w:rFonts w:ascii="Arial" w:hAnsi="Arial" w:cs="Arial"/>
        </w:rPr>
      </w:pPr>
      <w:permStart w:id="13654635" w:edGrp="everyone"/>
      <w:r>
        <w:rPr>
          <w:rFonts w:ascii="Arial" w:hAnsi="Arial" w:cs="Arial"/>
        </w:rPr>
        <w:t xml:space="preserve">We would recommend to address any further guidance in this respect through "Level 3" </w:t>
      </w:r>
      <w:r w:rsidR="00B61D40" w:rsidRPr="00B61D40">
        <w:rPr>
          <w:rFonts w:ascii="Arial" w:hAnsi="Arial" w:cs="Arial"/>
        </w:rPr>
        <w:t>Q&amp;A</w:t>
      </w:r>
      <w:r>
        <w:rPr>
          <w:rFonts w:ascii="Arial" w:hAnsi="Arial" w:cs="Arial"/>
        </w:rPr>
        <w:t xml:space="preserve"> or guidelines.</w:t>
      </w:r>
    </w:p>
    <w:permEnd w:id="13654635"/>
    <w:p w14:paraId="7BE6D400" w14:textId="71437F4F"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506DDE"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3A8B3D4F" w14:textId="0C31FD93" w:rsidR="008D4AEE" w:rsidRDefault="00591762" w:rsidP="008D4AEE">
      <w:pPr>
        <w:rPr>
          <w:rFonts w:ascii="Arial" w:hAnsi="Arial" w:cs="Arial"/>
        </w:rPr>
      </w:pPr>
      <w:permStart w:id="163466788" w:edGrp="everyone"/>
      <w:r>
        <w:rPr>
          <w:rFonts w:ascii="Arial" w:hAnsi="Arial" w:cs="Arial"/>
        </w:rPr>
        <w:t>We agree with the proposed approach.</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506DDE"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5DC3F126" w14:textId="0A478581" w:rsidR="00591762" w:rsidRDefault="00591762" w:rsidP="00591762">
      <w:pPr>
        <w:rPr>
          <w:rFonts w:ascii="Arial" w:hAnsi="Arial" w:cs="Arial"/>
        </w:rPr>
      </w:pPr>
      <w:permStart w:id="1845848393" w:edGrp="everyone"/>
      <w:r>
        <w:rPr>
          <w:rFonts w:ascii="Arial" w:hAnsi="Arial" w:cs="Arial"/>
        </w:rPr>
        <w:t>We agree with the proposed change.</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506DDE"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410724A2" w14:textId="3599B41C" w:rsidR="00591762" w:rsidRDefault="00591762" w:rsidP="00591762">
      <w:pPr>
        <w:rPr>
          <w:rFonts w:ascii="Arial" w:hAnsi="Arial" w:cs="Arial"/>
        </w:rPr>
      </w:pPr>
      <w:permStart w:id="2043613888" w:edGrp="everyone"/>
      <w:r>
        <w:rPr>
          <w:rFonts w:ascii="Arial" w:hAnsi="Arial" w:cs="Arial"/>
        </w:rPr>
        <w:t>We agree with the addition of these fields.</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506DDE"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6E1A35EE" w:rsidR="008D4AEE" w:rsidRDefault="00591762" w:rsidP="008D4AEE">
      <w:pPr>
        <w:rPr>
          <w:rFonts w:ascii="Arial" w:hAnsi="Arial" w:cs="Arial"/>
        </w:rPr>
      </w:pPr>
      <w:permStart w:id="1819040339" w:edGrp="everyone"/>
      <w:r>
        <w:rPr>
          <w:rFonts w:ascii="Arial" w:hAnsi="Arial" w:cs="Arial"/>
        </w:rPr>
        <w:t>We agree with ESMA'</w:t>
      </w:r>
      <w:r w:rsidR="00B61D40">
        <w:rPr>
          <w:rFonts w:ascii="Arial" w:hAnsi="Arial" w:cs="Arial"/>
        </w:rPr>
        <w:t>s</w:t>
      </w:r>
      <w:r>
        <w:rPr>
          <w:rFonts w:ascii="Arial" w:hAnsi="Arial" w:cs="Arial"/>
        </w:rPr>
        <w:t xml:space="preserve"> assessment in this respect.</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506DDE"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00754058" w14:textId="56844084" w:rsidR="00B61D40" w:rsidRDefault="00591762" w:rsidP="008D4AEE">
      <w:pPr>
        <w:rPr>
          <w:rFonts w:ascii="Arial" w:hAnsi="Arial" w:cs="Arial"/>
        </w:rPr>
      </w:pPr>
      <w:permStart w:id="1652767139" w:edGrp="everyone"/>
      <w:r>
        <w:rPr>
          <w:rFonts w:ascii="Arial" w:hAnsi="Arial" w:cs="Arial"/>
        </w:rPr>
        <w:t>We believe such separation is possible, bearing in mind that is it will be necessary to do something similar with SFTs</w:t>
      </w:r>
      <w:r w:rsidR="00B61D40" w:rsidRPr="00B61D40">
        <w:rPr>
          <w:rFonts w:ascii="Arial" w:hAnsi="Arial" w:cs="Arial"/>
        </w:rPr>
        <w:t xml:space="preserve"> </w:t>
      </w:r>
      <w:r>
        <w:rPr>
          <w:rFonts w:ascii="Arial" w:hAnsi="Arial" w:cs="Arial"/>
        </w:rPr>
        <w:t xml:space="preserve">for the purposes of reporting </w:t>
      </w:r>
      <w:r w:rsidR="00B61D40" w:rsidRPr="00B61D40">
        <w:rPr>
          <w:rFonts w:ascii="Arial" w:hAnsi="Arial" w:cs="Arial"/>
        </w:rPr>
        <w:t xml:space="preserve">under </w:t>
      </w:r>
      <w:r>
        <w:rPr>
          <w:rFonts w:ascii="Arial" w:hAnsi="Arial" w:cs="Arial"/>
        </w:rPr>
        <w:t xml:space="preserve">Article 4 of </w:t>
      </w:r>
      <w:r w:rsidR="00B61D40" w:rsidRPr="00B61D40">
        <w:rPr>
          <w:rFonts w:ascii="Arial" w:hAnsi="Arial" w:cs="Arial"/>
        </w:rPr>
        <w:t>SFTR</w:t>
      </w:r>
      <w:r>
        <w:rPr>
          <w:rFonts w:ascii="Arial" w:hAnsi="Arial" w:cs="Arial"/>
        </w:rPr>
        <w:t>.</w:t>
      </w:r>
    </w:p>
    <w:permEnd w:id="1652767139"/>
    <w:p w14:paraId="37B25C1E" w14:textId="4DA9A6EA"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506DDE"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lastRenderedPageBreak/>
        <w:t>&lt;ESMA_QUESTION_TSTR_75&gt;</w:t>
      </w:r>
    </w:p>
    <w:p w14:paraId="0EC127DF" w14:textId="2B1CF867" w:rsidR="008D4AEE" w:rsidRDefault="00591762" w:rsidP="008D4AEE">
      <w:pPr>
        <w:rPr>
          <w:rFonts w:ascii="Arial" w:hAnsi="Arial" w:cs="Arial"/>
        </w:rPr>
      </w:pPr>
      <w:permStart w:id="988873195" w:edGrp="everyone"/>
      <w:r>
        <w:rPr>
          <w:rFonts w:ascii="Arial" w:hAnsi="Arial" w:cs="Arial"/>
        </w:rPr>
        <w:t xml:space="preserve">We do not foresee any difficulties with the proposed changes. </w:t>
      </w:r>
      <w:permEnd w:id="988873195"/>
      <w:r w:rsidR="008D4AEE">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506DDE"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4B657536" w:rsidR="008D4AEE" w:rsidRDefault="00591762" w:rsidP="008D4AEE">
      <w:pPr>
        <w:rPr>
          <w:rFonts w:ascii="Arial" w:hAnsi="Arial" w:cs="Arial"/>
        </w:rPr>
      </w:pPr>
      <w:permStart w:id="1775632632" w:edGrp="everyone"/>
      <w:r>
        <w:rPr>
          <w:rFonts w:ascii="Arial" w:hAnsi="Arial" w:cs="Arial"/>
        </w:rPr>
        <w:t>We believe the fields as currently proposed should be sufficient.</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506DDE" w:rsidP="008D4AEE">
      <w:pPr>
        <w:pStyle w:val="Questionstyle"/>
        <w:numPr>
          <w:ilvl w:val="0"/>
          <w:numId w:val="9"/>
        </w:numPr>
        <w:spacing w:after="250" w:line="276" w:lineRule="auto"/>
      </w:pPr>
      <w:hyperlink w:anchor="_Toc34747752" w:history="1">
        <w:r w:rsidR="008D4AEE">
          <w:t xml:space="preserve">: </w:t>
        </w:r>
        <w:r w:rsidR="008D4AEE" w:rsidRPr="005960C1">
          <w:t>Are there any further pieces of clarification in relation to these fields (beyond the information in the definitions in the annex) which could be added to the amended standards to ensure reporting is done in a consistent manner? If so, please expand on 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2C3F42D5" w14:textId="2931E163" w:rsidR="00B61D40" w:rsidRDefault="00591762" w:rsidP="00B61D40">
      <w:pPr>
        <w:rPr>
          <w:rFonts w:ascii="Arial" w:hAnsi="Arial" w:cs="Arial"/>
        </w:rPr>
      </w:pPr>
      <w:permStart w:id="61634834" w:edGrp="everyone"/>
      <w:r>
        <w:rPr>
          <w:rFonts w:ascii="Arial" w:hAnsi="Arial" w:cs="Arial"/>
        </w:rPr>
        <w:t xml:space="preserve">We believe </w:t>
      </w:r>
      <w:r w:rsidR="00F10632">
        <w:rPr>
          <w:rFonts w:ascii="Arial" w:hAnsi="Arial" w:cs="Arial"/>
        </w:rPr>
        <w:t xml:space="preserve">that either </w:t>
      </w:r>
      <w:r>
        <w:rPr>
          <w:rFonts w:ascii="Arial" w:hAnsi="Arial" w:cs="Arial"/>
        </w:rPr>
        <w:t xml:space="preserve">further </w:t>
      </w:r>
      <w:r w:rsidR="00B61D40" w:rsidRPr="00B61D40">
        <w:rPr>
          <w:rFonts w:ascii="Arial" w:hAnsi="Arial" w:cs="Arial"/>
        </w:rPr>
        <w:t xml:space="preserve">guidance </w:t>
      </w:r>
      <w:r>
        <w:rPr>
          <w:rFonts w:ascii="Arial" w:hAnsi="Arial" w:cs="Arial"/>
        </w:rPr>
        <w:t xml:space="preserve">is necessary in the case of currency </w:t>
      </w:r>
      <w:r w:rsidR="00B61D40" w:rsidRPr="00B61D40">
        <w:rPr>
          <w:rFonts w:ascii="Arial" w:hAnsi="Arial" w:cs="Arial"/>
        </w:rPr>
        <w:t>exchange rates</w:t>
      </w:r>
      <w:r w:rsidR="00F10632">
        <w:rPr>
          <w:rFonts w:ascii="Arial" w:hAnsi="Arial" w:cs="Arial"/>
        </w:rPr>
        <w:t>, as the unit and qu</w:t>
      </w:r>
      <w:r w:rsidR="00DE6FDD">
        <w:rPr>
          <w:rFonts w:ascii="Arial" w:hAnsi="Arial" w:cs="Arial"/>
        </w:rPr>
        <w:t>o</w:t>
      </w:r>
      <w:r w:rsidR="00F10632">
        <w:rPr>
          <w:rFonts w:ascii="Arial" w:hAnsi="Arial" w:cs="Arial"/>
        </w:rPr>
        <w:t>te currencies may not always be captured consistently by the counterparties.</w:t>
      </w:r>
    </w:p>
    <w:p w14:paraId="665E2AFA" w14:textId="2C6260A6" w:rsidR="00F10632" w:rsidRDefault="00F10632" w:rsidP="00B61D40">
      <w:pPr>
        <w:rPr>
          <w:rFonts w:ascii="Arial" w:hAnsi="Arial" w:cs="Arial"/>
        </w:rPr>
      </w:pPr>
    </w:p>
    <w:p w14:paraId="457D857D" w14:textId="0E68DE54" w:rsidR="008D4AEE" w:rsidRDefault="00F10632" w:rsidP="00F10632">
      <w:pPr>
        <w:rPr>
          <w:rFonts w:ascii="Arial" w:hAnsi="Arial" w:cs="Arial"/>
        </w:rPr>
      </w:pPr>
      <w:r>
        <w:rPr>
          <w:rFonts w:ascii="Arial" w:hAnsi="Arial" w:cs="Arial"/>
        </w:rPr>
        <w:t xml:space="preserve">We believe it would be appropriate to report the rate as quoted by the </w:t>
      </w:r>
      <w:r w:rsidR="00B61D40" w:rsidRPr="00B61D40">
        <w:rPr>
          <w:rFonts w:ascii="Arial" w:hAnsi="Arial" w:cs="Arial"/>
        </w:rPr>
        <w:t>venue</w:t>
      </w:r>
      <w:r>
        <w:rPr>
          <w:rFonts w:ascii="Arial" w:hAnsi="Arial" w:cs="Arial"/>
        </w:rPr>
        <w:t xml:space="preserve"> or, for transaction executed bilaterally by the provider of the </w:t>
      </w:r>
      <w:r w:rsidR="00B61D40" w:rsidRPr="00B61D40">
        <w:rPr>
          <w:rFonts w:ascii="Arial" w:hAnsi="Arial" w:cs="Arial"/>
        </w:rPr>
        <w:t>liquidity</w:t>
      </w:r>
      <w:r>
        <w:rPr>
          <w:rFonts w:ascii="Arial" w:hAnsi="Arial" w:cs="Arial"/>
        </w:rPr>
        <w:t>.</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506DDE"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4595CCCC" w:rsidR="008D4AEE" w:rsidRDefault="00F10632" w:rsidP="008D4AEE">
      <w:pPr>
        <w:rPr>
          <w:rFonts w:ascii="Arial" w:hAnsi="Arial" w:cs="Arial"/>
        </w:rPr>
      </w:pPr>
      <w:permStart w:id="7961661" w:edGrp="everyone"/>
      <w:r>
        <w:rPr>
          <w:rFonts w:ascii="Arial" w:hAnsi="Arial" w:cs="Arial"/>
        </w:rPr>
        <w:t>We agree with clarification as proposed.</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506DDE"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3D05543E" w14:textId="4962113D" w:rsidR="008D4AEE" w:rsidRPr="00981E62" w:rsidRDefault="00D32D72" w:rsidP="00B61D40">
      <w:pPr>
        <w:rPr>
          <w:rFonts w:ascii="Arial" w:hAnsi="Arial" w:cs="Arial"/>
        </w:rPr>
      </w:pPr>
      <w:permStart w:id="1180714383" w:edGrp="everyone"/>
      <w:r w:rsidRPr="00981E62">
        <w:rPr>
          <w:rFonts w:ascii="Arial" w:hAnsi="Arial" w:cs="Arial"/>
        </w:rPr>
        <w:t>We do not believe any further guidance is required.</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506DDE"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7E73050F" w14:textId="2C0311BC" w:rsidR="00D32D72" w:rsidRDefault="00D32D72" w:rsidP="008D4AEE">
      <w:pPr>
        <w:rPr>
          <w:rFonts w:ascii="Arial" w:hAnsi="Arial" w:cs="Arial"/>
        </w:rPr>
      </w:pPr>
      <w:permStart w:id="1004282396" w:edGrp="everyone"/>
      <w:r>
        <w:rPr>
          <w:rFonts w:ascii="Arial" w:hAnsi="Arial" w:cs="Arial"/>
        </w:rPr>
        <w:t xml:space="preserve">We believe the current guidance </w:t>
      </w:r>
      <w:r w:rsidR="00050DC8">
        <w:rPr>
          <w:rFonts w:ascii="Arial" w:hAnsi="Arial" w:cs="Arial"/>
        </w:rPr>
        <w:t xml:space="preserve">in Q&amp;A TR 41 </w:t>
      </w:r>
      <w:r>
        <w:rPr>
          <w:rFonts w:ascii="Arial" w:hAnsi="Arial" w:cs="Arial"/>
        </w:rPr>
        <w:t>is sufficiently clear.</w:t>
      </w:r>
    </w:p>
    <w:permEnd w:id="1004282396"/>
    <w:p w14:paraId="5E12A876" w14:textId="1C8D93FD" w:rsidR="008D4AEE" w:rsidRDefault="008D4AEE" w:rsidP="008D4AEE">
      <w:pPr>
        <w:rPr>
          <w:rFonts w:ascii="Arial" w:hAnsi="Arial" w:cs="Arial"/>
        </w:rPr>
      </w:pPr>
      <w:r>
        <w:rPr>
          <w:rFonts w:ascii="Arial" w:hAnsi="Arial" w:cs="Arial"/>
        </w:rPr>
        <w:lastRenderedPageBreak/>
        <w:t>&lt;ESMA_QUESTION_TSTR_80&gt;</w:t>
      </w:r>
    </w:p>
    <w:p w14:paraId="0CD5A46A" w14:textId="77777777" w:rsidR="008D4AEE" w:rsidRDefault="008D4AEE" w:rsidP="008D4AEE">
      <w:pPr>
        <w:rPr>
          <w:rFonts w:ascii="Arial" w:hAnsi="Arial" w:cs="Arial"/>
        </w:rPr>
      </w:pPr>
    </w:p>
    <w:p w14:paraId="7B113F69" w14:textId="77777777" w:rsidR="008D4AEE" w:rsidRDefault="00506DDE"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13FBDC77" w14:textId="44B00F69" w:rsidR="008D4AEE" w:rsidRDefault="00BF44CD" w:rsidP="008D4AEE">
      <w:pPr>
        <w:rPr>
          <w:rFonts w:ascii="Arial" w:hAnsi="Arial" w:cs="Arial"/>
        </w:rPr>
      </w:pPr>
      <w:permStart w:id="249375082" w:edGrp="everyone"/>
      <w:r>
        <w:rPr>
          <w:rFonts w:ascii="Arial" w:hAnsi="Arial" w:cs="Arial"/>
        </w:rPr>
        <w:t>We would support the removal of these fields and a focus on the national amount, which is the key data requirement for the purposes of risk oversight</w:t>
      </w:r>
      <w:r w:rsidR="00B61D40" w:rsidRPr="00B61D40">
        <w:rPr>
          <w:rFonts w:ascii="Arial" w:hAnsi="Arial" w:cs="Arial"/>
        </w:rPr>
        <w:t>.</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506DDE"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572A19D4" w14:textId="20F63876" w:rsidR="00377A7F" w:rsidRDefault="00377A7F" w:rsidP="008D4AEE">
      <w:pPr>
        <w:rPr>
          <w:rFonts w:ascii="Arial" w:hAnsi="Arial" w:cs="Arial"/>
        </w:rPr>
      </w:pPr>
      <w:permStart w:id="1460889371" w:edGrp="everyone"/>
      <w:r>
        <w:rPr>
          <w:rFonts w:ascii="Arial" w:hAnsi="Arial" w:cs="Arial"/>
        </w:rPr>
        <w:t xml:space="preserve">We would ESMA to confirm our assumption that this field would link directly to fields </w:t>
      </w:r>
      <w:r w:rsidR="00B61D40" w:rsidRPr="00B61D40">
        <w:rPr>
          <w:rFonts w:ascii="Arial" w:hAnsi="Arial" w:cs="Arial"/>
        </w:rPr>
        <w:t>2.13/2.14</w:t>
      </w:r>
      <w:r>
        <w:rPr>
          <w:rFonts w:ascii="Arial" w:hAnsi="Arial" w:cs="Arial"/>
        </w:rPr>
        <w:t xml:space="preserve"> and that it would be repetitive where the underlying were a</w:t>
      </w:r>
      <w:r w:rsidR="00CB4587">
        <w:rPr>
          <w:rFonts w:ascii="Arial" w:hAnsi="Arial" w:cs="Arial"/>
        </w:rPr>
        <w:t xml:space="preserve"> </w:t>
      </w:r>
      <w:r>
        <w:rPr>
          <w:rFonts w:ascii="Arial" w:hAnsi="Arial" w:cs="Arial"/>
        </w:rPr>
        <w:t>custom basket.  That being the case, it is not clear in the case where 2.14 would list only TOTV instruments, how this would correspond with the notional amount.</w:t>
      </w:r>
    </w:p>
    <w:permEnd w:id="1460889371"/>
    <w:p w14:paraId="23A78617" w14:textId="057B7B3F"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506DDE"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465F735C" w14:textId="5B2A947F" w:rsidR="00B61D40" w:rsidRPr="00981E62" w:rsidRDefault="00377A7F" w:rsidP="008D4AEE">
      <w:pPr>
        <w:rPr>
          <w:rFonts w:ascii="Arial" w:hAnsi="Arial" w:cs="Arial"/>
        </w:rPr>
      </w:pPr>
      <w:permStart w:id="1839149848" w:edGrp="everyone"/>
      <w:r w:rsidRPr="00981E62">
        <w:rPr>
          <w:rFonts w:ascii="Arial" w:hAnsi="Arial" w:cs="Arial"/>
        </w:rPr>
        <w:t xml:space="preserve">We would recommend the second option, whereby counterparties </w:t>
      </w:r>
      <w:r w:rsidR="00CB4587" w:rsidRPr="00981E62">
        <w:rPr>
          <w:rFonts w:ascii="Arial" w:hAnsi="Arial" w:cs="Arial"/>
        </w:rPr>
        <w:t xml:space="preserve">would </w:t>
      </w:r>
      <w:r w:rsidRPr="00981E62">
        <w:rPr>
          <w:rFonts w:ascii="Arial" w:hAnsi="Arial" w:cs="Arial"/>
        </w:rPr>
        <w:t xml:space="preserve">report modifications each time the notional changed according to the schedule.  We believe </w:t>
      </w:r>
      <w:r w:rsidR="003065E9" w:rsidRPr="00981E62">
        <w:rPr>
          <w:rFonts w:ascii="Arial" w:hAnsi="Arial" w:cs="Arial"/>
        </w:rPr>
        <w:t>this would make the logic to capture and report the data much simpler for counterparties.</w:t>
      </w:r>
    </w:p>
    <w:permEnd w:id="1839149848"/>
    <w:p w14:paraId="4B5BF3DB" w14:textId="5B3CCBB3"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506DDE"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6D5116B2" w14:textId="49EE1C7D" w:rsidR="003065E9" w:rsidRDefault="003065E9" w:rsidP="008D4AEE">
      <w:pPr>
        <w:rPr>
          <w:rFonts w:ascii="Arial" w:hAnsi="Arial" w:cs="Arial"/>
        </w:rPr>
      </w:pPr>
      <w:permStart w:id="243153239" w:edGrp="everyone"/>
      <w:r w:rsidRPr="003065E9">
        <w:rPr>
          <w:rFonts w:ascii="Arial" w:hAnsi="Arial" w:cs="Arial"/>
        </w:rPr>
        <w:t xml:space="preserve">We do not see any </w:t>
      </w:r>
      <w:r>
        <w:rPr>
          <w:rFonts w:ascii="Arial" w:hAnsi="Arial" w:cs="Arial"/>
        </w:rPr>
        <w:t xml:space="preserve">specific </w:t>
      </w:r>
      <w:r w:rsidRPr="003065E9">
        <w:rPr>
          <w:rFonts w:ascii="Arial" w:hAnsi="Arial" w:cs="Arial"/>
        </w:rPr>
        <w:t>challenges</w:t>
      </w:r>
      <w:r>
        <w:rPr>
          <w:rFonts w:ascii="Arial" w:hAnsi="Arial" w:cs="Arial"/>
        </w:rPr>
        <w:t xml:space="preserve"> with the proposal.</w:t>
      </w:r>
      <w:r w:rsidRPr="003065E9">
        <w:rPr>
          <w:rFonts w:ascii="Arial" w:hAnsi="Arial" w:cs="Arial"/>
        </w:rPr>
        <w:t xml:space="preserve"> </w:t>
      </w:r>
    </w:p>
    <w:permEnd w:id="243153239"/>
    <w:p w14:paraId="3F657F47" w14:textId="34A9B352"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506DDE"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66A8444D" w14:textId="605125E6" w:rsidR="003065E9" w:rsidRPr="00981E62" w:rsidRDefault="003065E9" w:rsidP="008D4AEE">
      <w:pPr>
        <w:rPr>
          <w:rFonts w:ascii="Arial" w:hAnsi="Arial" w:cs="Arial"/>
        </w:rPr>
      </w:pPr>
      <w:permStart w:id="1278556135" w:edGrp="everyone"/>
      <w:r w:rsidRPr="00981E62">
        <w:rPr>
          <w:rFonts w:ascii="Arial" w:hAnsi="Arial" w:cs="Arial"/>
        </w:rPr>
        <w:t xml:space="preserve">We agree with the proposal. </w:t>
      </w:r>
    </w:p>
    <w:permEnd w:id="1278556135"/>
    <w:p w14:paraId="0D9B3309" w14:textId="2603462F"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506DDE"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70B947FD" w:rsidR="008D4AEE" w:rsidRDefault="003065E9" w:rsidP="008D4AEE">
      <w:pPr>
        <w:rPr>
          <w:rFonts w:ascii="Arial" w:hAnsi="Arial" w:cs="Arial"/>
        </w:rPr>
      </w:pPr>
      <w:permStart w:id="1436115412" w:edGrp="everyone"/>
      <w:r>
        <w:rPr>
          <w:rFonts w:ascii="Arial" w:hAnsi="Arial" w:cs="Arial"/>
        </w:rPr>
        <w:t>We believe these fields are applicable only I the case of CDS products.</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506DDE"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69F2B5EF" w14:textId="37C89D12" w:rsidR="008D4AEE" w:rsidRDefault="003065E9" w:rsidP="008D4AEE">
      <w:pPr>
        <w:rPr>
          <w:rFonts w:ascii="Arial" w:hAnsi="Arial" w:cs="Arial"/>
        </w:rPr>
      </w:pPr>
      <w:permStart w:id="65408407" w:edGrp="everyone"/>
      <w:r w:rsidRPr="003065E9">
        <w:rPr>
          <w:rFonts w:ascii="Arial" w:hAnsi="Arial" w:cs="Arial"/>
        </w:rPr>
        <w:t xml:space="preserve">We do not see any </w:t>
      </w:r>
      <w:r>
        <w:rPr>
          <w:rFonts w:ascii="Arial" w:hAnsi="Arial" w:cs="Arial"/>
        </w:rPr>
        <w:t>specific difficulties with the proposal.</w:t>
      </w:r>
      <w:r w:rsidRPr="003065E9">
        <w:rPr>
          <w:rFonts w:ascii="Arial" w:hAnsi="Arial" w:cs="Arial"/>
        </w:rPr>
        <w:t xml:space="preserve"> </w:t>
      </w:r>
      <w:permEnd w:id="65408407"/>
      <w:r w:rsidR="008D4AEE">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506DDE"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394C7B1A" w14:textId="58E7B1CE" w:rsidR="008D4AEE" w:rsidRPr="00981E62" w:rsidRDefault="00FF5EBA" w:rsidP="008D4AEE">
      <w:pPr>
        <w:rPr>
          <w:rFonts w:ascii="Arial" w:hAnsi="Arial" w:cs="Arial"/>
        </w:rPr>
      </w:pPr>
      <w:permStart w:id="1427064675" w:edGrp="everyone"/>
      <w:r w:rsidRPr="00981E62">
        <w:rPr>
          <w:rFonts w:ascii="Arial" w:hAnsi="Arial" w:cs="Arial"/>
        </w:rPr>
        <w:t xml:space="preserve">We welcome the proposal to replace the Complex Trade Component ID with the "package" concept, but believe ESMA should go further and clearly detach the concept from the one defined in MiFID, which was devised for use in the context of the transparency regime. In contrast, EMIR is aimed at providing regulators with a picture of counterparty exposures and risks in the financial system, for which the concept was devised in the CDE.  A key difference between the MiFID and CDE definitions </w:t>
      </w:r>
      <w:r w:rsidR="005D1B18" w:rsidRPr="00981E62">
        <w:rPr>
          <w:rFonts w:ascii="Arial" w:hAnsi="Arial" w:cs="Arial"/>
        </w:rPr>
        <w:t xml:space="preserve">of package is that in the case of MiFID, ESMA expects all of the components to be instruments that are TOTV (see </w:t>
      </w:r>
      <w:hyperlink r:id="rId27" w:anchor="page=33" w:history="1">
        <w:r w:rsidR="005D1B18" w:rsidRPr="005D1B18">
          <w:rPr>
            <w:rStyle w:val="Hyperlink"/>
            <w:rFonts w:ascii="Arial" w:hAnsi="Arial" w:cs="Arial"/>
          </w:rPr>
          <w:t>ESMA70-872942901-35</w:t>
        </w:r>
      </w:hyperlink>
      <w:r w:rsidR="005D1B18" w:rsidRPr="00981E62">
        <w:rPr>
          <w:rFonts w:ascii="Arial" w:hAnsi="Arial" w:cs="Arial"/>
        </w:rPr>
        <w:t xml:space="preserve">, Section 3, Q&amp;A 4(h)), whereas the </w:t>
      </w:r>
      <w:hyperlink r:id="rId28" w:anchor="page=107" w:history="1">
        <w:r w:rsidR="005D1B18" w:rsidRPr="001A02AD">
          <w:rPr>
            <w:rStyle w:val="Hyperlink"/>
            <w:rFonts w:ascii="Arial" w:hAnsi="Arial" w:cs="Arial"/>
          </w:rPr>
          <w:t>CDE definition</w:t>
        </w:r>
      </w:hyperlink>
      <w:r w:rsidR="005D1B18" w:rsidRPr="00981E62">
        <w:rPr>
          <w:rFonts w:ascii="Arial" w:hAnsi="Arial" w:cs="Arial"/>
        </w:rPr>
        <w:t xml:space="preserve"> states clearly that packages may include both reportable and non-reportable transactions.</w:t>
      </w:r>
    </w:p>
    <w:p w14:paraId="659A4A56" w14:textId="2BD1B703" w:rsidR="005D1B18" w:rsidRPr="00981E62" w:rsidRDefault="005D1B18" w:rsidP="008D4AEE">
      <w:pPr>
        <w:rPr>
          <w:rFonts w:ascii="Arial" w:hAnsi="Arial" w:cs="Arial"/>
        </w:rPr>
      </w:pPr>
    </w:p>
    <w:p w14:paraId="2766BFFD" w14:textId="33CD974E" w:rsidR="005D1B18" w:rsidRPr="00981E62" w:rsidRDefault="005D1B18" w:rsidP="008D4AEE">
      <w:pPr>
        <w:rPr>
          <w:rFonts w:ascii="Arial" w:hAnsi="Arial" w:cs="Arial"/>
        </w:rPr>
      </w:pPr>
      <w:r w:rsidRPr="00981E62">
        <w:rPr>
          <w:rFonts w:ascii="Arial" w:hAnsi="Arial" w:cs="Arial"/>
        </w:rPr>
        <w:t>We believe it would be sensible and appropriate to adopt the CDE definition for the purposes of reporting under EMIR and to note specifically that this differs from MiFID.</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506DDE"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3CCF7361" w14:textId="263E8844" w:rsidR="008D4AEE" w:rsidRDefault="003065E9" w:rsidP="008D4AEE">
      <w:pPr>
        <w:rPr>
          <w:rFonts w:ascii="Arial" w:hAnsi="Arial" w:cs="Arial"/>
        </w:rPr>
      </w:pPr>
      <w:permStart w:id="769154298" w:edGrp="everyone"/>
      <w:r w:rsidRPr="003065E9">
        <w:rPr>
          <w:rFonts w:ascii="Arial" w:hAnsi="Arial" w:cs="Arial"/>
        </w:rPr>
        <w:t xml:space="preserve">We do not see any specific </w:t>
      </w:r>
      <w:r>
        <w:rPr>
          <w:rFonts w:ascii="Arial" w:hAnsi="Arial" w:cs="Arial"/>
        </w:rPr>
        <w:t>difficulties</w:t>
      </w:r>
      <w:r w:rsidRPr="003065E9">
        <w:rPr>
          <w:rFonts w:ascii="Arial" w:hAnsi="Arial" w:cs="Arial"/>
        </w:rPr>
        <w:t xml:space="preserve"> with the proposal.</w:t>
      </w:r>
      <w:r>
        <w:rPr>
          <w:rFonts w:ascii="Arial" w:hAnsi="Arial" w:cs="Arial"/>
        </w:rPr>
        <w:t xml:space="preserve"> </w:t>
      </w:r>
      <w:r w:rsidRPr="003065E9">
        <w:rPr>
          <w:rFonts w:ascii="Arial" w:hAnsi="Arial" w:cs="Arial"/>
        </w:rPr>
        <w:t xml:space="preserve"> </w:t>
      </w:r>
      <w:permEnd w:id="769154298"/>
      <w:r w:rsidR="008D4AEE">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506DDE"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762EDCEA" w14:textId="63E21B02" w:rsidR="008D4AEE" w:rsidRDefault="003065E9" w:rsidP="008D4AEE">
      <w:pPr>
        <w:rPr>
          <w:rFonts w:ascii="Arial" w:hAnsi="Arial" w:cs="Arial"/>
        </w:rPr>
      </w:pPr>
      <w:permStart w:id="341406000" w:edGrp="everyone"/>
      <w:r w:rsidRPr="003065E9">
        <w:rPr>
          <w:rFonts w:ascii="Arial" w:hAnsi="Arial" w:cs="Arial"/>
        </w:rPr>
        <w:t xml:space="preserve">We do not see any specific </w:t>
      </w:r>
      <w:r>
        <w:rPr>
          <w:rFonts w:ascii="Arial" w:hAnsi="Arial" w:cs="Arial"/>
        </w:rPr>
        <w:t>difficulties</w:t>
      </w:r>
      <w:r w:rsidRPr="003065E9">
        <w:rPr>
          <w:rFonts w:ascii="Arial" w:hAnsi="Arial" w:cs="Arial"/>
        </w:rPr>
        <w:t xml:space="preserve"> with the proposal.</w:t>
      </w:r>
      <w:r>
        <w:rPr>
          <w:rFonts w:ascii="Arial" w:hAnsi="Arial" w:cs="Arial"/>
        </w:rPr>
        <w:t xml:space="preserve"> </w:t>
      </w:r>
      <w:r w:rsidRPr="003065E9">
        <w:rPr>
          <w:rFonts w:ascii="Arial" w:hAnsi="Arial" w:cs="Arial"/>
        </w:rPr>
        <w:t xml:space="preserve"> </w:t>
      </w:r>
      <w:permEnd w:id="341406000"/>
      <w:r w:rsidR="008D4AEE">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506DDE"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26916802" w14:textId="74331050" w:rsidR="008D4AEE" w:rsidRDefault="003065E9" w:rsidP="008D4AEE">
      <w:pPr>
        <w:rPr>
          <w:rFonts w:ascii="Arial" w:hAnsi="Arial" w:cs="Arial"/>
        </w:rPr>
      </w:pPr>
      <w:permStart w:id="1680825772" w:edGrp="everyone"/>
      <w:r w:rsidRPr="003065E9">
        <w:rPr>
          <w:rFonts w:ascii="Arial" w:hAnsi="Arial" w:cs="Arial"/>
        </w:rPr>
        <w:t xml:space="preserve">We do not see any specific </w:t>
      </w:r>
      <w:r>
        <w:rPr>
          <w:rFonts w:ascii="Arial" w:hAnsi="Arial" w:cs="Arial"/>
        </w:rPr>
        <w:t>difficulties</w:t>
      </w:r>
      <w:r w:rsidRPr="003065E9">
        <w:rPr>
          <w:rFonts w:ascii="Arial" w:hAnsi="Arial" w:cs="Arial"/>
        </w:rPr>
        <w:t xml:space="preserve"> with the proposal.</w:t>
      </w:r>
      <w:r>
        <w:rPr>
          <w:rFonts w:ascii="Arial" w:hAnsi="Arial" w:cs="Arial"/>
        </w:rPr>
        <w:t xml:space="preserve"> </w:t>
      </w:r>
      <w:r w:rsidRPr="003065E9">
        <w:rPr>
          <w:rFonts w:ascii="Arial" w:hAnsi="Arial" w:cs="Arial"/>
        </w:rPr>
        <w:t xml:space="preserve"> </w:t>
      </w:r>
      <w:permEnd w:id="1680825772"/>
      <w:r w:rsidR="008D4AEE">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506DDE"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5FBCEF35" w14:textId="6E31AB21" w:rsidR="003065E9" w:rsidRDefault="003065E9" w:rsidP="008D4AEE">
      <w:pPr>
        <w:rPr>
          <w:rFonts w:ascii="Arial" w:hAnsi="Arial" w:cs="Arial"/>
        </w:rPr>
      </w:pPr>
      <w:permStart w:id="1385969569" w:edGrp="everyone"/>
      <w:r w:rsidRPr="003065E9">
        <w:rPr>
          <w:rFonts w:ascii="Arial" w:hAnsi="Arial" w:cs="Arial"/>
        </w:rPr>
        <w:t xml:space="preserve">We do not see any </w:t>
      </w:r>
      <w:r>
        <w:rPr>
          <w:rFonts w:ascii="Arial" w:hAnsi="Arial" w:cs="Arial"/>
        </w:rPr>
        <w:t>need for further changes</w:t>
      </w:r>
      <w:r w:rsidRPr="003065E9">
        <w:rPr>
          <w:rFonts w:ascii="Arial" w:hAnsi="Arial" w:cs="Arial"/>
        </w:rPr>
        <w:t>.</w:t>
      </w:r>
      <w:r>
        <w:rPr>
          <w:rFonts w:ascii="Arial" w:hAnsi="Arial" w:cs="Arial"/>
        </w:rPr>
        <w:t xml:space="preserve"> </w:t>
      </w:r>
    </w:p>
    <w:p w14:paraId="4AD98CBF" w14:textId="5FF1F125" w:rsidR="008D4AEE" w:rsidRDefault="003065E9" w:rsidP="008D4AEE">
      <w:pPr>
        <w:rPr>
          <w:rFonts w:ascii="Arial" w:hAnsi="Arial" w:cs="Arial"/>
        </w:rPr>
      </w:pPr>
      <w:r w:rsidRPr="003065E9">
        <w:rPr>
          <w:rFonts w:ascii="Arial" w:hAnsi="Arial" w:cs="Arial"/>
        </w:rPr>
        <w:t xml:space="preserve"> </w:t>
      </w:r>
      <w:permEnd w:id="1385969569"/>
      <w:r w:rsidR="008D4AEE">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506DDE"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1B2471AB" w14:textId="027EF9E4" w:rsidR="008D4AEE" w:rsidRDefault="003065E9" w:rsidP="008D4AEE">
      <w:pPr>
        <w:rPr>
          <w:rFonts w:ascii="Arial" w:hAnsi="Arial" w:cs="Arial"/>
        </w:rPr>
      </w:pPr>
      <w:permStart w:id="336422028" w:edGrp="everyone"/>
      <w:r w:rsidRPr="003065E9">
        <w:rPr>
          <w:rFonts w:ascii="Arial" w:hAnsi="Arial" w:cs="Arial"/>
        </w:rPr>
        <w:t xml:space="preserve">We do not see any specific </w:t>
      </w:r>
      <w:r>
        <w:rPr>
          <w:rFonts w:ascii="Arial" w:hAnsi="Arial" w:cs="Arial"/>
        </w:rPr>
        <w:t>difficulties</w:t>
      </w:r>
      <w:r w:rsidRPr="003065E9">
        <w:rPr>
          <w:rFonts w:ascii="Arial" w:hAnsi="Arial" w:cs="Arial"/>
        </w:rPr>
        <w:t xml:space="preserve"> with the proposal.</w:t>
      </w:r>
      <w:r>
        <w:rPr>
          <w:rFonts w:ascii="Arial" w:hAnsi="Arial" w:cs="Arial"/>
        </w:rPr>
        <w:t xml:space="preserve"> </w:t>
      </w:r>
      <w:r w:rsidRPr="003065E9">
        <w:rPr>
          <w:rFonts w:ascii="Arial" w:hAnsi="Arial" w:cs="Arial"/>
        </w:rPr>
        <w:t xml:space="preserve"> </w:t>
      </w:r>
      <w:permEnd w:id="336422028"/>
      <w:r w:rsidR="008D4AEE">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506DDE"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47E732DE" w14:textId="3C9AF302" w:rsidR="00B61D40" w:rsidRDefault="00A86821" w:rsidP="00B61D40">
      <w:pPr>
        <w:rPr>
          <w:rFonts w:ascii="Arial" w:hAnsi="Arial" w:cs="Arial"/>
        </w:rPr>
      </w:pPr>
      <w:permStart w:id="1085436883" w:edGrp="everyone"/>
      <w:r>
        <w:rPr>
          <w:rFonts w:ascii="Arial" w:hAnsi="Arial" w:cs="Arial"/>
        </w:rPr>
        <w:t>We note that p</w:t>
      </w:r>
      <w:r w:rsidR="00B61D40" w:rsidRPr="00B61D40">
        <w:rPr>
          <w:rFonts w:ascii="Arial" w:hAnsi="Arial" w:cs="Arial"/>
        </w:rPr>
        <w:t>ara</w:t>
      </w:r>
      <w:r>
        <w:rPr>
          <w:rFonts w:ascii="Arial" w:hAnsi="Arial" w:cs="Arial"/>
        </w:rPr>
        <w:t>graph</w:t>
      </w:r>
      <w:r w:rsidR="00B61D40" w:rsidRPr="00B61D40">
        <w:rPr>
          <w:rFonts w:ascii="Arial" w:hAnsi="Arial" w:cs="Arial"/>
        </w:rPr>
        <w:t xml:space="preserve"> 326 </w:t>
      </w:r>
      <w:r>
        <w:rPr>
          <w:rFonts w:ascii="Arial" w:hAnsi="Arial" w:cs="Arial"/>
        </w:rPr>
        <w:t xml:space="preserve">in the consultation indicates that ESMA plans to </w:t>
      </w:r>
      <w:r w:rsidR="00B61D40" w:rsidRPr="00B61D40">
        <w:rPr>
          <w:rFonts w:ascii="Arial" w:hAnsi="Arial" w:cs="Arial"/>
        </w:rPr>
        <w:t xml:space="preserve">adopt CDE, but </w:t>
      </w:r>
      <w:r>
        <w:rPr>
          <w:rFonts w:ascii="Arial" w:hAnsi="Arial" w:cs="Arial"/>
        </w:rPr>
        <w:t>the field tables in the proposed R</w:t>
      </w:r>
      <w:r w:rsidR="00B61D40" w:rsidRPr="00B61D40">
        <w:rPr>
          <w:rFonts w:ascii="Arial" w:hAnsi="Arial" w:cs="Arial"/>
        </w:rPr>
        <w:t>TS</w:t>
      </w:r>
      <w:r>
        <w:rPr>
          <w:rFonts w:ascii="Arial" w:hAnsi="Arial" w:cs="Arial"/>
        </w:rPr>
        <w:t>/ITS appear to be in</w:t>
      </w:r>
      <w:r w:rsidR="00B61D40" w:rsidRPr="00B61D40">
        <w:rPr>
          <w:rFonts w:ascii="Arial" w:hAnsi="Arial" w:cs="Arial"/>
        </w:rPr>
        <w:t>consistent with that</w:t>
      </w:r>
      <w:r>
        <w:rPr>
          <w:rFonts w:ascii="Arial" w:hAnsi="Arial" w:cs="Arial"/>
        </w:rPr>
        <w:t>, as follows:</w:t>
      </w:r>
    </w:p>
    <w:p w14:paraId="6A558AC8" w14:textId="77777777" w:rsidR="00A86821" w:rsidRPr="00B61D40" w:rsidRDefault="00A86821" w:rsidP="00B61D40">
      <w:pPr>
        <w:rPr>
          <w:rFonts w:ascii="Arial" w:hAnsi="Arial" w:cs="Arial"/>
        </w:rPr>
      </w:pPr>
    </w:p>
    <w:p w14:paraId="0B9750CF" w14:textId="3C0B01BA" w:rsidR="00B61D40" w:rsidRPr="00B61D40" w:rsidRDefault="00B61D40" w:rsidP="00A86821">
      <w:pPr>
        <w:tabs>
          <w:tab w:val="left" w:pos="3402"/>
        </w:tabs>
        <w:rPr>
          <w:rFonts w:ascii="Arial" w:hAnsi="Arial" w:cs="Arial"/>
        </w:rPr>
      </w:pPr>
      <w:r w:rsidRPr="00A86821">
        <w:rPr>
          <w:rFonts w:ascii="Arial" w:hAnsi="Arial" w:cs="Arial"/>
          <w:u w:val="single"/>
        </w:rPr>
        <w:t>CDE</w:t>
      </w:r>
      <w:r w:rsidR="00A86821">
        <w:rPr>
          <w:rFonts w:ascii="Arial" w:hAnsi="Arial" w:cs="Arial"/>
        </w:rPr>
        <w:tab/>
      </w:r>
      <w:r w:rsidRPr="00A86821">
        <w:rPr>
          <w:rFonts w:ascii="Arial" w:hAnsi="Arial" w:cs="Arial"/>
          <w:u w:val="single"/>
        </w:rPr>
        <w:t>RTS</w:t>
      </w:r>
      <w:r w:rsidR="00A86821" w:rsidRPr="00A86821">
        <w:rPr>
          <w:rFonts w:ascii="Arial" w:hAnsi="Arial" w:cs="Arial"/>
          <w:u w:val="single"/>
        </w:rPr>
        <w:t>/ITS</w:t>
      </w:r>
    </w:p>
    <w:p w14:paraId="4703C6BA" w14:textId="5BB9B13C" w:rsidR="00B61D40" w:rsidRPr="00B61D40" w:rsidRDefault="00B61D40" w:rsidP="00A86821">
      <w:pPr>
        <w:tabs>
          <w:tab w:val="left" w:pos="3402"/>
        </w:tabs>
        <w:rPr>
          <w:rFonts w:ascii="Arial" w:hAnsi="Arial" w:cs="Arial"/>
        </w:rPr>
      </w:pPr>
      <w:r w:rsidRPr="00B61D40">
        <w:rPr>
          <w:rFonts w:ascii="Arial" w:hAnsi="Arial" w:cs="Arial"/>
        </w:rPr>
        <w:t>Basket code</w:t>
      </w:r>
      <w:r w:rsidR="00A86821">
        <w:rPr>
          <w:rFonts w:ascii="Arial" w:hAnsi="Arial" w:cs="Arial"/>
        </w:rPr>
        <w:tab/>
      </w:r>
      <w:r w:rsidRPr="00B61D40">
        <w:rPr>
          <w:rFonts w:ascii="Arial" w:hAnsi="Arial" w:cs="Arial"/>
        </w:rPr>
        <w:t>not present</w:t>
      </w:r>
    </w:p>
    <w:p w14:paraId="76EBA9E1" w14:textId="34DF8CBD" w:rsidR="00B61D40" w:rsidRPr="00B61D40" w:rsidRDefault="00B61D40" w:rsidP="00A86821">
      <w:pPr>
        <w:tabs>
          <w:tab w:val="left" w:pos="3402"/>
        </w:tabs>
        <w:rPr>
          <w:rFonts w:ascii="Arial" w:hAnsi="Arial" w:cs="Arial"/>
        </w:rPr>
      </w:pPr>
      <w:r w:rsidRPr="00B61D40">
        <w:rPr>
          <w:rFonts w:ascii="Arial" w:hAnsi="Arial" w:cs="Arial"/>
        </w:rPr>
        <w:t>Constituent identifier</w:t>
      </w:r>
      <w:r w:rsidR="00A86821">
        <w:rPr>
          <w:rFonts w:ascii="Arial" w:hAnsi="Arial" w:cs="Arial"/>
        </w:rPr>
        <w:tab/>
      </w:r>
      <w:r w:rsidRPr="00B61D40">
        <w:rPr>
          <w:rFonts w:ascii="Arial" w:hAnsi="Arial" w:cs="Arial"/>
        </w:rPr>
        <w:t>2.14</w:t>
      </w:r>
    </w:p>
    <w:p w14:paraId="49E1148C" w14:textId="1875893D" w:rsidR="00B61D40" w:rsidRPr="00B61D40" w:rsidRDefault="00B61D40" w:rsidP="00A86821">
      <w:pPr>
        <w:tabs>
          <w:tab w:val="left" w:pos="3402"/>
        </w:tabs>
        <w:rPr>
          <w:rFonts w:ascii="Arial" w:hAnsi="Arial" w:cs="Arial"/>
        </w:rPr>
      </w:pPr>
      <w:r w:rsidRPr="00B61D40">
        <w:rPr>
          <w:rFonts w:ascii="Arial" w:hAnsi="Arial" w:cs="Arial"/>
        </w:rPr>
        <w:t xml:space="preserve">Identifier source </w:t>
      </w:r>
      <w:r w:rsidR="00A86821">
        <w:rPr>
          <w:rFonts w:ascii="Arial" w:hAnsi="Arial" w:cs="Arial"/>
        </w:rPr>
        <w:tab/>
        <w:t xml:space="preserve">not present, although </w:t>
      </w:r>
      <w:r w:rsidRPr="00B61D40">
        <w:rPr>
          <w:rFonts w:ascii="Arial" w:hAnsi="Arial" w:cs="Arial"/>
        </w:rPr>
        <w:t xml:space="preserve">2.14 must be </w:t>
      </w:r>
      <w:r w:rsidR="00A86821">
        <w:rPr>
          <w:rFonts w:ascii="Arial" w:hAnsi="Arial" w:cs="Arial"/>
        </w:rPr>
        <w:t xml:space="preserve">an </w:t>
      </w:r>
      <w:r w:rsidRPr="00B61D40">
        <w:rPr>
          <w:rFonts w:ascii="Arial" w:hAnsi="Arial" w:cs="Arial"/>
        </w:rPr>
        <w:t>ISIN</w:t>
      </w:r>
    </w:p>
    <w:p w14:paraId="5ADE29C8" w14:textId="236858DE" w:rsidR="00B61D40" w:rsidRPr="00B61D40" w:rsidRDefault="00B61D40" w:rsidP="00A86821">
      <w:pPr>
        <w:tabs>
          <w:tab w:val="left" w:pos="3402"/>
        </w:tabs>
        <w:rPr>
          <w:rFonts w:ascii="Arial" w:hAnsi="Arial" w:cs="Arial"/>
        </w:rPr>
      </w:pPr>
      <w:r w:rsidRPr="00B61D40">
        <w:rPr>
          <w:rFonts w:ascii="Arial" w:hAnsi="Arial" w:cs="Arial"/>
        </w:rPr>
        <w:t>Constituent unit of measure</w:t>
      </w:r>
      <w:r w:rsidR="00A86821">
        <w:rPr>
          <w:rFonts w:ascii="Arial" w:hAnsi="Arial" w:cs="Arial"/>
        </w:rPr>
        <w:tab/>
      </w:r>
      <w:r w:rsidRPr="00B61D40">
        <w:rPr>
          <w:rFonts w:ascii="Arial" w:hAnsi="Arial" w:cs="Arial"/>
        </w:rPr>
        <w:t>not present</w:t>
      </w:r>
    </w:p>
    <w:p w14:paraId="64158E5E" w14:textId="42DA9F09" w:rsidR="008D4AEE" w:rsidRDefault="00B61D40" w:rsidP="00A86821">
      <w:pPr>
        <w:tabs>
          <w:tab w:val="left" w:pos="3402"/>
        </w:tabs>
        <w:rPr>
          <w:rFonts w:ascii="Arial" w:hAnsi="Arial" w:cs="Arial"/>
        </w:rPr>
      </w:pPr>
      <w:r w:rsidRPr="00B61D40">
        <w:rPr>
          <w:rFonts w:ascii="Arial" w:hAnsi="Arial" w:cs="Arial"/>
        </w:rPr>
        <w:t>Constituent quantity</w:t>
      </w:r>
      <w:r w:rsidR="00A86821">
        <w:rPr>
          <w:rFonts w:ascii="Arial" w:hAnsi="Arial" w:cs="Arial"/>
        </w:rPr>
        <w:tab/>
      </w:r>
      <w:r w:rsidRPr="00B61D40">
        <w:rPr>
          <w:rFonts w:ascii="Arial" w:hAnsi="Arial" w:cs="Arial"/>
        </w:rPr>
        <w:t xml:space="preserve">2.55, but see </w:t>
      </w:r>
      <w:r w:rsidR="00A86821">
        <w:rPr>
          <w:rFonts w:ascii="Arial" w:hAnsi="Arial" w:cs="Arial"/>
        </w:rPr>
        <w:t xml:space="preserve">our response to </w:t>
      </w:r>
      <w:r w:rsidRPr="00B61D40">
        <w:rPr>
          <w:rFonts w:ascii="Arial" w:hAnsi="Arial" w:cs="Arial"/>
        </w:rPr>
        <w:t>Q82</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506DDE"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42698DF1" w:rsidR="008D4AEE" w:rsidRPr="00981E62" w:rsidRDefault="00A86821" w:rsidP="008D4AEE">
      <w:pPr>
        <w:rPr>
          <w:rFonts w:ascii="Arial" w:hAnsi="Arial" w:cs="Arial"/>
        </w:rPr>
      </w:pPr>
      <w:permStart w:id="188624231" w:edGrp="everyone"/>
      <w:r w:rsidRPr="00981E62">
        <w:rPr>
          <w:rFonts w:ascii="Arial" w:hAnsi="Arial" w:cs="Arial"/>
        </w:rPr>
        <w:t>The affected products typically are not traded by IA members, so we have insufficient information to comment.</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506DDE"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311B1750" w:rsidR="008D4AEE" w:rsidRPr="00981E62" w:rsidRDefault="00A86821" w:rsidP="008D4AEE">
      <w:pPr>
        <w:rPr>
          <w:rFonts w:ascii="Arial" w:hAnsi="Arial" w:cs="Arial"/>
        </w:rPr>
      </w:pPr>
      <w:permStart w:id="754976739" w:edGrp="everyone"/>
      <w:r w:rsidRPr="00981E62">
        <w:rPr>
          <w:rFonts w:ascii="Arial" w:hAnsi="Arial" w:cs="Arial"/>
        </w:rPr>
        <w:t>We have insufficient information from IA members to comment.</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506DDE"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15143C49" w14:textId="77777777" w:rsidR="00A86821" w:rsidRPr="00981E62" w:rsidRDefault="00A86821" w:rsidP="008D4AEE">
      <w:pPr>
        <w:rPr>
          <w:rFonts w:ascii="Arial" w:hAnsi="Arial" w:cs="Arial"/>
        </w:rPr>
      </w:pPr>
      <w:permStart w:id="1724125427" w:edGrp="everyone"/>
      <w:r w:rsidRPr="00981E62">
        <w:rPr>
          <w:rFonts w:ascii="Arial" w:hAnsi="Arial" w:cs="Arial"/>
        </w:rPr>
        <w:t>We have insufficient information from IA members to comment.</w:t>
      </w:r>
    </w:p>
    <w:permEnd w:id="1724125427"/>
    <w:p w14:paraId="64B6C866" w14:textId="146F837E"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506DDE"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1800E7C9" w14:textId="43C681DF" w:rsidR="0049015A" w:rsidRPr="00981E62" w:rsidRDefault="00F77EDF" w:rsidP="008D4AEE">
      <w:pPr>
        <w:rPr>
          <w:rFonts w:ascii="Arial" w:hAnsi="Arial" w:cs="Arial"/>
        </w:rPr>
      </w:pPr>
      <w:permStart w:id="799877977" w:edGrp="everyone"/>
      <w:r w:rsidRPr="00981E62">
        <w:rPr>
          <w:rFonts w:ascii="Arial" w:hAnsi="Arial" w:cs="Arial"/>
        </w:rPr>
        <w:t xml:space="preserve">Although it will be significant challenge for firms to update all outstanding trades to the latest standards, we understand and accept </w:t>
      </w:r>
      <w:r w:rsidR="00A86821" w:rsidRPr="00981E62">
        <w:rPr>
          <w:rFonts w:ascii="Arial" w:hAnsi="Arial" w:cs="Arial"/>
        </w:rPr>
        <w:t xml:space="preserve">the rationale </w:t>
      </w:r>
      <w:r w:rsidRPr="00981E62">
        <w:rPr>
          <w:rFonts w:ascii="Arial" w:hAnsi="Arial" w:cs="Arial"/>
        </w:rPr>
        <w:t>for doing so.</w:t>
      </w:r>
      <w:r w:rsidR="00B61D40" w:rsidRPr="00981E62">
        <w:rPr>
          <w:rFonts w:ascii="Arial" w:hAnsi="Arial" w:cs="Arial"/>
        </w:rPr>
        <w:t xml:space="preserve"> </w:t>
      </w:r>
    </w:p>
    <w:permEnd w:id="799877977"/>
    <w:p w14:paraId="3A1F9983" w14:textId="77C9E91D"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506DDE"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178B1058" w14:textId="4F5E0658" w:rsidR="00B61D40" w:rsidRPr="00981E62" w:rsidRDefault="00F77EDF" w:rsidP="00B61D40">
      <w:pPr>
        <w:rPr>
          <w:rFonts w:ascii="Arial" w:hAnsi="Arial" w:cs="Arial"/>
        </w:rPr>
      </w:pPr>
      <w:permStart w:id="651702889" w:edGrp="everyone"/>
      <w:r w:rsidRPr="00981E62">
        <w:rPr>
          <w:rFonts w:ascii="Arial" w:hAnsi="Arial" w:cs="Arial"/>
        </w:rPr>
        <w:t xml:space="preserve">We believe the two most </w:t>
      </w:r>
      <w:r w:rsidR="00A81C5A" w:rsidRPr="00981E62">
        <w:rPr>
          <w:rFonts w:ascii="Arial" w:hAnsi="Arial" w:cs="Arial"/>
        </w:rPr>
        <w:t>s</w:t>
      </w:r>
      <w:r w:rsidRPr="00981E62">
        <w:rPr>
          <w:rFonts w:ascii="Arial" w:hAnsi="Arial" w:cs="Arial"/>
        </w:rPr>
        <w:t>ig</w:t>
      </w:r>
      <w:r w:rsidR="00A81C5A" w:rsidRPr="00981E62">
        <w:rPr>
          <w:rFonts w:ascii="Arial" w:hAnsi="Arial" w:cs="Arial"/>
        </w:rPr>
        <w:t>nif</w:t>
      </w:r>
      <w:r w:rsidRPr="00981E62">
        <w:rPr>
          <w:rFonts w:ascii="Arial" w:hAnsi="Arial" w:cs="Arial"/>
        </w:rPr>
        <w:t>i</w:t>
      </w:r>
      <w:r w:rsidR="00A81C5A" w:rsidRPr="00981E62">
        <w:rPr>
          <w:rFonts w:ascii="Arial" w:hAnsi="Arial" w:cs="Arial"/>
        </w:rPr>
        <w:t>c</w:t>
      </w:r>
      <w:r w:rsidRPr="00981E62">
        <w:rPr>
          <w:rFonts w:ascii="Arial" w:hAnsi="Arial" w:cs="Arial"/>
        </w:rPr>
        <w:t>ant challenges will be the v</w:t>
      </w:r>
      <w:r w:rsidR="00B61D40" w:rsidRPr="00981E62">
        <w:rPr>
          <w:rFonts w:ascii="Arial" w:hAnsi="Arial" w:cs="Arial"/>
        </w:rPr>
        <w:t xml:space="preserve">olume of </w:t>
      </w:r>
      <w:r w:rsidRPr="00981E62">
        <w:rPr>
          <w:rFonts w:ascii="Arial" w:hAnsi="Arial" w:cs="Arial"/>
        </w:rPr>
        <w:t>open trades that need to be re-</w:t>
      </w:r>
      <w:r w:rsidR="00B61D40" w:rsidRPr="00981E62">
        <w:rPr>
          <w:rFonts w:ascii="Arial" w:hAnsi="Arial" w:cs="Arial"/>
        </w:rPr>
        <w:t>report</w:t>
      </w:r>
      <w:r w:rsidRPr="00981E62">
        <w:rPr>
          <w:rFonts w:ascii="Arial" w:hAnsi="Arial" w:cs="Arial"/>
        </w:rPr>
        <w:t>ed, and the inevitable reconciliation breaks this will cause.</w:t>
      </w:r>
    </w:p>
    <w:p w14:paraId="65264871" w14:textId="1DD6EB9D" w:rsidR="00666938" w:rsidRPr="00981E62" w:rsidRDefault="00666938" w:rsidP="00B61D40">
      <w:pPr>
        <w:rPr>
          <w:rFonts w:ascii="Arial" w:hAnsi="Arial" w:cs="Arial"/>
        </w:rPr>
      </w:pPr>
    </w:p>
    <w:p w14:paraId="5919A8DF" w14:textId="2A1EB8B6" w:rsidR="00666938" w:rsidRPr="00981E62" w:rsidRDefault="00666938" w:rsidP="00B61D40">
      <w:pPr>
        <w:rPr>
          <w:rFonts w:ascii="Arial" w:hAnsi="Arial" w:cs="Arial"/>
        </w:rPr>
      </w:pPr>
      <w:r w:rsidRPr="00981E62">
        <w:rPr>
          <w:rFonts w:ascii="Arial" w:hAnsi="Arial" w:cs="Arial"/>
        </w:rPr>
        <w:t>We recommend that an additional Action Type be included specifically for this purpose, for example "UPDT" in order to clearly distinguish these reports from new transactions or modifications of the contract terms.  This might be combined with the Event Type "TRDE"</w:t>
      </w:r>
      <w:r w:rsidR="00FD3B4F" w:rsidRPr="00981E62">
        <w:rPr>
          <w:rFonts w:ascii="Arial" w:hAnsi="Arial" w:cs="Arial"/>
        </w:rPr>
        <w:t>.</w:t>
      </w:r>
    </w:p>
    <w:p w14:paraId="77A0E43F" w14:textId="1EAE586F" w:rsidR="00336144" w:rsidRPr="00981E62" w:rsidRDefault="00336144" w:rsidP="00B61D40">
      <w:pPr>
        <w:rPr>
          <w:rFonts w:ascii="Arial" w:hAnsi="Arial" w:cs="Arial"/>
        </w:rPr>
      </w:pPr>
    </w:p>
    <w:p w14:paraId="21836C86" w14:textId="118D2A0D" w:rsidR="00336144" w:rsidRPr="00981E62" w:rsidRDefault="00336144" w:rsidP="00B61D40">
      <w:pPr>
        <w:rPr>
          <w:rFonts w:ascii="Arial" w:hAnsi="Arial" w:cs="Arial"/>
        </w:rPr>
      </w:pPr>
      <w:r w:rsidRPr="00981E62">
        <w:rPr>
          <w:rFonts w:ascii="Arial" w:hAnsi="Arial" w:cs="Arial"/>
        </w:rPr>
        <w:t xml:space="preserve">This combination would not be required </w:t>
      </w:r>
      <w:r w:rsidR="00E238BF" w:rsidRPr="00981E62">
        <w:rPr>
          <w:rFonts w:ascii="Arial" w:hAnsi="Arial" w:cs="Arial"/>
        </w:rPr>
        <w:t xml:space="preserve">in practice </w:t>
      </w:r>
      <w:r w:rsidRPr="00981E62">
        <w:rPr>
          <w:rFonts w:ascii="Arial" w:hAnsi="Arial" w:cs="Arial"/>
        </w:rPr>
        <w:t>beyond the transitional period</w:t>
      </w:r>
      <w:r w:rsidR="00E238BF" w:rsidRPr="00981E62">
        <w:rPr>
          <w:rFonts w:ascii="Arial" w:hAnsi="Arial" w:cs="Arial"/>
        </w:rPr>
        <w:t>,</w:t>
      </w:r>
      <w:r w:rsidRPr="00981E62">
        <w:rPr>
          <w:rFonts w:ascii="Arial" w:hAnsi="Arial" w:cs="Arial"/>
        </w:rPr>
        <w:t xml:space="preserve"> but could also be valuable should there be any need for substantive change to the reporting standards in the future.</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506DDE"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24C30DF1" w14:textId="78413E52" w:rsidR="008D4AEE" w:rsidRDefault="00317858" w:rsidP="008D4AEE">
      <w:pPr>
        <w:rPr>
          <w:rFonts w:ascii="Arial" w:hAnsi="Arial" w:cs="Arial"/>
        </w:rPr>
      </w:pPr>
      <w:permStart w:id="342188178" w:edGrp="everyone"/>
      <w:r>
        <w:rPr>
          <w:rFonts w:ascii="Arial" w:hAnsi="Arial" w:cs="Arial"/>
        </w:rPr>
        <w:lastRenderedPageBreak/>
        <w:t xml:space="preserve">We would recommend a period of </w:t>
      </w:r>
      <w:r w:rsidRPr="00981E62">
        <w:rPr>
          <w:rFonts w:ascii="Arial" w:hAnsi="Arial" w:cs="Arial"/>
        </w:rPr>
        <w:t>six months</w:t>
      </w:r>
      <w:r>
        <w:rPr>
          <w:rFonts w:ascii="Arial" w:hAnsi="Arial" w:cs="Arial"/>
        </w:rPr>
        <w:t xml:space="preserve"> for counterparties to update the reports for legacy open trades following the reporting start date.</w:t>
      </w:r>
      <w:r w:rsidR="00F77EDF">
        <w:rPr>
          <w:rFonts w:ascii="Arial" w:hAnsi="Arial" w:cs="Arial"/>
        </w:rPr>
        <w:t xml:space="preserve">  </w:t>
      </w:r>
      <w:r w:rsidR="00FD3B4F" w:rsidRPr="00981E62">
        <w:rPr>
          <w:rFonts w:ascii="Arial" w:hAnsi="Arial" w:cs="Arial"/>
        </w:rPr>
        <w:t>Details of t</w:t>
      </w:r>
      <w:r w:rsidR="00F77EDF" w:rsidRPr="00981E62">
        <w:rPr>
          <w:rFonts w:ascii="Arial" w:hAnsi="Arial" w:cs="Arial"/>
        </w:rPr>
        <w:t xml:space="preserve">rades </w:t>
      </w:r>
      <w:r w:rsidR="00FD3B4F" w:rsidRPr="00981E62">
        <w:rPr>
          <w:rFonts w:ascii="Arial" w:hAnsi="Arial" w:cs="Arial"/>
        </w:rPr>
        <w:t xml:space="preserve">or positions </w:t>
      </w:r>
      <w:r w:rsidR="00F77EDF" w:rsidRPr="00981E62">
        <w:rPr>
          <w:rFonts w:ascii="Arial" w:hAnsi="Arial" w:cs="Arial"/>
        </w:rPr>
        <w:t xml:space="preserve">that </w:t>
      </w:r>
      <w:r w:rsidR="00FD3B4F" w:rsidRPr="00981E62">
        <w:rPr>
          <w:rFonts w:ascii="Arial" w:hAnsi="Arial" w:cs="Arial"/>
        </w:rPr>
        <w:t>were</w:t>
      </w:r>
      <w:r w:rsidR="00F77EDF" w:rsidRPr="00981E62">
        <w:rPr>
          <w:rFonts w:ascii="Arial" w:hAnsi="Arial" w:cs="Arial"/>
        </w:rPr>
        <w:t xml:space="preserve"> subject to lifecycle events during that time </w:t>
      </w:r>
      <w:r w:rsidR="00FD3B4F" w:rsidRPr="00981E62">
        <w:rPr>
          <w:rFonts w:ascii="Arial" w:hAnsi="Arial" w:cs="Arial"/>
        </w:rPr>
        <w:t>would be updated though the modification report pertaining to the event.</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506DDE"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137BA3F2" w14:textId="77777777" w:rsidR="005868AE" w:rsidRPr="00981E62" w:rsidRDefault="003B3DB6" w:rsidP="008D4AEE">
      <w:pPr>
        <w:rPr>
          <w:rFonts w:ascii="Arial" w:hAnsi="Arial" w:cs="Arial"/>
        </w:rPr>
      </w:pPr>
      <w:permStart w:id="732370368" w:edGrp="everyone"/>
      <w:r w:rsidRPr="00981E62">
        <w:rPr>
          <w:rFonts w:ascii="Arial" w:hAnsi="Arial" w:cs="Arial"/>
        </w:rPr>
        <w:t>We would urge that the timeline be determined ultimately by the critical need for the final ISO 20022 messages and validation rules to be are available sufficiently in advance of the application date for counterparties and trade repositories to undertake the necessary development and testing.</w:t>
      </w:r>
    </w:p>
    <w:p w14:paraId="70A9079E" w14:textId="77777777" w:rsidR="005868AE" w:rsidRPr="00981E62" w:rsidRDefault="005868AE" w:rsidP="008D4AEE">
      <w:pPr>
        <w:rPr>
          <w:rFonts w:ascii="Arial" w:hAnsi="Arial" w:cs="Arial"/>
        </w:rPr>
      </w:pPr>
    </w:p>
    <w:p w14:paraId="13A01D2F" w14:textId="55758FDB" w:rsidR="008D4AEE" w:rsidRDefault="003B3DB6" w:rsidP="008D4AEE">
      <w:pPr>
        <w:rPr>
          <w:rFonts w:ascii="Arial" w:hAnsi="Arial" w:cs="Arial"/>
        </w:rPr>
      </w:pPr>
      <w:r w:rsidRPr="00981E62">
        <w:rPr>
          <w:rFonts w:ascii="Arial" w:hAnsi="Arial" w:cs="Arial"/>
        </w:rPr>
        <w:t xml:space="preserve">We would also ask that </w:t>
      </w:r>
      <w:r w:rsidR="005868AE" w:rsidRPr="00981E62">
        <w:rPr>
          <w:rFonts w:ascii="Arial" w:hAnsi="Arial" w:cs="Arial"/>
        </w:rPr>
        <w:t>ESMA ensures that the UPI will have been established as an ISO standard and implemented by the ANNA DSB in order that counterparties are not required to build solutions to deliver data that would not be required once the UPI becomes available.</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506DDE"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3B755644" w14:textId="0D5D8272" w:rsidR="008D4AEE" w:rsidRDefault="004A3A44" w:rsidP="008D4AEE">
      <w:pPr>
        <w:rPr>
          <w:rFonts w:ascii="Arial" w:hAnsi="Arial" w:cs="Arial"/>
        </w:rPr>
      </w:pPr>
      <w:permStart w:id="632516109" w:edGrp="everyone"/>
      <w:r>
        <w:rPr>
          <w:rFonts w:ascii="Arial" w:hAnsi="Arial" w:cs="Arial"/>
        </w:rPr>
        <w:t>We agree with the proposals.</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506DDE"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D138874" w14:textId="7F0E2123" w:rsidR="00B61D40" w:rsidRDefault="004A3A44" w:rsidP="008D4AEE">
      <w:pPr>
        <w:rPr>
          <w:rFonts w:ascii="Arial" w:hAnsi="Arial" w:cs="Arial"/>
        </w:rPr>
      </w:pPr>
      <w:permStart w:id="517109868" w:edGrp="everyone"/>
      <w:r>
        <w:rPr>
          <w:rFonts w:ascii="Arial" w:hAnsi="Arial" w:cs="Arial"/>
        </w:rPr>
        <w:t>As noted in our response to Q37, we would suggest the imposition of a time limit of 30 days in which a report can be revived following</w:t>
      </w:r>
      <w:r w:rsidRPr="004A3A44">
        <w:rPr>
          <w:rFonts w:ascii="Arial" w:hAnsi="Arial" w:cs="Arial"/>
        </w:rPr>
        <w:t xml:space="preserve"> the error or termination report.</w:t>
      </w:r>
    </w:p>
    <w:permEnd w:id="517109868"/>
    <w:p w14:paraId="590023EA" w14:textId="2B2BDEEA"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506DDE"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76C5BA12" w14:textId="21B8CD8F" w:rsidR="008D4AEE" w:rsidRDefault="004A3A44" w:rsidP="008D4AEE">
      <w:pPr>
        <w:rPr>
          <w:rFonts w:ascii="Arial" w:hAnsi="Arial" w:cs="Arial"/>
        </w:rPr>
      </w:pPr>
      <w:bookmarkStart w:id="3" w:name="_Hlk43188326"/>
      <w:permStart w:id="1982670015" w:edGrp="everyone"/>
      <w:r>
        <w:rPr>
          <w:rFonts w:ascii="Arial" w:hAnsi="Arial" w:cs="Arial"/>
        </w:rPr>
        <w:t>We believe the proposed procedures will be sufficient.</w:t>
      </w:r>
      <w:bookmarkEnd w:id="3"/>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506DDE"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67AA39AF" w14:textId="77777777" w:rsidR="004A3A44" w:rsidRDefault="004A3A44" w:rsidP="008D4AEE">
      <w:pPr>
        <w:rPr>
          <w:rFonts w:ascii="Arial" w:hAnsi="Arial" w:cs="Arial"/>
        </w:rPr>
      </w:pPr>
      <w:permStart w:id="1568633709" w:edGrp="everyone"/>
      <w:r>
        <w:rPr>
          <w:rFonts w:ascii="Arial" w:hAnsi="Arial" w:cs="Arial"/>
        </w:rPr>
        <w:t>We believe the proposed procedures will be sufficient.</w:t>
      </w:r>
    </w:p>
    <w:permEnd w:id="1568633709"/>
    <w:p w14:paraId="5CD655BE" w14:textId="30EF4EAE"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506DDE"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439E72BF" w14:textId="24AAF34A" w:rsidR="004A3A44" w:rsidRDefault="004A3A44" w:rsidP="008D4AEE">
      <w:pPr>
        <w:rPr>
          <w:rFonts w:ascii="Arial" w:hAnsi="Arial" w:cs="Arial"/>
        </w:rPr>
      </w:pPr>
      <w:permStart w:id="1228152238" w:edGrp="everyone"/>
      <w:r>
        <w:rPr>
          <w:rFonts w:ascii="Arial" w:hAnsi="Arial" w:cs="Arial"/>
        </w:rPr>
        <w:t xml:space="preserve">We believe the proposed procedures </w:t>
      </w:r>
      <w:r w:rsidR="00A3266D">
        <w:rPr>
          <w:rFonts w:ascii="Arial" w:hAnsi="Arial" w:cs="Arial"/>
        </w:rPr>
        <w:t>are appropriate</w:t>
      </w:r>
      <w:r>
        <w:rPr>
          <w:rFonts w:ascii="Arial" w:hAnsi="Arial" w:cs="Arial"/>
        </w:rPr>
        <w:t>.</w:t>
      </w:r>
    </w:p>
    <w:permEnd w:id="1228152238"/>
    <w:p w14:paraId="3CEA69BA" w14:textId="22F59D40"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506DDE"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6965E22D" w14:textId="56F873E2" w:rsidR="004A3A44" w:rsidRDefault="004A3A44" w:rsidP="008D4AEE">
      <w:pPr>
        <w:rPr>
          <w:rFonts w:ascii="Arial" w:hAnsi="Arial" w:cs="Arial"/>
        </w:rPr>
      </w:pPr>
      <w:permStart w:id="902699207" w:edGrp="everyone"/>
      <w:r>
        <w:rPr>
          <w:rFonts w:ascii="Arial" w:hAnsi="Arial" w:cs="Arial"/>
        </w:rPr>
        <w:t>We believe the proposed procedures are sufficiently clear.</w:t>
      </w:r>
    </w:p>
    <w:permEnd w:id="902699207"/>
    <w:p w14:paraId="26A645D1" w14:textId="4099DAA6"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506DDE"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3BB8096C" w14:textId="41166467" w:rsidR="00B61D40" w:rsidRPr="00981E62" w:rsidRDefault="00A3266D" w:rsidP="00B61D40">
      <w:pPr>
        <w:rPr>
          <w:rFonts w:ascii="Arial" w:hAnsi="Arial" w:cs="Arial"/>
        </w:rPr>
      </w:pPr>
      <w:permStart w:id="415322040" w:edGrp="everyone"/>
      <w:r w:rsidRPr="00981E62">
        <w:rPr>
          <w:rFonts w:ascii="Arial" w:hAnsi="Arial" w:cs="Arial"/>
        </w:rPr>
        <w:t>We believe the proposed procedures will be sufficient.</w:t>
      </w:r>
    </w:p>
    <w:p w14:paraId="1316A2E1" w14:textId="77777777" w:rsidR="00A3266D" w:rsidRPr="00A3266D" w:rsidRDefault="00A3266D" w:rsidP="00B61D40">
      <w:pPr>
        <w:rPr>
          <w:rFonts w:ascii="Arial" w:hAnsi="Arial" w:cs="Arial"/>
        </w:rPr>
      </w:pPr>
    </w:p>
    <w:p w14:paraId="79B8D7A8" w14:textId="76BFCABA" w:rsidR="00B61D40" w:rsidRDefault="00A3266D" w:rsidP="008D4AEE">
      <w:pPr>
        <w:rPr>
          <w:rFonts w:ascii="Arial" w:hAnsi="Arial" w:cs="Arial"/>
        </w:rPr>
      </w:pPr>
      <w:r>
        <w:rPr>
          <w:rFonts w:ascii="Arial" w:hAnsi="Arial" w:cs="Arial"/>
        </w:rPr>
        <w:t>We believe that pairing should continue to depend only on the LEIs of the reporting counterparties and the UTI.</w:t>
      </w:r>
    </w:p>
    <w:permEnd w:id="415322040"/>
    <w:p w14:paraId="0E87548E" w14:textId="4F909BE1"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506DDE"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08F80406" w14:textId="77777777" w:rsidR="00A3266D" w:rsidRPr="00981E62" w:rsidRDefault="00A3266D" w:rsidP="008D4AEE">
      <w:pPr>
        <w:rPr>
          <w:rFonts w:ascii="Arial" w:hAnsi="Arial" w:cs="Arial"/>
        </w:rPr>
      </w:pPr>
      <w:permStart w:id="1165448913" w:edGrp="everyone"/>
      <w:r w:rsidRPr="00981E62">
        <w:rPr>
          <w:rFonts w:ascii="Arial" w:hAnsi="Arial" w:cs="Arial"/>
        </w:rPr>
        <w:t>We believe the proposed procedures will be sufficient.</w:t>
      </w:r>
    </w:p>
    <w:permEnd w:id="1165448913"/>
    <w:p w14:paraId="7745FC9E" w14:textId="725A3033"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506DDE"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1CBBDECB" w:rsidR="008D4AEE" w:rsidRDefault="00A3266D" w:rsidP="008D4AEE">
      <w:pPr>
        <w:rPr>
          <w:rFonts w:ascii="Arial" w:hAnsi="Arial" w:cs="Arial"/>
        </w:rPr>
      </w:pPr>
      <w:permStart w:id="922172304" w:edGrp="everyone"/>
      <w:r>
        <w:rPr>
          <w:rFonts w:ascii="Arial" w:hAnsi="Arial" w:cs="Arial"/>
        </w:rPr>
        <w:t xml:space="preserve">We believe the </w:t>
      </w:r>
      <w:r w:rsidR="00B61D40" w:rsidRPr="00B61D40">
        <w:rPr>
          <w:rFonts w:ascii="Arial" w:hAnsi="Arial" w:cs="Arial"/>
        </w:rPr>
        <w:t xml:space="preserve">ISO 20022 </w:t>
      </w:r>
      <w:r>
        <w:rPr>
          <w:rFonts w:ascii="Arial" w:hAnsi="Arial" w:cs="Arial"/>
        </w:rPr>
        <w:t xml:space="preserve">message validation </w:t>
      </w:r>
      <w:r w:rsidR="00B61D40" w:rsidRPr="00B61D40">
        <w:rPr>
          <w:rFonts w:ascii="Arial" w:hAnsi="Arial" w:cs="Arial"/>
        </w:rPr>
        <w:t>should be sufficient)</w:t>
      </w:r>
      <w:r>
        <w:rPr>
          <w:rFonts w:ascii="Arial" w:hAnsi="Arial" w:cs="Arial"/>
        </w:rPr>
        <w:t xml:space="preserve"> for this purpose.</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506DDE"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ABD369F" w14:textId="108ECA90" w:rsidR="008D4AEE" w:rsidRDefault="008F53AB" w:rsidP="008D4AEE">
      <w:pPr>
        <w:rPr>
          <w:rFonts w:ascii="Arial" w:hAnsi="Arial" w:cs="Arial"/>
        </w:rPr>
      </w:pPr>
      <w:permStart w:id="773943988" w:edGrp="everyone"/>
      <w:r w:rsidRPr="008F53AB">
        <w:rPr>
          <w:rFonts w:ascii="Arial" w:hAnsi="Arial" w:cs="Arial"/>
        </w:rPr>
        <w:t>We believe the proposed procedures will be sufficient.</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506DDE"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3CFCDB90" w14:textId="1467B89C" w:rsidR="00AC67F7" w:rsidRDefault="00AC67F7" w:rsidP="00B61D40">
      <w:pPr>
        <w:rPr>
          <w:rFonts w:ascii="Arial" w:hAnsi="Arial" w:cs="Arial"/>
        </w:rPr>
      </w:pPr>
      <w:permStart w:id="635729401" w:edGrp="everyone"/>
      <w:r w:rsidRPr="00AC67F7">
        <w:rPr>
          <w:rFonts w:ascii="Arial" w:hAnsi="Arial" w:cs="Arial"/>
        </w:rPr>
        <w:t xml:space="preserve">We agree that the tolerances will assist with </w:t>
      </w:r>
      <w:r w:rsidR="00B61D40" w:rsidRPr="00AC67F7">
        <w:rPr>
          <w:rFonts w:ascii="Arial" w:hAnsi="Arial" w:cs="Arial"/>
        </w:rPr>
        <w:t>data quality</w:t>
      </w:r>
      <w:r w:rsidRPr="00AC67F7">
        <w:rPr>
          <w:rFonts w:ascii="Arial" w:hAnsi="Arial" w:cs="Arial"/>
        </w:rPr>
        <w:t>.</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506DDE"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2118B8AB" w14:textId="77777777" w:rsidR="00AC67F7" w:rsidRPr="00981E62" w:rsidRDefault="00AC67F7" w:rsidP="00AC67F7">
      <w:pPr>
        <w:rPr>
          <w:rFonts w:ascii="Arial" w:hAnsi="Arial" w:cs="Arial"/>
        </w:rPr>
      </w:pPr>
      <w:permStart w:id="636048570" w:edGrp="everyone"/>
      <w:r w:rsidRPr="00981E62">
        <w:rPr>
          <w:rFonts w:ascii="Arial" w:hAnsi="Arial" w:cs="Arial"/>
        </w:rPr>
        <w:t>We understand that the motivation to improve data quality, but would ask that the reconciliation process be limited to fields that are core to the economics of the trade and the exposures they establish between the counterparties.</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506DDE"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6BC0D2B9" w14:textId="12DB8649" w:rsidR="003215BF" w:rsidRDefault="003215BF" w:rsidP="003215BF">
      <w:pPr>
        <w:rPr>
          <w:rFonts w:ascii="Arial" w:hAnsi="Arial" w:cs="Arial"/>
        </w:rPr>
      </w:pPr>
      <w:permStart w:id="1101798816" w:edGrp="everyone"/>
      <w:r>
        <w:rPr>
          <w:rFonts w:ascii="Arial" w:hAnsi="Arial" w:cs="Arial"/>
        </w:rPr>
        <w:t xml:space="preserve">We are particularly concerned by the level of 0.0005% proposed for the valuation amount, which is essentially no tolerance at all.  Different counterparties may value contracts differently with good reason and this needs to be reflected </w:t>
      </w:r>
      <w:r w:rsidR="00E737F1">
        <w:rPr>
          <w:rFonts w:ascii="Arial" w:hAnsi="Arial" w:cs="Arial"/>
        </w:rPr>
        <w:t>in</w:t>
      </w:r>
      <w:r>
        <w:rPr>
          <w:rFonts w:ascii="Arial" w:hAnsi="Arial" w:cs="Arial"/>
        </w:rPr>
        <w:t xml:space="preserve"> the tolerance.</w:t>
      </w:r>
    </w:p>
    <w:p w14:paraId="22B39F9B" w14:textId="77777777" w:rsidR="003215BF" w:rsidRDefault="003215BF" w:rsidP="003215BF">
      <w:pPr>
        <w:rPr>
          <w:rFonts w:ascii="Arial" w:hAnsi="Arial" w:cs="Arial"/>
        </w:rPr>
      </w:pPr>
    </w:p>
    <w:p w14:paraId="2CF1F2FC" w14:textId="061DB86A" w:rsidR="008D4AEE" w:rsidRPr="00981E62" w:rsidRDefault="003215BF" w:rsidP="008D4AEE">
      <w:pPr>
        <w:rPr>
          <w:rFonts w:ascii="Arial" w:hAnsi="Arial" w:cs="Arial"/>
        </w:rPr>
      </w:pPr>
      <w:r w:rsidRPr="00981E62">
        <w:rPr>
          <w:rFonts w:ascii="Arial" w:hAnsi="Arial" w:cs="Arial"/>
        </w:rPr>
        <w:t xml:space="preserve">We would recommend that the tolerance level be sufficient to allow reasonably for the outcomes of different valuation models and the application of market data exchange rates by the TR. In addition, we would propose that valuation differences outside the tolerance be reported to counterparties as alerts rather than outright reconciliation breaks, which they are able to confirm without further action if they are satisfied </w:t>
      </w:r>
      <w:r w:rsidR="00984266" w:rsidRPr="00981E62">
        <w:rPr>
          <w:rFonts w:ascii="Arial" w:hAnsi="Arial" w:cs="Arial"/>
        </w:rPr>
        <w:t>they are reasonable.</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506DDE"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53FAC317" w14:textId="77777777" w:rsidR="00A81C5A" w:rsidRDefault="00984266" w:rsidP="008D4AEE">
      <w:pPr>
        <w:rPr>
          <w:rFonts w:ascii="Arial" w:hAnsi="Arial" w:cs="Arial"/>
        </w:rPr>
      </w:pPr>
      <w:permStart w:id="1516774594" w:edGrp="everyone"/>
      <w:r>
        <w:rPr>
          <w:rFonts w:ascii="Arial" w:hAnsi="Arial" w:cs="Arial"/>
        </w:rPr>
        <w:t xml:space="preserve">We agree that certain fields should be excluded from the formal reconciliation process initially, but it may be helpful for these to be identified separately in advance of commencement of the second wave to provide an opportunity for the </w:t>
      </w:r>
      <w:r>
        <w:rPr>
          <w:rFonts w:ascii="Arial" w:hAnsi="Arial" w:cs="Arial"/>
        </w:rPr>
        <w:lastRenderedPageBreak/>
        <w:t>counterparties to identify where their data capture and reporting logic might need to be adjusted</w:t>
      </w:r>
      <w:r w:rsidR="00B61D40" w:rsidRPr="00B61D40">
        <w:rPr>
          <w:rFonts w:ascii="Arial" w:hAnsi="Arial" w:cs="Arial"/>
        </w:rPr>
        <w:t>.</w:t>
      </w:r>
      <w:r>
        <w:rPr>
          <w:rFonts w:ascii="Arial" w:hAnsi="Arial" w:cs="Arial"/>
        </w:rPr>
        <w:t xml:space="preserve"> </w:t>
      </w:r>
      <w:r w:rsidR="00B61D40" w:rsidRPr="00B61D40">
        <w:rPr>
          <w:rFonts w:ascii="Arial" w:hAnsi="Arial" w:cs="Arial"/>
        </w:rPr>
        <w:t xml:space="preserve"> </w:t>
      </w:r>
    </w:p>
    <w:permEnd w:id="1516774594"/>
    <w:p w14:paraId="7F30F3EE" w14:textId="51BCD316"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506DDE"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12627E8D" w:rsidR="008D4AEE" w:rsidRDefault="00DE6B6D" w:rsidP="008D4AEE">
      <w:pPr>
        <w:rPr>
          <w:rFonts w:ascii="Arial" w:hAnsi="Arial" w:cs="Arial"/>
        </w:rPr>
      </w:pPr>
      <w:permStart w:id="1142825300" w:edGrp="everyone"/>
      <w:r>
        <w:rPr>
          <w:rFonts w:ascii="Arial" w:hAnsi="Arial" w:cs="Arial"/>
        </w:rPr>
        <w:t>We believe the current provisions are sufficient.</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506DDE"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573DAD23" w14:textId="61FCF8F5" w:rsidR="008D4AEE" w:rsidRDefault="00DE6B6D" w:rsidP="008D4AEE">
      <w:pPr>
        <w:rPr>
          <w:rFonts w:ascii="Arial" w:hAnsi="Arial" w:cs="Arial"/>
        </w:rPr>
      </w:pPr>
      <w:permStart w:id="1301838784" w:edGrp="everyone"/>
      <w:r>
        <w:rPr>
          <w:rFonts w:ascii="Arial" w:hAnsi="Arial" w:cs="Arial"/>
        </w:rPr>
        <w:t>We agree with the proposed framework.</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506DDE"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14927DA2" w14:textId="77777777" w:rsidR="00DE6B6D" w:rsidRDefault="00DE6B6D" w:rsidP="00DE6B6D">
      <w:pPr>
        <w:rPr>
          <w:rFonts w:ascii="Arial" w:hAnsi="Arial" w:cs="Arial"/>
        </w:rPr>
      </w:pPr>
      <w:permStart w:id="1962869522" w:edGrp="everyone"/>
      <w:r>
        <w:rPr>
          <w:rFonts w:ascii="Arial" w:hAnsi="Arial" w:cs="Arial"/>
        </w:rPr>
        <w:t>We agree with the proposed framework.</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506DDE"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52EA620D" w14:textId="4F71F419" w:rsidR="00DE6B6D" w:rsidRDefault="00DE6B6D" w:rsidP="00DE6B6D">
      <w:pPr>
        <w:rPr>
          <w:rFonts w:ascii="Arial" w:hAnsi="Arial" w:cs="Arial"/>
        </w:rPr>
      </w:pPr>
      <w:permStart w:id="2123642679" w:edGrp="everyone"/>
      <w:r>
        <w:rPr>
          <w:rFonts w:ascii="Arial" w:hAnsi="Arial" w:cs="Arial"/>
        </w:rPr>
        <w:t>We agree with the proposed categories.</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506DDE"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7663A462" w14:textId="77777777" w:rsidR="00DE6B6D" w:rsidRDefault="00DE6B6D" w:rsidP="00DE6B6D">
      <w:pPr>
        <w:rPr>
          <w:rFonts w:ascii="Arial" w:hAnsi="Arial" w:cs="Arial"/>
        </w:rPr>
      </w:pPr>
      <w:permStart w:id="398219843" w:edGrp="everyone"/>
      <w:r>
        <w:rPr>
          <w:rFonts w:ascii="Arial" w:hAnsi="Arial" w:cs="Arial"/>
        </w:rPr>
        <w:t>We believe the current provisions are sufficient.</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506DDE" w:rsidP="008D4AEE">
      <w:pPr>
        <w:pStyle w:val="Questionstyle"/>
        <w:numPr>
          <w:ilvl w:val="0"/>
          <w:numId w:val="9"/>
        </w:numPr>
        <w:spacing w:after="250" w:line="276" w:lineRule="auto"/>
      </w:pPr>
      <w:hyperlink w:anchor="_Toc34747796" w:history="1">
        <w:r w:rsidR="008D4AEE">
          <w:t xml:space="preserve">: </w:t>
        </w:r>
        <w:r w:rsidR="008D4AEE" w:rsidRPr="005960C1">
          <w:t>Are there any aspects that need to be further specified regarding the end-of-day reports to be provided to reporting counterparties, the entities responsible for 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15ACB0A1" w14:textId="565E6555" w:rsidR="008D4AEE" w:rsidRDefault="006F5A2F" w:rsidP="008D4AEE">
      <w:pPr>
        <w:rPr>
          <w:rFonts w:ascii="Arial" w:hAnsi="Arial" w:cs="Arial"/>
        </w:rPr>
      </w:pPr>
      <w:permStart w:id="2097820768" w:edGrp="everyone"/>
      <w:r>
        <w:rPr>
          <w:rFonts w:ascii="Arial" w:hAnsi="Arial" w:cs="Arial"/>
        </w:rPr>
        <w:lastRenderedPageBreak/>
        <w:t xml:space="preserve">We would suggest that the RTS include specific provisions regarding the </w:t>
      </w:r>
      <w:r w:rsidR="00B61D40" w:rsidRPr="00B61D40">
        <w:rPr>
          <w:rFonts w:ascii="Arial" w:hAnsi="Arial" w:cs="Arial"/>
        </w:rPr>
        <w:t xml:space="preserve">obligations of counterparties to </w:t>
      </w:r>
      <w:r>
        <w:rPr>
          <w:rFonts w:ascii="Arial" w:hAnsi="Arial" w:cs="Arial"/>
        </w:rPr>
        <w:t xml:space="preserve">engage with each other to </w:t>
      </w:r>
      <w:r w:rsidR="00B61D40" w:rsidRPr="00B61D40">
        <w:rPr>
          <w:rFonts w:ascii="Arial" w:hAnsi="Arial" w:cs="Arial"/>
        </w:rPr>
        <w:t xml:space="preserve">resolve </w:t>
      </w:r>
      <w:r>
        <w:rPr>
          <w:rFonts w:ascii="Arial" w:hAnsi="Arial" w:cs="Arial"/>
        </w:rPr>
        <w:t xml:space="preserve">reconciliation </w:t>
      </w:r>
      <w:r w:rsidR="00B61D40" w:rsidRPr="00B61D40">
        <w:rPr>
          <w:rFonts w:ascii="Arial" w:hAnsi="Arial" w:cs="Arial"/>
        </w:rPr>
        <w:t>breaks without undue delay.</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506DDE"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7D1541CA" w14:textId="77777777" w:rsidR="00CF1536" w:rsidRDefault="00CF1536" w:rsidP="008D4AEE">
      <w:pPr>
        <w:rPr>
          <w:rFonts w:ascii="Arial" w:hAnsi="Arial" w:cs="Arial"/>
        </w:rPr>
      </w:pPr>
      <w:permStart w:id="2060463089" w:edGrp="everyone"/>
      <w:r>
        <w:rPr>
          <w:rFonts w:ascii="Arial" w:hAnsi="Arial" w:cs="Arial"/>
        </w:rPr>
        <w:t xml:space="preserve">Any alerts to abnormal values should be actionable by the counterparty, but merely prompt them to consider whether the data has been reported correctly.  </w:t>
      </w:r>
    </w:p>
    <w:p w14:paraId="4DB20720" w14:textId="77777777" w:rsidR="00CF1536" w:rsidRDefault="00CF1536" w:rsidP="008D4AEE">
      <w:pPr>
        <w:rPr>
          <w:rFonts w:ascii="Arial" w:hAnsi="Arial" w:cs="Arial"/>
        </w:rPr>
      </w:pPr>
    </w:p>
    <w:p w14:paraId="3050E4F0" w14:textId="784BD85E" w:rsidR="008D4AEE" w:rsidRDefault="00CF1536" w:rsidP="008D4AEE">
      <w:pPr>
        <w:rPr>
          <w:rFonts w:ascii="Arial" w:hAnsi="Arial" w:cs="Arial"/>
        </w:rPr>
      </w:pPr>
      <w:r>
        <w:rPr>
          <w:rFonts w:ascii="Arial" w:hAnsi="Arial" w:cs="Arial"/>
        </w:rPr>
        <w:t xml:space="preserve">We do not support a TR-specific approach that might result in different thresholds being determined by each TR. We therefore support option a., which might be determined by ESMA the light of information  provided by the TRs. </w:t>
      </w:r>
      <w:permEnd w:id="2060463089"/>
      <w:r w:rsidR="008D4AEE">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506DDE"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7350501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506DDE"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506DDE"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506DDE"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506DDE"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lastRenderedPageBreak/>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9"/>
      <w:footerReference w:type="defaul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7936" w14:textId="77777777" w:rsidR="00E238BF" w:rsidRDefault="00E238BF" w:rsidP="007E7997">
      <w:r>
        <w:separator/>
      </w:r>
    </w:p>
  </w:endnote>
  <w:endnote w:type="continuationSeparator" w:id="0">
    <w:p w14:paraId="63BE16BB" w14:textId="77777777" w:rsidR="00E238BF" w:rsidRDefault="00E238BF" w:rsidP="007E7997">
      <w:r>
        <w:continuationSeparator/>
      </w:r>
    </w:p>
  </w:endnote>
  <w:endnote w:type="continuationNotice" w:id="1">
    <w:p w14:paraId="1E665AE4" w14:textId="77777777" w:rsidR="00E238BF" w:rsidRDefault="00E23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1C38B" w14:textId="77777777" w:rsidR="00E238BF" w:rsidRDefault="00E23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238BF" w:rsidRDefault="00E238B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E238BF" w:rsidRDefault="00E23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A79C70D" w:rsidR="00E238BF" w:rsidRPr="00514DFA" w:rsidRDefault="00E238BF"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E238BF" w:rsidRPr="008F1DCF" w:rsidRDefault="00E238B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238BF" w:rsidRDefault="00E238BF" w:rsidP="008F1DC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E238BF" w:rsidRDefault="00E238BF"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EA72" w14:textId="77777777" w:rsidR="00E238BF" w:rsidRDefault="00E238BF" w:rsidP="007E7997">
      <w:r>
        <w:separator/>
      </w:r>
    </w:p>
  </w:footnote>
  <w:footnote w:type="continuationSeparator" w:id="0">
    <w:p w14:paraId="54F4F3D2" w14:textId="77777777" w:rsidR="00E238BF" w:rsidRDefault="00E238BF" w:rsidP="007E7997">
      <w:r>
        <w:continuationSeparator/>
      </w:r>
    </w:p>
  </w:footnote>
  <w:footnote w:type="continuationNotice" w:id="1">
    <w:p w14:paraId="6A2AB4F7" w14:textId="77777777" w:rsidR="00E238BF" w:rsidRDefault="00E23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B86A" w14:textId="77777777" w:rsidR="00E238BF" w:rsidRDefault="00E23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238BF" w:rsidRDefault="00E238BF">
    <w:pPr>
      <w:pStyle w:val="Header"/>
    </w:pPr>
  </w:p>
  <w:p w14:paraId="59FA3C9D" w14:textId="77777777" w:rsidR="00E238BF" w:rsidRDefault="00E23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238BF" w:rsidRDefault="00E238BF">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E238BF" w:rsidRPr="003669AC" w:rsidRDefault="00E238BF" w:rsidP="00261F73">
    <w:pPr>
      <w:pStyle w:val="Header"/>
      <w:ind w:left="708"/>
      <w:jc w:val="right"/>
    </w:pPr>
  </w:p>
  <w:p w14:paraId="4E70851B" w14:textId="77777777" w:rsidR="00E238BF" w:rsidRPr="003669AC" w:rsidRDefault="00E238BF" w:rsidP="00261F73">
    <w:pPr>
      <w:pStyle w:val="Header"/>
      <w:ind w:left="708"/>
      <w:jc w:val="right"/>
    </w:pPr>
  </w:p>
  <w:p w14:paraId="4DAF4C00" w14:textId="68E09EF4" w:rsidR="00E238BF" w:rsidRPr="008F1DCF" w:rsidRDefault="00E238BF" w:rsidP="00261F73">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E238BF" w:rsidRPr="008F1DCF" w14:paraId="3C1246A2" w14:textId="77777777" w:rsidTr="00261F73">
      <w:trPr>
        <w:trHeight w:hRule="exact" w:val="589"/>
      </w:trPr>
      <w:tc>
        <w:tcPr>
          <w:tcW w:w="2377" w:type="dxa"/>
        </w:tcPr>
        <w:p w14:paraId="59038B1E" w14:textId="4F80DE86" w:rsidR="00E238BF" w:rsidRPr="008F1DCF" w:rsidRDefault="00E238BF" w:rsidP="00261F73">
          <w:pPr>
            <w:pStyle w:val="02Date"/>
            <w:rPr>
              <w:rFonts w:asciiTheme="majorHAnsi" w:hAnsiTheme="majorHAnsi" w:cstheme="majorHAnsi"/>
            </w:rPr>
          </w:pPr>
          <w:r>
            <w:rPr>
              <w:rFonts w:asciiTheme="majorHAnsi" w:hAnsiTheme="majorHAnsi" w:cstheme="majorHAnsi"/>
            </w:rPr>
            <w:t>26 March 2020</w:t>
          </w:r>
        </w:p>
        <w:p w14:paraId="77FCE60C" w14:textId="578388CA" w:rsidR="00E238BF" w:rsidRPr="008F1DCF" w:rsidRDefault="00E238BF" w:rsidP="00261F73">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242C7A76" w14:textId="77777777" w:rsidR="00E238BF" w:rsidRDefault="00E238BF" w:rsidP="00261F73">
    <w:pPr>
      <w:pStyle w:val="Header"/>
      <w:ind w:left="6663"/>
      <w:rPr>
        <w:color w:val="FF0000"/>
        <w:sz w:val="20"/>
      </w:rPr>
    </w:pPr>
  </w:p>
  <w:p w14:paraId="5962D0E4" w14:textId="77777777" w:rsidR="00E238BF" w:rsidRDefault="00E238BF">
    <w:pPr>
      <w:pStyle w:val="Header"/>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E238BF" w:rsidRDefault="00E238BF">
    <w:pPr>
      <w:pStyle w:val="Header"/>
    </w:pPr>
  </w:p>
  <w:p w14:paraId="462F1DD4" w14:textId="77777777" w:rsidR="00E238BF" w:rsidRDefault="00E238BF">
    <w:pPr>
      <w:pStyle w:val="Header"/>
    </w:pPr>
  </w:p>
  <w:p w14:paraId="18981FB1" w14:textId="77777777" w:rsidR="00E238BF" w:rsidRDefault="00E238BF">
    <w:pPr>
      <w:pStyle w:val="Header"/>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238BF" w:rsidRDefault="00E238BF"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927C"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238BF" w:rsidRPr="00D13661" w:rsidRDefault="00E238BF"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238BF" w:rsidRPr="00C3170E" w:rsidRDefault="00E238BF" w:rsidP="00B50534">
    <w:pPr>
      <w:pStyle w:val="Header"/>
      <w:jc w:val="right"/>
      <w:rPr>
        <w:color w:val="2F5496" w:themeColor="accent5" w:themeShade="BF"/>
        <w:sz w:val="20"/>
      </w:rPr>
    </w:pPr>
  </w:p>
  <w:p w14:paraId="5EAB6EC6" w14:textId="77777777" w:rsidR="00E238BF" w:rsidRPr="00B50534" w:rsidRDefault="00E238BF"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925183"/>
    <w:multiLevelType w:val="hybridMultilevel"/>
    <w:tmpl w:val="E7264C40"/>
    <w:lvl w:ilvl="0" w:tplc="AE4AC8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4EDD"/>
    <w:rsid w:val="00036C09"/>
    <w:rsid w:val="000372BF"/>
    <w:rsid w:val="00040A52"/>
    <w:rsid w:val="00044C5A"/>
    <w:rsid w:val="00044E0A"/>
    <w:rsid w:val="00050DC8"/>
    <w:rsid w:val="00054E00"/>
    <w:rsid w:val="00061B2B"/>
    <w:rsid w:val="00062BD1"/>
    <w:rsid w:val="0006448C"/>
    <w:rsid w:val="0006449B"/>
    <w:rsid w:val="000646DC"/>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3115"/>
    <w:rsid w:val="000C3EDA"/>
    <w:rsid w:val="000C5ACC"/>
    <w:rsid w:val="000D0293"/>
    <w:rsid w:val="000D0850"/>
    <w:rsid w:val="000D1038"/>
    <w:rsid w:val="000D11A9"/>
    <w:rsid w:val="000D11DA"/>
    <w:rsid w:val="000D2D7B"/>
    <w:rsid w:val="000E2232"/>
    <w:rsid w:val="000E3DB1"/>
    <w:rsid w:val="000E6715"/>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27320"/>
    <w:rsid w:val="00130EF9"/>
    <w:rsid w:val="001319C7"/>
    <w:rsid w:val="001355E6"/>
    <w:rsid w:val="0013644A"/>
    <w:rsid w:val="00140BA6"/>
    <w:rsid w:val="00141946"/>
    <w:rsid w:val="00143DCA"/>
    <w:rsid w:val="00144AAD"/>
    <w:rsid w:val="001455E7"/>
    <w:rsid w:val="0014624E"/>
    <w:rsid w:val="0015421A"/>
    <w:rsid w:val="00154FF6"/>
    <w:rsid w:val="001608B2"/>
    <w:rsid w:val="00160FE0"/>
    <w:rsid w:val="00163AB3"/>
    <w:rsid w:val="00165047"/>
    <w:rsid w:val="00165FF8"/>
    <w:rsid w:val="0016669F"/>
    <w:rsid w:val="00170AD6"/>
    <w:rsid w:val="0017350A"/>
    <w:rsid w:val="001735B8"/>
    <w:rsid w:val="0017508F"/>
    <w:rsid w:val="00177AA7"/>
    <w:rsid w:val="00180917"/>
    <w:rsid w:val="00180E53"/>
    <w:rsid w:val="00181CB7"/>
    <w:rsid w:val="001862A5"/>
    <w:rsid w:val="00186A70"/>
    <w:rsid w:val="001909ED"/>
    <w:rsid w:val="00191035"/>
    <w:rsid w:val="001918E5"/>
    <w:rsid w:val="00191AE9"/>
    <w:rsid w:val="00192A7A"/>
    <w:rsid w:val="001A02AD"/>
    <w:rsid w:val="001A085B"/>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2F1"/>
    <w:rsid w:val="001D37E3"/>
    <w:rsid w:val="001D385A"/>
    <w:rsid w:val="001D6B39"/>
    <w:rsid w:val="001E1ECD"/>
    <w:rsid w:val="001E3E0D"/>
    <w:rsid w:val="001E4A45"/>
    <w:rsid w:val="001E5E30"/>
    <w:rsid w:val="001E6559"/>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55D6"/>
    <w:rsid w:val="002271C7"/>
    <w:rsid w:val="00232F8E"/>
    <w:rsid w:val="00233071"/>
    <w:rsid w:val="00235E99"/>
    <w:rsid w:val="00236885"/>
    <w:rsid w:val="0024299F"/>
    <w:rsid w:val="00244463"/>
    <w:rsid w:val="002449D8"/>
    <w:rsid w:val="00244B86"/>
    <w:rsid w:val="00244C97"/>
    <w:rsid w:val="0024512F"/>
    <w:rsid w:val="00245406"/>
    <w:rsid w:val="002455D7"/>
    <w:rsid w:val="00245D2E"/>
    <w:rsid w:val="00246E1D"/>
    <w:rsid w:val="002472F6"/>
    <w:rsid w:val="0025020D"/>
    <w:rsid w:val="0025282F"/>
    <w:rsid w:val="00254CC2"/>
    <w:rsid w:val="002574D1"/>
    <w:rsid w:val="00261641"/>
    <w:rsid w:val="00261CCB"/>
    <w:rsid w:val="00261F73"/>
    <w:rsid w:val="002630C0"/>
    <w:rsid w:val="0026332A"/>
    <w:rsid w:val="00263A4E"/>
    <w:rsid w:val="002645A8"/>
    <w:rsid w:val="0026493B"/>
    <w:rsid w:val="00265566"/>
    <w:rsid w:val="00265F44"/>
    <w:rsid w:val="002665E3"/>
    <w:rsid w:val="0027199C"/>
    <w:rsid w:val="00272C4E"/>
    <w:rsid w:val="002751FC"/>
    <w:rsid w:val="002753BD"/>
    <w:rsid w:val="002820D7"/>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B767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E6F6D"/>
    <w:rsid w:val="002F565D"/>
    <w:rsid w:val="002F6279"/>
    <w:rsid w:val="003013B7"/>
    <w:rsid w:val="00301993"/>
    <w:rsid w:val="00301E55"/>
    <w:rsid w:val="003065E9"/>
    <w:rsid w:val="00307397"/>
    <w:rsid w:val="003101EF"/>
    <w:rsid w:val="00312BDD"/>
    <w:rsid w:val="00314117"/>
    <w:rsid w:val="00317858"/>
    <w:rsid w:val="00317EDF"/>
    <w:rsid w:val="003215BF"/>
    <w:rsid w:val="003279E7"/>
    <w:rsid w:val="00327B62"/>
    <w:rsid w:val="00331FE9"/>
    <w:rsid w:val="0033324D"/>
    <w:rsid w:val="0033587C"/>
    <w:rsid w:val="00336144"/>
    <w:rsid w:val="00336BF9"/>
    <w:rsid w:val="003371A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44D7"/>
    <w:rsid w:val="00366D42"/>
    <w:rsid w:val="0036748C"/>
    <w:rsid w:val="00372615"/>
    <w:rsid w:val="00373A3C"/>
    <w:rsid w:val="00376233"/>
    <w:rsid w:val="00377A7F"/>
    <w:rsid w:val="00380B30"/>
    <w:rsid w:val="00381784"/>
    <w:rsid w:val="00381EB0"/>
    <w:rsid w:val="00382A72"/>
    <w:rsid w:val="00382EBA"/>
    <w:rsid w:val="0038331A"/>
    <w:rsid w:val="0039135B"/>
    <w:rsid w:val="003A34E7"/>
    <w:rsid w:val="003A3CB1"/>
    <w:rsid w:val="003A3D55"/>
    <w:rsid w:val="003A73A4"/>
    <w:rsid w:val="003B102E"/>
    <w:rsid w:val="003B3DB6"/>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2D9D"/>
    <w:rsid w:val="00444803"/>
    <w:rsid w:val="00445696"/>
    <w:rsid w:val="00446E5F"/>
    <w:rsid w:val="00450C4E"/>
    <w:rsid w:val="004539E2"/>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5AC3"/>
    <w:rsid w:val="00487DCE"/>
    <w:rsid w:val="0049015A"/>
    <w:rsid w:val="004943BB"/>
    <w:rsid w:val="004950B7"/>
    <w:rsid w:val="00496270"/>
    <w:rsid w:val="00497FEA"/>
    <w:rsid w:val="004A1F8F"/>
    <w:rsid w:val="004A3A44"/>
    <w:rsid w:val="004B07B2"/>
    <w:rsid w:val="004B0955"/>
    <w:rsid w:val="004B1842"/>
    <w:rsid w:val="004B25D0"/>
    <w:rsid w:val="004B3553"/>
    <w:rsid w:val="004B5E92"/>
    <w:rsid w:val="004C0A30"/>
    <w:rsid w:val="004C2141"/>
    <w:rsid w:val="004C357C"/>
    <w:rsid w:val="004C3D18"/>
    <w:rsid w:val="004D42B1"/>
    <w:rsid w:val="004D526F"/>
    <w:rsid w:val="004E19C0"/>
    <w:rsid w:val="004E1C54"/>
    <w:rsid w:val="004E2C37"/>
    <w:rsid w:val="004E5285"/>
    <w:rsid w:val="004E5FA2"/>
    <w:rsid w:val="004F0CF3"/>
    <w:rsid w:val="004F5740"/>
    <w:rsid w:val="004F58C9"/>
    <w:rsid w:val="005028B9"/>
    <w:rsid w:val="00505E17"/>
    <w:rsid w:val="00506DDE"/>
    <w:rsid w:val="00511A59"/>
    <w:rsid w:val="00511C3B"/>
    <w:rsid w:val="00514440"/>
    <w:rsid w:val="00514DFA"/>
    <w:rsid w:val="005166C3"/>
    <w:rsid w:val="00520F7C"/>
    <w:rsid w:val="00523974"/>
    <w:rsid w:val="00523ABA"/>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68AE"/>
    <w:rsid w:val="0059175F"/>
    <w:rsid w:val="00591762"/>
    <w:rsid w:val="00591AAC"/>
    <w:rsid w:val="00595F08"/>
    <w:rsid w:val="00595FBE"/>
    <w:rsid w:val="00597454"/>
    <w:rsid w:val="005A1C55"/>
    <w:rsid w:val="005B169D"/>
    <w:rsid w:val="005B4ACA"/>
    <w:rsid w:val="005B6B12"/>
    <w:rsid w:val="005C19E9"/>
    <w:rsid w:val="005C2DBC"/>
    <w:rsid w:val="005C5F13"/>
    <w:rsid w:val="005C65F9"/>
    <w:rsid w:val="005C6B0E"/>
    <w:rsid w:val="005C7E1F"/>
    <w:rsid w:val="005D1B18"/>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3972"/>
    <w:rsid w:val="006239E8"/>
    <w:rsid w:val="006255EC"/>
    <w:rsid w:val="00625A25"/>
    <w:rsid w:val="0062736A"/>
    <w:rsid w:val="0063565E"/>
    <w:rsid w:val="00636E02"/>
    <w:rsid w:val="00641DB1"/>
    <w:rsid w:val="00642297"/>
    <w:rsid w:val="00644A34"/>
    <w:rsid w:val="00646D8D"/>
    <w:rsid w:val="00654824"/>
    <w:rsid w:val="00661766"/>
    <w:rsid w:val="00662882"/>
    <w:rsid w:val="0066298C"/>
    <w:rsid w:val="00663008"/>
    <w:rsid w:val="00663093"/>
    <w:rsid w:val="00665A7C"/>
    <w:rsid w:val="00665B0B"/>
    <w:rsid w:val="00666938"/>
    <w:rsid w:val="006675F8"/>
    <w:rsid w:val="006705CD"/>
    <w:rsid w:val="00671363"/>
    <w:rsid w:val="00672780"/>
    <w:rsid w:val="00672842"/>
    <w:rsid w:val="00676CFC"/>
    <w:rsid w:val="00677133"/>
    <w:rsid w:val="00680F10"/>
    <w:rsid w:val="00681482"/>
    <w:rsid w:val="00687BF0"/>
    <w:rsid w:val="006904CF"/>
    <w:rsid w:val="006912FB"/>
    <w:rsid w:val="00695AF2"/>
    <w:rsid w:val="00696A2B"/>
    <w:rsid w:val="00696BD5"/>
    <w:rsid w:val="006A04AE"/>
    <w:rsid w:val="006A0920"/>
    <w:rsid w:val="006A0AE4"/>
    <w:rsid w:val="006A23F3"/>
    <w:rsid w:val="006A2CF3"/>
    <w:rsid w:val="006A5047"/>
    <w:rsid w:val="006A7A10"/>
    <w:rsid w:val="006B0DA4"/>
    <w:rsid w:val="006B1B6B"/>
    <w:rsid w:val="006B2C57"/>
    <w:rsid w:val="006B79E0"/>
    <w:rsid w:val="006C1633"/>
    <w:rsid w:val="006C5BF8"/>
    <w:rsid w:val="006C7CCB"/>
    <w:rsid w:val="006D1B07"/>
    <w:rsid w:val="006D6009"/>
    <w:rsid w:val="006D7D41"/>
    <w:rsid w:val="006E2F4D"/>
    <w:rsid w:val="006E3FDD"/>
    <w:rsid w:val="006E58FB"/>
    <w:rsid w:val="006E5D82"/>
    <w:rsid w:val="006E66B2"/>
    <w:rsid w:val="006E6C50"/>
    <w:rsid w:val="006E7A69"/>
    <w:rsid w:val="006E7DE4"/>
    <w:rsid w:val="006F53E8"/>
    <w:rsid w:val="006F5A2F"/>
    <w:rsid w:val="006F5FB8"/>
    <w:rsid w:val="0070017B"/>
    <w:rsid w:val="0070427E"/>
    <w:rsid w:val="00704D53"/>
    <w:rsid w:val="007056C3"/>
    <w:rsid w:val="00706072"/>
    <w:rsid w:val="00713644"/>
    <w:rsid w:val="00721256"/>
    <w:rsid w:val="007217AD"/>
    <w:rsid w:val="00723BA1"/>
    <w:rsid w:val="00724A1B"/>
    <w:rsid w:val="007311C1"/>
    <w:rsid w:val="0073173E"/>
    <w:rsid w:val="007319C3"/>
    <w:rsid w:val="0073454F"/>
    <w:rsid w:val="00735C00"/>
    <w:rsid w:val="007364C6"/>
    <w:rsid w:val="00740BF3"/>
    <w:rsid w:val="00741D5C"/>
    <w:rsid w:val="0074352F"/>
    <w:rsid w:val="00747C5E"/>
    <w:rsid w:val="00750210"/>
    <w:rsid w:val="0075473C"/>
    <w:rsid w:val="00754B57"/>
    <w:rsid w:val="0075671D"/>
    <w:rsid w:val="00757163"/>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3180"/>
    <w:rsid w:val="007A48BC"/>
    <w:rsid w:val="007B0BC1"/>
    <w:rsid w:val="007B354B"/>
    <w:rsid w:val="007B4FC3"/>
    <w:rsid w:val="007B7105"/>
    <w:rsid w:val="007B73F3"/>
    <w:rsid w:val="007B7EE5"/>
    <w:rsid w:val="007C116C"/>
    <w:rsid w:val="007C1C28"/>
    <w:rsid w:val="007C2A2C"/>
    <w:rsid w:val="007C3577"/>
    <w:rsid w:val="007C5E08"/>
    <w:rsid w:val="007D0002"/>
    <w:rsid w:val="007D125C"/>
    <w:rsid w:val="007D4AD5"/>
    <w:rsid w:val="007D5426"/>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0621"/>
    <w:rsid w:val="00843A1A"/>
    <w:rsid w:val="00846433"/>
    <w:rsid w:val="00846B4A"/>
    <w:rsid w:val="00846D32"/>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4D37"/>
    <w:rsid w:val="008A6000"/>
    <w:rsid w:val="008A70A8"/>
    <w:rsid w:val="008A7FAC"/>
    <w:rsid w:val="008B1FD9"/>
    <w:rsid w:val="008B2AF1"/>
    <w:rsid w:val="008B5191"/>
    <w:rsid w:val="008B710D"/>
    <w:rsid w:val="008B7CA1"/>
    <w:rsid w:val="008C0177"/>
    <w:rsid w:val="008C0389"/>
    <w:rsid w:val="008C0C86"/>
    <w:rsid w:val="008C27D3"/>
    <w:rsid w:val="008C4B2B"/>
    <w:rsid w:val="008C5E91"/>
    <w:rsid w:val="008C686D"/>
    <w:rsid w:val="008C6B18"/>
    <w:rsid w:val="008C75E6"/>
    <w:rsid w:val="008C767A"/>
    <w:rsid w:val="008C7A73"/>
    <w:rsid w:val="008D0569"/>
    <w:rsid w:val="008D1825"/>
    <w:rsid w:val="008D4AEE"/>
    <w:rsid w:val="008D5C28"/>
    <w:rsid w:val="008E2D26"/>
    <w:rsid w:val="008E4076"/>
    <w:rsid w:val="008E7DBA"/>
    <w:rsid w:val="008F1DCF"/>
    <w:rsid w:val="008F3386"/>
    <w:rsid w:val="008F3AD9"/>
    <w:rsid w:val="008F4642"/>
    <w:rsid w:val="008F4E00"/>
    <w:rsid w:val="008F53AB"/>
    <w:rsid w:val="008F761D"/>
    <w:rsid w:val="00900D44"/>
    <w:rsid w:val="00902520"/>
    <w:rsid w:val="00906DC4"/>
    <w:rsid w:val="0091457F"/>
    <w:rsid w:val="0091729E"/>
    <w:rsid w:val="0093261E"/>
    <w:rsid w:val="0094008E"/>
    <w:rsid w:val="00941C0C"/>
    <w:rsid w:val="009437F2"/>
    <w:rsid w:val="0094528B"/>
    <w:rsid w:val="00960A8B"/>
    <w:rsid w:val="00964BBC"/>
    <w:rsid w:val="00965128"/>
    <w:rsid w:val="00973F43"/>
    <w:rsid w:val="0097785D"/>
    <w:rsid w:val="0098011D"/>
    <w:rsid w:val="00981912"/>
    <w:rsid w:val="009819C0"/>
    <w:rsid w:val="00981E62"/>
    <w:rsid w:val="00984266"/>
    <w:rsid w:val="00987A75"/>
    <w:rsid w:val="00991A8A"/>
    <w:rsid w:val="00992611"/>
    <w:rsid w:val="00994303"/>
    <w:rsid w:val="0099526D"/>
    <w:rsid w:val="009A0054"/>
    <w:rsid w:val="009A0F6E"/>
    <w:rsid w:val="009A5548"/>
    <w:rsid w:val="009B25C1"/>
    <w:rsid w:val="009B2FF7"/>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18C1"/>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266D"/>
    <w:rsid w:val="00A367AA"/>
    <w:rsid w:val="00A378DF"/>
    <w:rsid w:val="00A37AC6"/>
    <w:rsid w:val="00A410CC"/>
    <w:rsid w:val="00A42B43"/>
    <w:rsid w:val="00A42BD0"/>
    <w:rsid w:val="00A433DC"/>
    <w:rsid w:val="00A460CD"/>
    <w:rsid w:val="00A464A2"/>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1C5A"/>
    <w:rsid w:val="00A8284E"/>
    <w:rsid w:val="00A86821"/>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67F7"/>
    <w:rsid w:val="00AC70C7"/>
    <w:rsid w:val="00AC79E0"/>
    <w:rsid w:val="00AD32CE"/>
    <w:rsid w:val="00AD5187"/>
    <w:rsid w:val="00AD6B11"/>
    <w:rsid w:val="00AD6B34"/>
    <w:rsid w:val="00AD6F90"/>
    <w:rsid w:val="00AE0286"/>
    <w:rsid w:val="00AE247F"/>
    <w:rsid w:val="00AE379F"/>
    <w:rsid w:val="00AE4A24"/>
    <w:rsid w:val="00AE4FC7"/>
    <w:rsid w:val="00AF01E3"/>
    <w:rsid w:val="00AF0C2D"/>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026"/>
    <w:rsid w:val="00B16ECE"/>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1D40"/>
    <w:rsid w:val="00B648F2"/>
    <w:rsid w:val="00B655D1"/>
    <w:rsid w:val="00B73FF2"/>
    <w:rsid w:val="00B74CBA"/>
    <w:rsid w:val="00B74ED3"/>
    <w:rsid w:val="00B75BF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44CD"/>
    <w:rsid w:val="00BF5553"/>
    <w:rsid w:val="00BF75CD"/>
    <w:rsid w:val="00C00F1C"/>
    <w:rsid w:val="00C0346D"/>
    <w:rsid w:val="00C0358F"/>
    <w:rsid w:val="00C03BB0"/>
    <w:rsid w:val="00C041CF"/>
    <w:rsid w:val="00C0696A"/>
    <w:rsid w:val="00C10BAB"/>
    <w:rsid w:val="00C10FDE"/>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587"/>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3F35"/>
    <w:rsid w:val="00CE49F8"/>
    <w:rsid w:val="00CE4E1E"/>
    <w:rsid w:val="00CE66B5"/>
    <w:rsid w:val="00CF1536"/>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2D72"/>
    <w:rsid w:val="00D35E02"/>
    <w:rsid w:val="00D37FEA"/>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0FA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E6B6D"/>
    <w:rsid w:val="00DE6FDD"/>
    <w:rsid w:val="00DF045B"/>
    <w:rsid w:val="00DF1ED8"/>
    <w:rsid w:val="00DF232C"/>
    <w:rsid w:val="00DF3785"/>
    <w:rsid w:val="00DF3D27"/>
    <w:rsid w:val="00DF6074"/>
    <w:rsid w:val="00E02239"/>
    <w:rsid w:val="00E047EC"/>
    <w:rsid w:val="00E07D42"/>
    <w:rsid w:val="00E163E9"/>
    <w:rsid w:val="00E238BF"/>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37F1"/>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B407B"/>
    <w:rsid w:val="00EC1546"/>
    <w:rsid w:val="00EC5B23"/>
    <w:rsid w:val="00EC5DED"/>
    <w:rsid w:val="00EC6BD8"/>
    <w:rsid w:val="00ED0356"/>
    <w:rsid w:val="00ED0D71"/>
    <w:rsid w:val="00ED3DCD"/>
    <w:rsid w:val="00ED3DD5"/>
    <w:rsid w:val="00ED56BE"/>
    <w:rsid w:val="00ED74D7"/>
    <w:rsid w:val="00ED7823"/>
    <w:rsid w:val="00EE363E"/>
    <w:rsid w:val="00EE40F8"/>
    <w:rsid w:val="00EE6DD6"/>
    <w:rsid w:val="00EF0867"/>
    <w:rsid w:val="00EF1A10"/>
    <w:rsid w:val="00EF1A9F"/>
    <w:rsid w:val="00EF1B27"/>
    <w:rsid w:val="00EF4370"/>
    <w:rsid w:val="00EF5AD7"/>
    <w:rsid w:val="00F03FA7"/>
    <w:rsid w:val="00F048EF"/>
    <w:rsid w:val="00F06AAD"/>
    <w:rsid w:val="00F10632"/>
    <w:rsid w:val="00F146BE"/>
    <w:rsid w:val="00F22013"/>
    <w:rsid w:val="00F22356"/>
    <w:rsid w:val="00F226E0"/>
    <w:rsid w:val="00F2522F"/>
    <w:rsid w:val="00F27BEF"/>
    <w:rsid w:val="00F30180"/>
    <w:rsid w:val="00F31A29"/>
    <w:rsid w:val="00F3279A"/>
    <w:rsid w:val="00F37236"/>
    <w:rsid w:val="00F40C6C"/>
    <w:rsid w:val="00F44634"/>
    <w:rsid w:val="00F505EC"/>
    <w:rsid w:val="00F5088F"/>
    <w:rsid w:val="00F51657"/>
    <w:rsid w:val="00F5223C"/>
    <w:rsid w:val="00F57787"/>
    <w:rsid w:val="00F61E82"/>
    <w:rsid w:val="00F6243A"/>
    <w:rsid w:val="00F63323"/>
    <w:rsid w:val="00F636FE"/>
    <w:rsid w:val="00F648B2"/>
    <w:rsid w:val="00F6613F"/>
    <w:rsid w:val="00F67EBD"/>
    <w:rsid w:val="00F70EA4"/>
    <w:rsid w:val="00F77851"/>
    <w:rsid w:val="00F77EDF"/>
    <w:rsid w:val="00F80FAB"/>
    <w:rsid w:val="00F81E3B"/>
    <w:rsid w:val="00F827E1"/>
    <w:rsid w:val="00F87517"/>
    <w:rsid w:val="00F927B5"/>
    <w:rsid w:val="00F94BD0"/>
    <w:rsid w:val="00F95403"/>
    <w:rsid w:val="00F96705"/>
    <w:rsid w:val="00F96750"/>
    <w:rsid w:val="00F9704D"/>
    <w:rsid w:val="00FA0166"/>
    <w:rsid w:val="00FA2400"/>
    <w:rsid w:val="00FA33E9"/>
    <w:rsid w:val="00FA4DD3"/>
    <w:rsid w:val="00FA55C8"/>
    <w:rsid w:val="00FA74C6"/>
    <w:rsid w:val="00FB24ED"/>
    <w:rsid w:val="00FB29AF"/>
    <w:rsid w:val="00FB313D"/>
    <w:rsid w:val="00FB4003"/>
    <w:rsid w:val="00FB4EBA"/>
    <w:rsid w:val="00FB7086"/>
    <w:rsid w:val="00FC4F52"/>
    <w:rsid w:val="00FC589E"/>
    <w:rsid w:val="00FC6733"/>
    <w:rsid w:val="00FD2677"/>
    <w:rsid w:val="00FD28B8"/>
    <w:rsid w:val="00FD3B4F"/>
    <w:rsid w:val="00FE0BD8"/>
    <w:rsid w:val="00FE1709"/>
    <w:rsid w:val="00FE1FC9"/>
    <w:rsid w:val="00FF07BF"/>
    <w:rsid w:val="00FF32DE"/>
    <w:rsid w:val="00FF4205"/>
    <w:rsid w:val="00FF5858"/>
    <w:rsid w:val="00FF5EBA"/>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B16026"/>
    <w:pPr>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B16026"/>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hyperlink" Target="https://www.isda.org/a/5OoTE/EMIR-reporting_Industry-Best-Practices-matrix_March-2020.xlsx"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heia.or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iosco.org/library/pubdocs/pdf/IOSCOPD598.pdf" TargetMode="External"/><Relationship Id="rId10" Type="http://schemas.openxmlformats.org/officeDocument/2006/relationships/footnotes" Target="footnotes.xml"/><Relationship Id="rId19" Type="http://schemas.openxmlformats.org/officeDocument/2006/relationships/hyperlink" Target="http://www.esma.europa.e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esma.europa.eu/sites/default/files/library/esma70-872942901-35_qas_transparency_issues.pdf" TargetMode="External"/><Relationship Id="rId30"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ESMA74-362-546</_dlc_DocId>
    <TaxCatchAll xmlns="20fbe147-bbda-4e53-b6b1-7e8bbff3fe19">
      <Value>500</Value>
      <Value>302</Value>
      <Value>14</Value>
    </TaxCatchAll>
    <_dlc_DocIdUrl xmlns="20fbe147-bbda-4e53-b6b1-7e8bbff3fe19">
      <Url>https://sherpa.esma.europa.eu/sites/MKT/MDP/_layouts/15/DocIdRedir.aspx?ID=ESMA74-362-546</Url>
      <Description>ESMA74-362-546</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sharepoint/v4"/>
    <ds:schemaRef ds:uri="20fbe147-bbda-4e53-b6b1-7e8bbff3fe19"/>
  </ds:schemaRefs>
</ds:datastoreItem>
</file>

<file path=customXml/itemProps5.xml><?xml version="1.0" encoding="utf-8"?>
<ds:datastoreItem xmlns:ds="http://schemas.openxmlformats.org/officeDocument/2006/customXml" ds:itemID="{36C8DED8-9ABD-493B-B569-CEA5EDB5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TotalTime>
  <Pages>32</Pages>
  <Words>9650</Words>
  <Characters>55006</Characters>
  <Application>Microsoft Office Word</Application>
  <DocSecurity>8</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David Broadway</cp:lastModifiedBy>
  <cp:revision>4</cp:revision>
  <cp:lastPrinted>2017-07-24T14:47:00Z</cp:lastPrinted>
  <dcterms:created xsi:type="dcterms:W3CDTF">2020-07-02T08:23:00Z</dcterms:created>
  <dcterms:modified xsi:type="dcterms:W3CDTF">2020-07-03T08:55:00Z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