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0B5660">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0B5660">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19F704A" w:rsidR="00C85C8B" w:rsidRPr="00C85C8B" w:rsidRDefault="000B5660" w:rsidP="00C85C8B">
                <w:pPr>
                  <w:rPr>
                    <w:rFonts w:ascii="Arial" w:hAnsi="Arial" w:cs="Arial"/>
                    <w:color w:val="808080"/>
                    <w:sz w:val="20"/>
                    <w:lang w:eastAsia="de-DE"/>
                  </w:rPr>
                </w:pPr>
                <w:r w:rsidRPr="000B5660">
                  <w:rPr>
                    <w:rFonts w:ascii="Arial" w:hAnsi="Arial" w:cs="Arial"/>
                    <w:color w:val="808080"/>
                    <w:sz w:val="20"/>
                    <w:lang w:eastAsia="de-DE"/>
                  </w:rPr>
                  <w:t>DTCC Derivatives Repository (DDRL)</w:t>
                </w:r>
              </w:p>
            </w:tc>
          </w:sdtContent>
        </w:sdt>
      </w:tr>
      <w:tr w:rsidR="00C85C8B" w:rsidRPr="00C85C8B" w14:paraId="216F3E57" w14:textId="77777777" w:rsidTr="000B5660">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4E93046" w:rsidR="00C85C8B" w:rsidRPr="00C85C8B" w:rsidRDefault="00447D5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5660">
                  <w:rPr>
                    <w:rFonts w:ascii="Arial" w:hAnsi="Arial" w:cs="Arial"/>
                    <w:sz w:val="20"/>
                    <w:lang w:eastAsia="de-DE"/>
                  </w:rPr>
                  <w:t>Other Financial service providers</w:t>
                </w:r>
              </w:sdtContent>
            </w:sdt>
          </w:p>
        </w:tc>
      </w:tr>
      <w:tr w:rsidR="00C85C8B" w:rsidRPr="00C85C8B" w14:paraId="0D216581" w14:textId="77777777" w:rsidTr="000B5660">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0B5660">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72FC723" w:rsidR="00C85C8B" w:rsidRPr="00C85C8B" w:rsidRDefault="000B5660"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62BDDAB0" w14:textId="77777777" w:rsidR="000B5660" w:rsidRPr="000B5660" w:rsidRDefault="000B5660" w:rsidP="000B5660">
      <w:pPr>
        <w:spacing w:after="250" w:line="276" w:lineRule="auto"/>
        <w:jc w:val="both"/>
        <w:rPr>
          <w:rFonts w:ascii="Arial" w:eastAsiaTheme="minorEastAsia" w:hAnsi="Arial" w:cs="Arial"/>
          <w:lang w:eastAsia="en-US"/>
        </w:rPr>
      </w:pPr>
      <w:permStart w:id="885457707" w:edGrp="everyone"/>
      <w:r w:rsidRPr="000B5660">
        <w:rPr>
          <w:rFonts w:ascii="Arial" w:eastAsiaTheme="minorEastAsia" w:hAnsi="Arial" w:cs="Arial"/>
          <w:lang w:eastAsia="en-US"/>
        </w:rPr>
        <w:t xml:space="preserve">DDRL welcomes the opportunity to provide comments as part of the consultation on Technical standards on reporting, data quality, data access and registration of Trade Repositories under EMIR REFIT. </w:t>
      </w:r>
    </w:p>
    <w:p w14:paraId="287B74EB" w14:textId="77777777" w:rsidR="000B5660" w:rsidRPr="000B5660" w:rsidRDefault="000B5660" w:rsidP="000B5660">
      <w:pPr>
        <w:spacing w:after="250" w:line="276" w:lineRule="auto"/>
        <w:jc w:val="both"/>
        <w:rPr>
          <w:rFonts w:ascii="Arial" w:eastAsiaTheme="minorEastAsia" w:hAnsi="Arial" w:cs="Arial"/>
          <w:lang w:eastAsia="en-US"/>
        </w:rPr>
      </w:pPr>
      <w:r w:rsidRPr="000B5660">
        <w:rPr>
          <w:rFonts w:ascii="Arial" w:eastAsiaTheme="minorEastAsia" w:hAnsi="Arial" w:cs="Arial"/>
          <w:lang w:eastAsia="en-US"/>
        </w:rPr>
        <w:t xml:space="preserve">Before addressing the specific consultation questions, we would like to share </w:t>
      </w:r>
      <w:proofErr w:type="gramStart"/>
      <w:r w:rsidRPr="000B5660">
        <w:rPr>
          <w:rFonts w:ascii="Arial" w:eastAsiaTheme="minorEastAsia" w:hAnsi="Arial" w:cs="Arial"/>
          <w:lang w:eastAsia="en-US"/>
        </w:rPr>
        <w:t>a number of</w:t>
      </w:r>
      <w:proofErr w:type="gramEnd"/>
      <w:r w:rsidRPr="000B5660">
        <w:rPr>
          <w:rFonts w:ascii="Arial" w:eastAsiaTheme="minorEastAsia" w:hAnsi="Arial" w:cs="Arial"/>
          <w:lang w:eastAsia="en-US"/>
        </w:rPr>
        <w:t xml:space="preserve"> summarizing thoughts on those points that we believe merit special attention. </w:t>
      </w:r>
    </w:p>
    <w:p w14:paraId="23413330" w14:textId="77777777" w:rsidR="000B5660" w:rsidRPr="000B5660" w:rsidRDefault="000B5660" w:rsidP="000B5660">
      <w:pPr>
        <w:spacing w:after="250" w:line="276" w:lineRule="auto"/>
        <w:jc w:val="both"/>
        <w:rPr>
          <w:rFonts w:ascii="Arial" w:eastAsiaTheme="minorEastAsia" w:hAnsi="Arial" w:cs="Arial"/>
          <w:lang w:eastAsia="en-US"/>
        </w:rPr>
      </w:pPr>
      <w:r w:rsidRPr="000B5660">
        <w:rPr>
          <w:rFonts w:ascii="Arial" w:eastAsiaTheme="minorEastAsia" w:hAnsi="Arial" w:cs="Arial"/>
          <w:lang w:eastAsia="en-US"/>
        </w:rPr>
        <w:t xml:space="preserve">On standard identifiers, we would like to stress the importance of the Global Legal Entity Identifier Foundation (GLEIF) as the golden source for LEIs and the place where the lifecycle of LEIs should be managed. GLEIF should update LEIs after mergers or other corporate restructuring events. TRs will update records based on notification from GLEIF. We do not believe that TRs are the right place to generate Unique Trade Identifiers (UTI), as they are required for many post-trade processes and therefore should be generated much closer to execution than would be required for reporting purposes.  We are supportive of the “Revive” Action Type to avoid counterparties having to re-report trades using new UTIs due to incorrectly generated error reports. Further clarifications may however be needed, as outlined in our response below. </w:t>
      </w:r>
    </w:p>
    <w:p w14:paraId="17558DC9" w14:textId="77777777" w:rsidR="000B5660" w:rsidRPr="000B5660" w:rsidRDefault="000B5660" w:rsidP="000B5660">
      <w:pPr>
        <w:spacing w:after="250" w:line="276" w:lineRule="auto"/>
        <w:jc w:val="both"/>
        <w:rPr>
          <w:rFonts w:ascii="Arial" w:eastAsiaTheme="minorEastAsia" w:hAnsi="Arial" w:cs="Arial"/>
          <w:lang w:eastAsia="en-US"/>
        </w:rPr>
      </w:pPr>
      <w:r w:rsidRPr="000B5660">
        <w:rPr>
          <w:rFonts w:ascii="Arial" w:eastAsiaTheme="minorEastAsia" w:hAnsi="Arial" w:cs="Arial"/>
          <w:lang w:eastAsia="en-US"/>
        </w:rPr>
        <w:t xml:space="preserve">When it comes to identifiers such as LEIs, UTIs and Unique Product Identifiers (UPI), regulators in all jurisdictions should use the same identification paradigms and we would encourage ESMA to discuss the standardization with other regulatory bodies </w:t>
      </w:r>
      <w:r w:rsidRPr="000B5660">
        <w:rPr>
          <w:rFonts w:ascii="Arial" w:eastAsiaTheme="minorEastAsia" w:hAnsi="Arial" w:cs="Arial"/>
          <w:lang w:eastAsia="en-US"/>
        </w:rPr>
        <w:lastRenderedPageBreak/>
        <w:t>before it reaches a firm conclusion for the EMIR Refit standards. As outlined throughout our response, we believe global consistency is imperative.</w:t>
      </w:r>
    </w:p>
    <w:p w14:paraId="482D0739" w14:textId="77777777" w:rsidR="000B5660" w:rsidRPr="000B5660" w:rsidRDefault="000B5660" w:rsidP="000B5660">
      <w:pPr>
        <w:spacing w:after="250" w:line="276" w:lineRule="auto"/>
        <w:jc w:val="both"/>
        <w:rPr>
          <w:rFonts w:ascii="Arial" w:eastAsiaTheme="minorEastAsia" w:hAnsi="Arial" w:cs="Arial"/>
          <w:lang w:eastAsia="en-US"/>
        </w:rPr>
      </w:pPr>
      <w:r w:rsidRPr="000B5660">
        <w:rPr>
          <w:rFonts w:ascii="Arial" w:eastAsiaTheme="minorEastAsia" w:hAnsi="Arial" w:cs="Arial"/>
          <w:lang w:eastAsia="en-US"/>
        </w:rPr>
        <w:t>In that sense, we are very supportive of ESMA’s approach to closely align many of the data fields with CPMI IOSCOs common data elements (CDE). There are still gaps, however, and we would like to see ESMA go further and allow the reporting of prices and rates in decimal form as well as to align the notional amount of options with the CDE Call and Put naming convention. We believe this is a clearer solution rather than using a generic notional leg field. We also believe the CDE notation of using reporting party is clearer than the use of counterparty 1, which ESMA is proposing to adopt in fields such as “Initial margin collected by the counterparty 1 (post-haircut)”. We also would like to see close harmonization with other regulations such as Dodd Frank on fields not covered by the CDE. We firmly believe that close, if not complete, alignment of fields globally can only benefit and help deliver the main mandate of the G20 reporting regime that is to monitor global systemic risk.</w:t>
      </w:r>
    </w:p>
    <w:p w14:paraId="027B002F" w14:textId="77777777" w:rsidR="000B5660" w:rsidRPr="000B5660" w:rsidRDefault="000B5660" w:rsidP="000B5660">
      <w:pPr>
        <w:spacing w:after="250" w:line="276" w:lineRule="auto"/>
        <w:jc w:val="both"/>
        <w:rPr>
          <w:rFonts w:ascii="Arial" w:eastAsiaTheme="minorEastAsia" w:hAnsi="Arial" w:cs="Arial"/>
          <w:lang w:eastAsia="en-US"/>
        </w:rPr>
      </w:pPr>
      <w:r w:rsidRPr="000B5660">
        <w:rPr>
          <w:rFonts w:ascii="Arial" w:eastAsiaTheme="minorEastAsia" w:hAnsi="Arial" w:cs="Arial"/>
          <w:lang w:eastAsia="en-US"/>
        </w:rPr>
        <w:t>With regards to mandatory delegated reporting for NFC- we would like to stress the need for definitive guidance on the legal responsibility for reporting (obligation and physical reporting action) in the technical standards. We also believe that, in the scenario in which the FC and NFC- report to two different TRs, the options outlined by ESMA on the process to be followed are not the most effective especially given the fact that other TRs do not yet support the porting of a subset of a portfolio, commonly referred to as partial porting. We therefore present an alternative in our response below, which we believe would significantly reduce the workload of all participants in the process, including the NFCs, and improve the resulting data quality. In this context, it is also important to review/update the portability guidelines to put the responsibility and instruction rights in a porting situation onto the entity responsible for reporting (ERR) and not the reporting counterparty.  Additionally, we would support clarification of the porting guidelines as it relates to the NFC</w:t>
      </w:r>
      <w:proofErr w:type="gramStart"/>
      <w:r w:rsidRPr="000B5660">
        <w:rPr>
          <w:rFonts w:ascii="Arial" w:eastAsiaTheme="minorEastAsia" w:hAnsi="Arial" w:cs="Arial"/>
          <w:lang w:eastAsia="en-US"/>
        </w:rPr>
        <w:t>-‘</w:t>
      </w:r>
      <w:proofErr w:type="gramEnd"/>
      <w:r w:rsidRPr="000B5660">
        <w:rPr>
          <w:rFonts w:ascii="Arial" w:eastAsiaTheme="minorEastAsia" w:hAnsi="Arial" w:cs="Arial"/>
          <w:lang w:eastAsia="en-US"/>
        </w:rPr>
        <w:t>s responsibility to initiate the porting process.</w:t>
      </w:r>
    </w:p>
    <w:p w14:paraId="0C62DFDA" w14:textId="77777777" w:rsidR="000B5660" w:rsidRDefault="000B5660" w:rsidP="00C85C8B">
      <w:pPr>
        <w:spacing w:after="250" w:line="276" w:lineRule="auto"/>
        <w:jc w:val="both"/>
        <w:rPr>
          <w:rFonts w:ascii="Arial" w:eastAsiaTheme="minorEastAsia" w:hAnsi="Arial" w:cs="Arial"/>
          <w:sz w:val="22"/>
          <w:szCs w:val="20"/>
          <w:lang w:eastAsia="en-US"/>
        </w:rPr>
      </w:pPr>
      <w:r w:rsidRPr="000B5660">
        <w:rPr>
          <w:rFonts w:ascii="Arial" w:eastAsiaTheme="minorEastAsia" w:hAnsi="Arial" w:cs="Arial"/>
          <w:lang w:eastAsia="en-US"/>
        </w:rPr>
        <w:t xml:space="preserve">Finally, we would also like to draw ESMA’s attention to the importance of providing </w:t>
      </w:r>
      <w:proofErr w:type="gramStart"/>
      <w:r w:rsidRPr="000B5660">
        <w:rPr>
          <w:rFonts w:ascii="Arial" w:eastAsiaTheme="minorEastAsia" w:hAnsi="Arial" w:cs="Arial"/>
          <w:lang w:eastAsia="en-US"/>
        </w:rPr>
        <w:t>sufficient</w:t>
      </w:r>
      <w:proofErr w:type="gramEnd"/>
      <w:r w:rsidRPr="000B5660">
        <w:rPr>
          <w:rFonts w:ascii="Arial" w:eastAsiaTheme="minorEastAsia" w:hAnsi="Arial" w:cs="Arial"/>
          <w:lang w:eastAsia="en-US"/>
        </w:rPr>
        <w:t xml:space="preserve"> time for the industry to implement changes such as the introduction of common schemas for reporting, for which an implementation period of at least twelve months would be required.</w:t>
      </w:r>
      <w:r w:rsidRPr="000B5660">
        <w:rPr>
          <w:rFonts w:ascii="Arial" w:eastAsiaTheme="minorEastAsia" w:hAnsi="Arial" w:cs="Arial"/>
          <w:sz w:val="22"/>
          <w:szCs w:val="20"/>
          <w:lang w:eastAsia="en-US"/>
        </w:rPr>
        <w:t xml:space="preserve">  </w:t>
      </w:r>
    </w:p>
    <w:permEnd w:id="885457707"/>
    <w:p w14:paraId="15D00E65" w14:textId="527C7A0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447D58"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447D58"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154AA336" w14:textId="77777777" w:rsidR="000B5660" w:rsidRPr="000B5660" w:rsidRDefault="000B5660" w:rsidP="000B5660">
      <w:pPr>
        <w:rPr>
          <w:rFonts w:ascii="Arial" w:hAnsi="Arial" w:cs="Arial"/>
        </w:rPr>
      </w:pPr>
      <w:permStart w:id="1307781427" w:edGrp="everyone"/>
      <w:r w:rsidRPr="000B5660">
        <w:rPr>
          <w:rFonts w:ascii="Arial" w:hAnsi="Arial" w:cs="Arial"/>
        </w:rPr>
        <w:t>We agree with the general aim to put the requirement for physical reporting on the counterparty to the derivative contract that is technically and operationally best placed to carry out the reporting process. We believe the consolidation of this responsibility into a smaller number of, primarily, financial services participants will increase the quality of the data and the related reconciliations.</w:t>
      </w:r>
    </w:p>
    <w:p w14:paraId="4696B354" w14:textId="77777777" w:rsidR="000B5660" w:rsidRDefault="000B5660" w:rsidP="000B5660">
      <w:pPr>
        <w:rPr>
          <w:rFonts w:ascii="Arial" w:hAnsi="Arial" w:cs="Arial"/>
        </w:rPr>
      </w:pPr>
    </w:p>
    <w:p w14:paraId="6B63F9EC" w14:textId="42DA2A54" w:rsidR="000B5660" w:rsidRPr="000B5660" w:rsidRDefault="000B5660" w:rsidP="000B5660">
      <w:pPr>
        <w:rPr>
          <w:rFonts w:ascii="Arial" w:hAnsi="Arial" w:cs="Arial"/>
        </w:rPr>
      </w:pPr>
      <w:r w:rsidRPr="000B5660">
        <w:rPr>
          <w:rFonts w:ascii="Arial" w:hAnsi="Arial" w:cs="Arial"/>
        </w:rPr>
        <w:t xml:space="preserve">We do, however, have some concerns over the recommended mechanism for porting of data between TRs as we do not believe this proposal is the most effective mechanism for all types of derivatives transfers (e.g. NFC- to FC). </w:t>
      </w:r>
    </w:p>
    <w:p w14:paraId="764C25E6" w14:textId="77777777" w:rsidR="000B5660" w:rsidRDefault="000B5660" w:rsidP="000B5660">
      <w:pPr>
        <w:rPr>
          <w:rFonts w:ascii="Arial" w:hAnsi="Arial" w:cs="Arial"/>
        </w:rPr>
      </w:pPr>
    </w:p>
    <w:p w14:paraId="7577D27C" w14:textId="1E6A7D0D" w:rsidR="000B5660" w:rsidRPr="000B5660" w:rsidRDefault="000B5660" w:rsidP="000B5660">
      <w:pPr>
        <w:rPr>
          <w:rFonts w:ascii="Arial" w:hAnsi="Arial" w:cs="Arial"/>
        </w:rPr>
      </w:pPr>
      <w:r w:rsidRPr="000B5660">
        <w:rPr>
          <w:rFonts w:ascii="Arial" w:hAnsi="Arial" w:cs="Arial"/>
        </w:rPr>
        <w:t>ESMA’s Portability Guidelines (Guidelines on transfer of data between TRs) were designed specifically for transfers where a client is moving their entire portfolio from one TR to another and continuing to have a relationship with the new TR. It is, however, possible that for mandatory delegation, an NFC- may face FCs using different TRs and therefore requiring ‘partial’ porting of a portfolio to multiple new TRs. Not all TRs have this capability as of June 18, 2020 and the inability of an NFC- to have their legacy portfolios ported to the TR that their FC is utilizing will cause issues for FCs This could result in duplicative reporting unless the NFC- were to exit the reporting at their old TR at the time of a modification.</w:t>
      </w:r>
    </w:p>
    <w:p w14:paraId="3A2977DD" w14:textId="77777777" w:rsidR="000B5660" w:rsidRDefault="000B5660" w:rsidP="000B5660">
      <w:pPr>
        <w:rPr>
          <w:rFonts w:ascii="Arial" w:hAnsi="Arial" w:cs="Arial"/>
        </w:rPr>
      </w:pPr>
    </w:p>
    <w:p w14:paraId="10D2D3B7" w14:textId="6256E203" w:rsidR="000B5660" w:rsidRPr="000B5660" w:rsidRDefault="000B5660" w:rsidP="000B5660">
      <w:pPr>
        <w:rPr>
          <w:rFonts w:ascii="Arial" w:hAnsi="Arial" w:cs="Arial"/>
        </w:rPr>
      </w:pPr>
      <w:r w:rsidRPr="000B5660">
        <w:rPr>
          <w:rFonts w:ascii="Arial" w:hAnsi="Arial" w:cs="Arial"/>
        </w:rPr>
        <w:t>We believe that an option would be to have the FC simply re-report the NFC- position to the new TR, as if they were reporting on behalf of the NFC-, and the NFC- closes their position in the other TR.</w:t>
      </w:r>
    </w:p>
    <w:p w14:paraId="5D0F8F08" w14:textId="77777777" w:rsidR="000B5660" w:rsidRDefault="000B5660" w:rsidP="008D4AEE">
      <w:pPr>
        <w:rPr>
          <w:rFonts w:ascii="Arial" w:hAnsi="Arial" w:cs="Arial"/>
        </w:rPr>
      </w:pPr>
    </w:p>
    <w:p w14:paraId="5CD3C284" w14:textId="63E82CE7" w:rsidR="000B5660" w:rsidRDefault="000B5660" w:rsidP="008D4AEE">
      <w:pPr>
        <w:rPr>
          <w:rFonts w:ascii="Arial" w:hAnsi="Arial" w:cs="Arial"/>
        </w:rPr>
      </w:pPr>
      <w:r w:rsidRPr="000B5660">
        <w:rPr>
          <w:rFonts w:ascii="Arial" w:hAnsi="Arial" w:cs="Arial"/>
        </w:rPr>
        <w:t xml:space="preserve">We understand that the process of allowing NFC- to simply stop reporting their OTC derivative contracts at the old TR and having the FCs report the current state of the contracts at a new TR is not one of the options that ESMA initially raised in this consultation. </w:t>
      </w:r>
    </w:p>
    <w:permEnd w:id="1307781427"/>
    <w:p w14:paraId="49DC2FB0" w14:textId="349F42D5"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7843C797" w14:textId="77777777" w:rsidR="002A0CAB" w:rsidRPr="002A0CAB" w:rsidRDefault="002A0CAB" w:rsidP="002A0CAB">
      <w:pPr>
        <w:rPr>
          <w:rFonts w:ascii="Arial" w:hAnsi="Arial" w:cs="Arial"/>
          <w:lang w:val="en-US"/>
        </w:rPr>
      </w:pPr>
      <w:permStart w:id="1765678444" w:edGrp="everyone"/>
      <w:r w:rsidRPr="002A0CAB">
        <w:rPr>
          <w:rFonts w:ascii="Arial" w:hAnsi="Arial" w:cs="Arial"/>
          <w:lang w:val="en-US"/>
        </w:rPr>
        <w:t xml:space="preserve">Please refer to Q2. </w:t>
      </w:r>
    </w:p>
    <w:p w14:paraId="5B4CF38D" w14:textId="77777777" w:rsidR="002A0CAB" w:rsidRPr="002A0CAB" w:rsidRDefault="002A0CAB" w:rsidP="002A0CAB">
      <w:pPr>
        <w:rPr>
          <w:rFonts w:ascii="Arial" w:hAnsi="Arial" w:cs="Arial"/>
          <w:lang w:val="en-US"/>
        </w:rPr>
      </w:pPr>
      <w:r w:rsidRPr="002A0CAB">
        <w:rPr>
          <w:rFonts w:ascii="Arial" w:hAnsi="Arial" w:cs="Arial"/>
          <w:lang w:val="en-US"/>
        </w:rPr>
        <w:lastRenderedPageBreak/>
        <w:t xml:space="preserve">We believe that the two options provided by ESMA have merits but also disadvantages. </w:t>
      </w:r>
    </w:p>
    <w:p w14:paraId="64475453" w14:textId="77777777" w:rsidR="002A0CAB" w:rsidRDefault="002A0CAB" w:rsidP="002A0CAB">
      <w:pPr>
        <w:rPr>
          <w:rFonts w:ascii="Arial" w:hAnsi="Arial" w:cs="Arial"/>
          <w:lang w:val="en-US"/>
        </w:rPr>
      </w:pPr>
    </w:p>
    <w:p w14:paraId="32284044" w14:textId="711C431B" w:rsidR="002A0CAB" w:rsidRPr="002A0CAB" w:rsidRDefault="002A0CAB" w:rsidP="002A0CAB">
      <w:pPr>
        <w:rPr>
          <w:rFonts w:ascii="Arial" w:hAnsi="Arial" w:cs="Arial"/>
          <w:lang w:val="en-US"/>
        </w:rPr>
      </w:pPr>
      <w:r w:rsidRPr="002A0CAB">
        <w:rPr>
          <w:rFonts w:ascii="Arial" w:hAnsi="Arial" w:cs="Arial"/>
          <w:lang w:val="en-US"/>
        </w:rPr>
        <w:t xml:space="preserve">Option 1 requires the FC to report to the TR of the NFC-. We find this scenario unrealistic as it requires each FC to potentially report to, and consume back, messages from </w:t>
      </w:r>
      <w:proofErr w:type="gramStart"/>
      <w:r w:rsidRPr="002A0CAB">
        <w:rPr>
          <w:rFonts w:ascii="Arial" w:hAnsi="Arial" w:cs="Arial"/>
          <w:lang w:val="en-US"/>
        </w:rPr>
        <w:t>each and every</w:t>
      </w:r>
      <w:proofErr w:type="gramEnd"/>
      <w:r w:rsidRPr="002A0CAB">
        <w:rPr>
          <w:rFonts w:ascii="Arial" w:hAnsi="Arial" w:cs="Arial"/>
          <w:lang w:val="en-US"/>
        </w:rPr>
        <w:t xml:space="preserve"> authorized TR. Currently, it is market practice for an FC to deal with a single TR per jurisdiction. This option therefore is highly complex from an operational perspective and will create additional risks and costs both in implementation and maintenance for the FCs.</w:t>
      </w:r>
    </w:p>
    <w:p w14:paraId="46514E88" w14:textId="77777777" w:rsidR="002A0CAB" w:rsidRDefault="002A0CAB" w:rsidP="002A0CAB">
      <w:pPr>
        <w:rPr>
          <w:rFonts w:ascii="Arial" w:hAnsi="Arial" w:cs="Arial"/>
          <w:lang w:val="en-US"/>
        </w:rPr>
      </w:pPr>
    </w:p>
    <w:p w14:paraId="4D363496" w14:textId="1F7AD530" w:rsidR="002A0CAB" w:rsidRPr="002A0CAB" w:rsidRDefault="002A0CAB" w:rsidP="002A0CAB">
      <w:pPr>
        <w:rPr>
          <w:rFonts w:ascii="Arial" w:hAnsi="Arial" w:cs="Arial"/>
          <w:lang w:val="en-US"/>
        </w:rPr>
      </w:pPr>
      <w:r w:rsidRPr="002A0CAB">
        <w:rPr>
          <w:rFonts w:ascii="Arial" w:hAnsi="Arial" w:cs="Arial"/>
          <w:lang w:val="en-US"/>
        </w:rPr>
        <w:t>Option 2 requires the NFC- to port their transactions to the TR of the FC as per ESMA’s guidance in May 2020. We have stressed that the existing data transfer guidelines were designed to enable a TR participant to move their entire portfolio from one TR to another, e.g. in the event of closure of existing TR. In the case of mandatory delegated reporting, the NFC- does not actually need to be a participant in a TR, this is the responsibility of the FC.  The NFC- will therefore have no need for a business or operational relationship with the TR of the FC. This option will force the NFC- to establish such a relationship even if it is relatively “light touch”.</w:t>
      </w:r>
    </w:p>
    <w:p w14:paraId="5179C507" w14:textId="77777777" w:rsidR="002A0CAB" w:rsidRDefault="002A0CAB" w:rsidP="002A0CAB">
      <w:pPr>
        <w:rPr>
          <w:rFonts w:ascii="Arial" w:hAnsi="Arial" w:cs="Arial"/>
          <w:lang w:val="en-US"/>
        </w:rPr>
      </w:pPr>
    </w:p>
    <w:p w14:paraId="338C4E10" w14:textId="383E84CF" w:rsidR="002A0CAB" w:rsidRPr="002A0CAB" w:rsidRDefault="002A0CAB" w:rsidP="002A0CAB">
      <w:pPr>
        <w:rPr>
          <w:rFonts w:ascii="Arial" w:hAnsi="Arial" w:cs="Arial"/>
          <w:lang w:val="en-US"/>
        </w:rPr>
      </w:pPr>
      <w:r w:rsidRPr="002A0CAB">
        <w:rPr>
          <w:rFonts w:ascii="Arial" w:hAnsi="Arial" w:cs="Arial"/>
          <w:lang w:val="en-US"/>
        </w:rPr>
        <w:t xml:space="preserve">Option 2 also requires the NFC- to upgrade any legacy transactions to the right level of data quality (e.g. updates of standards) which introduces additional complexity for the NFC- when one of the stated goals of the mandatory delegated reporting scheme was to take the burden off the less sophisticated counterparty. Additionally, because </w:t>
      </w:r>
      <w:proofErr w:type="spellStart"/>
      <w:r w:rsidRPr="002A0CAB">
        <w:rPr>
          <w:rFonts w:ascii="Arial" w:hAnsi="Arial" w:cs="Arial"/>
          <w:lang w:val="en-US"/>
        </w:rPr>
        <w:t>portings</w:t>
      </w:r>
      <w:proofErr w:type="spellEnd"/>
      <w:r w:rsidRPr="002A0CAB">
        <w:rPr>
          <w:rFonts w:ascii="Arial" w:hAnsi="Arial" w:cs="Arial"/>
          <w:lang w:val="en-US"/>
        </w:rPr>
        <w:t xml:space="preserve">, per the guidelines, can only take place on bilaterally agreed dates when both TRs are available and requires weekend interaction with the NFC-, the requirement to port puts additional burden on the NFC-  </w:t>
      </w:r>
    </w:p>
    <w:p w14:paraId="5850482C" w14:textId="77777777" w:rsidR="002A0CAB" w:rsidRDefault="002A0CAB" w:rsidP="002A0CAB">
      <w:pPr>
        <w:rPr>
          <w:rFonts w:ascii="Arial" w:hAnsi="Arial" w:cs="Arial"/>
          <w:lang w:val="en-US"/>
        </w:rPr>
      </w:pPr>
    </w:p>
    <w:p w14:paraId="289B810C" w14:textId="4788707D" w:rsidR="002A0CAB" w:rsidRPr="002A0CAB" w:rsidRDefault="002A0CAB" w:rsidP="002A0CAB">
      <w:pPr>
        <w:rPr>
          <w:rFonts w:ascii="Arial" w:hAnsi="Arial" w:cs="Arial"/>
          <w:lang w:val="en-US"/>
        </w:rPr>
      </w:pPr>
      <w:r w:rsidRPr="002A0CAB">
        <w:rPr>
          <w:rFonts w:ascii="Arial" w:hAnsi="Arial" w:cs="Arial"/>
          <w:lang w:val="en-US"/>
        </w:rPr>
        <w:t xml:space="preserve">Also, whilst a typical porting process usually covers a limited number of LEIs, in the case of mandatory delegation it may involve thousands of LEIs potentially impacting the TRs’. processing capacity. </w:t>
      </w:r>
      <w:bookmarkStart w:id="1" w:name="_Hlk42506154"/>
      <w:r w:rsidRPr="002A0CAB">
        <w:rPr>
          <w:rFonts w:ascii="Arial" w:hAnsi="Arial" w:cs="Arial"/>
          <w:lang w:val="en-US"/>
        </w:rPr>
        <w:t xml:space="preserve">This may cause delays in the porting process.  </w:t>
      </w:r>
    </w:p>
    <w:bookmarkEnd w:id="1"/>
    <w:p w14:paraId="27754DDD" w14:textId="77777777" w:rsidR="002A0CAB" w:rsidRDefault="002A0CAB" w:rsidP="002A0CAB">
      <w:pPr>
        <w:rPr>
          <w:rFonts w:ascii="Arial" w:hAnsi="Arial" w:cs="Arial"/>
          <w:lang w:val="en-US"/>
        </w:rPr>
      </w:pPr>
    </w:p>
    <w:p w14:paraId="70B27CE7" w14:textId="1AED94E1" w:rsidR="002A0CAB" w:rsidRPr="002A0CAB" w:rsidRDefault="002A0CAB" w:rsidP="002A0CAB">
      <w:pPr>
        <w:rPr>
          <w:rFonts w:ascii="Arial" w:hAnsi="Arial" w:cs="Arial"/>
          <w:lang w:val="en-US"/>
        </w:rPr>
      </w:pPr>
      <w:r w:rsidRPr="002A0CAB">
        <w:rPr>
          <w:rFonts w:ascii="Arial" w:hAnsi="Arial" w:cs="Arial"/>
          <w:lang w:val="en-US"/>
        </w:rPr>
        <w:t xml:space="preserve">We believe there is a third option as mentioned above in question 2. </w:t>
      </w:r>
    </w:p>
    <w:p w14:paraId="0A6E9811" w14:textId="77777777" w:rsidR="002A0CAB" w:rsidRPr="002A0CAB" w:rsidRDefault="002A0CAB" w:rsidP="002A0CAB">
      <w:pPr>
        <w:numPr>
          <w:ilvl w:val="0"/>
          <w:numId w:val="18"/>
        </w:numPr>
        <w:rPr>
          <w:rFonts w:ascii="Arial" w:hAnsi="Arial" w:cs="Arial"/>
          <w:lang w:val="en-US"/>
        </w:rPr>
      </w:pPr>
      <w:r w:rsidRPr="002A0CAB">
        <w:rPr>
          <w:rFonts w:ascii="Arial" w:hAnsi="Arial" w:cs="Arial"/>
          <w:b/>
          <w:i/>
          <w:lang w:val="en-US"/>
        </w:rPr>
        <w:t>Old TR/New TR:</w:t>
      </w:r>
      <w:r w:rsidRPr="002A0CAB">
        <w:rPr>
          <w:rFonts w:ascii="Arial" w:hAnsi="Arial" w:cs="Arial"/>
          <w:lang w:val="en-US"/>
        </w:rPr>
        <w:t xml:space="preserve"> No required porting. </w:t>
      </w:r>
    </w:p>
    <w:p w14:paraId="4FCC7840" w14:textId="77777777" w:rsidR="002A0CAB" w:rsidRPr="002A0CAB" w:rsidRDefault="002A0CAB" w:rsidP="002A0CAB">
      <w:pPr>
        <w:numPr>
          <w:ilvl w:val="0"/>
          <w:numId w:val="18"/>
        </w:numPr>
        <w:rPr>
          <w:rFonts w:ascii="Arial" w:hAnsi="Arial" w:cs="Arial"/>
          <w:lang w:val="en-US"/>
        </w:rPr>
      </w:pPr>
      <w:r w:rsidRPr="002A0CAB">
        <w:rPr>
          <w:rFonts w:ascii="Arial" w:hAnsi="Arial" w:cs="Arial"/>
          <w:b/>
          <w:lang w:val="en-US"/>
        </w:rPr>
        <w:t>FCs:</w:t>
      </w:r>
      <w:r w:rsidRPr="002A0CAB">
        <w:rPr>
          <w:rFonts w:ascii="Arial" w:hAnsi="Arial" w:cs="Arial"/>
          <w:lang w:val="en-US"/>
        </w:rPr>
        <w:t xml:space="preserve"> While they would backload all old trades, it should result in a100% reconciliation status.</w:t>
      </w:r>
    </w:p>
    <w:p w14:paraId="722E124D" w14:textId="77777777" w:rsidR="002A0CAB" w:rsidRPr="002A0CAB" w:rsidRDefault="002A0CAB" w:rsidP="002A0CAB">
      <w:pPr>
        <w:numPr>
          <w:ilvl w:val="0"/>
          <w:numId w:val="18"/>
        </w:numPr>
        <w:rPr>
          <w:rFonts w:ascii="Arial" w:hAnsi="Arial" w:cs="Arial"/>
          <w:lang w:val="en-US"/>
        </w:rPr>
      </w:pPr>
      <w:r w:rsidRPr="002A0CAB">
        <w:rPr>
          <w:rFonts w:ascii="Arial" w:hAnsi="Arial" w:cs="Arial"/>
          <w:b/>
          <w:lang w:val="en-US"/>
        </w:rPr>
        <w:t>ESMA</w:t>
      </w:r>
      <w:r w:rsidRPr="002A0CAB">
        <w:rPr>
          <w:rFonts w:ascii="Arial" w:hAnsi="Arial" w:cs="Arial"/>
          <w:lang w:val="en-US"/>
        </w:rPr>
        <w:t xml:space="preserve">: best quality data: 100% reconciliation of open contracts. </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447D58"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490D307B" w14:textId="77777777" w:rsidR="002A0CAB" w:rsidRPr="002A0CAB" w:rsidRDefault="002A0CAB" w:rsidP="002A0CAB">
      <w:pPr>
        <w:rPr>
          <w:rFonts w:ascii="Arial" w:hAnsi="Arial" w:cs="Arial"/>
          <w:lang w:val="en-US"/>
        </w:rPr>
      </w:pPr>
      <w:permStart w:id="1935095984" w:edGrp="everyone"/>
      <w:r w:rsidRPr="002A0CAB">
        <w:rPr>
          <w:rFonts w:ascii="Arial" w:hAnsi="Arial" w:cs="Arial"/>
          <w:lang w:val="en-US"/>
        </w:rPr>
        <w:t xml:space="preserve">ESMA is introducing an additional field for report submitting entities to clearly identify the ERR. DDRL supports the clear identification of this information especially as it relates to third parties who retain the reporting obligation.  </w:t>
      </w:r>
    </w:p>
    <w:p w14:paraId="1A09C856" w14:textId="77777777" w:rsidR="002A0CAB" w:rsidRPr="002A0CAB" w:rsidRDefault="002A0CAB" w:rsidP="002A0CAB">
      <w:pPr>
        <w:rPr>
          <w:rFonts w:ascii="Arial" w:hAnsi="Arial" w:cs="Arial"/>
          <w:lang w:val="en-US"/>
        </w:rPr>
      </w:pPr>
    </w:p>
    <w:p w14:paraId="04574311" w14:textId="77777777" w:rsidR="002A0CAB" w:rsidRPr="002A0CAB" w:rsidRDefault="002A0CAB" w:rsidP="002A0CAB">
      <w:pPr>
        <w:rPr>
          <w:rFonts w:ascii="Arial" w:hAnsi="Arial" w:cs="Arial"/>
          <w:lang w:val="en-US"/>
        </w:rPr>
      </w:pPr>
      <w:r w:rsidRPr="002A0CAB">
        <w:rPr>
          <w:rFonts w:ascii="Arial" w:hAnsi="Arial" w:cs="Arial"/>
          <w:lang w:val="en-US"/>
        </w:rPr>
        <w:t xml:space="preserve">In Annex 1, Table 1, field 3 is defined to be populated by the FC when the contract is covered by the mandatory delegated reporting requirements: In cases where the </w:t>
      </w:r>
      <w:r w:rsidRPr="002A0CAB">
        <w:rPr>
          <w:rFonts w:ascii="Arial" w:hAnsi="Arial" w:cs="Arial"/>
          <w:lang w:val="en-US"/>
        </w:rPr>
        <w:lastRenderedPageBreak/>
        <w:t xml:space="preserve">reporting party is a UCITs fund, it is the UCITs manager; where it is an AIF, it is the AIF Manager; and when the reporting party is an IORP, it is the related manager. </w:t>
      </w:r>
    </w:p>
    <w:p w14:paraId="22B4A304" w14:textId="77777777" w:rsidR="002A0CAB" w:rsidRPr="002A0CAB" w:rsidRDefault="002A0CAB" w:rsidP="002A0CAB">
      <w:pPr>
        <w:rPr>
          <w:rFonts w:ascii="Arial" w:hAnsi="Arial" w:cs="Arial"/>
          <w:lang w:val="en-US"/>
        </w:rPr>
      </w:pPr>
    </w:p>
    <w:p w14:paraId="06DEA101" w14:textId="77777777" w:rsidR="002A0CAB" w:rsidRPr="002A0CAB" w:rsidRDefault="002A0CAB" w:rsidP="002A0CAB">
      <w:pPr>
        <w:rPr>
          <w:rFonts w:ascii="Arial" w:hAnsi="Arial" w:cs="Arial"/>
          <w:lang w:val="en-US"/>
        </w:rPr>
      </w:pPr>
      <w:r w:rsidRPr="002A0CAB">
        <w:rPr>
          <w:rFonts w:ascii="Arial" w:hAnsi="Arial" w:cs="Arial"/>
          <w:lang w:val="en-US"/>
        </w:rPr>
        <w:t xml:space="preserve">DDRL recommends that ESMA clarifies </w:t>
      </w:r>
      <w:proofErr w:type="gramStart"/>
      <w:r w:rsidRPr="002A0CAB">
        <w:rPr>
          <w:rFonts w:ascii="Arial" w:hAnsi="Arial" w:cs="Arial"/>
          <w:lang w:val="en-US"/>
        </w:rPr>
        <w:t>all of</w:t>
      </w:r>
      <w:proofErr w:type="gramEnd"/>
      <w:r w:rsidRPr="002A0CAB">
        <w:rPr>
          <w:rFonts w:ascii="Arial" w:hAnsi="Arial" w:cs="Arial"/>
          <w:lang w:val="en-US"/>
        </w:rPr>
        <w:t xml:space="preserve"> the other reporting responsibilities, such as voluntary delegated arrangements or firms reporting on behalf of a related entity. In the case of the former, it is not clear whether the ERR should be populated with the entity that is responsible for the overall reporting requirements (as delegated) or by the reporting party itself. Similar situations can arise for related entities where a single entity in the family, such as a services company, is the report submitting entity. It is unclear whether this field is meant to identify the party that the NCA should </w:t>
      </w:r>
      <w:proofErr w:type="gramStart"/>
      <w:r w:rsidRPr="002A0CAB">
        <w:rPr>
          <w:rFonts w:ascii="Arial" w:hAnsi="Arial" w:cs="Arial"/>
          <w:lang w:val="en-US"/>
        </w:rPr>
        <w:t>contact with</w:t>
      </w:r>
      <w:proofErr w:type="gramEnd"/>
      <w:r w:rsidRPr="002A0CAB">
        <w:rPr>
          <w:rFonts w:ascii="Arial" w:hAnsi="Arial" w:cs="Arial"/>
          <w:lang w:val="en-US"/>
        </w:rPr>
        <w:t xml:space="preserve"> questions surrounding a reported contract or whether it is meant to identify the party that is legally responsible even though they’ve delegated the technical/administrative responsibilities.  Similar clarification should be made in the case of special purpose vehicles (SPVs) that have legally given the reporting requirements to a SPV manager.</w:t>
      </w:r>
    </w:p>
    <w:p w14:paraId="25D360F5" w14:textId="77777777" w:rsidR="002A0CAB" w:rsidRPr="002A0CAB" w:rsidRDefault="002A0CAB" w:rsidP="002A0CAB">
      <w:pPr>
        <w:rPr>
          <w:rFonts w:ascii="Arial" w:hAnsi="Arial" w:cs="Arial"/>
          <w:lang w:val="en-US"/>
        </w:rPr>
      </w:pPr>
    </w:p>
    <w:p w14:paraId="393B5652" w14:textId="77777777" w:rsidR="002A0CAB" w:rsidRPr="002A0CAB" w:rsidRDefault="002A0CAB" w:rsidP="002A0CAB">
      <w:pPr>
        <w:rPr>
          <w:rFonts w:ascii="Arial" w:hAnsi="Arial" w:cs="Arial"/>
          <w:lang w:val="en-US"/>
        </w:rPr>
      </w:pPr>
      <w:r w:rsidRPr="002A0CAB">
        <w:rPr>
          <w:rFonts w:ascii="Arial" w:hAnsi="Arial" w:cs="Arial"/>
          <w:lang w:val="en-US"/>
        </w:rPr>
        <w:t>It is also important to review/update the portability guidelines to put the responsibility (obligation) and instruction rights in a porting situation onto the ERR alone and not the reporting party.</w:t>
      </w:r>
    </w:p>
    <w:p w14:paraId="346B4DEC" w14:textId="77777777" w:rsidR="002A0CAB" w:rsidRPr="002A0CAB" w:rsidRDefault="002A0CAB" w:rsidP="002A0CAB">
      <w:pPr>
        <w:rPr>
          <w:rFonts w:ascii="Arial" w:hAnsi="Arial" w:cs="Arial"/>
          <w:lang w:val="en-US"/>
        </w:rPr>
      </w:pPr>
    </w:p>
    <w:p w14:paraId="1399312D" w14:textId="77777777" w:rsidR="002A0CAB" w:rsidRPr="002A0CAB" w:rsidRDefault="002A0CAB" w:rsidP="002A0CAB">
      <w:pPr>
        <w:rPr>
          <w:rFonts w:ascii="Arial" w:hAnsi="Arial" w:cs="Arial"/>
          <w:lang w:val="en-US"/>
        </w:rPr>
      </w:pPr>
      <w:r w:rsidRPr="002A0CAB">
        <w:rPr>
          <w:rFonts w:ascii="Arial" w:hAnsi="Arial" w:cs="Arial"/>
          <w:lang w:val="en-US"/>
        </w:rPr>
        <w:t>DDRL is fully supportive of the addition of the ERR in that it provides for contract level access to given reports to the appropriately identified entities. This should be a mandatory submission field, as it will help provide the relevant data access.</w:t>
      </w:r>
    </w:p>
    <w:p w14:paraId="77004809" w14:textId="77777777" w:rsidR="002A0CAB" w:rsidRPr="002A0CAB" w:rsidRDefault="002A0CAB" w:rsidP="002A0CAB">
      <w:pPr>
        <w:rPr>
          <w:rFonts w:ascii="Arial" w:hAnsi="Arial" w:cs="Arial"/>
          <w:lang w:val="en-US"/>
        </w:rPr>
      </w:pPr>
    </w:p>
    <w:p w14:paraId="60D8866A" w14:textId="77777777" w:rsidR="002A0CAB" w:rsidRPr="002A0CAB" w:rsidRDefault="002A0CAB" w:rsidP="002A0CAB">
      <w:pPr>
        <w:rPr>
          <w:rFonts w:ascii="Arial" w:hAnsi="Arial" w:cs="Arial"/>
          <w:lang w:val="en-US"/>
        </w:rPr>
      </w:pPr>
      <w:r w:rsidRPr="002A0CAB">
        <w:rPr>
          <w:rFonts w:ascii="Arial" w:hAnsi="Arial" w:cs="Arial"/>
          <w:lang w:val="en-US"/>
        </w:rPr>
        <w:t>In addition to the report submitting entity, the two principals to the transaction (reporting counterparty and other counterparty) and the entity responsible for reporting (for the reporting counterparty), DDRL believes that ESMA should consider adding a field for execution agent. For many types of entities (UCITs, trusts, SPVs, endowments, etc.) there is an execution agent or agents that are responsible for managing the money and executing the transaction. Because there are potentially multiple execution agents for a given LEI as a reporting counterparty, it is not possible to give these execution agents access to the contract data in the TR without having them listed on the transactions. DDRL has implemented this field and it is applicable to both the reporting counterparty and other counterparty. The execution agents, where applicable, are best placed to review the accuracy of the contract details on behalf of the reporting counterparty/other counterparty. DDRL recommends that ESMA implement these fields, along with ERR, making them mandatory as well. While they will often not be applicable, reporting counterparty/other counterparty can submit the same LEI in these fields as in the reporting counterparty/other counterparty fields when not applicable. It has been our experience that making fields mandatory results in a greater accuracy rate than when they are optional.</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447D58"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lastRenderedPageBreak/>
        <w:t>&lt;ESMA_QUESTION_TSTR_5&gt;</w:t>
      </w:r>
    </w:p>
    <w:p w14:paraId="5E6D1A1D" w14:textId="77777777" w:rsidR="008D4AEE" w:rsidRDefault="008D4AEE" w:rsidP="008D4AEE">
      <w:pPr>
        <w:rPr>
          <w:rFonts w:ascii="Arial" w:hAnsi="Arial" w:cs="Arial"/>
        </w:rPr>
      </w:pPr>
    </w:p>
    <w:p w14:paraId="1A8FB1B7" w14:textId="77777777" w:rsidR="008D4AEE" w:rsidRDefault="00447D58"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729549FF" w14:textId="77777777" w:rsidR="002A0CAB" w:rsidRPr="002A0CAB" w:rsidRDefault="002A0CAB" w:rsidP="002A0CAB">
      <w:pPr>
        <w:rPr>
          <w:rFonts w:ascii="Arial" w:hAnsi="Arial" w:cs="Arial"/>
          <w:lang w:val="en-US"/>
        </w:rPr>
      </w:pPr>
      <w:permStart w:id="2116830762" w:edGrp="everyone"/>
      <w:r w:rsidRPr="002A0CAB">
        <w:rPr>
          <w:rFonts w:ascii="Arial" w:hAnsi="Arial" w:cs="Arial"/>
          <w:lang w:val="en-US"/>
        </w:rPr>
        <w:t xml:space="preserve">Please refer to our response in Question 4. </w:t>
      </w:r>
    </w:p>
    <w:p w14:paraId="24DFCE59" w14:textId="77777777" w:rsidR="002A0CAB" w:rsidRDefault="002A0CAB" w:rsidP="002A0CAB">
      <w:pPr>
        <w:rPr>
          <w:rFonts w:ascii="Arial" w:hAnsi="Arial" w:cs="Arial"/>
          <w:lang w:val="en-US"/>
        </w:rPr>
      </w:pPr>
    </w:p>
    <w:p w14:paraId="6444A595" w14:textId="0504D158" w:rsidR="002A0CAB" w:rsidRPr="002A0CAB" w:rsidRDefault="002A0CAB" w:rsidP="002A0CAB">
      <w:pPr>
        <w:rPr>
          <w:rFonts w:ascii="Arial" w:hAnsi="Arial" w:cs="Arial"/>
          <w:lang w:val="en-US"/>
        </w:rPr>
      </w:pPr>
      <w:r w:rsidRPr="002A0CAB">
        <w:rPr>
          <w:rFonts w:ascii="Arial" w:hAnsi="Arial" w:cs="Arial"/>
          <w:lang w:val="en-US"/>
        </w:rPr>
        <w:t xml:space="preserve">The 5-day period in paragraph 21 may not be </w:t>
      </w:r>
      <w:proofErr w:type="gramStart"/>
      <w:r w:rsidRPr="002A0CAB">
        <w:rPr>
          <w:rFonts w:ascii="Arial" w:hAnsi="Arial" w:cs="Arial"/>
          <w:lang w:val="en-US"/>
        </w:rPr>
        <w:t>sufficient</w:t>
      </w:r>
      <w:proofErr w:type="gramEnd"/>
      <w:r w:rsidRPr="002A0CAB">
        <w:rPr>
          <w:rFonts w:ascii="Arial" w:hAnsi="Arial" w:cs="Arial"/>
          <w:lang w:val="en-US"/>
        </w:rPr>
        <w:t>, especially if the change in reporting responsibilities involves porting. The two parties (NFC- and FC) should come to a clear and agreed set of responsibilities which could potentially take more than five days as well as completing any necessary TR onboarding and porting documentation.</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447D58"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7B87D12F" w14:textId="77777777" w:rsidR="002A0CAB" w:rsidRPr="002A0CAB" w:rsidRDefault="002A0CAB" w:rsidP="002A0CAB">
      <w:pPr>
        <w:rPr>
          <w:rFonts w:ascii="Arial" w:hAnsi="Arial" w:cs="Arial"/>
          <w:lang w:val="en-US"/>
        </w:rPr>
      </w:pPr>
      <w:permStart w:id="1312109853" w:edGrp="everyone"/>
      <w:r w:rsidRPr="002A0CAB">
        <w:rPr>
          <w:rFonts w:ascii="Arial" w:hAnsi="Arial" w:cs="Arial"/>
          <w:lang w:val="en-US"/>
        </w:rPr>
        <w:t xml:space="preserve">We would appreciate some clarity on Paragraph 31. Even though we understand the EMIR Refit Article 80 intention, we must highlight that access for delegated reporting is challenging for </w:t>
      </w:r>
      <w:proofErr w:type="gramStart"/>
      <w:r w:rsidRPr="002A0CAB">
        <w:rPr>
          <w:rFonts w:ascii="Arial" w:hAnsi="Arial" w:cs="Arial"/>
          <w:lang w:val="en-US"/>
        </w:rPr>
        <w:t>a number of</w:t>
      </w:r>
      <w:proofErr w:type="gramEnd"/>
      <w:r w:rsidRPr="002A0CAB">
        <w:rPr>
          <w:rFonts w:ascii="Arial" w:hAnsi="Arial" w:cs="Arial"/>
          <w:lang w:val="en-US"/>
        </w:rPr>
        <w:t xml:space="preserve"> different reasons. Legally, it touches on client confidentiality issues. Operationally, it would be difficult to provide counterparties with proprietary data if TRs have not onboarded them. We also believe that the report submitting entity should see only that “report” (message/submission) and not the outstanding position, which should only be visible to the entity responsible for reporting and/or the reporting party if they are onboarded.</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447D58"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690EC6C9" w14:textId="77777777" w:rsidR="00582D9D" w:rsidRPr="00582D9D" w:rsidRDefault="00582D9D" w:rsidP="00582D9D">
      <w:pPr>
        <w:rPr>
          <w:rFonts w:ascii="Arial" w:hAnsi="Arial" w:cs="Arial"/>
          <w:lang w:val="en-US"/>
        </w:rPr>
      </w:pPr>
      <w:permStart w:id="735321313" w:edGrp="everyone"/>
      <w:r w:rsidRPr="00582D9D">
        <w:rPr>
          <w:rFonts w:ascii="Arial" w:hAnsi="Arial" w:cs="Arial"/>
          <w:lang w:val="en-US"/>
        </w:rPr>
        <w:t xml:space="preserve">We would like to clarify that this topic is between the ERR and their NCA. Note: there is clarification needed as to whether the notification is to the NCA of the ERR or of the reporting counterparty. </w:t>
      </w:r>
    </w:p>
    <w:p w14:paraId="4DFAF92A" w14:textId="77777777" w:rsidR="00582D9D" w:rsidRDefault="00582D9D" w:rsidP="00582D9D">
      <w:pPr>
        <w:rPr>
          <w:rFonts w:ascii="Arial" w:hAnsi="Arial" w:cs="Arial"/>
          <w:lang w:val="en-US"/>
        </w:rPr>
      </w:pPr>
    </w:p>
    <w:p w14:paraId="76ECF76A" w14:textId="7C2C63BB" w:rsidR="00582D9D" w:rsidRPr="00582D9D" w:rsidRDefault="00582D9D" w:rsidP="00582D9D">
      <w:pPr>
        <w:rPr>
          <w:rFonts w:ascii="Arial" w:hAnsi="Arial" w:cs="Arial"/>
          <w:lang w:val="en-US"/>
        </w:rPr>
      </w:pPr>
      <w:r w:rsidRPr="00582D9D">
        <w:rPr>
          <w:rFonts w:ascii="Arial" w:hAnsi="Arial" w:cs="Arial"/>
          <w:lang w:val="en-US"/>
        </w:rPr>
        <w:t>Additionally, as part of our development process, we have schema validated all the records in the Rejection Statistics (FR7) TRACE report and have identified some that are not being sent out as they do not meet the ISO20022 schema. For example, in the schema the reporting counterparty and report submitting entity values can only be populated with a LEI. So, where counterparties submit incorrect trade records to our TR (e.g. blank field), we reject them correctly. However, we believe that these records should at a minimum be sent to ESMA via the TRACE statistics to show that the TR does receive erroneous submissions and rejects them correctly. In the absence of an XML schema update, the TRs are likely to continue to be unable to send these types of records.</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447D58"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77777777" w:rsidR="008D4AEE" w:rsidRDefault="008D4AEE" w:rsidP="008D4AEE">
      <w:pPr>
        <w:rPr>
          <w:rFonts w:ascii="Arial" w:hAnsi="Arial" w:cs="Arial"/>
        </w:rPr>
      </w:pPr>
      <w:permStart w:id="1998397961" w:edGrp="everyone"/>
      <w:r>
        <w:rPr>
          <w:rFonts w:ascii="Arial" w:hAnsi="Arial" w:cs="Arial"/>
        </w:rPr>
        <w:t>TYPE YOUR TEXT HERE</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447D58"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447D58"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4499E13F" w:rsidR="008D4AEE" w:rsidRPr="00582D9D" w:rsidRDefault="00582D9D" w:rsidP="008D4AEE">
      <w:pPr>
        <w:rPr>
          <w:rFonts w:ascii="Arial" w:hAnsi="Arial" w:cs="Arial"/>
          <w:bCs/>
          <w:lang w:val="en-US"/>
        </w:rPr>
      </w:pPr>
      <w:permStart w:id="4403910" w:edGrp="everyone"/>
      <w:r w:rsidRPr="00582D9D">
        <w:rPr>
          <w:rFonts w:ascii="Arial" w:hAnsi="Arial" w:cs="Arial"/>
          <w:bCs/>
          <w:lang w:val="en-US"/>
        </w:rPr>
        <w:t>Yes, we agree. Standardization would help alignment with reporting and inter TR reconciliation. Nevertheless, ISO 20022 is a necessary but insufficient condition. Further alignment from a schema perspective would be necessary.</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447D58"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560EC368" w14:textId="77777777" w:rsidR="00582D9D" w:rsidRPr="00582D9D" w:rsidRDefault="00582D9D" w:rsidP="00582D9D">
      <w:pPr>
        <w:rPr>
          <w:rFonts w:ascii="Arial" w:hAnsi="Arial" w:cs="Arial"/>
          <w:bCs/>
          <w:lang w:val="en-US"/>
        </w:rPr>
      </w:pPr>
      <w:permStart w:id="2116957744" w:edGrp="everyone"/>
      <w:r w:rsidRPr="00582D9D">
        <w:rPr>
          <w:rFonts w:ascii="Arial" w:hAnsi="Arial" w:cs="Arial"/>
          <w:bCs/>
          <w:lang w:val="en-US"/>
        </w:rPr>
        <w:t xml:space="preserve">Yes. We believe that implementing XML will be a complex task for many counterparties, but we believe that given clear guidelines and reasonable timeframes, this would allow for a successful implementation. Additionally, there should be some reserved elements (as blanks) that can be used by reporting counterparties to help with their own controls. </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447D58"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3C15089A" w14:textId="17A43D9F" w:rsidR="00582D9D" w:rsidRDefault="00582D9D" w:rsidP="00582D9D">
      <w:pPr>
        <w:rPr>
          <w:rFonts w:ascii="Arial" w:hAnsi="Arial" w:cs="Arial"/>
          <w:lang w:val="en-US"/>
        </w:rPr>
      </w:pPr>
      <w:permStart w:id="1519548536" w:edGrp="everyone"/>
      <w:r w:rsidRPr="00582D9D">
        <w:rPr>
          <w:rFonts w:ascii="Arial" w:hAnsi="Arial" w:cs="Arial"/>
          <w:lang w:val="en-US"/>
        </w:rPr>
        <w:t xml:space="preserve">Yes. </w:t>
      </w:r>
    </w:p>
    <w:p w14:paraId="12DCA813" w14:textId="77777777" w:rsidR="00582D9D" w:rsidRPr="00582D9D" w:rsidRDefault="00582D9D" w:rsidP="00582D9D">
      <w:pPr>
        <w:rPr>
          <w:rFonts w:ascii="Arial" w:hAnsi="Arial" w:cs="Arial"/>
          <w:lang w:val="en-US"/>
        </w:rPr>
      </w:pPr>
    </w:p>
    <w:p w14:paraId="0DF7D3B1" w14:textId="77777777" w:rsidR="00582D9D" w:rsidRPr="00582D9D" w:rsidRDefault="00582D9D" w:rsidP="00582D9D">
      <w:pPr>
        <w:rPr>
          <w:rFonts w:ascii="Arial" w:hAnsi="Arial" w:cs="Arial"/>
          <w:lang w:val="en-US"/>
        </w:rPr>
      </w:pPr>
      <w:r w:rsidRPr="00582D9D">
        <w:rPr>
          <w:rFonts w:ascii="Arial" w:hAnsi="Arial" w:cs="Arial"/>
          <w:lang w:val="en-US"/>
        </w:rPr>
        <w:t>We are of the opinion that TRs should not generate UTIs for a variety of reasons:</w:t>
      </w:r>
    </w:p>
    <w:p w14:paraId="7780D54F" w14:textId="77777777" w:rsidR="00582D9D" w:rsidRPr="00582D9D" w:rsidRDefault="00582D9D" w:rsidP="00582D9D">
      <w:pPr>
        <w:numPr>
          <w:ilvl w:val="0"/>
          <w:numId w:val="18"/>
        </w:numPr>
        <w:rPr>
          <w:rFonts w:ascii="Arial" w:hAnsi="Arial" w:cs="Arial"/>
          <w:lang w:val="en-US"/>
        </w:rPr>
      </w:pPr>
      <w:r w:rsidRPr="00582D9D">
        <w:rPr>
          <w:rFonts w:ascii="Arial" w:hAnsi="Arial" w:cs="Arial"/>
          <w:lang w:val="en-US"/>
        </w:rPr>
        <w:t xml:space="preserve">UTI is required for completion of a variety of post-trade activities such as confirmation and cashflow matching processes and therefore must be generated early in the trading process. Since regulatory reporting is not required until T+1, any delay in the generation of UTIs will result in post trade operational difficulties as well as ultimately reducing data quality and increasing operational risk.  </w:t>
      </w:r>
    </w:p>
    <w:p w14:paraId="248437C1" w14:textId="77777777" w:rsidR="00582D9D" w:rsidRPr="00582D9D" w:rsidRDefault="00582D9D" w:rsidP="00582D9D">
      <w:pPr>
        <w:numPr>
          <w:ilvl w:val="0"/>
          <w:numId w:val="18"/>
        </w:numPr>
        <w:rPr>
          <w:rFonts w:ascii="Arial" w:hAnsi="Arial" w:cs="Arial"/>
          <w:lang w:val="en-US"/>
        </w:rPr>
      </w:pPr>
      <w:r w:rsidRPr="00582D9D">
        <w:rPr>
          <w:rFonts w:ascii="Arial" w:hAnsi="Arial" w:cs="Arial"/>
          <w:lang w:val="en-US"/>
        </w:rPr>
        <w:lastRenderedPageBreak/>
        <w:t>In transactions that are reported in multiple jurisdictions, there is no single TR to which the transaction is reported and so no single TR can be responsible for UTI generation.</w:t>
      </w:r>
    </w:p>
    <w:p w14:paraId="58036CAD" w14:textId="77777777" w:rsidR="00582D9D" w:rsidRDefault="00582D9D" w:rsidP="00582D9D">
      <w:pPr>
        <w:rPr>
          <w:rFonts w:ascii="Arial" w:hAnsi="Arial" w:cs="Arial"/>
          <w:lang w:val="en-US"/>
        </w:rPr>
      </w:pPr>
    </w:p>
    <w:p w14:paraId="7F5BAAEB" w14:textId="5D0D0847" w:rsidR="00582D9D" w:rsidRPr="00582D9D" w:rsidRDefault="00582D9D" w:rsidP="00582D9D">
      <w:pPr>
        <w:rPr>
          <w:rFonts w:ascii="Arial" w:hAnsi="Arial" w:cs="Arial"/>
          <w:lang w:val="en-US"/>
        </w:rPr>
      </w:pPr>
      <w:r w:rsidRPr="00582D9D">
        <w:rPr>
          <w:rFonts w:ascii="Arial" w:hAnsi="Arial" w:cs="Arial"/>
          <w:lang w:val="en-US"/>
        </w:rPr>
        <w:t xml:space="preserve">Moreover, we would like clarity on Paragraph 76 as regards the definition of ‘’management company’’ and "fund it administers”. </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447D58"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447D58"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437AD2C3" w14:textId="77777777" w:rsidR="00582D9D" w:rsidRDefault="00582D9D" w:rsidP="008D4AEE">
      <w:pPr>
        <w:rPr>
          <w:rFonts w:ascii="Arial" w:hAnsi="Arial" w:cs="Arial"/>
          <w:lang w:val="en-US"/>
        </w:rPr>
      </w:pPr>
      <w:permStart w:id="1350438964" w:edGrp="everyone"/>
      <w:r w:rsidRPr="00582D9D">
        <w:rPr>
          <w:rFonts w:ascii="Arial" w:hAnsi="Arial" w:cs="Arial"/>
          <w:lang w:val="en-US"/>
        </w:rPr>
        <w:t>We believe there needs to be more clarity with regards to central execution and, specifically, which leg of the transaction is the cleared leg. In most European clearing models (and as shown in Part V: Reporting to TRs – ETD contracts reporting in the EMIR Q&amp;A) , there are two legs of one side of a cleared trade where the clearing member acts as principle: UTI 1 refers to the CCP facing clearing member and UTI 2 to the clearing member facing the client. The cleared transaction is the one between the CCP and the clearing member. We do not believe this is commonly understood in the market with regards to reporting and have seen cases where the ‘</w:t>
      </w:r>
      <w:r w:rsidRPr="00582D9D">
        <w:rPr>
          <w:rFonts w:ascii="Arial" w:hAnsi="Arial" w:cs="Arial"/>
          <w:i/>
          <w:iCs/>
          <w:lang w:val="en-US"/>
        </w:rPr>
        <w:t>clearing member to its client’</w:t>
      </w:r>
      <w:r w:rsidRPr="00582D9D">
        <w:rPr>
          <w:rFonts w:ascii="Arial" w:hAnsi="Arial" w:cs="Arial"/>
          <w:lang w:val="en-US"/>
        </w:rPr>
        <w:t xml:space="preserve"> leg is marked as a cleared trade. This has data quality as well as regulator data access implications. </w:t>
      </w:r>
    </w:p>
    <w:permEnd w:id="1350438964"/>
    <w:p w14:paraId="10438CA0" w14:textId="7680BA5F"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447D58"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447D58"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4DC2A654" w14:textId="77777777" w:rsidR="00582D9D" w:rsidRPr="00582D9D" w:rsidRDefault="00582D9D" w:rsidP="00582D9D">
      <w:pPr>
        <w:rPr>
          <w:rFonts w:ascii="Arial" w:hAnsi="Arial" w:cs="Arial"/>
          <w:lang w:val="en-US"/>
        </w:rPr>
      </w:pPr>
      <w:permStart w:id="1657497489" w:edGrp="everyone"/>
      <w:r w:rsidRPr="00582D9D">
        <w:rPr>
          <w:rFonts w:ascii="Arial" w:hAnsi="Arial" w:cs="Arial"/>
          <w:lang w:val="en-US"/>
        </w:rPr>
        <w:lastRenderedPageBreak/>
        <w:t xml:space="preserve">We believe, and want to reiterate our answer to Q13, that UTIs are useful for a variety of post-trade processes and are needed on a real-time basis early in the post-trade process flow. </w:t>
      </w:r>
    </w:p>
    <w:p w14:paraId="64B49646" w14:textId="77777777" w:rsidR="00582D9D" w:rsidRDefault="00582D9D" w:rsidP="00582D9D">
      <w:pPr>
        <w:rPr>
          <w:rFonts w:ascii="Arial" w:hAnsi="Arial" w:cs="Arial"/>
          <w:lang w:val="en-US"/>
        </w:rPr>
      </w:pPr>
    </w:p>
    <w:p w14:paraId="3F73D030" w14:textId="55D843F9" w:rsidR="00582D9D" w:rsidRPr="00582D9D" w:rsidRDefault="00582D9D" w:rsidP="00582D9D">
      <w:pPr>
        <w:rPr>
          <w:rFonts w:ascii="Arial" w:hAnsi="Arial" w:cs="Arial"/>
          <w:lang w:val="en-US"/>
        </w:rPr>
      </w:pPr>
      <w:r w:rsidRPr="00582D9D">
        <w:rPr>
          <w:rFonts w:ascii="Arial" w:hAnsi="Arial" w:cs="Arial"/>
          <w:lang w:val="en-US"/>
        </w:rPr>
        <w:t xml:space="preserve">Additionally, the flowchart (paragraph 74-page 28) does not reflect the language of the text. Counterparties find it difficult to exchange UTIs. </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447D58"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447D58"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28944AB8" w14:textId="77777777" w:rsidR="00582D9D" w:rsidRPr="00582D9D" w:rsidRDefault="00582D9D" w:rsidP="00582D9D">
      <w:pPr>
        <w:rPr>
          <w:rFonts w:ascii="Arial" w:hAnsi="Arial" w:cs="Arial"/>
          <w:lang w:val="en-US"/>
        </w:rPr>
      </w:pPr>
      <w:permStart w:id="1669478115" w:edGrp="everyone"/>
      <w:r w:rsidRPr="00582D9D">
        <w:rPr>
          <w:rFonts w:ascii="Arial" w:hAnsi="Arial" w:cs="Arial"/>
          <w:lang w:val="en-US"/>
        </w:rPr>
        <w:t xml:space="preserve">DDRL remains agnostic to which method is chosen by ESMA, but we would recommend that ESMA prescribes the sorting method to minimize cost and increase certainty. </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447D58"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447D58"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230FC380" w14:textId="77777777" w:rsidR="00582D9D" w:rsidRPr="00582D9D" w:rsidRDefault="00582D9D" w:rsidP="00582D9D">
      <w:pPr>
        <w:rPr>
          <w:rFonts w:ascii="Arial" w:hAnsi="Arial" w:cs="Arial"/>
          <w:lang w:val="en-US"/>
        </w:rPr>
      </w:pPr>
      <w:permStart w:id="75703674" w:edGrp="everyone"/>
      <w:r w:rsidRPr="00582D9D">
        <w:rPr>
          <w:rFonts w:ascii="Arial" w:hAnsi="Arial" w:cs="Arial"/>
          <w:lang w:val="en-US"/>
        </w:rPr>
        <w:t>As addressed in Question 13, the exchange of the UTI is essential to many post-trade processes such as confirmation and cashflow matching. Therefore, it must be generated early in the process, well before it reaches the TR.</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447D58"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lastRenderedPageBreak/>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447D58"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518AC3FF" w14:textId="77777777" w:rsidR="00582D9D" w:rsidRPr="00582D9D" w:rsidRDefault="00582D9D" w:rsidP="00582D9D">
      <w:pPr>
        <w:rPr>
          <w:rFonts w:ascii="Arial" w:hAnsi="Arial" w:cs="Arial"/>
          <w:lang w:val="en-US"/>
        </w:rPr>
      </w:pPr>
      <w:permStart w:id="2066573421" w:edGrp="everyone"/>
      <w:r w:rsidRPr="00582D9D">
        <w:rPr>
          <w:rFonts w:ascii="Arial" w:hAnsi="Arial" w:cs="Arial"/>
          <w:lang w:val="en-US"/>
        </w:rPr>
        <w:t xml:space="preserve">Yes. As we have stressed above in Q13, UTI not only relates to reporting but to a variety of post-trade services, such as confirmation, collateral and other elements. A timely UTI generation before it reaches the TR is therefore critical. </w:t>
      </w:r>
    </w:p>
    <w:p w14:paraId="538DFBDB" w14:textId="77777777" w:rsidR="00582D9D" w:rsidRPr="00582D9D" w:rsidRDefault="00582D9D" w:rsidP="00582D9D">
      <w:pPr>
        <w:rPr>
          <w:rFonts w:ascii="Arial" w:hAnsi="Arial" w:cs="Arial"/>
          <w:lang w:val="en-US"/>
        </w:rPr>
      </w:pPr>
      <w:r w:rsidRPr="00582D9D">
        <w:rPr>
          <w:rFonts w:ascii="Arial" w:hAnsi="Arial" w:cs="Arial"/>
          <w:lang w:val="en-US"/>
        </w:rPr>
        <w:t xml:space="preserve">We also believe that the standards should align with UTI guidance on a global level so that all jurisdictions can utilize the same UTI. </w:t>
      </w:r>
    </w:p>
    <w:p w14:paraId="5ED4A1E4" w14:textId="77777777" w:rsidR="00582D9D" w:rsidRDefault="00582D9D" w:rsidP="00582D9D">
      <w:pPr>
        <w:rPr>
          <w:rFonts w:ascii="Arial" w:hAnsi="Arial" w:cs="Arial"/>
          <w:lang w:val="en-US"/>
        </w:rPr>
      </w:pPr>
    </w:p>
    <w:p w14:paraId="0903E1D2" w14:textId="7A9FC850" w:rsidR="00582D9D" w:rsidRPr="00582D9D" w:rsidRDefault="00582D9D" w:rsidP="00582D9D">
      <w:pPr>
        <w:rPr>
          <w:rFonts w:ascii="Arial" w:hAnsi="Arial" w:cs="Arial"/>
          <w:lang w:val="en-US"/>
        </w:rPr>
      </w:pPr>
      <w:r w:rsidRPr="00582D9D">
        <w:rPr>
          <w:rFonts w:ascii="Arial" w:hAnsi="Arial" w:cs="Arial"/>
          <w:lang w:val="en-US"/>
        </w:rPr>
        <w:t xml:space="preserve">Additionally, we would note that there are UTIs on live contracts that do not meet the current format/structure rules (e.g. contain special characters not included in the current rules). Whilst we believe these should remain “as is” in order to minimize the costs/operational risk of updating UTIs, we request clarification on what explicitly should happen to the existing portfolio of UTIs that include such characters. Do these need to be effectively ‘corrected’ through the reporting of a new UTI or can modifications </w:t>
      </w:r>
      <w:proofErr w:type="gramStart"/>
      <w:r w:rsidRPr="00582D9D">
        <w:rPr>
          <w:rFonts w:ascii="Arial" w:hAnsi="Arial" w:cs="Arial"/>
          <w:lang w:val="en-US"/>
        </w:rPr>
        <w:t>continue on</w:t>
      </w:r>
      <w:proofErr w:type="gramEnd"/>
      <w:r w:rsidRPr="00582D9D">
        <w:rPr>
          <w:rFonts w:ascii="Arial" w:hAnsi="Arial" w:cs="Arial"/>
          <w:lang w:val="en-US"/>
        </w:rPr>
        <w:t xml:space="preserve"> the existing UTIs? </w:t>
      </w:r>
    </w:p>
    <w:p w14:paraId="082EA5EE" w14:textId="77777777" w:rsidR="00582D9D" w:rsidRDefault="00582D9D" w:rsidP="00582D9D">
      <w:pPr>
        <w:rPr>
          <w:rFonts w:ascii="Arial" w:hAnsi="Arial" w:cs="Arial"/>
          <w:lang w:val="en-US"/>
        </w:rPr>
      </w:pPr>
    </w:p>
    <w:p w14:paraId="74FADFEC" w14:textId="1E539959" w:rsidR="00582D9D" w:rsidRPr="00582D9D" w:rsidRDefault="00582D9D" w:rsidP="00582D9D">
      <w:pPr>
        <w:rPr>
          <w:rFonts w:ascii="Arial" w:hAnsi="Arial" w:cs="Arial"/>
          <w:lang w:val="en-US"/>
        </w:rPr>
      </w:pPr>
      <w:r w:rsidRPr="00582D9D">
        <w:rPr>
          <w:rFonts w:ascii="Arial" w:hAnsi="Arial" w:cs="Arial"/>
          <w:lang w:val="en-US"/>
        </w:rPr>
        <w:t xml:space="preserve">We believe it would be in the industry’s best interest to leave all existing contracts with the legacy UTIs as these are used in multiple jurisdictions as well as other post-trade processes and it would be extremely difficult to update these transactions in a “big bang” approach. </w:t>
      </w:r>
    </w:p>
    <w:p w14:paraId="21405C04" w14:textId="77777777" w:rsidR="00582D9D" w:rsidRDefault="00582D9D" w:rsidP="00582D9D">
      <w:pPr>
        <w:rPr>
          <w:rFonts w:ascii="Arial" w:hAnsi="Arial" w:cs="Arial"/>
          <w:lang w:val="en-US"/>
        </w:rPr>
      </w:pPr>
    </w:p>
    <w:p w14:paraId="576D4822" w14:textId="00A05097" w:rsidR="00582D9D" w:rsidRPr="00582D9D" w:rsidRDefault="00582D9D" w:rsidP="00582D9D">
      <w:pPr>
        <w:rPr>
          <w:rFonts w:ascii="Arial" w:hAnsi="Arial" w:cs="Arial"/>
          <w:lang w:val="en-US"/>
        </w:rPr>
      </w:pPr>
      <w:r w:rsidRPr="00582D9D">
        <w:rPr>
          <w:rFonts w:ascii="Arial" w:hAnsi="Arial" w:cs="Arial"/>
          <w:lang w:val="en-US"/>
        </w:rPr>
        <w:t>If left as is, how should this be handled in the portability process as these will need to be booked de novo at a new TR? This would require a ‘prior UTI field’ for use when original UTIs need to be referenced. Further</w:t>
      </w:r>
      <w:bookmarkStart w:id="2" w:name="_Hlk43807340"/>
      <w:r w:rsidRPr="00582D9D">
        <w:rPr>
          <w:rFonts w:ascii="Arial" w:hAnsi="Arial" w:cs="Arial"/>
          <w:lang w:val="en-US"/>
        </w:rPr>
        <w:t xml:space="preserve">, the ISO 20022 schemas </w:t>
      </w:r>
      <w:bookmarkEnd w:id="2"/>
      <w:r w:rsidRPr="00582D9D">
        <w:rPr>
          <w:rFonts w:ascii="Arial" w:hAnsi="Arial" w:cs="Arial"/>
          <w:lang w:val="en-US"/>
        </w:rPr>
        <w:t xml:space="preserve">would have to include an exception for these characters, potentially based on trade date.  </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447D58"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77777777" w:rsidR="008D4AEE" w:rsidRDefault="008D4AEE" w:rsidP="008D4AEE">
      <w:pPr>
        <w:rPr>
          <w:rFonts w:ascii="Arial" w:hAnsi="Arial" w:cs="Arial"/>
        </w:rPr>
      </w:pPr>
      <w:permStart w:id="1216759637" w:edGrp="everyone"/>
      <w:r>
        <w:rPr>
          <w:rFonts w:ascii="Arial" w:hAnsi="Arial" w:cs="Arial"/>
        </w:rPr>
        <w:t>TYPE YOUR TEXT HERE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447D58"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65CFF19B" w14:textId="77777777" w:rsidR="00955222" w:rsidRPr="00955222" w:rsidRDefault="00955222" w:rsidP="00955222">
      <w:pPr>
        <w:rPr>
          <w:rFonts w:ascii="Arial" w:hAnsi="Arial" w:cs="Arial"/>
          <w:lang w:val="en-US"/>
        </w:rPr>
      </w:pPr>
      <w:bookmarkStart w:id="3" w:name="_Hlk44509444"/>
      <w:permStart w:id="132121669" w:edGrp="everyone"/>
      <w:r w:rsidRPr="00955222">
        <w:rPr>
          <w:rFonts w:ascii="Arial" w:hAnsi="Arial" w:cs="Arial"/>
          <w:lang w:val="en-US"/>
        </w:rPr>
        <w:t>We would like to highlight that global consistency is imperative. Regulators should use the same product identification paradigm</w:t>
      </w:r>
      <w:bookmarkEnd w:id="3"/>
      <w:r w:rsidRPr="00955222">
        <w:rPr>
          <w:rFonts w:ascii="Arial" w:hAnsi="Arial" w:cs="Arial"/>
          <w:lang w:val="en-US"/>
        </w:rPr>
        <w:t xml:space="preserve">, either UPI or ISIN. We would </w:t>
      </w:r>
      <w:r w:rsidRPr="00955222">
        <w:rPr>
          <w:rFonts w:ascii="Arial" w:hAnsi="Arial" w:cs="Arial"/>
          <w:lang w:val="en-US"/>
        </w:rPr>
        <w:lastRenderedPageBreak/>
        <w:t xml:space="preserve">encourage ESMA to discuss and agree on the standardization with other regulatory bodies before it reaches a firm conclusion for the EMIR Refit standards. </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447D58"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447D58"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7FACC69" w14:textId="77777777" w:rsidR="00955222" w:rsidRPr="00955222" w:rsidRDefault="00955222" w:rsidP="00955222">
      <w:pPr>
        <w:rPr>
          <w:rFonts w:ascii="Arial" w:hAnsi="Arial" w:cs="Arial"/>
          <w:lang w:val="en-US"/>
        </w:rPr>
      </w:pPr>
      <w:permStart w:id="1838285636" w:edGrp="everyone"/>
      <w:r w:rsidRPr="00955222">
        <w:rPr>
          <w:rFonts w:ascii="Arial" w:hAnsi="Arial" w:cs="Arial"/>
          <w:lang w:val="en-US"/>
        </w:rPr>
        <w:t>We are of the opinion that it is not the responsibility and job of the TR to validate submitted reference data against the appropriate golden source. DDRL believes that users of the underlying fields that come directly from a golden source should get this information directly from the golden source (GLEIF for LEI and DSB for UPI.</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447D58"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77777777" w:rsidR="008D4AEE" w:rsidRDefault="008D4AEE" w:rsidP="008D4AEE">
      <w:pPr>
        <w:rPr>
          <w:rFonts w:ascii="Arial" w:hAnsi="Arial" w:cs="Arial"/>
        </w:rPr>
      </w:pPr>
      <w:permStart w:id="105922360" w:edGrp="everyone"/>
      <w:r>
        <w:rPr>
          <w:rFonts w:ascii="Arial" w:hAnsi="Arial" w:cs="Arial"/>
        </w:rPr>
        <w:t>TYPE YOUR TEXT HERE</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447D58"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447D58"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79BA4217" w14:textId="77777777" w:rsidR="00955222" w:rsidRPr="00955222" w:rsidRDefault="00955222" w:rsidP="00955222">
      <w:pPr>
        <w:rPr>
          <w:rFonts w:ascii="Arial" w:hAnsi="Arial" w:cs="Arial"/>
          <w:b/>
          <w:bCs/>
          <w:lang w:val="en-US"/>
        </w:rPr>
      </w:pPr>
      <w:permStart w:id="1725378041" w:edGrp="everyone"/>
      <w:r w:rsidRPr="00955222">
        <w:rPr>
          <w:rFonts w:ascii="Arial" w:hAnsi="Arial" w:cs="Arial"/>
          <w:bCs/>
          <w:lang w:val="en-US"/>
        </w:rPr>
        <w:t xml:space="preserve">We would support the approach. </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447D58"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0B3041B9" w14:textId="77777777" w:rsidR="00955222" w:rsidRPr="00955222" w:rsidRDefault="00955222" w:rsidP="00955222">
      <w:pPr>
        <w:rPr>
          <w:rFonts w:ascii="Arial" w:hAnsi="Arial" w:cs="Arial"/>
          <w:i/>
          <w:lang w:val="en-US"/>
        </w:rPr>
      </w:pPr>
      <w:permStart w:id="758653477" w:edGrp="everyone"/>
      <w:r w:rsidRPr="00955222">
        <w:rPr>
          <w:rFonts w:ascii="Arial" w:hAnsi="Arial" w:cs="Arial"/>
          <w:lang w:val="en-US"/>
        </w:rPr>
        <w:t>Please refer to our response below on Question 37.</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447D58"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7D537FB3" w14:textId="77777777" w:rsidR="00955222" w:rsidRPr="00955222" w:rsidRDefault="00955222" w:rsidP="00955222">
      <w:pPr>
        <w:rPr>
          <w:rFonts w:ascii="Arial" w:hAnsi="Arial" w:cs="Arial"/>
          <w:lang w:val="en-US"/>
        </w:rPr>
      </w:pPr>
      <w:permStart w:id="1653670467" w:edGrp="everyone"/>
      <w:r w:rsidRPr="00955222">
        <w:rPr>
          <w:rFonts w:ascii="Arial" w:hAnsi="Arial" w:cs="Arial"/>
          <w:lang w:val="en-US"/>
        </w:rPr>
        <w:t xml:space="preserve">We would like clarification as to the results of a counterparty utilizing the “error action” type. As an example: Party A and Party B have each properly submitted contracts against each other using UTI 123. Then Party A submits an “error” action type. </w:t>
      </w:r>
      <w:proofErr w:type="gramStart"/>
      <w:r w:rsidRPr="00955222">
        <w:rPr>
          <w:rFonts w:ascii="Arial" w:hAnsi="Arial" w:cs="Arial"/>
          <w:lang w:val="en-US"/>
        </w:rPr>
        <w:t>It is clear that to</w:t>
      </w:r>
      <w:proofErr w:type="gramEnd"/>
      <w:r w:rsidRPr="00955222">
        <w:rPr>
          <w:rFonts w:ascii="Arial" w:hAnsi="Arial" w:cs="Arial"/>
          <w:lang w:val="en-US"/>
        </w:rPr>
        <w:t xml:space="preserve"> submit any further messages on UTI 123, Party A would first have to utilize the new action type Revive (see more comments in question 37) but it is not clear what the restriction on Party B is. It does not appear that they can submit a Revive, but today the interpretation is that they cannot submit any further messages either. If the purpose of Revive is to solely allow Party A to fix the mistaken “error” submission and Party B is not allowed to submit the Revive as they did not submit the error, then the TR should not block further submissions by Party B post the error submission.  </w:t>
      </w:r>
    </w:p>
    <w:p w14:paraId="04199632" w14:textId="77777777" w:rsidR="00955222" w:rsidRDefault="00955222" w:rsidP="00955222">
      <w:pPr>
        <w:rPr>
          <w:rFonts w:ascii="Arial" w:hAnsi="Arial" w:cs="Arial"/>
          <w:lang w:val="en-US"/>
        </w:rPr>
      </w:pPr>
    </w:p>
    <w:p w14:paraId="0756F8DB" w14:textId="13DF99BD" w:rsidR="00955222" w:rsidRPr="00955222" w:rsidRDefault="00955222" w:rsidP="00955222">
      <w:pPr>
        <w:rPr>
          <w:rFonts w:ascii="Arial" w:hAnsi="Arial" w:cs="Arial"/>
          <w:lang w:val="en-US"/>
        </w:rPr>
      </w:pPr>
      <w:r w:rsidRPr="00955222">
        <w:rPr>
          <w:rFonts w:ascii="Arial" w:hAnsi="Arial" w:cs="Arial"/>
          <w:lang w:val="en-US"/>
        </w:rPr>
        <w:t>We would like clarification on how outstanding and non-outstanding trades are defined: specifically, contracts that have met their scheduled expiration date should no longer be considered outstanding and not included on the Trade State Report (TSR).</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447D58"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447D58"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447D58"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lastRenderedPageBreak/>
        <w:t>&lt;ESMA_QUESTION_TSTR_35&gt;</w:t>
      </w:r>
    </w:p>
    <w:p w14:paraId="160EB348" w14:textId="77777777" w:rsidR="008D4AEE" w:rsidRDefault="008D4AEE" w:rsidP="008D4AEE">
      <w:pPr>
        <w:rPr>
          <w:rFonts w:ascii="Arial" w:hAnsi="Arial" w:cs="Arial"/>
        </w:rPr>
      </w:pPr>
    </w:p>
    <w:p w14:paraId="4D008D66" w14:textId="77777777" w:rsidR="008D4AEE" w:rsidRDefault="00447D58"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66570B1E" w14:textId="77777777" w:rsidR="00955222" w:rsidRPr="00955222" w:rsidRDefault="00955222" w:rsidP="00955222">
      <w:pPr>
        <w:rPr>
          <w:rFonts w:ascii="Arial" w:hAnsi="Arial" w:cs="Arial"/>
          <w:lang w:val="en-US"/>
        </w:rPr>
      </w:pPr>
      <w:permStart w:id="417213443" w:edGrp="everyone"/>
      <w:r w:rsidRPr="00955222">
        <w:rPr>
          <w:rFonts w:ascii="Arial" w:hAnsi="Arial" w:cs="Arial"/>
          <w:lang w:val="en-US"/>
        </w:rPr>
        <w:t xml:space="preserve">Yes, we are fully supportive of separate action types. </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447D58"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4EA4A024" w14:textId="77777777" w:rsidR="00955222" w:rsidRPr="00955222" w:rsidRDefault="00955222" w:rsidP="00955222">
      <w:pPr>
        <w:rPr>
          <w:rFonts w:ascii="Arial" w:hAnsi="Arial" w:cs="Arial"/>
          <w:lang w:val="en-US"/>
        </w:rPr>
      </w:pPr>
      <w:permStart w:id="1574257390" w:edGrp="everyone"/>
      <w:r w:rsidRPr="00955222">
        <w:rPr>
          <w:rFonts w:ascii="Arial" w:hAnsi="Arial" w:cs="Arial"/>
          <w:lang w:val="en-US"/>
        </w:rPr>
        <w:t>DDRL is fully supportive of the Revive action type in order to minimize the operational challenges resulting from incorrectly generated error reports, which result in forcing both counterparties to re-report using new UTIs. This is especially challenging as the UTI is potentially used in other post-trade processes, including confirmation and collateral processing and will mean that the firms will need to modify multiple submissions without this facility.</w:t>
      </w:r>
    </w:p>
    <w:p w14:paraId="4C7CEAEC" w14:textId="77777777" w:rsidR="00955222" w:rsidRDefault="00955222" w:rsidP="00955222">
      <w:pPr>
        <w:rPr>
          <w:rFonts w:ascii="Arial" w:hAnsi="Arial" w:cs="Arial"/>
          <w:lang w:val="en-US"/>
        </w:rPr>
      </w:pPr>
    </w:p>
    <w:p w14:paraId="1CA06BF5" w14:textId="2BD95ACB" w:rsidR="00955222" w:rsidRPr="00955222" w:rsidRDefault="00955222" w:rsidP="00955222">
      <w:pPr>
        <w:rPr>
          <w:rFonts w:ascii="Arial" w:hAnsi="Arial" w:cs="Arial"/>
          <w:lang w:val="en-US"/>
        </w:rPr>
      </w:pPr>
      <w:r w:rsidRPr="00955222">
        <w:rPr>
          <w:rFonts w:ascii="Arial" w:hAnsi="Arial" w:cs="Arial"/>
          <w:lang w:val="en-US"/>
        </w:rPr>
        <w:t xml:space="preserve">However, we believe that ESMA should reconsider the short-form nature of the Revive message: including only action type, ID of the reporting counterparty, ID of the other counterparty, ID of the report submitting entity. This methodology requires the TR to determine the details of the existing reported contract as it was two transactions prior (the state immediately before the error). This state may be in a previous quality (e.g. RTS 2.0) and not the current quality and therefore would not pass the required validations for ingestion and TRACE reporting. Furthermore, the TR may not have the trade details to revive if the client has ported from another TR and the trade being revived was not ported because it was not outstanding at the time. DDRL believes that the report submitting entity should use the Revive action type as it would use Modify, restating the details as they should be reported at that time.  </w:t>
      </w:r>
    </w:p>
    <w:p w14:paraId="012AC821" w14:textId="77777777" w:rsidR="00955222" w:rsidRDefault="00955222" w:rsidP="00955222">
      <w:pPr>
        <w:rPr>
          <w:rFonts w:ascii="Arial" w:hAnsi="Arial" w:cs="Arial"/>
          <w:lang w:val="en-US"/>
        </w:rPr>
      </w:pPr>
    </w:p>
    <w:p w14:paraId="515A588A" w14:textId="6F4D3D04" w:rsidR="00955222" w:rsidRPr="00955222" w:rsidRDefault="00955222" w:rsidP="00955222">
      <w:pPr>
        <w:rPr>
          <w:rFonts w:ascii="Arial" w:hAnsi="Arial" w:cs="Arial"/>
          <w:lang w:val="en-US"/>
        </w:rPr>
      </w:pPr>
      <w:r w:rsidRPr="00955222">
        <w:rPr>
          <w:rFonts w:ascii="Arial" w:hAnsi="Arial" w:cs="Arial"/>
          <w:lang w:val="en-US"/>
        </w:rPr>
        <w:t>Additionally, ESMA should clarify whether either of the counterparties to the transaction can submit the Revive or only the party who reported the Error action type can generate the Revive. For example, if Party A submits an Error action type on a given UTI, it will disappear from their trade state report. However, if Party B has submitted a matching transaction facing party A on the same UTI, their submissions would be blocked due to the Error, yet remain on their trade state report. If ESMA adopts the complete restatement methodology above, then it is necessary for the Revive to be submitted on behalf of party A, regardless of the report submitting entity.</w:t>
      </w:r>
    </w:p>
    <w:p w14:paraId="47899CCD" w14:textId="77777777" w:rsidR="00955222" w:rsidRDefault="00955222" w:rsidP="00955222">
      <w:pPr>
        <w:rPr>
          <w:rFonts w:ascii="Arial" w:hAnsi="Arial" w:cs="Arial"/>
          <w:lang w:val="en-US"/>
        </w:rPr>
      </w:pPr>
    </w:p>
    <w:p w14:paraId="12038B5D" w14:textId="614C4F43" w:rsidR="00955222" w:rsidRPr="00955222" w:rsidRDefault="00955222" w:rsidP="00955222">
      <w:pPr>
        <w:rPr>
          <w:rFonts w:ascii="Arial" w:hAnsi="Arial" w:cs="Arial"/>
          <w:lang w:val="en-US"/>
        </w:rPr>
      </w:pPr>
      <w:r w:rsidRPr="00955222">
        <w:rPr>
          <w:rFonts w:ascii="Arial" w:hAnsi="Arial" w:cs="Arial"/>
          <w:lang w:val="en-US"/>
        </w:rPr>
        <w:t xml:space="preserve">DDRL also believes that further clarification is required around the use of Revive as it relates to UTIs that have been terminated (action type C). If a participant wants to correct any previously misreported details using action type R (correction), the reported correction should appear on the trade activity report, but the position in </w:t>
      </w:r>
      <w:r w:rsidRPr="00955222">
        <w:rPr>
          <w:rFonts w:ascii="Arial" w:hAnsi="Arial" w:cs="Arial"/>
          <w:lang w:val="en-US"/>
        </w:rPr>
        <w:lastRenderedPageBreak/>
        <w:t xml:space="preserve">question should not reappear on the trade state report. If the participant wants to reactivate the transaction for inclusion on the TSR and the reconciliation process, then the participant must utilize the Revive action type with a full restatement. This clarification will be useful so that participants can make the appropriate decision as to the action type needed.  </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447D58"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F27E666" w14:textId="77777777" w:rsidR="00955222" w:rsidRPr="00955222" w:rsidRDefault="00955222" w:rsidP="00955222">
      <w:pPr>
        <w:rPr>
          <w:rFonts w:ascii="Arial" w:hAnsi="Arial" w:cs="Arial"/>
          <w:lang w:val="en-US"/>
        </w:rPr>
      </w:pPr>
      <w:bookmarkStart w:id="4" w:name="_Hlk40902462"/>
      <w:permStart w:id="1164276294" w:edGrp="everyone"/>
      <w:r w:rsidRPr="00955222">
        <w:rPr>
          <w:rFonts w:ascii="Arial" w:hAnsi="Arial" w:cs="Arial"/>
          <w:lang w:val="en-US"/>
        </w:rPr>
        <w:t xml:space="preserve">No. We would prefer clearer guidance on the mechanism through which counterparties agree on what to do. Paragraph 182 should clarify the decision-making process between counterparties. The lack of a decision may incur reconciliation/pairing challenges. </w:t>
      </w:r>
    </w:p>
    <w:p w14:paraId="1CD4CD4B" w14:textId="77777777" w:rsidR="00955222" w:rsidRDefault="00955222" w:rsidP="00955222">
      <w:pPr>
        <w:rPr>
          <w:rFonts w:ascii="Arial" w:hAnsi="Arial" w:cs="Arial"/>
          <w:lang w:val="en-US"/>
        </w:rPr>
      </w:pPr>
    </w:p>
    <w:p w14:paraId="58BEA86D" w14:textId="77C006E1" w:rsidR="00955222" w:rsidRPr="00955222" w:rsidRDefault="00955222" w:rsidP="00955222">
      <w:pPr>
        <w:rPr>
          <w:rFonts w:ascii="Arial" w:hAnsi="Arial" w:cs="Arial"/>
          <w:lang w:val="en-US"/>
        </w:rPr>
      </w:pPr>
      <w:r w:rsidRPr="00955222">
        <w:rPr>
          <w:rFonts w:ascii="Arial" w:hAnsi="Arial" w:cs="Arial"/>
          <w:lang w:val="en-US"/>
        </w:rPr>
        <w:t xml:space="preserve">In fact, we would suggest there is a default value and no agreement should be needed between counterparties. This process will ensure better pairing/reconciliation results and will reduce complexity. </w:t>
      </w:r>
    </w:p>
    <w:bookmarkEnd w:id="4"/>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447D58"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447D58"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5D5DEBA5" w14:textId="77777777" w:rsidR="00955222" w:rsidRPr="00955222" w:rsidRDefault="00955222" w:rsidP="00955222">
      <w:pPr>
        <w:rPr>
          <w:rFonts w:ascii="Arial" w:hAnsi="Arial" w:cs="Arial"/>
          <w:lang w:val="en-US"/>
        </w:rPr>
      </w:pPr>
      <w:permStart w:id="1012599412" w:edGrp="everyone"/>
      <w:r w:rsidRPr="00955222">
        <w:rPr>
          <w:rFonts w:ascii="Arial" w:hAnsi="Arial" w:cs="Arial"/>
          <w:lang w:val="en-US"/>
        </w:rPr>
        <w:t xml:space="preserve">Yes, equity portfolio swaps. </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447D58"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447D58"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519FD900" w14:textId="77777777" w:rsidR="00955222" w:rsidRPr="00955222" w:rsidRDefault="00955222" w:rsidP="00955222">
      <w:pPr>
        <w:rPr>
          <w:rFonts w:ascii="Arial" w:hAnsi="Arial" w:cs="Arial"/>
          <w:lang w:val="en-US"/>
        </w:rPr>
      </w:pPr>
      <w:permStart w:id="2082438525" w:edGrp="everyone"/>
      <w:r w:rsidRPr="00955222">
        <w:rPr>
          <w:rFonts w:ascii="Arial" w:hAnsi="Arial" w:cs="Arial"/>
          <w:lang w:val="en-US"/>
        </w:rPr>
        <w:lastRenderedPageBreak/>
        <w:t xml:space="preserve">We agree with the definitions proposed. </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447D58"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1C84984" w14:textId="77777777" w:rsidR="00955222" w:rsidRPr="00955222" w:rsidRDefault="00955222" w:rsidP="00955222">
      <w:pPr>
        <w:rPr>
          <w:rFonts w:ascii="Arial" w:hAnsi="Arial" w:cs="Arial"/>
          <w:lang w:val="en-US"/>
        </w:rPr>
      </w:pPr>
      <w:permStart w:id="1876325810" w:edGrp="everyone"/>
      <w:r w:rsidRPr="00955222">
        <w:rPr>
          <w:rFonts w:ascii="Arial" w:hAnsi="Arial" w:cs="Arial"/>
          <w:lang w:val="en-US"/>
        </w:rPr>
        <w:t>We agree with CDE and we would encourage ESMA to use the expiration date to determine whether the trade is outstanding or not.</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447D58"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447D58"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455A0093" w14:textId="77777777" w:rsidR="00955222" w:rsidRPr="00955222" w:rsidRDefault="00955222" w:rsidP="00955222">
      <w:pPr>
        <w:rPr>
          <w:rFonts w:ascii="Arial" w:hAnsi="Arial" w:cs="Arial"/>
          <w:lang w:val="en-US"/>
        </w:rPr>
      </w:pPr>
      <w:permStart w:id="1754423441" w:edGrp="everyone"/>
      <w:r w:rsidRPr="00955222">
        <w:rPr>
          <w:rFonts w:ascii="Arial" w:hAnsi="Arial" w:cs="Arial"/>
          <w:lang w:val="en-US"/>
        </w:rPr>
        <w:t>We believe the reporting timestamp should not be included in the inbound message from the report submitting entity.  It is possible that a report submitting entity could populate this value with a timestamp that is significantly different to the actual time they made the submission, avoiding the potential control-related nature of this information. Instead, the TRs should create and record the reporting timestamp based upon the time the submission was received.</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447D58"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66798C46" w14:textId="77777777" w:rsidR="00955222" w:rsidRPr="00955222" w:rsidRDefault="00955222" w:rsidP="00955222">
      <w:pPr>
        <w:rPr>
          <w:rFonts w:ascii="Arial" w:hAnsi="Arial" w:cs="Arial"/>
          <w:lang w:val="en-US"/>
        </w:rPr>
      </w:pPr>
      <w:permStart w:id="1561884341" w:edGrp="everyone"/>
      <w:r w:rsidRPr="00955222">
        <w:rPr>
          <w:rFonts w:ascii="Arial" w:hAnsi="Arial" w:cs="Arial"/>
          <w:lang w:val="en-US"/>
        </w:rPr>
        <w:t xml:space="preserve">Consistency with SFTR is critical as the event date is where modification has occurred under SFTR. Additionally, ensuring the processing of trade state is driven by the sequence of the submissions and not the event date, as it is under SFTR, is critical to ensure the action type choreography is not compromised. </w:t>
      </w:r>
    </w:p>
    <w:p w14:paraId="5ABE3CD2" w14:textId="77777777" w:rsidR="00955222" w:rsidRDefault="00955222" w:rsidP="00955222">
      <w:pPr>
        <w:rPr>
          <w:rFonts w:ascii="Arial" w:hAnsi="Arial" w:cs="Arial"/>
          <w:lang w:val="en-US"/>
        </w:rPr>
      </w:pPr>
    </w:p>
    <w:p w14:paraId="600755BC" w14:textId="030465B3" w:rsidR="00955222" w:rsidRPr="00955222" w:rsidRDefault="00955222" w:rsidP="00955222">
      <w:pPr>
        <w:rPr>
          <w:rFonts w:ascii="Arial" w:hAnsi="Arial" w:cs="Arial"/>
          <w:lang w:val="en-US"/>
        </w:rPr>
      </w:pPr>
      <w:r w:rsidRPr="00955222">
        <w:rPr>
          <w:rFonts w:ascii="Arial" w:hAnsi="Arial" w:cs="Arial"/>
          <w:lang w:val="en-US"/>
        </w:rPr>
        <w:t xml:space="preserve">Please note that there is an issue when reporting on an event “today” (trade date) that is effective </w:t>
      </w:r>
      <w:proofErr w:type="gramStart"/>
      <w:r w:rsidRPr="00955222">
        <w:rPr>
          <w:rFonts w:ascii="Arial" w:hAnsi="Arial" w:cs="Arial"/>
          <w:lang w:val="en-US"/>
        </w:rPr>
        <w:t>at a later date</w:t>
      </w:r>
      <w:proofErr w:type="gramEnd"/>
      <w:r w:rsidRPr="00955222">
        <w:rPr>
          <w:rFonts w:ascii="Arial" w:hAnsi="Arial" w:cs="Arial"/>
          <w:lang w:val="en-US"/>
        </w:rPr>
        <w:t>. The classic example is a partial novation. If the current notional on a contract were 100M at the beginning of the day and that day the parties agreed to a partial novation of 20M effective the following day but sent in their messages today, what should the notional on the trades state report be today, 100M or 80M? In order to report the novation, the participant would report the modification today with a remaining notional of 80M. The alternative would be for the participants to hold the transactions until the event date is reached. This would be a significant deviation from current and proposed processes.</w:t>
      </w:r>
    </w:p>
    <w:permEnd w:id="1561884341"/>
    <w:p w14:paraId="329071EF" w14:textId="77777777" w:rsidR="008D4AEE" w:rsidRDefault="008D4AEE" w:rsidP="008D4AEE">
      <w:pPr>
        <w:rPr>
          <w:rFonts w:ascii="Arial" w:hAnsi="Arial" w:cs="Arial"/>
        </w:rPr>
      </w:pPr>
      <w:r>
        <w:rPr>
          <w:rFonts w:ascii="Arial" w:hAnsi="Arial" w:cs="Arial"/>
        </w:rPr>
        <w:lastRenderedPageBreak/>
        <w:t>&lt;ESMA_QUESTION_TSTR_46&gt;</w:t>
      </w:r>
    </w:p>
    <w:p w14:paraId="6A6FB4D0" w14:textId="77777777" w:rsidR="008D4AEE" w:rsidRDefault="008D4AEE" w:rsidP="008D4AEE">
      <w:pPr>
        <w:rPr>
          <w:rFonts w:ascii="Arial" w:hAnsi="Arial" w:cs="Arial"/>
        </w:rPr>
      </w:pPr>
    </w:p>
    <w:p w14:paraId="5A788B58" w14:textId="77777777" w:rsidR="008D4AEE" w:rsidRDefault="00447D58"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447D58"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4D2AB4F6" w14:textId="77777777" w:rsidR="002F1BA1" w:rsidRPr="002F1BA1" w:rsidRDefault="002F1BA1" w:rsidP="002F1BA1">
      <w:pPr>
        <w:rPr>
          <w:rFonts w:ascii="Arial" w:hAnsi="Arial" w:cs="Arial"/>
          <w:lang w:val="en-US"/>
        </w:rPr>
      </w:pPr>
      <w:permStart w:id="1267730323" w:edGrp="everyone"/>
      <w:r w:rsidRPr="002F1BA1">
        <w:rPr>
          <w:rFonts w:ascii="Arial" w:hAnsi="Arial" w:cs="Arial"/>
          <w:bCs/>
          <w:lang w:val="en-US"/>
        </w:rPr>
        <w:t xml:space="preserve">No. We recommend internal client codes. We would strongly recommend to ESMA to avoid using national identification numbers as defined in </w:t>
      </w:r>
      <w:proofErr w:type="spellStart"/>
      <w:r w:rsidRPr="002F1BA1">
        <w:rPr>
          <w:rFonts w:ascii="Arial" w:hAnsi="Arial" w:cs="Arial"/>
          <w:bCs/>
          <w:lang w:val="en-US"/>
        </w:rPr>
        <w:t>MiFIR</w:t>
      </w:r>
      <w:proofErr w:type="spellEnd"/>
      <w:r w:rsidRPr="002F1BA1">
        <w:rPr>
          <w:rFonts w:ascii="Arial" w:hAnsi="Arial" w:cs="Arial"/>
          <w:bCs/>
          <w:lang w:val="en-US"/>
        </w:rPr>
        <w:t xml:space="preserve"> identification. National identification numbers would increase industry complexity and cost as the classification of data will have to change to include personal data, having implications with regards to EU rules around privacy (GDPR), as referenced to in the preamble of </w:t>
      </w:r>
      <w:proofErr w:type="spellStart"/>
      <w:r w:rsidRPr="002F1BA1">
        <w:rPr>
          <w:rFonts w:ascii="Arial" w:hAnsi="Arial" w:cs="Arial"/>
          <w:bCs/>
          <w:lang w:val="en-US"/>
        </w:rPr>
        <w:t>MiFIR</w:t>
      </w:r>
      <w:proofErr w:type="spellEnd"/>
      <w:r w:rsidRPr="002F1BA1">
        <w:rPr>
          <w:rFonts w:ascii="Arial" w:hAnsi="Arial" w:cs="Arial"/>
          <w:bCs/>
          <w:lang w:val="en-US"/>
        </w:rPr>
        <w:t>:  ‘</w:t>
      </w:r>
      <w:r w:rsidRPr="002F1BA1">
        <w:rPr>
          <w:rFonts w:ascii="Arial" w:hAnsi="Arial" w:cs="Arial"/>
          <w:bCs/>
          <w:i/>
          <w:lang w:val="en-US"/>
        </w:rPr>
        <w:t>Any exchange or transmission of information by competent authorities should be in accordance with the rules on the transfer of personal data as laid down in Directive 95/46/EC. Any exchange or transmission of information by ESMA should be in accordance with the rules on the transfer of personal data as laid down in Regulation (EC) No 45/2001, which should be fully applicable to the processing of personal data for the purposes of this Regulation.</w:t>
      </w:r>
      <w:r w:rsidRPr="002F1BA1">
        <w:rPr>
          <w:rFonts w:ascii="Arial" w:hAnsi="Arial" w:cs="Arial"/>
          <w:bCs/>
          <w:lang w:val="en-US"/>
        </w:rPr>
        <w:t xml:space="preserve"> ‘ </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447D58"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2151B168" w14:textId="77777777" w:rsidR="002F1BA1" w:rsidRPr="002F1BA1" w:rsidRDefault="002F1BA1" w:rsidP="002F1BA1">
      <w:pPr>
        <w:rPr>
          <w:rFonts w:ascii="Arial" w:hAnsi="Arial" w:cs="Arial"/>
          <w:bCs/>
          <w:lang w:val="en-US"/>
        </w:rPr>
      </w:pPr>
      <w:permStart w:id="1142892561" w:edGrp="everyone"/>
      <w:r w:rsidRPr="002F1BA1">
        <w:rPr>
          <w:rFonts w:ascii="Arial" w:hAnsi="Arial" w:cs="Arial"/>
          <w:bCs/>
          <w:lang w:val="en-US"/>
        </w:rPr>
        <w:t xml:space="preserve">Yes. We believe clear requirements provided in the RTS would be an improvement on the current Q&amp;A guidelines. </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447D58"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587EB12D" w14:textId="77777777" w:rsidR="002F1BA1" w:rsidRPr="002F1BA1" w:rsidRDefault="002F1BA1" w:rsidP="002F1BA1">
      <w:pPr>
        <w:rPr>
          <w:rFonts w:ascii="Arial" w:hAnsi="Arial" w:cs="Arial"/>
          <w:bCs/>
          <w:lang w:val="en-US"/>
        </w:rPr>
      </w:pPr>
      <w:permStart w:id="2087463377" w:edGrp="everyone"/>
      <w:r w:rsidRPr="002F1BA1">
        <w:rPr>
          <w:rFonts w:ascii="Arial" w:hAnsi="Arial" w:cs="Arial"/>
          <w:bCs/>
          <w:lang w:val="en-US"/>
        </w:rPr>
        <w:t xml:space="preserve">We are of the opinion that the Global LEI Foundation (GLEIF) should be the source of this information and updates should come from GLEIF. TRs would need proof of the information accuracy in order to fulfil their roles and should not be responsible for this. The updated information is not based on date of notification alone but on date of notification and receiving evidence. We would also invite you to consider our response to Question 105. </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447D58"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5045ED1B" w14:textId="77777777" w:rsidR="002F1BA1" w:rsidRPr="002F1BA1" w:rsidRDefault="002F1BA1" w:rsidP="002F1BA1">
      <w:pPr>
        <w:rPr>
          <w:rFonts w:ascii="Arial" w:hAnsi="Arial" w:cs="Arial"/>
          <w:lang w:val="en-US"/>
        </w:rPr>
      </w:pPr>
      <w:permStart w:id="764154991" w:edGrp="everyone"/>
      <w:r w:rsidRPr="002F1BA1">
        <w:rPr>
          <w:rFonts w:ascii="Arial" w:hAnsi="Arial" w:cs="Arial"/>
          <w:bCs/>
          <w:lang w:val="en-US"/>
        </w:rPr>
        <w:t xml:space="preserve">Yes, we would agree with this. In fact, alignment with SFTR is of critical importance in this area. </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73103B6E" w14:textId="3BEBA4C4" w:rsidR="002F1BA1" w:rsidRPr="002F1BA1" w:rsidRDefault="002F1BA1" w:rsidP="002F1BA1">
      <w:pPr>
        <w:rPr>
          <w:rFonts w:ascii="Arial" w:hAnsi="Arial" w:cs="Arial"/>
          <w:bCs/>
          <w:lang w:val="en-US"/>
        </w:rPr>
      </w:pPr>
      <w:bookmarkStart w:id="5" w:name="_Hlk41646528"/>
      <w:permStart w:id="30083185" w:edGrp="everyone"/>
      <w:r w:rsidRPr="002F1BA1">
        <w:rPr>
          <w:rFonts w:ascii="Arial" w:hAnsi="Arial" w:cs="Arial"/>
          <w:bCs/>
          <w:lang w:val="en-US"/>
        </w:rPr>
        <w:t>There are three distinct functions associated with the updating of these entities in the TR</w:t>
      </w:r>
      <w:r>
        <w:rPr>
          <w:rFonts w:ascii="Arial" w:hAnsi="Arial" w:cs="Arial"/>
          <w:bCs/>
          <w:lang w:val="en-US"/>
        </w:rPr>
        <w:t>:</w:t>
      </w:r>
    </w:p>
    <w:p w14:paraId="50C4D223" w14:textId="77777777" w:rsidR="002F1BA1" w:rsidRPr="002F1BA1" w:rsidRDefault="002F1BA1" w:rsidP="002F1BA1">
      <w:pPr>
        <w:numPr>
          <w:ilvl w:val="0"/>
          <w:numId w:val="18"/>
        </w:numPr>
        <w:rPr>
          <w:rFonts w:ascii="Arial" w:hAnsi="Arial" w:cs="Arial"/>
          <w:bCs/>
          <w:lang w:val="en-US"/>
        </w:rPr>
      </w:pPr>
      <w:r w:rsidRPr="002F1BA1">
        <w:rPr>
          <w:rFonts w:ascii="Arial" w:hAnsi="Arial" w:cs="Arial"/>
          <w:bCs/>
          <w:lang w:val="en-US"/>
        </w:rPr>
        <w:t>The identification and validation of entities to update;</w:t>
      </w:r>
    </w:p>
    <w:p w14:paraId="29BE6733" w14:textId="77777777" w:rsidR="002F1BA1" w:rsidRPr="002F1BA1" w:rsidRDefault="002F1BA1" w:rsidP="002F1BA1">
      <w:pPr>
        <w:numPr>
          <w:ilvl w:val="0"/>
          <w:numId w:val="18"/>
        </w:numPr>
        <w:rPr>
          <w:rFonts w:ascii="Arial" w:hAnsi="Arial" w:cs="Arial"/>
          <w:bCs/>
          <w:lang w:val="en-US"/>
        </w:rPr>
      </w:pPr>
      <w:r w:rsidRPr="002F1BA1">
        <w:rPr>
          <w:rFonts w:ascii="Arial" w:hAnsi="Arial" w:cs="Arial"/>
          <w:bCs/>
          <w:lang w:val="en-US"/>
        </w:rPr>
        <w:t>The actual update of the information;</w:t>
      </w:r>
    </w:p>
    <w:p w14:paraId="0889EB3E" w14:textId="77777777" w:rsidR="002F1BA1" w:rsidRPr="002F1BA1" w:rsidRDefault="002F1BA1" w:rsidP="002F1BA1">
      <w:pPr>
        <w:numPr>
          <w:ilvl w:val="0"/>
          <w:numId w:val="18"/>
        </w:numPr>
        <w:rPr>
          <w:rFonts w:ascii="Arial" w:hAnsi="Arial" w:cs="Arial"/>
          <w:bCs/>
          <w:lang w:val="en-US"/>
        </w:rPr>
      </w:pPr>
      <w:r w:rsidRPr="002F1BA1">
        <w:rPr>
          <w:rFonts w:ascii="Arial" w:hAnsi="Arial" w:cs="Arial"/>
          <w:bCs/>
          <w:lang w:val="en-US"/>
        </w:rPr>
        <w:t>The distribution of said update information</w:t>
      </w:r>
    </w:p>
    <w:p w14:paraId="17B95481" w14:textId="77777777" w:rsidR="002F1BA1" w:rsidRDefault="002F1BA1" w:rsidP="002F1BA1">
      <w:pPr>
        <w:rPr>
          <w:rFonts w:ascii="Arial" w:hAnsi="Arial" w:cs="Arial"/>
          <w:bCs/>
          <w:lang w:val="en-US"/>
        </w:rPr>
      </w:pPr>
    </w:p>
    <w:p w14:paraId="2E126997" w14:textId="6D98BDE1" w:rsidR="002F1BA1" w:rsidRPr="002F1BA1" w:rsidRDefault="002F1BA1" w:rsidP="002F1BA1">
      <w:pPr>
        <w:rPr>
          <w:rFonts w:ascii="Arial" w:hAnsi="Arial" w:cs="Arial"/>
          <w:bCs/>
          <w:lang w:val="en-US"/>
        </w:rPr>
      </w:pPr>
      <w:r w:rsidRPr="002F1BA1">
        <w:rPr>
          <w:rFonts w:ascii="Arial" w:hAnsi="Arial" w:cs="Arial"/>
          <w:bCs/>
          <w:lang w:val="en-US"/>
        </w:rPr>
        <w:t>We believe that the first step is the responsibility of the GLEIF and should not be done by the TRs. Please see question 105 for a more detailed response. The actual update of the information can be done by the TR as a direct result of receiving the updated information from GLEIF.</w:t>
      </w:r>
    </w:p>
    <w:p w14:paraId="6A02197D" w14:textId="77777777" w:rsidR="002F1BA1" w:rsidRDefault="002F1BA1" w:rsidP="002F1BA1">
      <w:pPr>
        <w:rPr>
          <w:rFonts w:ascii="Arial" w:hAnsi="Arial" w:cs="Arial"/>
          <w:bCs/>
          <w:lang w:val="en-US"/>
        </w:rPr>
      </w:pPr>
    </w:p>
    <w:p w14:paraId="136984F3" w14:textId="01566234" w:rsidR="002F1BA1" w:rsidRPr="002F1BA1" w:rsidRDefault="002F1BA1" w:rsidP="002F1BA1">
      <w:pPr>
        <w:rPr>
          <w:rFonts w:ascii="Arial" w:hAnsi="Arial" w:cs="Arial"/>
          <w:bCs/>
          <w:lang w:val="en-US"/>
        </w:rPr>
      </w:pPr>
      <w:r w:rsidRPr="002F1BA1">
        <w:rPr>
          <w:rFonts w:ascii="Arial" w:hAnsi="Arial" w:cs="Arial"/>
          <w:bCs/>
          <w:lang w:val="en-US"/>
        </w:rPr>
        <w:t xml:space="preserve">We believe the dissemination of the information would be rather problematic. Many ERR’s have delegated their reporting, either voluntarily or through the new requirements in EMIR REFIT. As such, they will not be onboarded to a TR, meaning the TR is unable to communicate with them. Responding to the report submitting entity is not useful because they are not actually the ones responsible for the update. The TR could post information on a publicly available website, but then all parties would have to go to each TR and review </w:t>
      </w:r>
      <w:proofErr w:type="gramStart"/>
      <w:r w:rsidRPr="002F1BA1">
        <w:rPr>
          <w:rFonts w:ascii="Arial" w:hAnsi="Arial" w:cs="Arial"/>
          <w:bCs/>
          <w:lang w:val="en-US"/>
        </w:rPr>
        <w:t>on a daily basis</w:t>
      </w:r>
      <w:proofErr w:type="gramEnd"/>
      <w:r w:rsidRPr="002F1BA1">
        <w:rPr>
          <w:rFonts w:ascii="Arial" w:hAnsi="Arial" w:cs="Arial"/>
          <w:bCs/>
          <w:lang w:val="en-US"/>
        </w:rPr>
        <w:t xml:space="preserve">. Additionally, there could be unintended disclosure as the only time the TR would create a notification is when the party is listed in a submitted contract and this should be confidential information. We therefore believe that the general information associated with a record being updated should be shown on a report to the reporting parties and entities responsible for reporting only if they are onboarded to the TR’s platform. </w:t>
      </w:r>
    </w:p>
    <w:bookmarkEnd w:id="5"/>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447D58"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447D58"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lastRenderedPageBreak/>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447D58"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0A6751F" w14:textId="77777777" w:rsidR="002F1BA1" w:rsidRPr="002F1BA1" w:rsidRDefault="002F1BA1" w:rsidP="002F1BA1">
      <w:pPr>
        <w:rPr>
          <w:rFonts w:ascii="Arial" w:hAnsi="Arial" w:cs="Arial"/>
          <w:lang w:val="en-US"/>
        </w:rPr>
      </w:pPr>
      <w:bookmarkStart w:id="6" w:name="_Hlk41568079"/>
      <w:permStart w:id="470972220" w:edGrp="everyone"/>
      <w:r w:rsidRPr="002F1BA1">
        <w:rPr>
          <w:rFonts w:ascii="Arial" w:hAnsi="Arial" w:cs="Arial"/>
          <w:lang w:val="en-US"/>
        </w:rPr>
        <w:t xml:space="preserve">With regards to changes in LEIs related to mergers, DDRL believes that the TR’s is the incorrect place to initiate and/or communicate changes to a reported entity’s LEI.  </w:t>
      </w:r>
    </w:p>
    <w:p w14:paraId="5CE7E832" w14:textId="77777777" w:rsidR="002F1BA1" w:rsidRPr="002F1BA1" w:rsidRDefault="002F1BA1" w:rsidP="002F1BA1">
      <w:pPr>
        <w:rPr>
          <w:rFonts w:ascii="Arial" w:hAnsi="Arial" w:cs="Arial"/>
          <w:lang w:val="en-US"/>
        </w:rPr>
      </w:pPr>
      <w:r w:rsidRPr="002F1BA1">
        <w:rPr>
          <w:rFonts w:ascii="Arial" w:hAnsi="Arial" w:cs="Arial"/>
          <w:lang w:val="en-US"/>
        </w:rPr>
        <w:t>The Global LEI System (GLEIS), governed by GLEIF and operated by over 35</w:t>
      </w:r>
      <w:r w:rsidRPr="002F1BA1">
        <w:rPr>
          <w:rFonts w:ascii="Arial" w:hAnsi="Arial" w:cs="Arial"/>
          <w:i/>
          <w:lang w:val="en-US"/>
        </w:rPr>
        <w:t xml:space="preserve"> </w:t>
      </w:r>
      <w:r w:rsidRPr="002F1BA1">
        <w:rPr>
          <w:rFonts w:ascii="Arial" w:hAnsi="Arial" w:cs="Arial"/>
          <w:lang w:val="en-US"/>
        </w:rPr>
        <w:t>Local Operating Units (LOUs) is the appropriate place to process this information, so that it can be updated following a consistent and regulated set of validations (at the LOU), based on GLEIF approved processes and applied globally across all jurisdictions. Additionally, the communication of this information can be done to all market participants via changes to the GLEIF’s LEI file. </w:t>
      </w:r>
    </w:p>
    <w:p w14:paraId="1A0866E5" w14:textId="77777777" w:rsidR="00CE0A9D" w:rsidRDefault="00CE0A9D" w:rsidP="002F1BA1">
      <w:pPr>
        <w:rPr>
          <w:rFonts w:ascii="Arial" w:hAnsi="Arial" w:cs="Arial"/>
          <w:lang w:val="en-US"/>
        </w:rPr>
      </w:pPr>
    </w:p>
    <w:p w14:paraId="47C3C05F" w14:textId="4C37F6EB" w:rsidR="002F1BA1" w:rsidRPr="002F1BA1" w:rsidRDefault="002F1BA1" w:rsidP="002F1BA1">
      <w:pPr>
        <w:rPr>
          <w:rFonts w:ascii="Arial" w:hAnsi="Arial" w:cs="Arial"/>
          <w:lang w:val="en-US"/>
        </w:rPr>
      </w:pPr>
      <w:r w:rsidRPr="002F1BA1">
        <w:rPr>
          <w:rFonts w:ascii="Arial" w:hAnsi="Arial" w:cs="Arial"/>
          <w:lang w:val="en-US"/>
        </w:rPr>
        <w:t>It is DDRL’s belief that static data associated with standard identifiers such as LEI or UPI should be validated, updated and communicated by the central authority associated with the static data, such as the GLEIF and DSB. This will ensure global consistency and quality and put the responsibility where the expertise is greatest. We understand that changes in procedures such as this require the agreement of the global centralized facilities and the relevant stakeholders (regulators, market participants, LOUs, etc.) DDRL recommends that these discussions take place as soon as practical and a realistic time horizon is considered.</w:t>
      </w:r>
    </w:p>
    <w:p w14:paraId="3750D269" w14:textId="77777777" w:rsidR="00CE0A9D" w:rsidRDefault="00CE0A9D" w:rsidP="002F1BA1">
      <w:pPr>
        <w:rPr>
          <w:rFonts w:ascii="Arial" w:hAnsi="Arial" w:cs="Arial"/>
          <w:lang w:val="en-US"/>
        </w:rPr>
      </w:pPr>
    </w:p>
    <w:p w14:paraId="3BB7E02B" w14:textId="4F602AA5" w:rsidR="002F1BA1" w:rsidRPr="002F1BA1" w:rsidRDefault="002F1BA1" w:rsidP="002F1BA1">
      <w:pPr>
        <w:rPr>
          <w:rFonts w:ascii="Arial" w:hAnsi="Arial" w:cs="Arial"/>
          <w:lang w:val="en-US"/>
        </w:rPr>
      </w:pPr>
      <w:r w:rsidRPr="002F1BA1">
        <w:rPr>
          <w:rFonts w:ascii="Arial" w:hAnsi="Arial" w:cs="Arial"/>
          <w:lang w:val="en-US"/>
        </w:rPr>
        <w:t xml:space="preserve">Additionally, a TR should not be responsible for notifying the reporting counterparties or entities responsible for reporting if they are not participants in the TR. If required, a TR could post on a public website, changes which they processed, however that could result in the disclosure that a given entity has open derivative transactions, which might in turn be a confidentiality breach and/or result in that party receiving unsolicited outreach from other financial parties.  </w:t>
      </w:r>
    </w:p>
    <w:p w14:paraId="77F871D2" w14:textId="77777777" w:rsidR="00CE0A9D" w:rsidRDefault="00CE0A9D" w:rsidP="002F1BA1">
      <w:pPr>
        <w:rPr>
          <w:rFonts w:ascii="Arial" w:hAnsi="Arial" w:cs="Arial"/>
          <w:lang w:val="en-US"/>
        </w:rPr>
      </w:pPr>
    </w:p>
    <w:p w14:paraId="181F9B6E" w14:textId="32A4D126" w:rsidR="002F1BA1" w:rsidRPr="002F1BA1" w:rsidRDefault="002F1BA1" w:rsidP="002F1BA1">
      <w:pPr>
        <w:rPr>
          <w:rFonts w:ascii="Arial" w:hAnsi="Arial" w:cs="Arial"/>
          <w:lang w:val="en-US"/>
        </w:rPr>
      </w:pPr>
      <w:r w:rsidRPr="002F1BA1">
        <w:rPr>
          <w:rFonts w:ascii="Arial" w:hAnsi="Arial" w:cs="Arial"/>
          <w:lang w:val="en-US"/>
        </w:rPr>
        <w:t>With regards to changes in LEI related to corporate restructuring, for example the transfer of a given set of transactions from one LEI to another, DDRL believes that this should not be a process that is updated by the TRs. Both the old and the new LEI have records published by the GLEIF and therefore the transaction in question is a novation and should be reported as such by the relevant parties to the transactions. It is not something that should be updated and/or communicated by the TRs.</w:t>
      </w:r>
    </w:p>
    <w:p w14:paraId="02107374" w14:textId="77777777" w:rsidR="00CE0A9D" w:rsidRDefault="00CE0A9D" w:rsidP="002F1BA1">
      <w:pPr>
        <w:rPr>
          <w:rFonts w:ascii="Arial" w:hAnsi="Arial" w:cs="Arial"/>
          <w:lang w:val="en-US"/>
        </w:rPr>
      </w:pPr>
    </w:p>
    <w:p w14:paraId="0F9A7B38" w14:textId="11338F63" w:rsidR="002F1BA1" w:rsidRPr="002F1BA1" w:rsidRDefault="002F1BA1" w:rsidP="002F1BA1">
      <w:pPr>
        <w:rPr>
          <w:rFonts w:ascii="Arial" w:hAnsi="Arial" w:cs="Arial"/>
          <w:lang w:val="en-US"/>
        </w:rPr>
      </w:pPr>
      <w:r w:rsidRPr="002F1BA1">
        <w:rPr>
          <w:rFonts w:ascii="Arial" w:hAnsi="Arial" w:cs="Arial"/>
          <w:lang w:val="en-US"/>
        </w:rPr>
        <w:t>Finally, as an interim step, any timeframes, such as the 30 days, need to be based upon the time that proper evidence is supplied and not the simple notification of a merger. The TR needs to review and often translate documents that evidence the merger and this process requires legal attention and can involve several conversations with the presenting entity. In the case of mandatory delegated reporting, this may be even more time consuming.</w:t>
      </w:r>
    </w:p>
    <w:bookmarkEnd w:id="6"/>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447D58"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7615C260" w14:textId="77777777" w:rsidR="00CE0A9D" w:rsidRPr="00CE0A9D" w:rsidRDefault="00CE0A9D" w:rsidP="00CE0A9D">
      <w:pPr>
        <w:rPr>
          <w:rFonts w:ascii="Arial" w:hAnsi="Arial" w:cs="Arial"/>
          <w:lang w:val="en-US"/>
        </w:rPr>
      </w:pPr>
      <w:permStart w:id="1042219582" w:edGrp="everyone"/>
      <w:r w:rsidRPr="00CE0A9D">
        <w:rPr>
          <w:rFonts w:ascii="Arial" w:hAnsi="Arial" w:cs="Arial"/>
          <w:lang w:val="en-US"/>
        </w:rPr>
        <w:t xml:space="preserve">We agree with the approach of eliminating the field.  </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447D58"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165612AA" w14:textId="77777777" w:rsidR="00CE0A9D" w:rsidRPr="00CE0A9D" w:rsidRDefault="00CE0A9D" w:rsidP="00CE0A9D">
      <w:pPr>
        <w:rPr>
          <w:rFonts w:ascii="Arial" w:hAnsi="Arial" w:cs="Arial"/>
          <w:lang w:val="en-US"/>
        </w:rPr>
      </w:pPr>
      <w:permStart w:id="1652650691" w:edGrp="everyone"/>
      <w:r w:rsidRPr="00CE0A9D">
        <w:rPr>
          <w:rFonts w:ascii="Arial" w:hAnsi="Arial" w:cs="Arial"/>
          <w:lang w:val="en-US"/>
        </w:rPr>
        <w:t xml:space="preserve">We agree with the approach of eliminating the field.  </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447D58"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447D58"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447D58"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444D246B" w14:textId="77777777" w:rsidR="00CE0A9D" w:rsidRPr="00CE0A9D" w:rsidRDefault="00CE0A9D" w:rsidP="00CE0A9D">
      <w:pPr>
        <w:rPr>
          <w:rFonts w:ascii="Arial" w:hAnsi="Arial" w:cs="Arial"/>
          <w:lang w:val="en-US"/>
        </w:rPr>
      </w:pPr>
      <w:permStart w:id="1554742035" w:edGrp="everyone"/>
      <w:r w:rsidRPr="00CE0A9D">
        <w:rPr>
          <w:rFonts w:ascii="Arial" w:hAnsi="Arial" w:cs="Arial"/>
          <w:bCs/>
          <w:lang w:val="en-US"/>
        </w:rPr>
        <w:t xml:space="preserve">Indeed, this may create multi-jurisdictional problems, therefore, we would like to see harmonization with CDEs. </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447D58"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4AD082DE" w14:textId="77777777" w:rsidR="00CE0A9D" w:rsidRPr="00CE0A9D" w:rsidRDefault="00CE0A9D" w:rsidP="00CE0A9D">
      <w:pPr>
        <w:rPr>
          <w:rFonts w:ascii="Arial" w:hAnsi="Arial" w:cs="Arial"/>
          <w:i/>
          <w:lang w:val="en-US"/>
        </w:rPr>
      </w:pPr>
      <w:permStart w:id="2065195868" w:edGrp="everyone"/>
      <w:r w:rsidRPr="00CE0A9D">
        <w:rPr>
          <w:rFonts w:ascii="Arial" w:hAnsi="Arial" w:cs="Arial"/>
          <w:lang w:val="en-US"/>
        </w:rPr>
        <w:t xml:space="preserve">Yes. We would reiterate the point we make in Q15. We believe there is a general misunderstanding on which legs need to be reported as cleared transactions, where the clearing member acts as principle on both legs. This leads to general confusion </w:t>
      </w:r>
      <w:r w:rsidRPr="00CE0A9D">
        <w:rPr>
          <w:rFonts w:ascii="Arial" w:hAnsi="Arial" w:cs="Arial"/>
          <w:lang w:val="en-US"/>
        </w:rPr>
        <w:lastRenderedPageBreak/>
        <w:t xml:space="preserve">on reportable cleared transactions with several counterparties identifying the clearing member to their client leg as cleared. Clarification should be provided by ESMA on which leg needs to be identified as a cleared trade.    </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447D58"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200D2180" w14:textId="4B029F20" w:rsidR="00CE0A9D" w:rsidRPr="00CE0A9D" w:rsidRDefault="00CE0A9D" w:rsidP="00CE0A9D">
      <w:pPr>
        <w:rPr>
          <w:rFonts w:ascii="Arial" w:hAnsi="Arial" w:cs="Arial"/>
          <w:lang w:val="en-US"/>
        </w:rPr>
      </w:pPr>
      <w:permStart w:id="1146161974" w:edGrp="everyone"/>
      <w:r w:rsidRPr="00CE0A9D">
        <w:rPr>
          <w:rFonts w:ascii="Arial" w:hAnsi="Arial" w:cs="Arial"/>
          <w:lang w:val="en-US"/>
        </w:rPr>
        <w:t>We would prefer some further clarity on this point. ESMA should aim at aligning its approach with the global regulatory CDE guidance</w:t>
      </w:r>
      <w:r>
        <w:rPr>
          <w:rFonts w:ascii="Arial" w:hAnsi="Arial" w:cs="Arial"/>
          <w:lang w:val="en-US"/>
        </w:rPr>
        <w:t>.</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447D58"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3A7B9D53" w14:textId="77777777" w:rsidR="00CE0A9D" w:rsidRPr="00CE0A9D" w:rsidRDefault="00CE0A9D" w:rsidP="00CE0A9D">
      <w:pPr>
        <w:rPr>
          <w:rFonts w:ascii="Arial" w:hAnsi="Arial" w:cs="Arial"/>
          <w:lang w:val="en-US"/>
        </w:rPr>
      </w:pPr>
      <w:permStart w:id="1665803298" w:edGrp="everyone"/>
      <w:r w:rsidRPr="00CE0A9D">
        <w:rPr>
          <w:rFonts w:ascii="Arial" w:hAnsi="Arial" w:cs="Arial"/>
          <w:bCs/>
          <w:lang w:val="en-US"/>
        </w:rPr>
        <w:t xml:space="preserve">We agree with the approach, but we strongly encourage ESMA to avoid deviation from the CDE guidelines with regards to the settlement location. We believe this approach provides useful information and any deviation from the CDE guidance would add cost and complexity for counterparties with multi-jurisdiction reporting requirements and would hinder data consolidation across jurisdictions. </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447D58"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447D58"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447D58"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447D58"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447D58"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447D58"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447D58"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447D58"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447D58"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lastRenderedPageBreak/>
        <w:t>&lt;ESMA_QUESTION_TSTR_73&gt;</w:t>
      </w:r>
    </w:p>
    <w:p w14:paraId="14EAA52A" w14:textId="77777777" w:rsidR="008D4AEE" w:rsidRDefault="008D4AEE" w:rsidP="008D4AEE">
      <w:pPr>
        <w:rPr>
          <w:rFonts w:ascii="Arial" w:hAnsi="Arial" w:cs="Arial"/>
        </w:rPr>
      </w:pPr>
    </w:p>
    <w:p w14:paraId="08CEF655" w14:textId="77777777" w:rsidR="008D4AEE" w:rsidRDefault="00447D58"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0F081955" w14:textId="77777777" w:rsidR="00CE0A9D" w:rsidRPr="00CE0A9D" w:rsidRDefault="00CE0A9D" w:rsidP="00CE0A9D">
      <w:pPr>
        <w:rPr>
          <w:rFonts w:ascii="Arial" w:hAnsi="Arial" w:cs="Arial"/>
          <w:lang w:val="en-US"/>
        </w:rPr>
      </w:pPr>
      <w:permStart w:id="1652767139" w:edGrp="everyone"/>
      <w:r w:rsidRPr="00CE0A9D">
        <w:rPr>
          <w:rFonts w:ascii="Arial" w:hAnsi="Arial" w:cs="Arial"/>
          <w:lang w:val="en-US"/>
        </w:rPr>
        <w:t xml:space="preserve">It is our understanding that the collateral portfolio code (element 22 in table 2) can consist of multiple portfolio codes, depending on the nature of the collateral agreements between various parties. Therefore, DDRL requests definitive guidance on how firms should report these as multiple codes.  </w:t>
      </w:r>
    </w:p>
    <w:p w14:paraId="1A9158B9" w14:textId="77777777" w:rsidR="00CE0A9D" w:rsidRDefault="00CE0A9D" w:rsidP="00CE0A9D">
      <w:pPr>
        <w:rPr>
          <w:rFonts w:ascii="Arial" w:hAnsi="Arial" w:cs="Arial"/>
          <w:lang w:val="en-US"/>
        </w:rPr>
      </w:pPr>
    </w:p>
    <w:p w14:paraId="44C097F0" w14:textId="55056761" w:rsidR="00CE0A9D" w:rsidRPr="00CE0A9D" w:rsidRDefault="00CE0A9D" w:rsidP="00CE0A9D">
      <w:pPr>
        <w:rPr>
          <w:rFonts w:ascii="Arial" w:hAnsi="Arial" w:cs="Arial"/>
          <w:lang w:val="en-US"/>
        </w:rPr>
      </w:pPr>
      <w:r w:rsidRPr="00CE0A9D">
        <w:rPr>
          <w:rFonts w:ascii="Arial" w:hAnsi="Arial" w:cs="Arial"/>
          <w:lang w:val="en-US"/>
        </w:rPr>
        <w:t xml:space="preserve">Moreover, the </w:t>
      </w:r>
      <w:bookmarkStart w:id="7" w:name="_Hlk43832025"/>
      <w:r w:rsidRPr="00CE0A9D">
        <w:rPr>
          <w:rFonts w:ascii="Arial" w:hAnsi="Arial" w:cs="Arial"/>
          <w:lang w:val="en-US"/>
        </w:rPr>
        <w:t xml:space="preserve">TSR </w:t>
      </w:r>
      <w:bookmarkEnd w:id="7"/>
      <w:r w:rsidRPr="00CE0A9D">
        <w:rPr>
          <w:rFonts w:ascii="Arial" w:hAnsi="Arial" w:cs="Arial"/>
          <w:lang w:val="en-US"/>
        </w:rPr>
        <w:t>provided to ESMA includes collateral valuation elements at the UTI level.  While it is logical to list the appropriate collateral portfolio codes at the UTI level, it is duplicative to list each element on the TSR.  This becomes even more complicated in the situation where there is more than one portfolio code listed. This would make the TR potentially responsible for adding together the portfolio values for each element, which could also include currency conversions. We believe that ESMA should instead consider a report listing each portfolio code and the related elements based on the LEI.</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447D58"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7D4B1709" w14:textId="77777777" w:rsidR="00CE0A9D" w:rsidRPr="00CE0A9D" w:rsidRDefault="00CE0A9D" w:rsidP="00CE0A9D">
      <w:pPr>
        <w:rPr>
          <w:rFonts w:ascii="Arial" w:hAnsi="Arial" w:cs="Arial"/>
          <w:lang w:val="en-US"/>
        </w:rPr>
      </w:pPr>
      <w:permStart w:id="988873195" w:edGrp="everyone"/>
      <w:r w:rsidRPr="00CE0A9D">
        <w:rPr>
          <w:rFonts w:ascii="Arial" w:hAnsi="Arial" w:cs="Arial"/>
          <w:lang w:val="en-US"/>
        </w:rPr>
        <w:t>We note that ESMA does not permit prices &amp; rates in decimal notation, instead mandating participants report with percentage only. This is a deviation from the CDE. We believe this will add complexity and lead to potential errors if other jurisdictions adopt the CDE, including the decimal notation. It is also our experience that many trading systems provide pricing using this notation. Therefore, we recommend implementation of the decimal price and rate notation, in line with the CDE.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447D58"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447D58"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lastRenderedPageBreak/>
        <w:t>&lt;ESMA_QUESTION_TSTR_77&gt;</w:t>
      </w:r>
    </w:p>
    <w:p w14:paraId="1B3DF8FE" w14:textId="77777777" w:rsidR="008D4AEE" w:rsidRDefault="008D4AEE" w:rsidP="008D4AEE">
      <w:pPr>
        <w:rPr>
          <w:rFonts w:ascii="Arial" w:hAnsi="Arial" w:cs="Arial"/>
        </w:rPr>
      </w:pPr>
    </w:p>
    <w:p w14:paraId="3385F706" w14:textId="77777777" w:rsidR="008D4AEE" w:rsidRDefault="00447D58"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60276785" w14:textId="77777777" w:rsidR="00CE0A9D" w:rsidRPr="00CE0A9D" w:rsidRDefault="00CE0A9D" w:rsidP="00CE0A9D">
      <w:pPr>
        <w:rPr>
          <w:rFonts w:ascii="Arial" w:hAnsi="Arial" w:cs="Arial"/>
          <w:bCs/>
          <w:lang w:val="en-US"/>
        </w:rPr>
      </w:pPr>
      <w:permStart w:id="7961661" w:edGrp="everyone"/>
      <w:r w:rsidRPr="00CE0A9D">
        <w:rPr>
          <w:rFonts w:ascii="Arial" w:hAnsi="Arial" w:cs="Arial"/>
          <w:bCs/>
          <w:lang w:val="en-US"/>
        </w:rPr>
        <w:t xml:space="preserve">We would recommend an approach where consistency is ensured at a global level and between jurisdictions The CPMI-IOSCO Guidance on CDE, especially on points 2.55 and 2.56, offer various choices for the fixed rate notation and points out that ‘’ [t]he above allowable values might be restricted based on jurisdictional requirements e.g. certain jurisdictions might require the value to be reported as a decimal instead of percentage’’. Nevertheless, we are of the opinion that the CPMI-IOSCO guidelines allowing for jurisdictions to have different approaches effectively allows for </w:t>
      </w:r>
      <w:r w:rsidRPr="00CE0A9D">
        <w:rPr>
          <w:rFonts w:ascii="Arial" w:hAnsi="Arial" w:cs="Arial"/>
          <w:lang w:val="en-US"/>
        </w:rPr>
        <w:t xml:space="preserve">reporting differently. We believe ESMA should coordinate their approach with other jurisdictions and be prescriptive of the actual way for allowable values for fixed rate notations. </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447D58"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71B0D3B6" w14:textId="6641C279" w:rsidR="00CE0A9D" w:rsidRPr="00CE0A9D" w:rsidRDefault="00CE0A9D" w:rsidP="00CE0A9D">
      <w:pPr>
        <w:rPr>
          <w:rFonts w:ascii="Arial" w:hAnsi="Arial" w:cs="Arial"/>
          <w:lang w:val="en-US"/>
        </w:rPr>
      </w:pPr>
      <w:permStart w:id="1180714383" w:edGrp="everyone"/>
      <w:r w:rsidRPr="00CE0A9D">
        <w:rPr>
          <w:rFonts w:ascii="Arial" w:hAnsi="Arial" w:cs="Arial"/>
          <w:lang w:val="en-US"/>
        </w:rPr>
        <w:t>We would recommend alignment with the CDE Call and Put amount naming convention, which we feel is clearer, rather than through a generic notional leg field which could confuse and lead to data quality issues. Additionally, please see our answer to Q83</w:t>
      </w:r>
      <w:r>
        <w:rPr>
          <w:rFonts w:ascii="Arial" w:hAnsi="Arial" w:cs="Arial"/>
          <w:lang w:val="en-US"/>
        </w:rPr>
        <w:t>.</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447D58"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447D58"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447D58"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447D58"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04FFE677" w14:textId="77777777" w:rsidR="00CE0A9D" w:rsidRPr="00CE0A9D" w:rsidRDefault="00CE0A9D" w:rsidP="00CE0A9D">
      <w:pPr>
        <w:rPr>
          <w:rFonts w:ascii="Arial" w:hAnsi="Arial" w:cs="Arial"/>
          <w:lang w:val="en-US"/>
        </w:rPr>
      </w:pPr>
      <w:permStart w:id="1839149848" w:edGrp="everyone"/>
      <w:r w:rsidRPr="00CE0A9D">
        <w:rPr>
          <w:rFonts w:ascii="Arial" w:hAnsi="Arial" w:cs="Arial"/>
          <w:bCs/>
          <w:lang w:val="en-US"/>
        </w:rPr>
        <w:t xml:space="preserve">We would like some further clarification, especially as regards paragraph 284. Alignment with other jurisdictions is critical as all jurisdictions should follow the same schedule to ensure global consistency on methods. </w:t>
      </w:r>
      <w:r w:rsidRPr="00CE0A9D">
        <w:rPr>
          <w:rFonts w:ascii="Arial" w:hAnsi="Arial" w:cs="Arial"/>
          <w:lang w:val="en-US"/>
        </w:rPr>
        <w:t>DDRL does not have a specific view on the method, so long as the method chosen is consistent with other jurisdictions. If the notional schedule is selected, clarification is required as to what notional is to be reported on the TSR and how updates related to the change in notional per the schedule are made. Additionally, this process will likely require the creation of additional “supplemental reports” (unless all participant reporting is in xml) to show the repetitive data points for the reconciliation process.</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447D58"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2C123210" w14:textId="77777777" w:rsidR="00CE0A9D" w:rsidRPr="00CE0A9D" w:rsidRDefault="00CE0A9D" w:rsidP="00CE0A9D">
      <w:pPr>
        <w:rPr>
          <w:rFonts w:ascii="Arial" w:hAnsi="Arial" w:cs="Arial"/>
          <w:lang w:val="en-US"/>
        </w:rPr>
      </w:pPr>
      <w:permStart w:id="243153239" w:edGrp="everyone"/>
      <w:r w:rsidRPr="00CE0A9D">
        <w:rPr>
          <w:rFonts w:ascii="Arial" w:hAnsi="Arial" w:cs="Arial"/>
          <w:bCs/>
          <w:lang w:val="en-US"/>
        </w:rPr>
        <w:t xml:space="preserve">We strongly believe that if Delta is to be reported, it needs to be reported only with the valuation updates and not as part of the notional elements in the record. Like valuation, it should not be a reconcilable field, as it is an “output” field based on the contract details plus models, curves, and cut-off times. If it is not to be reconciled, we seek clarification as to whether counterparty A’s value for this field should be shown to its counterparty. </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447D58"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447D58"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447D58"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447D58"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447D58"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447D58"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447D58"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447D58"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447D58"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lastRenderedPageBreak/>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447D58"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4C974E60" w14:textId="77777777" w:rsidR="00CE0A9D" w:rsidRPr="00CE0A9D" w:rsidRDefault="00CE0A9D" w:rsidP="00CE0A9D">
      <w:pPr>
        <w:rPr>
          <w:rFonts w:ascii="Arial" w:hAnsi="Arial" w:cs="Arial"/>
          <w:lang w:val="en-US"/>
        </w:rPr>
      </w:pPr>
      <w:permStart w:id="1085436883" w:edGrp="everyone"/>
      <w:r w:rsidRPr="00CE0A9D">
        <w:rPr>
          <w:rFonts w:ascii="Arial" w:hAnsi="Arial" w:cs="Arial"/>
          <w:lang w:val="en-US"/>
        </w:rPr>
        <w:t xml:space="preserve">These fields require additional discussion and planning. In many custom baskets, the weightings are frequently adjusted and will create a significantly increased burden in reporting and related reconciliation. The reconciliation of a “field” that can contain multiple values causes complications in the reconciliation process and clear guidance from ESMA regarding the inter-TR reconciliation related issues is sought.  </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447D58"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447D58"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447D58"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447D58"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6975FB7A" w14:textId="77777777" w:rsidR="00CE0A9D" w:rsidRPr="00CE0A9D" w:rsidRDefault="00CE0A9D" w:rsidP="00CE0A9D">
      <w:pPr>
        <w:rPr>
          <w:rFonts w:ascii="Arial" w:hAnsi="Arial" w:cs="Arial"/>
          <w:bCs/>
          <w:lang w:val="en-US"/>
        </w:rPr>
      </w:pPr>
      <w:permStart w:id="799877977" w:edGrp="everyone"/>
      <w:r w:rsidRPr="00CE0A9D">
        <w:rPr>
          <w:rFonts w:ascii="Arial" w:hAnsi="Arial" w:cs="Arial"/>
          <w:bCs/>
          <w:lang w:val="en-US"/>
        </w:rPr>
        <w:t xml:space="preserve">Yes. We support that trades should continue to be updated to the latest level of quality to prevent future issues with portability and reconciliation.  As regards portability, we believe that to support portability, all ported trades need to be at the most current reporting quality at the time of the port.  </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447D58"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468A1F88" w14:textId="77777777" w:rsidR="00CE0A9D" w:rsidRPr="00CE0A9D" w:rsidRDefault="00CE0A9D" w:rsidP="00CE0A9D">
      <w:pPr>
        <w:rPr>
          <w:rFonts w:ascii="Arial" w:hAnsi="Arial" w:cs="Arial"/>
          <w:lang w:val="en-US"/>
        </w:rPr>
      </w:pPr>
      <w:permStart w:id="651702889" w:edGrp="everyone"/>
      <w:r w:rsidRPr="00CE0A9D">
        <w:rPr>
          <w:rFonts w:ascii="Arial" w:hAnsi="Arial" w:cs="Arial"/>
          <w:lang w:val="en-US"/>
        </w:rPr>
        <w:t>Yes, we would see issues of data quality, performance, rejections and inter-TR reconciliation emerging from these revised requirements. Based on our experience with the upgrade from EMIR RTS in November 2017, without clear guidance as to submission requirements, the reconciliation process (both intra-TR and inter-TR) will suffer especially when one counterparty is reporting one version of data quality and the other reports a different version. We believe that ESMA should provide sufficient time between the introduction of new guidelines for new contracts and the incorporation of new fields into the reconciliation process, as it would greatly reduce the number of reconciliation breaks, which do not accurately reflect a difference in details but rather a difference in the timing of the reporting.</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447D58"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6C3FB4C6" w14:textId="77777777" w:rsidR="00CE0A9D" w:rsidRPr="00CE0A9D" w:rsidRDefault="00CE0A9D" w:rsidP="00CE0A9D">
      <w:pPr>
        <w:rPr>
          <w:rFonts w:ascii="Arial" w:hAnsi="Arial" w:cs="Arial"/>
          <w:lang w:val="en-US"/>
        </w:rPr>
      </w:pPr>
      <w:permStart w:id="342188178" w:edGrp="everyone"/>
      <w:r w:rsidRPr="00CE0A9D">
        <w:rPr>
          <w:rFonts w:ascii="Arial" w:hAnsi="Arial" w:cs="Arial"/>
          <w:lang w:val="en-US"/>
        </w:rPr>
        <w:t xml:space="preserve">Yes, we believe that a phase-in period would be necessary for all trades to be updated. Also, we would need clarification on the treatment of the transactions that had not been updated. </w:t>
      </w:r>
    </w:p>
    <w:p w14:paraId="5A3C7742" w14:textId="77777777" w:rsidR="00CE0A9D" w:rsidRDefault="00CE0A9D" w:rsidP="00CE0A9D">
      <w:pPr>
        <w:rPr>
          <w:rFonts w:ascii="Arial" w:hAnsi="Arial" w:cs="Arial"/>
          <w:lang w:val="en-US"/>
        </w:rPr>
      </w:pPr>
    </w:p>
    <w:p w14:paraId="6306EF29" w14:textId="14354248" w:rsidR="00CE0A9D" w:rsidRPr="00CE0A9D" w:rsidRDefault="00CE0A9D" w:rsidP="00CE0A9D">
      <w:pPr>
        <w:rPr>
          <w:rFonts w:ascii="Arial" w:hAnsi="Arial" w:cs="Arial"/>
          <w:lang w:val="en-US"/>
        </w:rPr>
      </w:pPr>
      <w:r w:rsidRPr="00CE0A9D">
        <w:rPr>
          <w:rFonts w:ascii="Arial" w:hAnsi="Arial" w:cs="Arial"/>
          <w:lang w:val="en-US"/>
        </w:rPr>
        <w:t xml:space="preserve">As regards, the additional timeline, we would support the idea of 12-month phase-in period.    </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447D58"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6FA16E96" w14:textId="77777777" w:rsidR="00D973EF" w:rsidRPr="00D973EF" w:rsidRDefault="00D973EF" w:rsidP="00D973EF">
      <w:pPr>
        <w:rPr>
          <w:rFonts w:ascii="Arial" w:hAnsi="Arial" w:cs="Arial"/>
          <w:lang w:val="en-US"/>
        </w:rPr>
      </w:pPr>
      <w:permStart w:id="732370368" w:edGrp="everyone"/>
      <w:r w:rsidRPr="00D973EF">
        <w:rPr>
          <w:rFonts w:ascii="Arial" w:hAnsi="Arial" w:cs="Arial"/>
          <w:lang w:val="en-US"/>
        </w:rPr>
        <w:t>ESMA should try to ensure that it builds a logical sequence and enough flexibility into this timeframe in order to address a range of issues which could hinder effective implementation. As the experience of COVID-19 shows, flexibility must be embedded into the rules allowing enough time for the market to adjust. The implementation of the UPI by G20 jurisdictions, events such as the implementation of Brexit are further proof of the need for this flexibility in the future. Based on our experience, we would encourage ESMA and the NCAs to find ways to be able to amend timeframes depending on the circumstances. Additionally, it’s critical that the reporting has an effective date corresponding to a Monday, so that relevant systems and operational changes can take place over a weekend.</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447D58"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lastRenderedPageBreak/>
        <w:t>&lt;ESMA_QUESTION_TSTR_102&gt;</w:t>
      </w:r>
    </w:p>
    <w:p w14:paraId="79749D8C" w14:textId="77777777" w:rsidR="00D973EF" w:rsidRPr="00D973EF" w:rsidRDefault="00D973EF" w:rsidP="00D973EF">
      <w:pPr>
        <w:rPr>
          <w:rFonts w:ascii="Arial" w:hAnsi="Arial" w:cs="Arial"/>
          <w:bCs/>
          <w:lang w:val="en-US"/>
        </w:rPr>
      </w:pPr>
      <w:permStart w:id="632516109" w:edGrp="everyone"/>
      <w:r w:rsidRPr="00D973EF">
        <w:rPr>
          <w:rFonts w:ascii="Arial" w:hAnsi="Arial" w:cs="Arial"/>
          <w:bCs/>
          <w:lang w:val="en-US"/>
        </w:rPr>
        <w:t>No. We need clarity on paragraph 350 as it and its underlying implications remain legally challenging. Paragraph 350 states that TRs are responsible for ‘’completeness and correctness of data on the TRs’’. Moreover, in accordance with Article 78(9) EMIR, as amended by EMIR REFIT, TRs are required to have in place “procedures to verify the completeness and correctness of the data reported”. The empowerment under Article 78(10) EMIR, as amended by EMIR REFIT, specifically establishes which aspects the procedures should cover, namely “the procedures to be applied by the trade repository to verify the compliance by the reporting counterparty or submitting entity with the reporting requirements and to verify the completeness and correctness of the data reported under Article 9.“</w:t>
      </w:r>
    </w:p>
    <w:p w14:paraId="5ADF6AED" w14:textId="77777777" w:rsidR="00D973EF" w:rsidRDefault="00D973EF" w:rsidP="00D973EF">
      <w:pPr>
        <w:rPr>
          <w:rFonts w:ascii="Arial" w:hAnsi="Arial" w:cs="Arial"/>
          <w:bCs/>
          <w:lang w:val="en-US"/>
        </w:rPr>
      </w:pPr>
    </w:p>
    <w:p w14:paraId="09CCF4A1" w14:textId="13FFE420" w:rsidR="00D973EF" w:rsidRPr="00D973EF" w:rsidRDefault="00D973EF" w:rsidP="00D973EF">
      <w:pPr>
        <w:rPr>
          <w:rFonts w:ascii="Arial" w:hAnsi="Arial" w:cs="Arial"/>
          <w:bCs/>
          <w:lang w:val="en-US"/>
        </w:rPr>
      </w:pPr>
      <w:r w:rsidRPr="00D973EF">
        <w:rPr>
          <w:rFonts w:ascii="Arial" w:hAnsi="Arial" w:cs="Arial"/>
          <w:bCs/>
          <w:lang w:val="en-US"/>
        </w:rPr>
        <w:t xml:space="preserve">The reality is that TRs do not have sight of the counterparties’ books and records as to be held responsible for completeness and correctness of the data. A TR can only apply a series of logical validations and checks on the data it is receiving but cannot possibly know whether all the required reports were provided and/or whether the content of those reports accurately reflect the transactions concluded by the counterparties. The completeness and correctness of data submitted can only truly be ensured by the reporting counterparties. </w:t>
      </w:r>
    </w:p>
    <w:p w14:paraId="0D648786" w14:textId="77777777" w:rsidR="00D973EF" w:rsidRDefault="00D973EF" w:rsidP="00D973EF">
      <w:pPr>
        <w:rPr>
          <w:rFonts w:ascii="Arial" w:hAnsi="Arial" w:cs="Arial"/>
          <w:bCs/>
          <w:lang w:val="en-US"/>
        </w:rPr>
      </w:pPr>
    </w:p>
    <w:p w14:paraId="16D18634" w14:textId="4815F4FE" w:rsidR="00D973EF" w:rsidRPr="00D973EF" w:rsidRDefault="00D973EF" w:rsidP="00D973EF">
      <w:pPr>
        <w:rPr>
          <w:rFonts w:ascii="Arial" w:hAnsi="Arial" w:cs="Arial"/>
          <w:bCs/>
          <w:lang w:val="en-US"/>
        </w:rPr>
      </w:pPr>
      <w:r w:rsidRPr="00D973EF">
        <w:rPr>
          <w:rFonts w:ascii="Arial" w:hAnsi="Arial" w:cs="Arial"/>
          <w:bCs/>
          <w:lang w:val="en-US"/>
        </w:rPr>
        <w:t xml:space="preserve">Paragraph 351(c) is about explicit </w:t>
      </w:r>
      <w:proofErr w:type="spellStart"/>
      <w:r w:rsidRPr="00D973EF">
        <w:rPr>
          <w:rFonts w:ascii="Arial" w:hAnsi="Arial" w:cs="Arial"/>
          <w:bCs/>
          <w:lang w:val="en-US"/>
        </w:rPr>
        <w:t>permissioning</w:t>
      </w:r>
      <w:proofErr w:type="spellEnd"/>
      <w:r w:rsidRPr="00D973EF">
        <w:rPr>
          <w:rFonts w:ascii="Arial" w:hAnsi="Arial" w:cs="Arial"/>
          <w:bCs/>
          <w:lang w:val="en-US"/>
        </w:rPr>
        <w:t xml:space="preserve"> and states that the report submitting entity should identify whether the submission is made on behalf of the reporting counterparty or the entity responsible for reporting. We would appreciate clarification as to when a submission is made on behalf of the reporting counterparty and not the ERR. It is our belief that the party that should determine who can submit the required messages would be the ERR and not the reporting counterparty.</w:t>
      </w:r>
    </w:p>
    <w:p w14:paraId="47222444" w14:textId="77777777" w:rsidR="00D973EF" w:rsidRDefault="00D973EF" w:rsidP="00D973EF">
      <w:pPr>
        <w:rPr>
          <w:rFonts w:ascii="Arial" w:hAnsi="Arial" w:cs="Arial"/>
          <w:bCs/>
          <w:lang w:val="en-US"/>
        </w:rPr>
      </w:pPr>
    </w:p>
    <w:p w14:paraId="7F1637D4" w14:textId="64AFCB96" w:rsidR="00D973EF" w:rsidRPr="00D973EF" w:rsidRDefault="00D973EF" w:rsidP="00D973EF">
      <w:pPr>
        <w:rPr>
          <w:rFonts w:ascii="Arial" w:hAnsi="Arial" w:cs="Arial"/>
          <w:bCs/>
          <w:lang w:val="en-US"/>
        </w:rPr>
      </w:pPr>
      <w:r w:rsidRPr="00D973EF">
        <w:rPr>
          <w:rFonts w:ascii="Arial" w:hAnsi="Arial" w:cs="Arial"/>
          <w:bCs/>
          <w:lang w:val="en-US"/>
        </w:rPr>
        <w:t>In paragraph 352, we firmly believe rejections should only be communicated real-time to the report-submitting counterparty, instead of the entire chain. The ERR can be provided with this information via a daily report but has no need of real-time updates of rejected submissions.</w:t>
      </w:r>
    </w:p>
    <w:p w14:paraId="476FF6E7" w14:textId="77777777" w:rsidR="00D973EF" w:rsidRDefault="00D973EF" w:rsidP="00D973EF">
      <w:pPr>
        <w:rPr>
          <w:rFonts w:ascii="Arial" w:hAnsi="Arial" w:cs="Arial"/>
          <w:bCs/>
          <w:lang w:val="en-US"/>
        </w:rPr>
      </w:pPr>
    </w:p>
    <w:p w14:paraId="1268B009" w14:textId="03D61854" w:rsidR="00D973EF" w:rsidRPr="00D973EF" w:rsidRDefault="00D973EF" w:rsidP="00D973EF">
      <w:pPr>
        <w:rPr>
          <w:rFonts w:ascii="Arial" w:hAnsi="Arial" w:cs="Arial"/>
          <w:bCs/>
          <w:lang w:val="en-US"/>
        </w:rPr>
      </w:pPr>
      <w:r w:rsidRPr="00D973EF">
        <w:rPr>
          <w:rFonts w:ascii="Arial" w:hAnsi="Arial" w:cs="Arial"/>
          <w:bCs/>
          <w:lang w:val="en-US"/>
        </w:rPr>
        <w:t xml:space="preserve">Finally, we believe that schemas must be finalized as soon as possible after the technical standards are approved and published in the Official Journal of the European Union to ensure the industry and Trade Repositories have </w:t>
      </w:r>
      <w:proofErr w:type="gramStart"/>
      <w:r w:rsidRPr="00D973EF">
        <w:rPr>
          <w:rFonts w:ascii="Arial" w:hAnsi="Arial" w:cs="Arial"/>
          <w:bCs/>
          <w:lang w:val="en-US"/>
        </w:rPr>
        <w:t>sufficient</w:t>
      </w:r>
      <w:proofErr w:type="gramEnd"/>
      <w:r w:rsidRPr="00D973EF">
        <w:rPr>
          <w:rFonts w:ascii="Arial" w:hAnsi="Arial" w:cs="Arial"/>
          <w:bCs/>
          <w:lang w:val="en-US"/>
        </w:rPr>
        <w:t xml:space="preserve"> time to implement the new schema. </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447D58"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2B02A6B7" w14:textId="77777777" w:rsidR="00D973EF" w:rsidRPr="00D973EF" w:rsidRDefault="00D973EF" w:rsidP="00D973EF">
      <w:pPr>
        <w:rPr>
          <w:rFonts w:ascii="Arial" w:hAnsi="Arial" w:cs="Arial"/>
          <w:bCs/>
          <w:lang w:val="en-US"/>
        </w:rPr>
      </w:pPr>
      <w:permStart w:id="517109868" w:edGrp="everyone"/>
      <w:r w:rsidRPr="00D973EF">
        <w:rPr>
          <w:rFonts w:ascii="Arial" w:hAnsi="Arial" w:cs="Arial"/>
          <w:bCs/>
          <w:lang w:val="en-US"/>
        </w:rPr>
        <w:t xml:space="preserve">We believe clarity on Revive is necessary. Once the transaction is errored, it can be revived so long as there is a complete reinstation of the trade (as if it was new). </w:t>
      </w:r>
    </w:p>
    <w:p w14:paraId="1FC27A9F" w14:textId="77777777" w:rsidR="00D973EF" w:rsidRPr="00D973EF" w:rsidRDefault="00D973EF" w:rsidP="00D973EF">
      <w:pPr>
        <w:rPr>
          <w:rFonts w:ascii="Arial" w:hAnsi="Arial" w:cs="Arial"/>
          <w:bCs/>
          <w:lang w:val="en-US"/>
        </w:rPr>
      </w:pPr>
      <w:r w:rsidRPr="00D973EF">
        <w:rPr>
          <w:rFonts w:ascii="Arial" w:hAnsi="Arial" w:cs="Arial"/>
          <w:bCs/>
          <w:lang w:val="en-US"/>
        </w:rPr>
        <w:t xml:space="preserve">If a report submitting entity submits a Revive action type on behalf of a given party and UTI and the previous submission had not been the ERROR action type, the TR should reject the submissions with an appropriate error of the logical validation type </w:t>
      </w:r>
      <w:r w:rsidRPr="00D973EF">
        <w:rPr>
          <w:rFonts w:ascii="Arial" w:hAnsi="Arial" w:cs="Arial"/>
          <w:bCs/>
          <w:lang w:val="en-US"/>
        </w:rPr>
        <w:lastRenderedPageBreak/>
        <w:t>that states that Revive action type may only be used in conjunction with the ERROR action type.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447D58"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6709100F" w14:textId="77777777" w:rsidR="00D973EF" w:rsidRPr="00D973EF" w:rsidRDefault="00D973EF" w:rsidP="00D973EF">
      <w:pPr>
        <w:rPr>
          <w:rFonts w:ascii="Arial" w:hAnsi="Arial" w:cs="Arial"/>
          <w:bCs/>
          <w:lang w:val="en-US"/>
        </w:rPr>
      </w:pPr>
      <w:permStart w:id="1982670015" w:edGrp="everyone"/>
      <w:r w:rsidRPr="00D973EF">
        <w:rPr>
          <w:rFonts w:ascii="Arial" w:hAnsi="Arial" w:cs="Arial"/>
          <w:bCs/>
          <w:lang w:val="en-US"/>
        </w:rPr>
        <w:t xml:space="preserve">Please see our response to question 102. </w:t>
      </w:r>
    </w:p>
    <w:p w14:paraId="48AF5D3C" w14:textId="77777777" w:rsidR="00D973EF" w:rsidRDefault="00D973EF" w:rsidP="00D973EF">
      <w:pPr>
        <w:rPr>
          <w:rFonts w:ascii="Arial" w:hAnsi="Arial" w:cs="Arial"/>
          <w:bCs/>
          <w:lang w:val="en-US"/>
        </w:rPr>
      </w:pPr>
    </w:p>
    <w:p w14:paraId="61B9F4AD" w14:textId="4D7CD2CA" w:rsidR="00D973EF" w:rsidRPr="00D973EF" w:rsidRDefault="00D973EF" w:rsidP="00D973EF">
      <w:pPr>
        <w:rPr>
          <w:rFonts w:ascii="Arial" w:hAnsi="Arial" w:cs="Arial"/>
          <w:bCs/>
          <w:lang w:val="en-US"/>
        </w:rPr>
      </w:pPr>
      <w:r w:rsidRPr="00D973EF">
        <w:rPr>
          <w:rFonts w:ascii="Arial" w:hAnsi="Arial" w:cs="Arial"/>
          <w:bCs/>
          <w:lang w:val="en-US"/>
        </w:rPr>
        <w:t xml:space="preserve">No responsibility can be reasonably allocated to the TR for checking the portfolio of activity for completeness, only the completeness of all fields that need to be reported for a trade. </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447D58"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48859DBF" w14:textId="77777777" w:rsidR="00D973EF" w:rsidRPr="00D973EF" w:rsidRDefault="00D973EF" w:rsidP="00D973EF">
      <w:pPr>
        <w:rPr>
          <w:rFonts w:ascii="Arial" w:hAnsi="Arial" w:cs="Arial"/>
          <w:lang w:val="en-US"/>
        </w:rPr>
      </w:pPr>
      <w:permStart w:id="1568633709" w:edGrp="everyone"/>
      <w:r w:rsidRPr="00D973EF">
        <w:rPr>
          <w:rFonts w:ascii="Arial" w:hAnsi="Arial" w:cs="Arial"/>
          <w:lang w:val="en-US"/>
        </w:rPr>
        <w:t xml:space="preserve">With regards to changes in LEIs related to mergers, DDRL believes that the TR is the incorrect place to initiate and/or communicate changes to a reported entity’s LEI.  </w:t>
      </w:r>
    </w:p>
    <w:p w14:paraId="4901855F" w14:textId="77777777" w:rsidR="00D973EF" w:rsidRPr="00D973EF" w:rsidRDefault="00D973EF" w:rsidP="00D973EF">
      <w:pPr>
        <w:rPr>
          <w:rFonts w:ascii="Arial" w:hAnsi="Arial" w:cs="Arial"/>
          <w:lang w:val="en-US"/>
        </w:rPr>
      </w:pPr>
      <w:r w:rsidRPr="00D973EF">
        <w:rPr>
          <w:rFonts w:ascii="Arial" w:hAnsi="Arial" w:cs="Arial"/>
          <w:lang w:val="en-US"/>
        </w:rPr>
        <w:t>The Global LEI System (GLEIS), governed by GLEIF and operated by over 35</w:t>
      </w:r>
      <w:r w:rsidRPr="00D973EF">
        <w:rPr>
          <w:rFonts w:ascii="Arial" w:hAnsi="Arial" w:cs="Arial"/>
          <w:i/>
          <w:lang w:val="en-US"/>
        </w:rPr>
        <w:t xml:space="preserve"> </w:t>
      </w:r>
      <w:r w:rsidRPr="00D973EF">
        <w:rPr>
          <w:rFonts w:ascii="Arial" w:hAnsi="Arial" w:cs="Arial"/>
          <w:lang w:val="en-US"/>
        </w:rPr>
        <w:t>Local Operating Units (LOUs) is the appropriate place to process this information, so that it can be updated following a consistent and regulated set of validations (at the LOU), based on GLEIF approved processes and applied globally across all jurisdictions. Additionally, the communication of this information can be done to all market participants via changes to the GLEIF’s LEI file. </w:t>
      </w:r>
    </w:p>
    <w:p w14:paraId="0193D8DA" w14:textId="77777777" w:rsidR="00D973EF" w:rsidRDefault="00D973EF" w:rsidP="00D973EF">
      <w:pPr>
        <w:rPr>
          <w:rFonts w:ascii="Arial" w:hAnsi="Arial" w:cs="Arial"/>
          <w:lang w:val="en-US"/>
        </w:rPr>
      </w:pPr>
    </w:p>
    <w:p w14:paraId="5A66774F" w14:textId="7173C685" w:rsidR="00D973EF" w:rsidRPr="00D973EF" w:rsidRDefault="00D973EF" w:rsidP="00D973EF">
      <w:pPr>
        <w:rPr>
          <w:rFonts w:ascii="Arial" w:hAnsi="Arial" w:cs="Arial"/>
          <w:lang w:val="en-US"/>
        </w:rPr>
      </w:pPr>
      <w:r w:rsidRPr="00D973EF">
        <w:rPr>
          <w:rFonts w:ascii="Arial" w:hAnsi="Arial" w:cs="Arial"/>
          <w:lang w:val="en-US"/>
        </w:rPr>
        <w:t>It is DDRL’s belief that static data associated with standard identifiers such as LEI or UPI should be validated, updated and communicated by the central authority associated with the static data, such as the GLEIF and DSB. This will ensure global consistency and quality and put the responsibility where the expertise is greatest. We understand that changes in procedures such as this require the agreement of the global centralized facilities and the relevant stakeholders (regulators, market participants, LOUs, etc.) DDRL recommends that these discussions take place as soon as practical and a realistic time horizon is considered.</w:t>
      </w:r>
    </w:p>
    <w:p w14:paraId="41815D66" w14:textId="77777777" w:rsidR="00D973EF" w:rsidRDefault="00D973EF" w:rsidP="00D973EF">
      <w:pPr>
        <w:rPr>
          <w:rFonts w:ascii="Arial" w:hAnsi="Arial" w:cs="Arial"/>
          <w:lang w:val="en-US"/>
        </w:rPr>
      </w:pPr>
    </w:p>
    <w:p w14:paraId="27FBFDD3" w14:textId="54B80662" w:rsidR="00D973EF" w:rsidRPr="00D973EF" w:rsidRDefault="00D973EF" w:rsidP="00D973EF">
      <w:pPr>
        <w:rPr>
          <w:rFonts w:ascii="Arial" w:hAnsi="Arial" w:cs="Arial"/>
          <w:lang w:val="en-US"/>
        </w:rPr>
      </w:pPr>
      <w:r w:rsidRPr="00D973EF">
        <w:rPr>
          <w:rFonts w:ascii="Arial" w:hAnsi="Arial" w:cs="Arial"/>
          <w:lang w:val="en-US"/>
        </w:rPr>
        <w:t xml:space="preserve">Additionally, a TR should not be responsible for notifying the reporting counterparties or entities responsible for reporting if they are not participants in the TR. </w:t>
      </w:r>
      <w:bookmarkStart w:id="8" w:name="_GoBack"/>
      <w:bookmarkEnd w:id="8"/>
    </w:p>
    <w:p w14:paraId="766D7DCA" w14:textId="77777777" w:rsidR="00D973EF" w:rsidRDefault="00D973EF" w:rsidP="00D973EF">
      <w:pPr>
        <w:rPr>
          <w:rFonts w:ascii="Arial" w:hAnsi="Arial" w:cs="Arial"/>
          <w:lang w:val="en-US"/>
        </w:rPr>
      </w:pPr>
    </w:p>
    <w:p w14:paraId="09453F41" w14:textId="1AE8F78C" w:rsidR="00D973EF" w:rsidRPr="00D973EF" w:rsidRDefault="00D973EF" w:rsidP="00D973EF">
      <w:pPr>
        <w:rPr>
          <w:rFonts w:ascii="Arial" w:hAnsi="Arial" w:cs="Arial"/>
          <w:lang w:val="en-US"/>
        </w:rPr>
      </w:pPr>
      <w:r w:rsidRPr="00D973EF">
        <w:rPr>
          <w:rFonts w:ascii="Arial" w:hAnsi="Arial" w:cs="Arial"/>
          <w:lang w:val="en-US"/>
        </w:rPr>
        <w:t xml:space="preserve">With regards to changes in LEI related to corporate restructuring, for example the transfer of a given set of transactions from one LEI to another, DDRL believes that this should not be a process that is updated by the TRs. Both the old and the new LEI have records published by the GLEIF and therefore the transaction in question is </w:t>
      </w:r>
      <w:r w:rsidRPr="00D973EF">
        <w:rPr>
          <w:rFonts w:ascii="Arial" w:hAnsi="Arial" w:cs="Arial"/>
          <w:lang w:val="en-US"/>
        </w:rPr>
        <w:lastRenderedPageBreak/>
        <w:t>a novation and should be reported as such by the relevant parties to the transactions. It is not something that should be updated and/or communicated by the TRs.</w:t>
      </w:r>
    </w:p>
    <w:p w14:paraId="76C1AB9F" w14:textId="77777777" w:rsidR="00D973EF" w:rsidRDefault="00D973EF" w:rsidP="00D973EF">
      <w:pPr>
        <w:rPr>
          <w:rFonts w:ascii="Arial" w:hAnsi="Arial" w:cs="Arial"/>
          <w:lang w:val="en-US"/>
        </w:rPr>
      </w:pPr>
    </w:p>
    <w:p w14:paraId="40984B8C" w14:textId="617F969B" w:rsidR="00D973EF" w:rsidRPr="00D973EF" w:rsidRDefault="00D973EF" w:rsidP="00D973EF">
      <w:pPr>
        <w:rPr>
          <w:rFonts w:ascii="Arial" w:hAnsi="Arial" w:cs="Arial"/>
          <w:lang w:val="en-US"/>
        </w:rPr>
      </w:pPr>
      <w:r w:rsidRPr="00D973EF">
        <w:rPr>
          <w:rFonts w:ascii="Arial" w:hAnsi="Arial" w:cs="Arial"/>
          <w:lang w:val="en-US"/>
        </w:rPr>
        <w:t>Finally, as an interim step, any timeframes, such as the 30 days, needs to be based upon the time that proper evidence is supplied and not the simple notification of a merger. The TR needs to review and often translate documents that evidence the merger and this process requires legal attention and can involve several conversations with the presenting entity. In the case of mandatory delegated reporting, this may be even more time consuming.</w:t>
      </w:r>
    </w:p>
    <w:p w14:paraId="3A94FDB0" w14:textId="77777777" w:rsidR="00D973EF" w:rsidRDefault="00D973EF" w:rsidP="00D973EF">
      <w:pPr>
        <w:rPr>
          <w:rFonts w:ascii="Arial" w:hAnsi="Arial" w:cs="Arial"/>
          <w:lang w:val="en-US"/>
        </w:rPr>
      </w:pPr>
    </w:p>
    <w:p w14:paraId="2D9716C6" w14:textId="7EE1E181" w:rsidR="00D973EF" w:rsidRPr="00D973EF" w:rsidRDefault="00D973EF" w:rsidP="00D973EF">
      <w:pPr>
        <w:rPr>
          <w:rFonts w:ascii="Arial" w:hAnsi="Arial" w:cs="Arial"/>
          <w:lang w:val="en-US"/>
        </w:rPr>
      </w:pPr>
      <w:r w:rsidRPr="00D973EF">
        <w:rPr>
          <w:rFonts w:ascii="Arial" w:hAnsi="Arial" w:cs="Arial"/>
          <w:lang w:val="en-US"/>
        </w:rPr>
        <w:t xml:space="preserve">On paragraph 359 (c), for mergers/acquisitions we believe there is no need for a special process but rather a general communication on the webpage. </w:t>
      </w:r>
    </w:p>
    <w:p w14:paraId="5CD655BE" w14:textId="18516666" w:rsidR="008D4AEE" w:rsidRDefault="00D973EF" w:rsidP="008D4AEE">
      <w:pPr>
        <w:rPr>
          <w:rFonts w:ascii="Arial" w:hAnsi="Arial" w:cs="Arial"/>
        </w:rPr>
      </w:pPr>
      <w:r w:rsidRPr="00D973EF">
        <w:rPr>
          <w:rFonts w:ascii="Arial" w:hAnsi="Arial" w:cs="Arial"/>
          <w:lang w:val="en-US"/>
        </w:rPr>
        <w:t xml:space="preserve">Finally, on paragraph 359 (d), and in order to align with SFTR, we would like guidance on which reporting log TRs should provide.   </w:t>
      </w:r>
      <w:permEnd w:id="1568633709"/>
      <w:r w:rsidR="008D4AEE">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447D58"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42852C9D" w14:textId="77777777" w:rsidR="00D973EF" w:rsidRPr="00D973EF" w:rsidRDefault="00D973EF" w:rsidP="00D973EF">
      <w:pPr>
        <w:rPr>
          <w:rFonts w:ascii="Arial" w:hAnsi="Arial" w:cs="Arial"/>
          <w:lang w:val="en-US"/>
        </w:rPr>
      </w:pPr>
      <w:permStart w:id="1228152238" w:edGrp="everyone"/>
      <w:r w:rsidRPr="00D973EF">
        <w:rPr>
          <w:rFonts w:ascii="Arial" w:hAnsi="Arial" w:cs="Arial"/>
          <w:lang w:val="en-US"/>
        </w:rPr>
        <w:t xml:space="preserve">Yes. We would like clarification as to the purpose of the 6pm cut-off for reconciliation, as opposed to the end of the day (midnight). By requiring 6pm as a final deliverable timeframe, the interim timeframes (for each step in the process) must be condensed. Because of the involvement of multiple TRs, any one of them could have a temporary system issue causing them to miss a deadline. The other TRs would have to “continue” the process without their data, causing more false positives on the reconciliation report. We recommend midnight as the cut-off time, as it will provide a greater operational cushion for the interim steps. Additionally, we believe that the TRs and ESMA should discuss and determine intermediate timeframes, agreed as realistic, before there is a determination of a final timeline. The reality is the process involves multiple steps, some of which are in the control of a given TR (e.g. the creation of its reports) and others that are not but will require inter-TR cooperation. </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447D58"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447D58"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447D58"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15D3D417" w14:textId="77777777" w:rsidR="00D973EF" w:rsidRPr="00D973EF" w:rsidRDefault="00D973EF" w:rsidP="00D973EF">
      <w:pPr>
        <w:rPr>
          <w:rFonts w:ascii="Arial" w:hAnsi="Arial" w:cs="Arial"/>
          <w:bCs/>
          <w:lang w:val="en-US"/>
        </w:rPr>
      </w:pPr>
      <w:permStart w:id="1165448913" w:edGrp="everyone"/>
      <w:r w:rsidRPr="00D973EF">
        <w:rPr>
          <w:rFonts w:ascii="Arial" w:hAnsi="Arial" w:cs="Arial"/>
          <w:bCs/>
          <w:lang w:val="en-US"/>
        </w:rPr>
        <w:t>We need further clarity on paragraphs 377-378 as regards additional data required. What exactly is being asked for TRs to prepare and what, if anything, is to be done with the output? We would appreciate it if ESMA clarified if this confirmation represents a new type of report generation. We believe that, alternatively, the process can be done more efficiently via an email.</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447D58"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216F3D3B" w14:textId="77777777" w:rsidR="00D973EF" w:rsidRPr="00D973EF" w:rsidRDefault="00D973EF" w:rsidP="00D973EF">
      <w:pPr>
        <w:rPr>
          <w:rFonts w:ascii="Arial" w:hAnsi="Arial" w:cs="Arial"/>
          <w:bCs/>
          <w:lang w:val="en-US"/>
        </w:rPr>
      </w:pPr>
      <w:permStart w:id="922172304" w:edGrp="everyone"/>
      <w:r w:rsidRPr="00D973EF">
        <w:rPr>
          <w:rFonts w:ascii="Arial" w:hAnsi="Arial" w:cs="Arial"/>
          <w:bCs/>
          <w:lang w:val="en-US"/>
        </w:rPr>
        <w:t xml:space="preserve">We strongly believe that there should be one schema across all TR deliveries, specifically; the report submitting entity into the TR, inter-TR, and TR to regulator/NCA. The efficiency gains when using ISO 20022 would only be realized if the schema is </w:t>
      </w:r>
      <w:proofErr w:type="gramStart"/>
      <w:r w:rsidRPr="00D973EF">
        <w:rPr>
          <w:rFonts w:ascii="Arial" w:hAnsi="Arial" w:cs="Arial"/>
          <w:bCs/>
          <w:lang w:val="en-US"/>
        </w:rPr>
        <w:t>exactly the same</w:t>
      </w:r>
      <w:proofErr w:type="gramEnd"/>
      <w:r w:rsidRPr="00D973EF">
        <w:rPr>
          <w:rFonts w:ascii="Arial" w:hAnsi="Arial" w:cs="Arial"/>
          <w:bCs/>
          <w:lang w:val="en-US"/>
        </w:rPr>
        <w:t xml:space="preserve"> in all scenarios. </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447D58"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77B18F7C" w14:textId="77777777" w:rsidR="00D973EF" w:rsidRPr="00D973EF" w:rsidRDefault="00D973EF" w:rsidP="00D973EF">
      <w:pPr>
        <w:rPr>
          <w:rFonts w:ascii="Arial" w:hAnsi="Arial" w:cs="Arial"/>
          <w:bCs/>
          <w:iCs/>
          <w:lang w:val="en-US"/>
        </w:rPr>
      </w:pPr>
      <w:permStart w:id="773943988" w:edGrp="everyone"/>
      <w:r w:rsidRPr="00D973EF">
        <w:rPr>
          <w:rFonts w:ascii="Arial" w:hAnsi="Arial" w:cs="Arial"/>
          <w:bCs/>
          <w:iCs/>
          <w:lang w:val="en-US"/>
        </w:rPr>
        <w:t xml:space="preserve">As regards paragraph 381, we have examined various options and concluded that the best way forward would be to make reconciliation happen sooner rather than later. Therefore, we would recommend to ESMA that TRs include the trades which are on Monday night’s TSR in the inter-TR process ending at 6pm on Tuesday. The clear advantage of this approach is that it allows for the reconciliation (pairing/matching) process to take place sooner rather than later, because many counterparties reconcile on the first day possible (T+1) where both clients report on T+0. One possible downside could be some false positives but, overall, the statistics would be superior. Other options we have examined would be complicated to implement and would not assist in the completion of Inter-TR reconciliation at the appropriate timeframe.   </w:t>
      </w:r>
    </w:p>
    <w:p w14:paraId="18D856D9" w14:textId="77777777" w:rsidR="00D973EF" w:rsidRDefault="00D973EF" w:rsidP="00D973EF">
      <w:pPr>
        <w:rPr>
          <w:rFonts w:ascii="Arial" w:hAnsi="Arial" w:cs="Arial"/>
          <w:bCs/>
          <w:lang w:val="en-US"/>
        </w:rPr>
      </w:pPr>
    </w:p>
    <w:p w14:paraId="71DA80D4" w14:textId="423F7E2D" w:rsidR="00D973EF" w:rsidRPr="00D973EF" w:rsidRDefault="00D973EF" w:rsidP="00D973EF">
      <w:pPr>
        <w:rPr>
          <w:rFonts w:ascii="Arial" w:hAnsi="Arial" w:cs="Arial"/>
          <w:b/>
          <w:bCs/>
          <w:lang w:val="en-US"/>
        </w:rPr>
      </w:pPr>
      <w:r w:rsidRPr="00D973EF">
        <w:rPr>
          <w:rFonts w:ascii="Arial" w:hAnsi="Arial" w:cs="Arial"/>
          <w:bCs/>
          <w:lang w:val="en-US"/>
        </w:rPr>
        <w:t xml:space="preserve">We also believe that further clarity is needed on paragraph 383. More specifically, we believe that TRs provide the relevant response only to the reporting counterparties and entities responsible for reporting (if onboarded to the TR) but not the report submitting entities. </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447D58"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lastRenderedPageBreak/>
        <w:t>&lt;ESMA_QUESTION_TSTR_112&gt;</w:t>
      </w:r>
    </w:p>
    <w:p w14:paraId="54E3DD17" w14:textId="77777777" w:rsidR="00D973EF" w:rsidRPr="00D973EF" w:rsidRDefault="00D973EF" w:rsidP="00D973EF">
      <w:pPr>
        <w:rPr>
          <w:rFonts w:ascii="Arial" w:hAnsi="Arial" w:cs="Arial"/>
          <w:lang w:val="en-US"/>
        </w:rPr>
      </w:pPr>
      <w:permStart w:id="635729401" w:edGrp="everyone"/>
      <w:r w:rsidRPr="00D973EF">
        <w:rPr>
          <w:rFonts w:ascii="Arial" w:hAnsi="Arial" w:cs="Arial"/>
          <w:lang w:val="en-US"/>
        </w:rPr>
        <w:t xml:space="preserve">We would recommend applying the tolerances for certain fields along with the validations and we would encourage ESMA not to include them into the technical standard process, as they need to be easily adjusted, as and when necessary. Tolerances need to be adjusted as time and situations dictate and should not be prescribed, but rather the industry should retain the ability to adjust/change accordingly. </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447D58"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447D58"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496BF262" w14:textId="77777777" w:rsidR="00D973EF" w:rsidRPr="00D973EF" w:rsidRDefault="00D973EF" w:rsidP="00D973EF">
      <w:pPr>
        <w:rPr>
          <w:rFonts w:ascii="Arial" w:hAnsi="Arial" w:cs="Arial"/>
          <w:lang w:val="en-US"/>
        </w:rPr>
      </w:pPr>
      <w:permStart w:id="1101798816" w:edGrp="everyone"/>
      <w:r w:rsidRPr="00D973EF">
        <w:rPr>
          <w:rFonts w:ascii="Arial" w:hAnsi="Arial" w:cs="Arial"/>
          <w:lang w:val="en-US"/>
        </w:rPr>
        <w:t xml:space="preserve">Yes. The valuation is not an input field, but rather an output field. As it is not an “input” field, it cannot be expected to match, even with tolerances. Therefore, the status of this field should not impact the status of the contract (unmatched/matched/reconciled). </w:t>
      </w:r>
    </w:p>
    <w:p w14:paraId="3727A70F" w14:textId="77777777" w:rsidR="00D973EF" w:rsidRDefault="00D973EF" w:rsidP="00D973EF">
      <w:pPr>
        <w:rPr>
          <w:rFonts w:ascii="Arial" w:hAnsi="Arial" w:cs="Arial"/>
          <w:lang w:val="en-US"/>
        </w:rPr>
      </w:pPr>
    </w:p>
    <w:p w14:paraId="4D3E84AC" w14:textId="033C30C5" w:rsidR="00D973EF" w:rsidRPr="00D973EF" w:rsidRDefault="00D973EF" w:rsidP="00D973EF">
      <w:pPr>
        <w:rPr>
          <w:rFonts w:ascii="Arial" w:hAnsi="Arial" w:cs="Arial"/>
          <w:lang w:val="en-US"/>
        </w:rPr>
      </w:pPr>
      <w:r w:rsidRPr="00D973EF">
        <w:rPr>
          <w:rFonts w:ascii="Arial" w:hAnsi="Arial" w:cs="Arial"/>
          <w:lang w:val="en-US"/>
        </w:rPr>
        <w:t xml:space="preserve">The tolerances on any “warning report” should be based on the delta and the product rather than on absolute numbers or percentages. As we have argued in our response to Question 84, if Delta is to be reported, it should be reported with the valuation and only with the valuation updates and not as part of the notional elements in the record.  </w:t>
      </w:r>
    </w:p>
    <w:p w14:paraId="7274A9FA" w14:textId="77777777" w:rsidR="00D973EF" w:rsidRPr="00D973EF" w:rsidRDefault="00D973EF" w:rsidP="00D973EF">
      <w:pPr>
        <w:rPr>
          <w:rFonts w:ascii="Arial" w:hAnsi="Arial" w:cs="Arial"/>
          <w:lang w:val="en-US"/>
        </w:rPr>
      </w:pPr>
      <w:r w:rsidRPr="00D973EF">
        <w:rPr>
          <w:rFonts w:ascii="Arial" w:hAnsi="Arial" w:cs="Arial"/>
          <w:lang w:val="en-US"/>
        </w:rPr>
        <w:t xml:space="preserve">We would recommend that ESMA reviews the industry-agreed process around the portfolio reconciliation as it relates to collateral. </w:t>
      </w:r>
    </w:p>
    <w:p w14:paraId="57B0865F" w14:textId="77777777" w:rsidR="00D973EF" w:rsidRDefault="00D973EF" w:rsidP="00D973EF">
      <w:pPr>
        <w:rPr>
          <w:rFonts w:ascii="Arial" w:hAnsi="Arial" w:cs="Arial"/>
          <w:lang w:val="en-US"/>
        </w:rPr>
      </w:pPr>
    </w:p>
    <w:p w14:paraId="00A9C074" w14:textId="0740B01A" w:rsidR="00D973EF" w:rsidRPr="00D973EF" w:rsidRDefault="00D973EF" w:rsidP="00D973EF">
      <w:pPr>
        <w:rPr>
          <w:rFonts w:ascii="Arial" w:hAnsi="Arial" w:cs="Arial"/>
          <w:lang w:val="en-US"/>
        </w:rPr>
      </w:pPr>
      <w:r w:rsidRPr="00D973EF">
        <w:rPr>
          <w:rFonts w:ascii="Arial" w:hAnsi="Arial" w:cs="Arial"/>
          <w:lang w:val="en-US"/>
        </w:rPr>
        <w:t>Moreover, we believe that the information needed to reconcile is deemed confidential today and TRs cannot show one party to a trade the other’s submitted valuation. If this field were to be compared, we would need clear guidance that this data should be exposed.</w:t>
      </w:r>
    </w:p>
    <w:p w14:paraId="234039E4" w14:textId="77777777" w:rsidR="00D973EF" w:rsidRDefault="00D973EF" w:rsidP="00D973EF">
      <w:pPr>
        <w:rPr>
          <w:rFonts w:ascii="Arial" w:hAnsi="Arial" w:cs="Arial"/>
          <w:lang w:val="en-US"/>
        </w:rPr>
      </w:pPr>
    </w:p>
    <w:p w14:paraId="0B48D386" w14:textId="2A1FDBCE" w:rsidR="00D973EF" w:rsidRPr="00D973EF" w:rsidRDefault="00D973EF" w:rsidP="00D973EF">
      <w:pPr>
        <w:rPr>
          <w:rFonts w:ascii="Arial" w:hAnsi="Arial" w:cs="Arial"/>
          <w:lang w:val="en-US"/>
        </w:rPr>
      </w:pPr>
      <w:r w:rsidRPr="00D973EF">
        <w:rPr>
          <w:rFonts w:ascii="Arial" w:hAnsi="Arial" w:cs="Arial"/>
          <w:lang w:val="en-US"/>
        </w:rPr>
        <w:t xml:space="preserve">If, however, ESMA believes that the valuation amounts should be reconciled, given valuations will change on a daily basis, we would recommend creating a separate reconciliation status for valuations, independent of the status of the core message, in order to minimize the requirements of all parties to reconcile the complete trade on a daily basis, including fields that have not changed. </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447D58"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lastRenderedPageBreak/>
        <w:t>&lt;ESMA_QUESTION_TSTR_115&gt;</w:t>
      </w:r>
    </w:p>
    <w:p w14:paraId="79BFC740" w14:textId="77777777" w:rsidR="00D973EF" w:rsidRPr="00D973EF" w:rsidRDefault="00D973EF" w:rsidP="00D973EF">
      <w:pPr>
        <w:rPr>
          <w:rFonts w:ascii="Arial" w:hAnsi="Arial" w:cs="Arial"/>
          <w:lang w:val="en-US"/>
        </w:rPr>
      </w:pPr>
      <w:permStart w:id="1516774594" w:edGrp="everyone"/>
      <w:r w:rsidRPr="00D973EF">
        <w:rPr>
          <w:rFonts w:ascii="Arial" w:hAnsi="Arial" w:cs="Arial"/>
          <w:lang w:val="en-US"/>
        </w:rPr>
        <w:t xml:space="preserve">Yes, we agree that they should be excluded. </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447D58"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515B0E6F" w14:textId="32B5C8A4" w:rsidR="00D973EF" w:rsidRPr="00D973EF" w:rsidRDefault="00D973EF" w:rsidP="00D973EF">
      <w:pPr>
        <w:rPr>
          <w:rFonts w:ascii="Arial" w:hAnsi="Arial" w:cs="Arial"/>
          <w:lang w:val="en-US"/>
        </w:rPr>
      </w:pPr>
      <w:permStart w:id="1142825300" w:edGrp="everyone"/>
      <w:r w:rsidRPr="00D973EF">
        <w:rPr>
          <w:rFonts w:ascii="Arial" w:hAnsi="Arial" w:cs="Arial"/>
          <w:lang w:val="en-US"/>
        </w:rPr>
        <w:t>As discussed earlier in the consultation (questions 2, 3 and 4), there are numerous issues around portability as currently defined when applied to the scenario where an NFC- stops reporting and delegates to an FC</w:t>
      </w:r>
      <w:r>
        <w:rPr>
          <w:rFonts w:ascii="Arial" w:hAnsi="Arial" w:cs="Arial"/>
          <w:lang w:val="en-US"/>
        </w:rPr>
        <w:t>.</w:t>
      </w:r>
      <w:r w:rsidRPr="00D973EF">
        <w:rPr>
          <w:rFonts w:ascii="Arial" w:hAnsi="Arial" w:cs="Arial"/>
          <w:lang w:val="en-US"/>
        </w:rPr>
        <w:t xml:space="preserve"> </w:t>
      </w:r>
    </w:p>
    <w:p w14:paraId="40F561B0" w14:textId="77777777" w:rsidR="00D973EF" w:rsidRDefault="00D973EF" w:rsidP="00D973EF">
      <w:pPr>
        <w:rPr>
          <w:rFonts w:ascii="Arial" w:hAnsi="Arial" w:cs="Arial"/>
          <w:lang w:val="en-US"/>
        </w:rPr>
      </w:pPr>
    </w:p>
    <w:p w14:paraId="2D459F47" w14:textId="02DF05FD" w:rsidR="00D973EF" w:rsidRPr="00D973EF" w:rsidRDefault="00D973EF" w:rsidP="00D973EF">
      <w:pPr>
        <w:rPr>
          <w:rFonts w:ascii="Arial" w:hAnsi="Arial" w:cs="Arial"/>
          <w:lang w:val="en-US"/>
        </w:rPr>
      </w:pPr>
      <w:r w:rsidRPr="00D973EF">
        <w:rPr>
          <w:rFonts w:ascii="Arial" w:hAnsi="Arial" w:cs="Arial"/>
          <w:lang w:val="en-US"/>
        </w:rPr>
        <w:t>We need greater clarification regarding the actual entity (reporting party, report submitting entity, or entity responsible for reporting) that should be able to instruct portability, especially when one or more of these entities (reporting party/entity responsible for reporting) are not required to be onboarded to the incoming TR. We recommend that ESMA and the TRs jointly review the process and make the necessary changes with the inclusion of the ‘</w:t>
      </w:r>
      <w:r w:rsidRPr="00D973EF">
        <w:rPr>
          <w:rFonts w:ascii="Arial" w:hAnsi="Arial" w:cs="Arial"/>
          <w:i/>
          <w:iCs/>
          <w:lang w:val="en-US"/>
        </w:rPr>
        <w:t>new entity responsible for reporting’</w:t>
      </w:r>
      <w:r w:rsidRPr="00D973EF">
        <w:rPr>
          <w:rFonts w:ascii="Arial" w:hAnsi="Arial" w:cs="Arial"/>
          <w:lang w:val="en-US"/>
        </w:rPr>
        <w:t xml:space="preserve"> field.</w:t>
      </w:r>
    </w:p>
    <w:p w14:paraId="50454A1A" w14:textId="77777777" w:rsidR="00D973EF" w:rsidRDefault="00D973EF" w:rsidP="00D973EF">
      <w:pPr>
        <w:rPr>
          <w:rFonts w:ascii="Arial" w:hAnsi="Arial" w:cs="Arial"/>
          <w:lang w:val="en-US"/>
        </w:rPr>
      </w:pPr>
    </w:p>
    <w:p w14:paraId="62FC3EAF" w14:textId="20B16390" w:rsidR="00D973EF" w:rsidRPr="00D973EF" w:rsidRDefault="00D973EF" w:rsidP="00D973EF">
      <w:pPr>
        <w:rPr>
          <w:rFonts w:ascii="Arial" w:hAnsi="Arial" w:cs="Arial"/>
          <w:lang w:val="en-US"/>
        </w:rPr>
      </w:pPr>
      <w:r w:rsidRPr="00D973EF">
        <w:rPr>
          <w:rFonts w:ascii="Arial" w:hAnsi="Arial" w:cs="Arial"/>
          <w:lang w:val="en-US"/>
        </w:rPr>
        <w:t xml:space="preserve">As previously mentioned, the need to upgrade the existing records and/or fields (e.g. UTI) will impact the portability process. We believe these complications should be addressed jointly by ESMA and the TRs. </w:t>
      </w:r>
    </w:p>
    <w:p w14:paraId="51CC70F7" w14:textId="77777777" w:rsidR="00D973EF" w:rsidRDefault="00D973EF" w:rsidP="00D973EF">
      <w:pPr>
        <w:rPr>
          <w:rFonts w:ascii="Arial" w:hAnsi="Arial" w:cs="Arial"/>
          <w:lang w:val="en-US"/>
        </w:rPr>
      </w:pPr>
    </w:p>
    <w:p w14:paraId="01FD9BE4" w14:textId="0D38A988" w:rsidR="00D973EF" w:rsidRPr="00D973EF" w:rsidRDefault="00D973EF" w:rsidP="00D973EF">
      <w:pPr>
        <w:rPr>
          <w:rFonts w:ascii="Arial" w:hAnsi="Arial" w:cs="Arial"/>
          <w:lang w:val="en-US"/>
        </w:rPr>
      </w:pPr>
      <w:r w:rsidRPr="00D973EF">
        <w:rPr>
          <w:rFonts w:ascii="Arial" w:hAnsi="Arial" w:cs="Arial"/>
          <w:lang w:val="en-US"/>
        </w:rPr>
        <w:t>Finally, it is still unclear as to the mechanics surrounding portability in the case of a wind-down. It is difficult to conceive of procedures required for registration that would address this without understanding if the receiving TR would be mandated to receive the transactions, and onboard all clients regardless of the TR’s KYC procedures. Further guidance on involuntary porting is necessary.</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447D58"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6F4AA212" w14:textId="77777777" w:rsidR="00D973EF" w:rsidRPr="00D973EF" w:rsidRDefault="00D973EF" w:rsidP="00D973EF">
      <w:pPr>
        <w:numPr>
          <w:ilvl w:val="0"/>
          <w:numId w:val="19"/>
        </w:numPr>
        <w:rPr>
          <w:rFonts w:ascii="Arial" w:hAnsi="Arial" w:cs="Arial"/>
          <w:b/>
          <w:lang w:val="en-US"/>
        </w:rPr>
      </w:pPr>
      <w:permStart w:id="1301838784" w:edGrp="everyone"/>
      <w:r w:rsidRPr="00D973EF">
        <w:rPr>
          <w:rFonts w:ascii="Arial" w:hAnsi="Arial" w:cs="Arial"/>
          <w:bCs/>
          <w:lang w:val="en-US"/>
        </w:rPr>
        <w:t xml:space="preserve">We agree with the proposed framework as it aligns SFTR with EMIR in the areas of schema, permission, logic and business validations. However, we believe that the one-hour response requirement should allow for exceptions in special circumstances.  </w:t>
      </w:r>
    </w:p>
    <w:p w14:paraId="021FE169" w14:textId="77777777" w:rsidR="00D973EF" w:rsidRDefault="00D973EF" w:rsidP="008D4AEE">
      <w:pPr>
        <w:rPr>
          <w:rFonts w:ascii="Arial" w:hAnsi="Arial" w:cs="Arial"/>
          <w:lang w:val="en-US"/>
        </w:rPr>
      </w:pPr>
    </w:p>
    <w:p w14:paraId="3CF2C5A6" w14:textId="77777777" w:rsidR="00D973EF" w:rsidRDefault="00D973EF" w:rsidP="008D4AEE">
      <w:pPr>
        <w:rPr>
          <w:rFonts w:ascii="Arial" w:hAnsi="Arial" w:cs="Arial"/>
          <w:bCs/>
          <w:lang w:val="en-US"/>
        </w:rPr>
      </w:pPr>
      <w:r w:rsidRPr="00D973EF">
        <w:rPr>
          <w:rFonts w:ascii="Arial" w:hAnsi="Arial" w:cs="Arial"/>
          <w:lang w:val="en-US"/>
        </w:rPr>
        <w:t xml:space="preserve">We would also like to stress that there is no added value in providing </w:t>
      </w:r>
      <w:r w:rsidRPr="00D973EF">
        <w:rPr>
          <w:rFonts w:ascii="Arial" w:hAnsi="Arial" w:cs="Arial"/>
          <w:bCs/>
          <w:lang w:val="en-US"/>
        </w:rPr>
        <w:t>responses to the reporting counterparties and the entities responsible for reporting. When a firm has delegated their reporting to another party, they are highly unlikely to be able to process the report in ISO 20022 and will not have controls and operations to allow real time responses. Therefore, we believe this requirement (as under SFTR) provides no benefit for counterparties, adding unnecessary cost and complexity to the solution.</w:t>
      </w:r>
      <w:r w:rsidRPr="00D973EF">
        <w:rPr>
          <w:rFonts w:ascii="Arial" w:hAnsi="Arial" w:cs="Arial"/>
          <w:bCs/>
          <w:lang w:val="en-US"/>
        </w:rPr>
        <w:tab/>
      </w:r>
    </w:p>
    <w:permEnd w:id="1301838784"/>
    <w:p w14:paraId="74280E8C" w14:textId="1C1717A5"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447D58"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6943DB0B" w14:textId="77777777" w:rsidR="00D973EF" w:rsidRPr="00D973EF" w:rsidRDefault="00D973EF" w:rsidP="00D973EF">
      <w:pPr>
        <w:rPr>
          <w:rFonts w:ascii="Arial" w:hAnsi="Arial" w:cs="Arial"/>
          <w:lang w:val="en-US"/>
        </w:rPr>
      </w:pPr>
      <w:permStart w:id="1962869522" w:edGrp="everyone"/>
      <w:r w:rsidRPr="00D973EF">
        <w:rPr>
          <w:rFonts w:ascii="Arial" w:hAnsi="Arial" w:cs="Arial"/>
          <w:lang w:val="en-US"/>
        </w:rPr>
        <w:t>We believe the requirement to provide reconciliation responses back to our entire client base within one hour of the reconciliation process to be very challenging, costly and unnecessary. In most cases, counterparties with EMIR reporting obligations have operations staff located in Europe or APAC and therefore the requirement to deliver these reports by 7pm will make little difference to the timeliness of resolving any reconciliation breaks. Additionally, it will add unnecessary complexity and costs. We therefore propose a more reasonable timeframe to be within 6 hours (or midnight UTC).</w:t>
      </w:r>
    </w:p>
    <w:p w14:paraId="0477EF08" w14:textId="77777777" w:rsidR="00D973EF" w:rsidRDefault="00D973EF" w:rsidP="00D973EF">
      <w:pPr>
        <w:rPr>
          <w:rFonts w:ascii="Arial" w:hAnsi="Arial" w:cs="Arial"/>
          <w:lang w:val="en-US"/>
        </w:rPr>
      </w:pPr>
    </w:p>
    <w:p w14:paraId="6B37168D" w14:textId="743A87C8" w:rsidR="00D973EF" w:rsidRPr="00D973EF" w:rsidRDefault="00D973EF" w:rsidP="00D973EF">
      <w:pPr>
        <w:rPr>
          <w:rFonts w:ascii="Arial" w:hAnsi="Arial" w:cs="Arial"/>
          <w:lang w:val="en-US"/>
        </w:rPr>
      </w:pPr>
      <w:r w:rsidRPr="00D973EF">
        <w:rPr>
          <w:rFonts w:ascii="Arial" w:hAnsi="Arial" w:cs="Arial"/>
          <w:lang w:val="en-US"/>
        </w:rPr>
        <w:t xml:space="preserve">Moreover, we believe ESMA should adopt the TR industry best practice as regards the reconciliation categories: tri-dimensional reconciliation process, 'paired', 'matched (with Cat 1 and Cat 2) ', 'reconciled'. </w:t>
      </w:r>
    </w:p>
    <w:p w14:paraId="3B690C18" w14:textId="0819C4A0" w:rsidR="00D973EF" w:rsidRDefault="00D973EF" w:rsidP="00D973EF">
      <w:pPr>
        <w:rPr>
          <w:rFonts w:ascii="Arial" w:hAnsi="Arial" w:cs="Arial"/>
          <w:lang w:val="en-US"/>
        </w:rPr>
      </w:pPr>
      <w:r w:rsidRPr="00D973EF">
        <w:rPr>
          <w:rFonts w:ascii="Arial" w:hAnsi="Arial" w:cs="Arial"/>
          <w:lang w:val="en-US"/>
        </w:rPr>
        <w:t xml:space="preserve">To avoid the risk of misinterpreting the xml schema codes around these reconciliation categories, </w:t>
      </w:r>
      <w:proofErr w:type="gramStart"/>
      <w:r w:rsidRPr="00D973EF">
        <w:rPr>
          <w:rFonts w:ascii="Arial" w:hAnsi="Arial" w:cs="Arial"/>
          <w:lang w:val="en-US"/>
        </w:rPr>
        <w:t>in light of</w:t>
      </w:r>
      <w:proofErr w:type="gramEnd"/>
      <w:r w:rsidRPr="00D973EF">
        <w:rPr>
          <w:rFonts w:ascii="Arial" w:hAnsi="Arial" w:cs="Arial"/>
          <w:lang w:val="en-US"/>
        </w:rPr>
        <w:t xml:space="preserve"> TRACE evolution, we would argue that for pairing and matching:</w:t>
      </w:r>
    </w:p>
    <w:p w14:paraId="5F98E2DF" w14:textId="77777777" w:rsidR="00D973EF" w:rsidRPr="00D973EF" w:rsidRDefault="00D973EF" w:rsidP="00D973EF">
      <w:pPr>
        <w:rPr>
          <w:rFonts w:ascii="Arial" w:hAnsi="Arial" w:cs="Arial"/>
          <w:lang w:val="en-US"/>
        </w:rPr>
      </w:pPr>
    </w:p>
    <w:p w14:paraId="4801CBB6" w14:textId="77777777" w:rsidR="00D973EF" w:rsidRPr="00D973EF" w:rsidRDefault="00D973EF" w:rsidP="00D973EF">
      <w:pPr>
        <w:numPr>
          <w:ilvl w:val="0"/>
          <w:numId w:val="20"/>
        </w:numPr>
        <w:rPr>
          <w:rFonts w:ascii="Arial" w:hAnsi="Arial" w:cs="Arial"/>
          <w:lang w:val="en-US"/>
        </w:rPr>
      </w:pPr>
      <w:r w:rsidRPr="00D973EF">
        <w:rPr>
          <w:rFonts w:ascii="Arial" w:hAnsi="Arial" w:cs="Arial"/>
          <w:lang w:val="en-US"/>
        </w:rPr>
        <w:t>Pairing status represents the reconciliation of the three elements: LEI1+LEI2+UTI.</w:t>
      </w:r>
    </w:p>
    <w:p w14:paraId="07F0DA8A" w14:textId="77777777" w:rsidR="00D973EF" w:rsidRPr="00D973EF" w:rsidRDefault="00D973EF" w:rsidP="00D973EF">
      <w:pPr>
        <w:numPr>
          <w:ilvl w:val="0"/>
          <w:numId w:val="20"/>
        </w:numPr>
        <w:rPr>
          <w:rFonts w:ascii="Arial" w:hAnsi="Arial" w:cs="Arial"/>
          <w:lang w:val="en-US"/>
        </w:rPr>
      </w:pPr>
      <w:r w:rsidRPr="00D973EF">
        <w:rPr>
          <w:rFonts w:ascii="Arial" w:hAnsi="Arial" w:cs="Arial"/>
          <w:lang w:val="en-US"/>
        </w:rPr>
        <w:t>Matching status represent the reconciliation of the Cat 1 matching fields.</w:t>
      </w:r>
    </w:p>
    <w:p w14:paraId="3DFC964E" w14:textId="77777777" w:rsidR="00D973EF" w:rsidRPr="00D973EF" w:rsidRDefault="00D973EF" w:rsidP="00D973EF">
      <w:pPr>
        <w:numPr>
          <w:ilvl w:val="0"/>
          <w:numId w:val="20"/>
        </w:numPr>
        <w:rPr>
          <w:rFonts w:ascii="Arial" w:hAnsi="Arial" w:cs="Arial"/>
          <w:lang w:val="en-US"/>
        </w:rPr>
      </w:pPr>
      <w:r w:rsidRPr="00D973EF">
        <w:rPr>
          <w:rFonts w:ascii="Arial" w:hAnsi="Arial" w:cs="Arial"/>
          <w:lang w:val="en-US"/>
        </w:rPr>
        <w:t xml:space="preserve">(Full) reconciliation represents the reconciliation of both Cat1 and Cat 2 matching fields. </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447D58"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085B0B4" w14:textId="77777777" w:rsidR="00D973EF" w:rsidRPr="00D973EF" w:rsidRDefault="00D973EF" w:rsidP="00D973EF">
      <w:pPr>
        <w:rPr>
          <w:rFonts w:ascii="Arial" w:hAnsi="Arial" w:cs="Arial"/>
          <w:lang w:val="en-US"/>
        </w:rPr>
      </w:pPr>
      <w:permStart w:id="2123642679" w:edGrp="everyone"/>
      <w:r w:rsidRPr="00D973EF">
        <w:rPr>
          <w:rFonts w:ascii="Arial" w:hAnsi="Arial" w:cs="Arial"/>
          <w:lang w:val="en-US"/>
        </w:rPr>
        <w:t>As it relates to the reconciliation category of Further Modifications, we believe that adding this new category, which will require the reconciliation to finish and then be compared to the message submissions since the cut-off time for the reconciliation, will add cost, complexity and elongate the time necessary to perform the reconciliation. We would question whether the additional cost and delay in terms of reconciliation would justify the benefit to the industry.</w:t>
      </w:r>
    </w:p>
    <w:p w14:paraId="47A2C87C" w14:textId="77777777" w:rsidR="00D973EF" w:rsidRDefault="00D973EF" w:rsidP="00D973EF">
      <w:pPr>
        <w:rPr>
          <w:rFonts w:ascii="Arial" w:hAnsi="Arial" w:cs="Arial"/>
          <w:lang w:val="en-US"/>
        </w:rPr>
      </w:pPr>
    </w:p>
    <w:p w14:paraId="13D8A4E3" w14:textId="2FAAD464" w:rsidR="00D973EF" w:rsidRPr="00D973EF" w:rsidRDefault="00D973EF" w:rsidP="00D973EF">
      <w:pPr>
        <w:rPr>
          <w:rFonts w:ascii="Arial" w:hAnsi="Arial" w:cs="Arial"/>
          <w:lang w:val="en-US"/>
        </w:rPr>
      </w:pPr>
      <w:r w:rsidRPr="00D973EF">
        <w:rPr>
          <w:rFonts w:ascii="Arial" w:hAnsi="Arial" w:cs="Arial"/>
          <w:lang w:val="en-US"/>
        </w:rPr>
        <w:t>Note: we are assuming that this further modification will not apply to messages received at another TR. More specifically, there would still only be one exchange of details of unreconciled trades each day between TRs and any modifications would take place the following day. If not, it is not clear how one TR would know whether there is a modification at another TR without real-time exchange of data, which is not the expected behavior.</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447D58"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lastRenderedPageBreak/>
        <w:t>&lt;ESMA_QUESTION_TSTR_120&gt;</w:t>
      </w:r>
    </w:p>
    <w:p w14:paraId="35152BD0" w14:textId="77777777" w:rsidR="00D973EF" w:rsidRPr="00D973EF" w:rsidRDefault="00D973EF" w:rsidP="00D973EF">
      <w:pPr>
        <w:rPr>
          <w:rFonts w:ascii="Arial" w:hAnsi="Arial" w:cs="Arial"/>
          <w:lang w:val="en-US"/>
        </w:rPr>
      </w:pPr>
      <w:permStart w:id="398219843" w:edGrp="everyone"/>
      <w:r w:rsidRPr="00D973EF">
        <w:rPr>
          <w:rFonts w:ascii="Arial" w:hAnsi="Arial" w:cs="Arial"/>
          <w:lang w:val="en-US"/>
        </w:rPr>
        <w:t>DDRL recommends that ESMA consider aligning the reconciliation procedures under EMIR Refit reporting to those under the SFTR, specifically as it relates to the REVIVE action type. We believe that a participant should only be able to revive a transaction for 30 days past the date that it moved from the outstanding portfolio.  Otherwise, it will create problems with the Inter-TR reconciliation, where neither side was reporting a given UTI but after REVIVE one side would be reporting it. For reports that have been out of the outstanding population for more than 30 days because they had action type ERROR or TERMINATE applied, the parties should resubmit the transactions using a new UTI – only if the contract is still “alive” and reportable.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447D58"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512278B6" w14:textId="77777777" w:rsidR="008237C6" w:rsidRPr="008237C6" w:rsidRDefault="008237C6" w:rsidP="008237C6">
      <w:pPr>
        <w:rPr>
          <w:rFonts w:ascii="Arial" w:hAnsi="Arial" w:cs="Arial"/>
          <w:lang w:val="en-US"/>
        </w:rPr>
      </w:pPr>
      <w:permStart w:id="2097820768" w:edGrp="everyone"/>
      <w:r w:rsidRPr="008237C6">
        <w:rPr>
          <w:rFonts w:ascii="Arial" w:hAnsi="Arial" w:cs="Arial"/>
          <w:lang w:val="en-US"/>
        </w:rPr>
        <w:t xml:space="preserve">We believe that the approach outlined here is the appropriate one. TRs will build new reports that do enhance data quality and NCAs would receive better data. From our experience, NCAs have divergent technological capacity to process and analyze TR data, therefore, flexibility needs to be embedded into the approach.  </w:t>
      </w:r>
    </w:p>
    <w:p w14:paraId="582C3952" w14:textId="77777777" w:rsidR="008237C6" w:rsidRDefault="008237C6" w:rsidP="008237C6">
      <w:pPr>
        <w:rPr>
          <w:rFonts w:ascii="Arial" w:hAnsi="Arial" w:cs="Arial"/>
          <w:lang w:val="en-US"/>
        </w:rPr>
      </w:pPr>
    </w:p>
    <w:p w14:paraId="327DAC1E" w14:textId="2DD825BB" w:rsidR="008237C6" w:rsidRPr="008237C6" w:rsidRDefault="008237C6" w:rsidP="008237C6">
      <w:pPr>
        <w:rPr>
          <w:rFonts w:ascii="Arial" w:hAnsi="Arial" w:cs="Arial"/>
          <w:lang w:val="en-US"/>
        </w:rPr>
      </w:pPr>
      <w:r w:rsidRPr="008237C6">
        <w:rPr>
          <w:rFonts w:ascii="Arial" w:hAnsi="Arial" w:cs="Arial"/>
          <w:lang w:val="en-US"/>
        </w:rPr>
        <w:t xml:space="preserve">We do however have an issue with paragraph 409 (g) and abnormal values reporting (paragraph 408). We believe that ESMA and the NCAs are better placed to set the values for the abnormal/normal values report [with 'notional' and 'notional quantity' key outliers]. They should do that in conjunction and in consultation with the TRs and should adopt, again, a flexible approach so they can have the ability to change the values to adjust to market conditions. </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447D58"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574600A2" w14:textId="77777777" w:rsidR="008237C6" w:rsidRPr="008237C6" w:rsidRDefault="008237C6" w:rsidP="008237C6">
      <w:pPr>
        <w:rPr>
          <w:rFonts w:ascii="Arial" w:hAnsi="Arial" w:cs="Arial"/>
          <w:lang w:val="en-US"/>
        </w:rPr>
      </w:pPr>
      <w:permStart w:id="2060463089" w:edGrp="everyone"/>
      <w:r w:rsidRPr="008237C6">
        <w:rPr>
          <w:rFonts w:ascii="Arial" w:hAnsi="Arial" w:cs="Arial"/>
          <w:lang w:val="en-US"/>
        </w:rPr>
        <w:t>Please see our answer to question 121.</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447D58"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2F8DBABF" w14:textId="77777777" w:rsidR="008237C6" w:rsidRPr="008237C6" w:rsidRDefault="008237C6" w:rsidP="008237C6">
      <w:pPr>
        <w:rPr>
          <w:rFonts w:ascii="Arial" w:hAnsi="Arial" w:cs="Arial"/>
          <w:lang w:val="en-US"/>
        </w:rPr>
      </w:pPr>
      <w:permStart w:id="563371391" w:edGrp="everyone"/>
      <w:r w:rsidRPr="008237C6">
        <w:rPr>
          <w:rFonts w:ascii="Arial" w:hAnsi="Arial" w:cs="Arial"/>
          <w:lang w:val="en-US"/>
        </w:rPr>
        <w:t xml:space="preserve">It would be helpful to permit a joint application for EMIR and SFTR. A new TR </w:t>
      </w:r>
      <w:proofErr w:type="gramStart"/>
      <w:r w:rsidRPr="008237C6">
        <w:rPr>
          <w:rFonts w:ascii="Arial" w:hAnsi="Arial" w:cs="Arial"/>
          <w:lang w:val="en-US"/>
        </w:rPr>
        <w:t>is able to</w:t>
      </w:r>
      <w:proofErr w:type="gramEnd"/>
      <w:r w:rsidRPr="008237C6">
        <w:rPr>
          <w:rFonts w:ascii="Arial" w:hAnsi="Arial" w:cs="Arial"/>
          <w:lang w:val="en-US"/>
        </w:rPr>
        <w:t xml:space="preserve"> pay the registration fee for EMIR and the extension fee for SFTR when submitting </w:t>
      </w:r>
      <w:r w:rsidRPr="008237C6">
        <w:rPr>
          <w:rFonts w:ascii="Arial" w:hAnsi="Arial" w:cs="Arial"/>
          <w:lang w:val="en-US"/>
        </w:rPr>
        <w:lastRenderedPageBreak/>
        <w:t>both applications. Considerable overlap could be avoided both in preparing the registration application and in ESMA’s review, if the applications could be combined.</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447D58"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3D20A785" w14:textId="49F39BE7" w:rsidR="008237C6" w:rsidRPr="008237C6" w:rsidRDefault="008237C6" w:rsidP="008237C6">
      <w:pPr>
        <w:rPr>
          <w:rFonts w:ascii="Arial" w:hAnsi="Arial" w:cs="Arial"/>
          <w:bCs/>
          <w:lang w:val="en-US"/>
        </w:rPr>
      </w:pPr>
      <w:permStart w:id="1566531115" w:edGrp="everyone"/>
      <w:r w:rsidRPr="008237C6">
        <w:rPr>
          <w:rFonts w:ascii="Arial" w:hAnsi="Arial" w:cs="Arial"/>
          <w:bCs/>
          <w:lang w:val="en-US"/>
        </w:rPr>
        <w:t>Yes</w:t>
      </w:r>
      <w:r>
        <w:rPr>
          <w:rFonts w:ascii="Arial" w:hAnsi="Arial" w:cs="Arial"/>
          <w:bCs/>
          <w:lang w:val="en-US"/>
        </w:rPr>
        <w:t>,</w:t>
      </w:r>
      <w:r w:rsidRPr="008237C6">
        <w:rPr>
          <w:rFonts w:ascii="Arial" w:hAnsi="Arial" w:cs="Arial"/>
          <w:bCs/>
          <w:lang w:val="en-US"/>
        </w:rPr>
        <w:t xml:space="preserve"> we agree with the proposals</w:t>
      </w:r>
      <w:r>
        <w:rPr>
          <w:rFonts w:ascii="Arial" w:hAnsi="Arial" w:cs="Arial"/>
          <w:bCs/>
          <w:lang w:val="en-US"/>
        </w:rPr>
        <w:t>.</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447D58"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447D58"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13F6866" w14:textId="77777777" w:rsidR="00310057" w:rsidRPr="00310057" w:rsidRDefault="00310057" w:rsidP="00310057">
      <w:pPr>
        <w:rPr>
          <w:rFonts w:ascii="Arial" w:hAnsi="Arial" w:cs="Arial"/>
          <w:bCs/>
          <w:lang w:val="en-US"/>
        </w:rPr>
      </w:pPr>
      <w:permStart w:id="2092636404" w:edGrp="everyone"/>
      <w:r w:rsidRPr="00310057">
        <w:rPr>
          <w:rFonts w:ascii="Arial" w:hAnsi="Arial" w:cs="Arial"/>
          <w:bCs/>
          <w:lang w:val="en-US"/>
        </w:rPr>
        <w:t xml:space="preserve">Yes, we agree with the proposed amendments.  </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447D58"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12381EBB" w14:textId="77777777" w:rsidR="00310057" w:rsidRPr="00310057" w:rsidRDefault="00310057" w:rsidP="00310057">
      <w:pPr>
        <w:rPr>
          <w:rFonts w:ascii="Arial" w:hAnsi="Arial" w:cs="Arial"/>
          <w:bCs/>
          <w:lang w:val="en-US"/>
        </w:rPr>
      </w:pPr>
      <w:permStart w:id="401240695" w:edGrp="everyone"/>
      <w:r w:rsidRPr="00310057">
        <w:rPr>
          <w:rFonts w:ascii="Arial" w:hAnsi="Arial" w:cs="Arial"/>
          <w:bCs/>
          <w:lang w:val="en-US"/>
        </w:rPr>
        <w:t xml:space="preserve">Data sources that TRs use need to be standardized golden sources of information across all competent authorities, i.e. FIRDS registers. </w:t>
      </w:r>
    </w:p>
    <w:p w14:paraId="660D7A6E" w14:textId="77777777" w:rsidR="00310057" w:rsidRDefault="00310057" w:rsidP="00310057">
      <w:pPr>
        <w:rPr>
          <w:rFonts w:ascii="Arial" w:hAnsi="Arial" w:cs="Arial"/>
          <w:bCs/>
          <w:lang w:val="en-US"/>
        </w:rPr>
      </w:pPr>
    </w:p>
    <w:p w14:paraId="0DFF9EF7" w14:textId="1A3B0A79" w:rsidR="00310057" w:rsidRPr="00310057" w:rsidRDefault="00310057" w:rsidP="00310057">
      <w:pPr>
        <w:rPr>
          <w:rFonts w:ascii="Arial" w:hAnsi="Arial" w:cs="Arial"/>
          <w:bCs/>
          <w:lang w:val="en-US"/>
        </w:rPr>
      </w:pPr>
      <w:r w:rsidRPr="00310057">
        <w:rPr>
          <w:rFonts w:ascii="Arial" w:hAnsi="Arial" w:cs="Arial"/>
          <w:bCs/>
          <w:lang w:val="en-US"/>
        </w:rPr>
        <w:t xml:space="preserve">The form needs further clarity as to how authorities need to refer to/fill in the requirements, making sure that the data is referenced by the NCAs from the same source across the board. </w:t>
      </w:r>
    </w:p>
    <w:p w14:paraId="7F19C22C" w14:textId="77777777" w:rsidR="00310057" w:rsidRDefault="00310057" w:rsidP="00310057">
      <w:pPr>
        <w:rPr>
          <w:rFonts w:ascii="Arial" w:hAnsi="Arial" w:cs="Arial"/>
          <w:bCs/>
          <w:lang w:val="en-US"/>
        </w:rPr>
      </w:pPr>
    </w:p>
    <w:p w14:paraId="22821198" w14:textId="4D7E3DE8" w:rsidR="00310057" w:rsidRPr="00310057" w:rsidRDefault="00310057" w:rsidP="00310057">
      <w:pPr>
        <w:rPr>
          <w:rFonts w:ascii="Arial" w:hAnsi="Arial" w:cs="Arial"/>
          <w:bCs/>
          <w:lang w:val="en-US"/>
        </w:rPr>
      </w:pPr>
      <w:r w:rsidRPr="00310057">
        <w:rPr>
          <w:rFonts w:ascii="Arial" w:hAnsi="Arial" w:cs="Arial"/>
          <w:bCs/>
          <w:lang w:val="en-US"/>
        </w:rPr>
        <w:t>There should be a guidance note that ESMA creates on access rules, to which authorities can refer, as applicable within their own jurisdiction.</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7936" w14:textId="77777777" w:rsidR="000B5660" w:rsidRDefault="000B5660" w:rsidP="007E7997">
      <w:r>
        <w:separator/>
      </w:r>
    </w:p>
  </w:endnote>
  <w:endnote w:type="continuationSeparator" w:id="0">
    <w:p w14:paraId="63BE16BB" w14:textId="77777777" w:rsidR="000B5660" w:rsidRDefault="000B5660" w:rsidP="007E7997">
      <w:r>
        <w:continuationSeparator/>
      </w:r>
    </w:p>
  </w:endnote>
  <w:endnote w:type="continuationNotice" w:id="1">
    <w:p w14:paraId="1E665AE4" w14:textId="77777777" w:rsidR="000B5660" w:rsidRDefault="000B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C38B" w14:textId="77777777" w:rsidR="000B5660" w:rsidRDefault="000B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0B5660" w:rsidRDefault="000B566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0B5660" w:rsidRDefault="000B5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A79C70D" w:rsidR="000B5660" w:rsidRPr="00514DFA" w:rsidRDefault="000B5660"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0B5660" w:rsidRPr="008F1DCF" w:rsidRDefault="000B566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0B5660" w:rsidRDefault="000B5660"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0B5660" w:rsidRDefault="000B5660"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EA72" w14:textId="77777777" w:rsidR="000B5660" w:rsidRDefault="000B5660" w:rsidP="007E7997">
      <w:r>
        <w:separator/>
      </w:r>
    </w:p>
  </w:footnote>
  <w:footnote w:type="continuationSeparator" w:id="0">
    <w:p w14:paraId="54F4F3D2" w14:textId="77777777" w:rsidR="000B5660" w:rsidRDefault="000B5660" w:rsidP="007E7997">
      <w:r>
        <w:continuationSeparator/>
      </w:r>
    </w:p>
  </w:footnote>
  <w:footnote w:type="continuationNotice" w:id="1">
    <w:p w14:paraId="6A2AB4F7" w14:textId="77777777" w:rsidR="000B5660" w:rsidRDefault="000B5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B86A" w14:textId="77777777" w:rsidR="000B5660" w:rsidRDefault="000B5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0B5660" w:rsidRDefault="000B5660">
    <w:pPr>
      <w:pStyle w:val="Header"/>
    </w:pPr>
  </w:p>
  <w:p w14:paraId="59FA3C9D" w14:textId="77777777" w:rsidR="000B5660" w:rsidRDefault="000B5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0B5660" w:rsidRDefault="000B5660">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0B5660" w:rsidRPr="003669AC" w:rsidRDefault="000B5660" w:rsidP="000B5660">
    <w:pPr>
      <w:pStyle w:val="Header"/>
      <w:ind w:left="708"/>
      <w:jc w:val="right"/>
    </w:pPr>
  </w:p>
  <w:p w14:paraId="4E70851B" w14:textId="77777777" w:rsidR="000B5660" w:rsidRPr="003669AC" w:rsidRDefault="000B5660" w:rsidP="000B5660">
    <w:pPr>
      <w:pStyle w:val="Header"/>
      <w:ind w:left="708"/>
      <w:jc w:val="right"/>
    </w:pPr>
  </w:p>
  <w:p w14:paraId="4DAF4C00" w14:textId="68E09EF4" w:rsidR="000B5660" w:rsidRPr="008F1DCF" w:rsidRDefault="000B5660" w:rsidP="000B5660">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0B5660" w:rsidRPr="008F1DCF" w14:paraId="3C1246A2" w14:textId="77777777" w:rsidTr="000B5660">
      <w:trPr>
        <w:trHeight w:hRule="exact" w:val="589"/>
      </w:trPr>
      <w:tc>
        <w:tcPr>
          <w:tcW w:w="2377" w:type="dxa"/>
        </w:tcPr>
        <w:p w14:paraId="59038B1E" w14:textId="4F80DE86" w:rsidR="000B5660" w:rsidRPr="008F1DCF" w:rsidRDefault="000B5660" w:rsidP="000B5660">
          <w:pPr>
            <w:pStyle w:val="02Date"/>
            <w:rPr>
              <w:rFonts w:asciiTheme="majorHAnsi" w:hAnsiTheme="majorHAnsi" w:cstheme="majorHAnsi"/>
            </w:rPr>
          </w:pPr>
          <w:r>
            <w:rPr>
              <w:rFonts w:asciiTheme="majorHAnsi" w:hAnsiTheme="majorHAnsi" w:cstheme="majorHAnsi"/>
            </w:rPr>
            <w:t>26 March 2020</w:t>
          </w:r>
        </w:p>
        <w:p w14:paraId="77FCE60C" w14:textId="578388CA" w:rsidR="000B5660" w:rsidRPr="008F1DCF" w:rsidRDefault="000B5660" w:rsidP="000B5660">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0B5660" w:rsidRDefault="000B5660" w:rsidP="000B5660">
    <w:pPr>
      <w:pStyle w:val="Header"/>
      <w:ind w:left="6663"/>
      <w:rPr>
        <w:color w:val="FF0000"/>
        <w:sz w:val="20"/>
      </w:rPr>
    </w:pPr>
  </w:p>
  <w:p w14:paraId="5962D0E4" w14:textId="77777777" w:rsidR="000B5660" w:rsidRDefault="000B5660">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0B5660" w:rsidRDefault="000B5660">
    <w:pPr>
      <w:pStyle w:val="Header"/>
    </w:pPr>
  </w:p>
  <w:p w14:paraId="462F1DD4" w14:textId="77777777" w:rsidR="000B5660" w:rsidRDefault="000B5660">
    <w:pPr>
      <w:pStyle w:val="Header"/>
    </w:pPr>
  </w:p>
  <w:p w14:paraId="18981FB1" w14:textId="77777777" w:rsidR="000B5660" w:rsidRDefault="000B5660">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0B5660" w:rsidRDefault="000B5660"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0B5660" w:rsidRPr="00D13661" w:rsidRDefault="000B5660"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0B5660" w:rsidRPr="00C3170E" w:rsidRDefault="000B5660" w:rsidP="00B50534">
    <w:pPr>
      <w:pStyle w:val="Header"/>
      <w:jc w:val="right"/>
      <w:rPr>
        <w:color w:val="2F5496" w:themeColor="accent5" w:themeShade="BF"/>
        <w:sz w:val="20"/>
      </w:rPr>
    </w:pPr>
  </w:p>
  <w:p w14:paraId="5EAB6EC6" w14:textId="77777777" w:rsidR="000B5660" w:rsidRPr="00B50534" w:rsidRDefault="000B5660"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E0B60"/>
    <w:multiLevelType w:val="hybridMultilevel"/>
    <w:tmpl w:val="0EBAEC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C4810E0"/>
    <w:multiLevelType w:val="hybridMultilevel"/>
    <w:tmpl w:val="0928A4B6"/>
    <w:lvl w:ilvl="0" w:tplc="BE4614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0F190F"/>
    <w:multiLevelType w:val="hybridMultilevel"/>
    <w:tmpl w:val="098A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660"/>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0CAB"/>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1BA1"/>
    <w:rsid w:val="002F6279"/>
    <w:rsid w:val="003013B7"/>
    <w:rsid w:val="00301993"/>
    <w:rsid w:val="00301E55"/>
    <w:rsid w:val="00307397"/>
    <w:rsid w:val="0031005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47D58"/>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2D9D"/>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37C6"/>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5222"/>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0A9D"/>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3EF"/>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994"/>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infopath/2007/PartnerControls"/>
    <ds:schemaRef ds:uri="http://purl.org/dc/terms/"/>
    <ds:schemaRef ds:uri="http://purl.org/dc/dcmitype/"/>
    <ds:schemaRef ds:uri="http://schemas.microsoft.com/office/2006/documentManagement/types"/>
    <ds:schemaRef ds:uri="http://schemas.microsoft.com/sharepoint/v4"/>
    <ds:schemaRef ds:uri="20fbe147-bbda-4e53-b6b1-7e8bbff3fe19"/>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B5959-E572-4E25-A2C8-8082CFA1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80</TotalTime>
  <Pages>40</Pages>
  <Words>13995</Words>
  <Characters>79772</Characters>
  <Application>Microsoft Office Word</Application>
  <DocSecurity>8</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Uria Weis, Ana</cp:lastModifiedBy>
  <cp:revision>8</cp:revision>
  <cp:lastPrinted>2017-07-24T14:47:00Z</cp:lastPrinted>
  <dcterms:created xsi:type="dcterms:W3CDTF">2020-06-03T08:52:00Z</dcterms:created>
  <dcterms:modified xsi:type="dcterms:W3CDTF">2020-07-03T09:20:00Z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y fmtid="{D5CDD505-2E9C-101B-9397-08002B2CF9AE}" pid="19" name="MSIP_Label_e823a16b-a30b-4b34-8886-728ecf81b33e_Enabled">
    <vt:lpwstr>True</vt:lpwstr>
  </property>
  <property fmtid="{D5CDD505-2E9C-101B-9397-08002B2CF9AE}" pid="20" name="MSIP_Label_e823a16b-a30b-4b34-8886-728ecf81b33e_SiteId">
    <vt:lpwstr>0465519d-7f55-4d47-998b-55e2a86f04a8</vt:lpwstr>
  </property>
  <property fmtid="{D5CDD505-2E9C-101B-9397-08002B2CF9AE}" pid="21" name="MSIP_Label_e823a16b-a30b-4b34-8886-728ecf81b33e_Owner">
    <vt:lpwstr>auriaweis@dtcc.com</vt:lpwstr>
  </property>
  <property fmtid="{D5CDD505-2E9C-101B-9397-08002B2CF9AE}" pid="22" name="MSIP_Label_e823a16b-a30b-4b34-8886-728ecf81b33e_SetDate">
    <vt:lpwstr>2020-06-03T08:51:56.8378176Z</vt:lpwstr>
  </property>
  <property fmtid="{D5CDD505-2E9C-101B-9397-08002B2CF9AE}" pid="23" name="MSIP_Label_e823a16b-a30b-4b34-8886-728ecf81b33e_Name">
    <vt:lpwstr>DTCC Public (White)</vt:lpwstr>
  </property>
  <property fmtid="{D5CDD505-2E9C-101B-9397-08002B2CF9AE}" pid="24" name="MSIP_Label_e823a16b-a30b-4b34-8886-728ecf81b33e_Application">
    <vt:lpwstr>Microsoft Azure Information Protection</vt:lpwstr>
  </property>
  <property fmtid="{D5CDD505-2E9C-101B-9397-08002B2CF9AE}" pid="25" name="MSIP_Label_e823a16b-a30b-4b34-8886-728ecf81b33e_ActionId">
    <vt:lpwstr>d7756637-7ffc-4567-8b6c-ff840f654622</vt:lpwstr>
  </property>
  <property fmtid="{D5CDD505-2E9C-101B-9397-08002B2CF9AE}" pid="26" name="MSIP_Label_e823a16b-a30b-4b34-8886-728ecf81b33e_Extended_MSFT_Method">
    <vt:lpwstr>Manual</vt:lpwstr>
  </property>
  <property fmtid="{D5CDD505-2E9C-101B-9397-08002B2CF9AE}" pid="27" name="MSIP_Label_fb0fcc3b-45fa-4aa7-80c5-b223a3f136ae_Enabled">
    <vt:lpwstr>True</vt:lpwstr>
  </property>
  <property fmtid="{D5CDD505-2E9C-101B-9397-08002B2CF9AE}" pid="28" name="MSIP_Label_fb0fcc3b-45fa-4aa7-80c5-b223a3f136ae_SiteId">
    <vt:lpwstr>0465519d-7f55-4d47-998b-55e2a86f04a8</vt:lpwstr>
  </property>
  <property fmtid="{D5CDD505-2E9C-101B-9397-08002B2CF9AE}" pid="29" name="MSIP_Label_fb0fcc3b-45fa-4aa7-80c5-b223a3f136ae_Owner">
    <vt:lpwstr>auriaweis@dtcc.com</vt:lpwstr>
  </property>
  <property fmtid="{D5CDD505-2E9C-101B-9397-08002B2CF9AE}" pid="30" name="MSIP_Label_fb0fcc3b-45fa-4aa7-80c5-b223a3f136ae_SetDate">
    <vt:lpwstr>2020-06-03T08:51:56.8378176Z</vt:lpwstr>
  </property>
  <property fmtid="{D5CDD505-2E9C-101B-9397-08002B2CF9AE}" pid="31" name="MSIP_Label_fb0fcc3b-45fa-4aa7-80c5-b223a3f136ae_Name">
    <vt:lpwstr>No Marking</vt:lpwstr>
  </property>
  <property fmtid="{D5CDD505-2E9C-101B-9397-08002B2CF9AE}" pid="32" name="MSIP_Label_fb0fcc3b-45fa-4aa7-80c5-b223a3f136ae_Application">
    <vt:lpwstr>Microsoft Azure Information Protection</vt:lpwstr>
  </property>
  <property fmtid="{D5CDD505-2E9C-101B-9397-08002B2CF9AE}" pid="33" name="MSIP_Label_fb0fcc3b-45fa-4aa7-80c5-b223a3f136ae_ActionId">
    <vt:lpwstr>d7756637-7ffc-4567-8b6c-ff840f654622</vt:lpwstr>
  </property>
  <property fmtid="{D5CDD505-2E9C-101B-9397-08002B2CF9AE}" pid="34" name="MSIP_Label_fb0fcc3b-45fa-4aa7-80c5-b223a3f136ae_Parent">
    <vt:lpwstr>e823a16b-a30b-4b34-8886-728ecf81b33e</vt:lpwstr>
  </property>
  <property fmtid="{D5CDD505-2E9C-101B-9397-08002B2CF9AE}" pid="35" name="MSIP_Label_fb0fcc3b-45fa-4aa7-80c5-b223a3f136ae_Extended_MSFT_Method">
    <vt:lpwstr>Manual</vt:lpwstr>
  </property>
  <property fmtid="{D5CDD505-2E9C-101B-9397-08002B2CF9AE}" pid="36" name="Sensitivity">
    <vt:lpwstr>DTCC Public (White) No Marking</vt:lpwstr>
  </property>
</Properties>
</file>