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96D63" w14:textId="0EC4F1DA" w:rsidR="00055AD0" w:rsidRPr="00096FE9" w:rsidRDefault="00096FE9" w:rsidP="007A3C53">
      <w:pPr>
        <w:spacing w:before="120" w:after="120" w:line="240" w:lineRule="auto"/>
        <w:jc w:val="center"/>
        <w:rPr>
          <w:u w:val="single"/>
        </w:rPr>
      </w:pPr>
      <w:r w:rsidRPr="00096FE9">
        <w:rPr>
          <w:u w:val="single"/>
        </w:rPr>
        <w:t>ESMA Consultation Response (</w:t>
      </w:r>
      <w:r w:rsidRPr="00096FE9">
        <w:rPr>
          <w:u w:val="single"/>
        </w:rPr>
        <w:t>ESMA70-156-2478</w:t>
      </w:r>
      <w:r w:rsidRPr="00096FE9">
        <w:rPr>
          <w:u w:val="single"/>
        </w:rPr>
        <w:t>)</w:t>
      </w:r>
    </w:p>
    <w:p w14:paraId="11C96257" w14:textId="2EB1D0C6" w:rsidR="00055AD0" w:rsidRPr="00096FE9" w:rsidRDefault="00096FE9" w:rsidP="00E874F9">
      <w:pPr>
        <w:spacing w:after="120" w:line="240" w:lineRule="auto"/>
        <w:jc w:val="both"/>
        <w:rPr>
          <w:sz w:val="20"/>
          <w:szCs w:val="20"/>
        </w:rPr>
      </w:pPr>
      <w:r w:rsidRPr="00096FE9">
        <w:rPr>
          <w:sz w:val="20"/>
          <w:szCs w:val="20"/>
        </w:rPr>
        <w:t>On the functioning of the regime for SME Growth Markets under the Markets in Financial Instruments Directive and on the amendments to the Market Abuse Regulation for the promotion of the use of SME Growth Markets</w:t>
      </w:r>
    </w:p>
    <w:p w14:paraId="1ED00DE5" w14:textId="1184132E" w:rsidR="00B17C7D" w:rsidRDefault="008F29A3" w:rsidP="00E874F9">
      <w:pPr>
        <w:spacing w:after="120" w:line="240" w:lineRule="auto"/>
        <w:jc w:val="both"/>
        <w:rPr>
          <w:sz w:val="20"/>
          <w:szCs w:val="20"/>
        </w:rPr>
      </w:pPr>
      <w:r>
        <w:rPr>
          <w:sz w:val="20"/>
          <w:szCs w:val="20"/>
        </w:rPr>
        <w:t xml:space="preserve">Archax response to each question is presented below in </w:t>
      </w:r>
      <w:r w:rsidRPr="008F29A3">
        <w:rPr>
          <w:color w:val="FF0000"/>
          <w:sz w:val="20"/>
          <w:szCs w:val="20"/>
        </w:rPr>
        <w:t>red</w:t>
      </w:r>
      <w:r>
        <w:rPr>
          <w:sz w:val="20"/>
          <w:szCs w:val="20"/>
        </w:rPr>
        <w:t>.</w:t>
      </w:r>
    </w:p>
    <w:p w14:paraId="7EA875F2" w14:textId="0BB9309C" w:rsidR="00E874F9" w:rsidRPr="00A62312" w:rsidRDefault="00E874F9" w:rsidP="00E874F9">
      <w:pPr>
        <w:spacing w:after="120" w:line="240" w:lineRule="auto"/>
        <w:jc w:val="both"/>
        <w:rPr>
          <w:b/>
          <w:bCs/>
          <w:sz w:val="20"/>
          <w:szCs w:val="20"/>
        </w:rPr>
      </w:pPr>
      <w:r w:rsidRPr="009C343E">
        <w:rPr>
          <w:b/>
          <w:bCs/>
          <w:sz w:val="20"/>
          <w:szCs w:val="20"/>
        </w:rPr>
        <w:t xml:space="preserve">Q1: Do you have any views on why the SME activity in bonds is limited? If so, do you see any potential </w:t>
      </w:r>
      <w:r w:rsidRPr="00A62312">
        <w:rPr>
          <w:b/>
          <w:bCs/>
          <w:sz w:val="20"/>
          <w:szCs w:val="20"/>
        </w:rPr>
        <w:t>improvements in the regime which could create an incentive to develop those markets?</w:t>
      </w:r>
    </w:p>
    <w:p w14:paraId="45AF455C" w14:textId="35441E9A" w:rsidR="00A77546" w:rsidRPr="00A62312" w:rsidRDefault="00A77546" w:rsidP="00E874F9">
      <w:pPr>
        <w:spacing w:after="120" w:line="240" w:lineRule="auto"/>
        <w:jc w:val="both"/>
        <w:rPr>
          <w:color w:val="FF0000"/>
          <w:sz w:val="20"/>
          <w:szCs w:val="20"/>
        </w:rPr>
      </w:pPr>
      <w:r w:rsidRPr="00A62312">
        <w:rPr>
          <w:color w:val="FF0000"/>
          <w:sz w:val="20"/>
          <w:szCs w:val="20"/>
        </w:rPr>
        <w:t>From the issuers perspective, depending on the profile of the SME and the prevailing perception of risk regarding SME lending at the point of issuance, the required rate paid on an issued SME bond to cover issuer demand might not be lower than the interest on a business loan. This coupled with the additional admittance costs and th</w:t>
      </w:r>
      <w:r w:rsidR="00001D6D" w:rsidRPr="00A62312">
        <w:rPr>
          <w:color w:val="FF0000"/>
          <w:sz w:val="20"/>
          <w:szCs w:val="20"/>
        </w:rPr>
        <w:t>e costs</w:t>
      </w:r>
      <w:r w:rsidRPr="00A62312">
        <w:rPr>
          <w:color w:val="FF0000"/>
          <w:sz w:val="20"/>
          <w:szCs w:val="20"/>
        </w:rPr>
        <w:t xml:space="preserve"> to maintain their disclosure obligations (especially if they do not already have equity admitted to trading) is likely to be additionally prohibitive (particularly compared to ‘crowdfunding’ or unregulated issuances).</w:t>
      </w:r>
    </w:p>
    <w:p w14:paraId="536528BD" w14:textId="0BB9309C" w:rsidR="00E874F9" w:rsidRPr="00A62312" w:rsidRDefault="00E874F9" w:rsidP="00E874F9">
      <w:pPr>
        <w:spacing w:after="120" w:line="240" w:lineRule="auto"/>
        <w:jc w:val="both"/>
        <w:rPr>
          <w:color w:val="FF0000"/>
          <w:sz w:val="20"/>
          <w:szCs w:val="20"/>
        </w:rPr>
      </w:pPr>
      <w:r w:rsidRPr="00A62312">
        <w:rPr>
          <w:color w:val="FF0000"/>
          <w:sz w:val="20"/>
          <w:szCs w:val="20"/>
        </w:rPr>
        <w:t>Within the UK pre</w:t>
      </w:r>
      <w:r w:rsidR="0093341E" w:rsidRPr="00A62312">
        <w:rPr>
          <w:color w:val="FF0000"/>
          <w:sz w:val="20"/>
          <w:szCs w:val="20"/>
        </w:rPr>
        <w:t xml:space="preserve"> the </w:t>
      </w:r>
      <w:r w:rsidRPr="00A62312">
        <w:rPr>
          <w:color w:val="FF0000"/>
          <w:sz w:val="20"/>
          <w:szCs w:val="20"/>
        </w:rPr>
        <w:t>L</w:t>
      </w:r>
      <w:r w:rsidR="0093341E" w:rsidRPr="00A62312">
        <w:rPr>
          <w:color w:val="FF0000"/>
          <w:sz w:val="20"/>
          <w:szCs w:val="20"/>
        </w:rPr>
        <w:t xml:space="preserve">ondon </w:t>
      </w:r>
      <w:r w:rsidRPr="00A62312">
        <w:rPr>
          <w:color w:val="FF0000"/>
          <w:sz w:val="20"/>
          <w:szCs w:val="20"/>
        </w:rPr>
        <w:t>C</w:t>
      </w:r>
      <w:r w:rsidR="0093341E" w:rsidRPr="00A62312">
        <w:rPr>
          <w:color w:val="FF0000"/>
          <w:sz w:val="20"/>
          <w:szCs w:val="20"/>
        </w:rPr>
        <w:t xml:space="preserve">apital </w:t>
      </w:r>
      <w:r w:rsidRPr="00A62312">
        <w:rPr>
          <w:color w:val="FF0000"/>
          <w:sz w:val="20"/>
          <w:szCs w:val="20"/>
        </w:rPr>
        <w:t>&amp;</w:t>
      </w:r>
      <w:r w:rsidR="0093341E" w:rsidRPr="00A62312">
        <w:rPr>
          <w:color w:val="FF0000"/>
          <w:sz w:val="20"/>
          <w:szCs w:val="20"/>
        </w:rPr>
        <w:t xml:space="preserve"> </w:t>
      </w:r>
      <w:r w:rsidRPr="00A62312">
        <w:rPr>
          <w:color w:val="FF0000"/>
          <w:sz w:val="20"/>
          <w:szCs w:val="20"/>
        </w:rPr>
        <w:t>F</w:t>
      </w:r>
      <w:r w:rsidR="0093341E" w:rsidRPr="00A62312">
        <w:rPr>
          <w:color w:val="FF0000"/>
          <w:sz w:val="20"/>
          <w:szCs w:val="20"/>
        </w:rPr>
        <w:t>inance</w:t>
      </w:r>
      <w:r w:rsidRPr="00A62312">
        <w:rPr>
          <w:color w:val="FF0000"/>
          <w:sz w:val="20"/>
          <w:szCs w:val="20"/>
        </w:rPr>
        <w:t xml:space="preserve"> scandal there was a large market where corporate debt was sold as ‘mini-bonds’. These unregulated and non-transferable bond issuances attracted both legitimate and fraudulent issuances in seemingly equal measure. Corporates liked it as there was little/no regulatory burden (in reality, only S.21 FSMA fin proms sign-off) and they tended to get the funds sought due to the aggressive commission structures in place for those selling the bonds. The commission structure was cultural an</w:t>
      </w:r>
      <w:r w:rsidR="008647F1" w:rsidRPr="00A62312">
        <w:rPr>
          <w:color w:val="FF0000"/>
          <w:sz w:val="20"/>
          <w:szCs w:val="20"/>
        </w:rPr>
        <w:t xml:space="preserve">d, as the product fell outside the regulatory perimeter, went unchecked for a long time. Now this market has been brought to light it will be interesting to see whether the relative proportion of debt issuance increases. </w:t>
      </w:r>
    </w:p>
    <w:p w14:paraId="36FDE53E" w14:textId="0BB9309C" w:rsidR="007D411A" w:rsidRPr="00096FE9" w:rsidRDefault="005D7BC2" w:rsidP="00F17105">
      <w:pPr>
        <w:spacing w:after="120" w:line="240" w:lineRule="auto"/>
        <w:jc w:val="both"/>
        <w:rPr>
          <w:color w:val="FF0000"/>
          <w:sz w:val="20"/>
          <w:szCs w:val="20"/>
        </w:rPr>
      </w:pPr>
      <w:r w:rsidRPr="00A62312">
        <w:rPr>
          <w:color w:val="FF0000"/>
          <w:sz w:val="20"/>
          <w:szCs w:val="20"/>
        </w:rPr>
        <w:t xml:space="preserve">Any legislative changes in this space must carefully weigh up the need to legitimise SME markets (closer alignment with </w:t>
      </w:r>
      <w:r w:rsidR="009440CE" w:rsidRPr="00A62312">
        <w:rPr>
          <w:color w:val="FF0000"/>
          <w:sz w:val="20"/>
          <w:szCs w:val="20"/>
        </w:rPr>
        <w:t>the other ‘senior’ markets)</w:t>
      </w:r>
      <w:r w:rsidR="006E2D2F" w:rsidRPr="00A62312">
        <w:rPr>
          <w:color w:val="FF0000"/>
          <w:sz w:val="20"/>
          <w:szCs w:val="20"/>
        </w:rPr>
        <w:t xml:space="preserve"> whilst also accepting that </w:t>
      </w:r>
      <w:r w:rsidR="00B82A8C" w:rsidRPr="00A62312">
        <w:rPr>
          <w:color w:val="FF0000"/>
          <w:sz w:val="20"/>
          <w:szCs w:val="20"/>
        </w:rPr>
        <w:t xml:space="preserve">part of the issue is the perception of these markets, as opposed to their regulatory framework. </w:t>
      </w:r>
      <w:r w:rsidR="003642CB" w:rsidRPr="00A62312">
        <w:rPr>
          <w:color w:val="FF0000"/>
          <w:sz w:val="20"/>
          <w:szCs w:val="20"/>
        </w:rPr>
        <w:t>Increase</w:t>
      </w:r>
      <w:r w:rsidR="00ED4E32" w:rsidRPr="00A62312">
        <w:rPr>
          <w:color w:val="FF0000"/>
          <w:sz w:val="20"/>
          <w:szCs w:val="20"/>
        </w:rPr>
        <w:t>d</w:t>
      </w:r>
      <w:r w:rsidR="003642CB" w:rsidRPr="00A62312">
        <w:rPr>
          <w:color w:val="FF0000"/>
          <w:sz w:val="20"/>
          <w:szCs w:val="20"/>
        </w:rPr>
        <w:t xml:space="preserve"> finessing of rules </w:t>
      </w:r>
      <w:r w:rsidR="009B1EE5" w:rsidRPr="00A62312">
        <w:rPr>
          <w:color w:val="FF0000"/>
          <w:sz w:val="20"/>
          <w:szCs w:val="20"/>
        </w:rPr>
        <w:t>to</w:t>
      </w:r>
      <w:r w:rsidR="003642CB" w:rsidRPr="00A62312">
        <w:rPr>
          <w:color w:val="FF0000"/>
          <w:sz w:val="20"/>
          <w:szCs w:val="20"/>
        </w:rPr>
        <w:t xml:space="preserve"> try and s</w:t>
      </w:r>
      <w:r w:rsidR="00ED4E32" w:rsidRPr="00A62312">
        <w:rPr>
          <w:color w:val="FF0000"/>
          <w:sz w:val="20"/>
          <w:szCs w:val="20"/>
        </w:rPr>
        <w:t>t</w:t>
      </w:r>
      <w:r w:rsidR="003642CB" w:rsidRPr="00A62312">
        <w:rPr>
          <w:color w:val="FF0000"/>
          <w:sz w:val="20"/>
          <w:szCs w:val="20"/>
        </w:rPr>
        <w:t xml:space="preserve">imulate activity </w:t>
      </w:r>
      <w:r w:rsidR="009B1EE5" w:rsidRPr="00A62312">
        <w:rPr>
          <w:color w:val="FF0000"/>
          <w:sz w:val="20"/>
          <w:szCs w:val="20"/>
        </w:rPr>
        <w:t>will have a negative impact as it creates regulatory uncertainty and increase burden on both SMEs and SME GMs.</w:t>
      </w:r>
    </w:p>
    <w:p w14:paraId="2BC5744D" w14:textId="0BB9309C" w:rsidR="00E874F9" w:rsidRPr="009C343E" w:rsidRDefault="00E874F9" w:rsidP="00E874F9">
      <w:pPr>
        <w:spacing w:after="120" w:line="240" w:lineRule="auto"/>
        <w:jc w:val="both"/>
        <w:rPr>
          <w:b/>
          <w:bCs/>
          <w:sz w:val="20"/>
          <w:szCs w:val="20"/>
        </w:rPr>
      </w:pPr>
      <w:r w:rsidRPr="009C343E">
        <w:rPr>
          <w:b/>
          <w:bCs/>
          <w:sz w:val="20"/>
          <w:szCs w:val="20"/>
        </w:rPr>
        <w:t>Q2: In your view, how could the visibility of SME GMs be further developed, e.g. to attract the issuers from other members states than the country of the trading venue?</w:t>
      </w:r>
    </w:p>
    <w:p w14:paraId="66A556F6" w14:textId="0BB9309C" w:rsidR="003732D2" w:rsidRPr="00096FE9" w:rsidRDefault="00554B8C" w:rsidP="003D2607">
      <w:pPr>
        <w:spacing w:after="120" w:line="240" w:lineRule="auto"/>
        <w:jc w:val="both"/>
        <w:rPr>
          <w:color w:val="FF0000"/>
          <w:sz w:val="20"/>
          <w:szCs w:val="20"/>
        </w:rPr>
      </w:pPr>
      <w:r w:rsidRPr="00096FE9">
        <w:rPr>
          <w:color w:val="FF0000"/>
          <w:sz w:val="20"/>
          <w:szCs w:val="20"/>
        </w:rPr>
        <w:t>Broadly</w:t>
      </w:r>
      <w:r w:rsidR="00D80873" w:rsidRPr="00096FE9">
        <w:rPr>
          <w:color w:val="FF0000"/>
          <w:sz w:val="20"/>
          <w:szCs w:val="20"/>
        </w:rPr>
        <w:t xml:space="preserve">, attracting any investors/issuers to SME markets </w:t>
      </w:r>
      <w:r w:rsidR="00581237" w:rsidRPr="00096FE9">
        <w:rPr>
          <w:color w:val="FF0000"/>
          <w:sz w:val="20"/>
          <w:szCs w:val="20"/>
        </w:rPr>
        <w:t xml:space="preserve">is likely going to come down to education and marketing. Legislation should be drafted in a manner to </w:t>
      </w:r>
      <w:r w:rsidR="00395A0B" w:rsidRPr="00096FE9">
        <w:rPr>
          <w:color w:val="FF0000"/>
          <w:sz w:val="20"/>
          <w:szCs w:val="20"/>
        </w:rPr>
        <w:t>help r</w:t>
      </w:r>
      <w:r w:rsidR="003732D2" w:rsidRPr="00096FE9">
        <w:rPr>
          <w:color w:val="FF0000"/>
          <w:sz w:val="20"/>
          <w:szCs w:val="20"/>
        </w:rPr>
        <w:t>eframing the perception of SMEs</w:t>
      </w:r>
      <w:r w:rsidR="00395A0B" w:rsidRPr="00096FE9">
        <w:rPr>
          <w:color w:val="FF0000"/>
          <w:sz w:val="20"/>
          <w:szCs w:val="20"/>
        </w:rPr>
        <w:t xml:space="preserve"> (</w:t>
      </w:r>
      <w:r w:rsidR="003732D2" w:rsidRPr="00096FE9">
        <w:rPr>
          <w:color w:val="FF0000"/>
          <w:sz w:val="20"/>
          <w:szCs w:val="20"/>
        </w:rPr>
        <w:t>and subsequently SME GMs</w:t>
      </w:r>
      <w:r w:rsidR="00395A0B" w:rsidRPr="00096FE9">
        <w:rPr>
          <w:color w:val="FF0000"/>
          <w:sz w:val="20"/>
          <w:szCs w:val="20"/>
        </w:rPr>
        <w:t>) in the mind of both regulators and the broader investor</w:t>
      </w:r>
      <w:r w:rsidR="00CF482C" w:rsidRPr="00096FE9">
        <w:rPr>
          <w:color w:val="FF0000"/>
          <w:sz w:val="20"/>
          <w:szCs w:val="20"/>
        </w:rPr>
        <w:t xml:space="preserve"> pool. </w:t>
      </w:r>
      <w:r w:rsidR="002F71FF">
        <w:rPr>
          <w:color w:val="FF0000"/>
          <w:sz w:val="20"/>
          <w:szCs w:val="20"/>
        </w:rPr>
        <w:t xml:space="preserve">This perception is fostered </w:t>
      </w:r>
      <w:r w:rsidR="00BE361D">
        <w:rPr>
          <w:color w:val="FF0000"/>
          <w:sz w:val="20"/>
          <w:szCs w:val="20"/>
        </w:rPr>
        <w:t>via the h</w:t>
      </w:r>
      <w:r w:rsidR="0046680F" w:rsidRPr="00096FE9">
        <w:rPr>
          <w:color w:val="FF0000"/>
          <w:sz w:val="20"/>
          <w:szCs w:val="20"/>
        </w:rPr>
        <w:t>istorically li</w:t>
      </w:r>
      <w:r w:rsidR="00BE361D">
        <w:rPr>
          <w:color w:val="FF0000"/>
          <w:sz w:val="20"/>
          <w:szCs w:val="20"/>
        </w:rPr>
        <w:t>mited</w:t>
      </w:r>
      <w:r w:rsidR="0046680F" w:rsidRPr="00096FE9">
        <w:rPr>
          <w:color w:val="FF0000"/>
          <w:sz w:val="20"/>
          <w:szCs w:val="20"/>
        </w:rPr>
        <w:t xml:space="preserve"> recourse for rules breaches and </w:t>
      </w:r>
      <w:r w:rsidR="001A5F6D">
        <w:rPr>
          <w:color w:val="FF0000"/>
          <w:sz w:val="20"/>
          <w:szCs w:val="20"/>
        </w:rPr>
        <w:t>conflicted</w:t>
      </w:r>
      <w:r w:rsidR="0046680F" w:rsidRPr="00096FE9">
        <w:rPr>
          <w:color w:val="FF0000"/>
          <w:sz w:val="20"/>
          <w:szCs w:val="20"/>
        </w:rPr>
        <w:t xml:space="preserve"> market design</w:t>
      </w:r>
      <w:r w:rsidR="001A5F6D">
        <w:rPr>
          <w:color w:val="FF0000"/>
          <w:sz w:val="20"/>
          <w:szCs w:val="20"/>
        </w:rPr>
        <w:t xml:space="preserve">. This in turn </w:t>
      </w:r>
      <w:r w:rsidR="001E6BBB" w:rsidRPr="00096FE9">
        <w:rPr>
          <w:color w:val="FF0000"/>
          <w:sz w:val="20"/>
          <w:szCs w:val="20"/>
        </w:rPr>
        <w:t>create</w:t>
      </w:r>
      <w:r w:rsidR="001A5F6D">
        <w:rPr>
          <w:color w:val="FF0000"/>
          <w:sz w:val="20"/>
          <w:szCs w:val="20"/>
        </w:rPr>
        <w:t>s</w:t>
      </w:r>
      <w:r w:rsidR="001E6BBB" w:rsidRPr="00096FE9">
        <w:rPr>
          <w:color w:val="FF0000"/>
          <w:sz w:val="20"/>
          <w:szCs w:val="20"/>
        </w:rPr>
        <w:t xml:space="preserve"> the perception of</w:t>
      </w:r>
      <w:r w:rsidR="003D1913" w:rsidRPr="00096FE9">
        <w:rPr>
          <w:color w:val="FF0000"/>
          <w:sz w:val="20"/>
          <w:szCs w:val="20"/>
        </w:rPr>
        <w:t xml:space="preserve"> poor culture on SME markets. </w:t>
      </w:r>
      <w:r w:rsidR="000554F1">
        <w:rPr>
          <w:color w:val="FF0000"/>
          <w:sz w:val="20"/>
          <w:szCs w:val="20"/>
        </w:rPr>
        <w:t xml:space="preserve">Market designs which </w:t>
      </w:r>
      <w:r w:rsidR="003D2607">
        <w:rPr>
          <w:color w:val="FF0000"/>
          <w:sz w:val="20"/>
          <w:szCs w:val="20"/>
        </w:rPr>
        <w:t xml:space="preserve">mandate an </w:t>
      </w:r>
      <w:r w:rsidR="00B41DAE" w:rsidRPr="00096FE9">
        <w:rPr>
          <w:color w:val="FF0000"/>
          <w:sz w:val="20"/>
          <w:szCs w:val="20"/>
        </w:rPr>
        <w:t>intermedia</w:t>
      </w:r>
      <w:r w:rsidR="003D2607">
        <w:rPr>
          <w:color w:val="FF0000"/>
          <w:sz w:val="20"/>
          <w:szCs w:val="20"/>
        </w:rPr>
        <w:t>ry</w:t>
      </w:r>
      <w:r w:rsidR="00B41DAE" w:rsidRPr="00096FE9">
        <w:rPr>
          <w:color w:val="FF0000"/>
          <w:sz w:val="20"/>
          <w:szCs w:val="20"/>
        </w:rPr>
        <w:t xml:space="preserve"> between issuers and the market </w:t>
      </w:r>
      <w:r w:rsidR="003D2607">
        <w:rPr>
          <w:color w:val="FF0000"/>
          <w:sz w:val="20"/>
          <w:szCs w:val="20"/>
        </w:rPr>
        <w:t>(generally</w:t>
      </w:r>
      <w:r w:rsidR="00E26180">
        <w:rPr>
          <w:color w:val="FF0000"/>
          <w:sz w:val="20"/>
          <w:szCs w:val="20"/>
        </w:rPr>
        <w:t xml:space="preserve"> corporate advisors remunerated by the Issuers) </w:t>
      </w:r>
      <w:r w:rsidR="0083786E" w:rsidRPr="00096FE9">
        <w:rPr>
          <w:color w:val="FF0000"/>
          <w:sz w:val="20"/>
          <w:szCs w:val="20"/>
        </w:rPr>
        <w:t xml:space="preserve">exist because there is the belief that the firms on their own are not suitable to </w:t>
      </w:r>
      <w:r w:rsidR="003374EF" w:rsidRPr="00096FE9">
        <w:rPr>
          <w:color w:val="FF0000"/>
          <w:sz w:val="20"/>
          <w:szCs w:val="20"/>
        </w:rPr>
        <w:t>be the masters of their own fate regard</w:t>
      </w:r>
      <w:r w:rsidR="007A32C4">
        <w:rPr>
          <w:color w:val="FF0000"/>
          <w:sz w:val="20"/>
          <w:szCs w:val="20"/>
        </w:rPr>
        <w:t>ing</w:t>
      </w:r>
      <w:r w:rsidR="003374EF" w:rsidRPr="00096FE9">
        <w:rPr>
          <w:color w:val="FF0000"/>
          <w:sz w:val="20"/>
          <w:szCs w:val="20"/>
        </w:rPr>
        <w:t xml:space="preserve"> on-going obligations and adherence to </w:t>
      </w:r>
      <w:r w:rsidR="00495870" w:rsidRPr="00096FE9">
        <w:rPr>
          <w:color w:val="FF0000"/>
          <w:sz w:val="20"/>
          <w:szCs w:val="20"/>
        </w:rPr>
        <w:t xml:space="preserve">regulations. </w:t>
      </w:r>
      <w:r w:rsidR="007A32C4">
        <w:rPr>
          <w:color w:val="FF0000"/>
          <w:sz w:val="20"/>
          <w:szCs w:val="20"/>
        </w:rPr>
        <w:t>T</w:t>
      </w:r>
      <w:r w:rsidR="00495870" w:rsidRPr="00096FE9">
        <w:rPr>
          <w:color w:val="FF0000"/>
          <w:sz w:val="20"/>
          <w:szCs w:val="20"/>
        </w:rPr>
        <w:t>his</w:t>
      </w:r>
      <w:r w:rsidR="007A32C4">
        <w:rPr>
          <w:color w:val="FF0000"/>
          <w:sz w:val="20"/>
          <w:szCs w:val="20"/>
        </w:rPr>
        <w:t xml:space="preserve"> intermediation </w:t>
      </w:r>
      <w:r w:rsidR="00495870" w:rsidRPr="00096FE9">
        <w:rPr>
          <w:color w:val="FF0000"/>
          <w:sz w:val="20"/>
          <w:szCs w:val="20"/>
        </w:rPr>
        <w:t>creat</w:t>
      </w:r>
      <w:r w:rsidR="005F789A" w:rsidRPr="00096FE9">
        <w:rPr>
          <w:color w:val="FF0000"/>
          <w:sz w:val="20"/>
          <w:szCs w:val="20"/>
        </w:rPr>
        <w:t>es additional</w:t>
      </w:r>
      <w:r w:rsidR="00F376E6" w:rsidRPr="00096FE9">
        <w:rPr>
          <w:color w:val="FF0000"/>
          <w:sz w:val="20"/>
          <w:szCs w:val="20"/>
        </w:rPr>
        <w:t xml:space="preserve"> rent</w:t>
      </w:r>
      <w:r w:rsidR="00F8669E" w:rsidRPr="00096FE9">
        <w:rPr>
          <w:color w:val="FF0000"/>
          <w:sz w:val="20"/>
          <w:szCs w:val="20"/>
        </w:rPr>
        <w:t xml:space="preserve"> extraction</w:t>
      </w:r>
      <w:r w:rsidR="00F376E6" w:rsidRPr="00096FE9">
        <w:rPr>
          <w:color w:val="FF0000"/>
          <w:sz w:val="20"/>
          <w:szCs w:val="20"/>
        </w:rPr>
        <w:t xml:space="preserve"> </w:t>
      </w:r>
      <w:r w:rsidR="00F8669E" w:rsidRPr="00096FE9">
        <w:rPr>
          <w:color w:val="FF0000"/>
          <w:sz w:val="20"/>
          <w:szCs w:val="20"/>
        </w:rPr>
        <w:t>(</w:t>
      </w:r>
      <w:r w:rsidR="00A127A5" w:rsidRPr="00096FE9">
        <w:rPr>
          <w:color w:val="FF0000"/>
          <w:sz w:val="20"/>
          <w:szCs w:val="20"/>
        </w:rPr>
        <w:t>directly from the SME</w:t>
      </w:r>
      <w:r w:rsidR="00702F41" w:rsidRPr="00096FE9">
        <w:rPr>
          <w:color w:val="FF0000"/>
          <w:sz w:val="20"/>
          <w:szCs w:val="20"/>
        </w:rPr>
        <w:t>s</w:t>
      </w:r>
      <w:r w:rsidR="00F8669E" w:rsidRPr="00096FE9">
        <w:rPr>
          <w:color w:val="FF0000"/>
          <w:sz w:val="20"/>
          <w:szCs w:val="20"/>
        </w:rPr>
        <w:t xml:space="preserve">) </w:t>
      </w:r>
      <w:r w:rsidR="00221B40">
        <w:rPr>
          <w:color w:val="FF0000"/>
          <w:sz w:val="20"/>
          <w:szCs w:val="20"/>
        </w:rPr>
        <w:t>and</w:t>
      </w:r>
      <w:r w:rsidR="000A169D" w:rsidRPr="00096FE9">
        <w:rPr>
          <w:color w:val="FF0000"/>
          <w:sz w:val="20"/>
          <w:szCs w:val="20"/>
        </w:rPr>
        <w:t xml:space="preserve"> introduc</w:t>
      </w:r>
      <w:r w:rsidR="00221B40">
        <w:rPr>
          <w:color w:val="FF0000"/>
          <w:sz w:val="20"/>
          <w:szCs w:val="20"/>
        </w:rPr>
        <w:t>es</w:t>
      </w:r>
      <w:r w:rsidR="007715F1" w:rsidRPr="00096FE9">
        <w:rPr>
          <w:color w:val="FF0000"/>
          <w:sz w:val="20"/>
          <w:szCs w:val="20"/>
        </w:rPr>
        <w:t xml:space="preserve"> moral hazard</w:t>
      </w:r>
      <w:r w:rsidR="00BC0B3E">
        <w:rPr>
          <w:color w:val="FF0000"/>
          <w:sz w:val="20"/>
          <w:szCs w:val="20"/>
        </w:rPr>
        <w:t xml:space="preserve"> on the Issuers part (outsourced regulatory responsibility) and </w:t>
      </w:r>
      <w:r w:rsidR="00630744">
        <w:rPr>
          <w:color w:val="FF0000"/>
          <w:sz w:val="20"/>
          <w:szCs w:val="20"/>
        </w:rPr>
        <w:t>nat</w:t>
      </w:r>
      <w:r w:rsidR="00853A28" w:rsidRPr="00096FE9">
        <w:rPr>
          <w:color w:val="FF0000"/>
          <w:sz w:val="20"/>
          <w:szCs w:val="20"/>
        </w:rPr>
        <w:t>ural</w:t>
      </w:r>
      <w:r w:rsidR="000A169D" w:rsidRPr="00096FE9">
        <w:rPr>
          <w:color w:val="FF0000"/>
          <w:sz w:val="20"/>
          <w:szCs w:val="20"/>
        </w:rPr>
        <w:t xml:space="preserve"> conflicts of interest</w:t>
      </w:r>
      <w:r w:rsidR="00853A28" w:rsidRPr="00096FE9">
        <w:rPr>
          <w:color w:val="FF0000"/>
          <w:sz w:val="20"/>
          <w:szCs w:val="20"/>
        </w:rPr>
        <w:t xml:space="preserve"> </w:t>
      </w:r>
      <w:r w:rsidR="00630744">
        <w:rPr>
          <w:color w:val="FF0000"/>
          <w:sz w:val="20"/>
          <w:szCs w:val="20"/>
        </w:rPr>
        <w:t>for the advisors</w:t>
      </w:r>
      <w:r w:rsidR="000A169D" w:rsidRPr="00096FE9">
        <w:rPr>
          <w:color w:val="FF0000"/>
          <w:sz w:val="20"/>
          <w:szCs w:val="20"/>
        </w:rPr>
        <w:t xml:space="preserve"> (</w:t>
      </w:r>
      <w:r w:rsidR="00630744">
        <w:rPr>
          <w:color w:val="FF0000"/>
          <w:sz w:val="20"/>
          <w:szCs w:val="20"/>
        </w:rPr>
        <w:t xml:space="preserve"> if </w:t>
      </w:r>
      <w:r w:rsidR="00207A0D">
        <w:rPr>
          <w:color w:val="FF0000"/>
          <w:sz w:val="20"/>
          <w:szCs w:val="20"/>
        </w:rPr>
        <w:t xml:space="preserve">an advisor reports </w:t>
      </w:r>
      <w:r w:rsidR="000A169D" w:rsidRPr="00096FE9">
        <w:rPr>
          <w:color w:val="FF0000"/>
          <w:sz w:val="20"/>
          <w:szCs w:val="20"/>
        </w:rPr>
        <w:t>on</w:t>
      </w:r>
      <w:r w:rsidR="00464F62" w:rsidRPr="00096FE9">
        <w:rPr>
          <w:color w:val="FF0000"/>
          <w:sz w:val="20"/>
          <w:szCs w:val="20"/>
        </w:rPr>
        <w:t>e</w:t>
      </w:r>
      <w:r w:rsidR="000A169D" w:rsidRPr="00096FE9">
        <w:rPr>
          <w:color w:val="FF0000"/>
          <w:sz w:val="20"/>
          <w:szCs w:val="20"/>
        </w:rPr>
        <w:t xml:space="preserve"> </w:t>
      </w:r>
      <w:r w:rsidR="00B013F3" w:rsidRPr="00096FE9">
        <w:rPr>
          <w:color w:val="FF0000"/>
          <w:sz w:val="20"/>
          <w:szCs w:val="20"/>
        </w:rPr>
        <w:t xml:space="preserve">of its firms to the </w:t>
      </w:r>
      <w:r w:rsidR="00207A0D">
        <w:rPr>
          <w:color w:val="FF0000"/>
          <w:sz w:val="20"/>
          <w:szCs w:val="20"/>
        </w:rPr>
        <w:t>NCA</w:t>
      </w:r>
      <w:r w:rsidR="00B013F3" w:rsidRPr="00096FE9">
        <w:rPr>
          <w:color w:val="FF0000"/>
          <w:sz w:val="20"/>
          <w:szCs w:val="20"/>
        </w:rPr>
        <w:t xml:space="preserve"> it highlight</w:t>
      </w:r>
      <w:r w:rsidR="00207A0D">
        <w:rPr>
          <w:color w:val="FF0000"/>
          <w:sz w:val="20"/>
          <w:szCs w:val="20"/>
        </w:rPr>
        <w:t>s their own potential</w:t>
      </w:r>
      <w:r w:rsidR="00B013F3" w:rsidRPr="00096FE9">
        <w:rPr>
          <w:color w:val="FF0000"/>
          <w:sz w:val="20"/>
          <w:szCs w:val="20"/>
        </w:rPr>
        <w:t xml:space="preserve"> failings </w:t>
      </w:r>
      <w:r w:rsidR="00003C11">
        <w:rPr>
          <w:color w:val="FF0000"/>
          <w:sz w:val="20"/>
          <w:szCs w:val="20"/>
        </w:rPr>
        <w:t xml:space="preserve">and </w:t>
      </w:r>
      <w:r w:rsidR="00B013F3" w:rsidRPr="00096FE9">
        <w:rPr>
          <w:color w:val="FF0000"/>
          <w:sz w:val="20"/>
          <w:szCs w:val="20"/>
        </w:rPr>
        <w:t>damage</w:t>
      </w:r>
      <w:r w:rsidR="00003C11">
        <w:rPr>
          <w:color w:val="FF0000"/>
          <w:sz w:val="20"/>
          <w:szCs w:val="20"/>
        </w:rPr>
        <w:t>s</w:t>
      </w:r>
      <w:r w:rsidR="00B013F3" w:rsidRPr="00096FE9">
        <w:rPr>
          <w:color w:val="FF0000"/>
          <w:sz w:val="20"/>
          <w:szCs w:val="20"/>
        </w:rPr>
        <w:t xml:space="preserve"> future </w:t>
      </w:r>
      <w:r w:rsidR="00003C11">
        <w:rPr>
          <w:color w:val="FF0000"/>
          <w:sz w:val="20"/>
          <w:szCs w:val="20"/>
        </w:rPr>
        <w:t>i</w:t>
      </w:r>
      <w:r w:rsidR="007715F1" w:rsidRPr="00096FE9">
        <w:rPr>
          <w:color w:val="FF0000"/>
          <w:sz w:val="20"/>
          <w:szCs w:val="20"/>
        </w:rPr>
        <w:t>ncome from that issuer)</w:t>
      </w:r>
      <w:r w:rsidR="00853A28" w:rsidRPr="00096FE9">
        <w:rPr>
          <w:color w:val="FF0000"/>
          <w:sz w:val="20"/>
          <w:szCs w:val="20"/>
        </w:rPr>
        <w:t>.</w:t>
      </w:r>
    </w:p>
    <w:p w14:paraId="60919231" w14:textId="0BB9309C" w:rsidR="00464F62" w:rsidRDefault="008A673A" w:rsidP="00E874F9">
      <w:pPr>
        <w:spacing w:after="120" w:line="240" w:lineRule="auto"/>
        <w:jc w:val="both"/>
        <w:rPr>
          <w:color w:val="FF0000"/>
          <w:sz w:val="20"/>
          <w:szCs w:val="20"/>
        </w:rPr>
      </w:pPr>
      <w:r w:rsidRPr="00096FE9">
        <w:rPr>
          <w:color w:val="FF0000"/>
          <w:sz w:val="20"/>
          <w:szCs w:val="20"/>
        </w:rPr>
        <w:t xml:space="preserve">This perception that SME markets are in some way ‘junior’ </w:t>
      </w:r>
      <w:r w:rsidR="008C724B" w:rsidRPr="00096FE9">
        <w:rPr>
          <w:color w:val="FF0000"/>
          <w:sz w:val="20"/>
          <w:szCs w:val="20"/>
        </w:rPr>
        <w:t>raises the prospect of these markets being</w:t>
      </w:r>
      <w:r w:rsidR="00247392" w:rsidRPr="00096FE9">
        <w:rPr>
          <w:color w:val="FF0000"/>
          <w:sz w:val="20"/>
          <w:szCs w:val="20"/>
        </w:rPr>
        <w:t xml:space="preserve"> idiosyncratic on a jurisdiction by jurisdiction basis. The means an investor from one</w:t>
      </w:r>
      <w:r w:rsidR="00224B30" w:rsidRPr="00096FE9">
        <w:rPr>
          <w:color w:val="FF0000"/>
          <w:sz w:val="20"/>
          <w:szCs w:val="20"/>
        </w:rPr>
        <w:t xml:space="preserve"> jurisdiction might be naturally put off from investing in an </w:t>
      </w:r>
      <w:r w:rsidR="006C660E" w:rsidRPr="00096FE9">
        <w:rPr>
          <w:color w:val="FF0000"/>
          <w:sz w:val="20"/>
          <w:szCs w:val="20"/>
        </w:rPr>
        <w:t xml:space="preserve">SME in another member state as they may not understand the nuances of the market (vs a native) and </w:t>
      </w:r>
      <w:r w:rsidR="008C6A97" w:rsidRPr="00096FE9">
        <w:rPr>
          <w:color w:val="FF0000"/>
          <w:sz w:val="20"/>
          <w:szCs w:val="20"/>
        </w:rPr>
        <w:t>are therefore likely to be disadvantaged at the outset.</w:t>
      </w:r>
    </w:p>
    <w:p w14:paraId="5027AE95" w14:textId="4CF99B3E" w:rsidR="002D7016" w:rsidRDefault="40F199AA" w:rsidP="000750CB">
      <w:pPr>
        <w:spacing w:after="0" w:line="240" w:lineRule="auto"/>
        <w:jc w:val="both"/>
        <w:rPr>
          <w:color w:val="FF0000"/>
          <w:sz w:val="20"/>
          <w:szCs w:val="20"/>
        </w:rPr>
      </w:pPr>
      <w:r w:rsidRPr="02775E0E">
        <w:rPr>
          <w:color w:val="FF0000"/>
          <w:sz w:val="20"/>
          <w:szCs w:val="20"/>
        </w:rPr>
        <w:t>The</w:t>
      </w:r>
      <w:r w:rsidR="00E916F3">
        <w:rPr>
          <w:color w:val="FF0000"/>
          <w:sz w:val="20"/>
          <w:szCs w:val="20"/>
        </w:rPr>
        <w:t xml:space="preserve"> following </w:t>
      </w:r>
      <w:r w:rsidRPr="02775E0E">
        <w:rPr>
          <w:color w:val="FF0000"/>
          <w:sz w:val="20"/>
          <w:szCs w:val="20"/>
        </w:rPr>
        <w:t xml:space="preserve">are </w:t>
      </w:r>
      <w:r w:rsidRPr="14DE7731">
        <w:rPr>
          <w:color w:val="FF0000"/>
          <w:sz w:val="20"/>
          <w:szCs w:val="20"/>
        </w:rPr>
        <w:t xml:space="preserve">measures </w:t>
      </w:r>
      <w:r w:rsidRPr="3D5DF95F">
        <w:rPr>
          <w:color w:val="FF0000"/>
          <w:sz w:val="20"/>
          <w:szCs w:val="20"/>
        </w:rPr>
        <w:t xml:space="preserve">which may help </w:t>
      </w:r>
      <w:r w:rsidRPr="4437D168">
        <w:rPr>
          <w:color w:val="FF0000"/>
          <w:sz w:val="20"/>
          <w:szCs w:val="20"/>
        </w:rPr>
        <w:t xml:space="preserve">attract </w:t>
      </w:r>
      <w:r w:rsidR="001941DD">
        <w:rPr>
          <w:color w:val="FF0000"/>
          <w:sz w:val="20"/>
          <w:szCs w:val="20"/>
        </w:rPr>
        <w:t>I</w:t>
      </w:r>
      <w:r w:rsidRPr="4437D168">
        <w:rPr>
          <w:color w:val="FF0000"/>
          <w:sz w:val="20"/>
          <w:szCs w:val="20"/>
        </w:rPr>
        <w:t>ssuers</w:t>
      </w:r>
      <w:r w:rsidRPr="242BAA7B">
        <w:rPr>
          <w:color w:val="FF0000"/>
          <w:sz w:val="20"/>
          <w:szCs w:val="20"/>
        </w:rPr>
        <w:t xml:space="preserve"> to </w:t>
      </w:r>
      <w:r w:rsidRPr="57208F15">
        <w:rPr>
          <w:color w:val="FF0000"/>
          <w:sz w:val="20"/>
          <w:szCs w:val="20"/>
        </w:rPr>
        <w:t>an SME growth market</w:t>
      </w:r>
      <w:r w:rsidR="002D7016">
        <w:rPr>
          <w:color w:val="FF0000"/>
          <w:sz w:val="20"/>
          <w:szCs w:val="20"/>
        </w:rPr>
        <w:t>:</w:t>
      </w:r>
    </w:p>
    <w:p w14:paraId="7DE7DEBE" w14:textId="1687B411" w:rsidR="000750CB" w:rsidRDefault="00C122B1" w:rsidP="006C3AF7">
      <w:pPr>
        <w:pStyle w:val="ListParagraph"/>
        <w:numPr>
          <w:ilvl w:val="0"/>
          <w:numId w:val="1"/>
        </w:numPr>
        <w:spacing w:after="0" w:line="240" w:lineRule="auto"/>
        <w:jc w:val="both"/>
        <w:rPr>
          <w:color w:val="FF0000"/>
          <w:sz w:val="20"/>
          <w:szCs w:val="20"/>
        </w:rPr>
      </w:pPr>
      <w:r>
        <w:rPr>
          <w:color w:val="FF0000"/>
          <w:sz w:val="20"/>
          <w:szCs w:val="20"/>
        </w:rPr>
        <w:t>issuers raising capital are sensitive to expenditure especially given they are likely considering a listing/admittance for capital raising purposes</w:t>
      </w:r>
      <w:r w:rsidR="000750CB">
        <w:rPr>
          <w:color w:val="FF0000"/>
          <w:sz w:val="20"/>
          <w:szCs w:val="20"/>
        </w:rPr>
        <w:t xml:space="preserve"> t</w:t>
      </w:r>
      <w:r>
        <w:rPr>
          <w:color w:val="FF0000"/>
          <w:sz w:val="20"/>
          <w:szCs w:val="20"/>
        </w:rPr>
        <w:t>herefore, reducing the barriers to raising money by simplifying the admittance process and on an ongoing basis will aid an SME. This could be in the form of documentation requirements such as an admittance document or the appointment of certain service providers.</w:t>
      </w:r>
    </w:p>
    <w:p w14:paraId="0CD85364" w14:textId="04CCBEDD" w:rsidR="00FA7CED" w:rsidRPr="00FA7CED" w:rsidRDefault="00C122B1" w:rsidP="006C3AF7">
      <w:pPr>
        <w:pStyle w:val="ListParagraph"/>
        <w:numPr>
          <w:ilvl w:val="0"/>
          <w:numId w:val="1"/>
        </w:numPr>
        <w:spacing w:after="0" w:line="240" w:lineRule="auto"/>
        <w:jc w:val="both"/>
        <w:rPr>
          <w:color w:val="FF0000"/>
          <w:sz w:val="20"/>
          <w:szCs w:val="20"/>
        </w:rPr>
      </w:pPr>
      <w:r>
        <w:rPr>
          <w:color w:val="FF0000"/>
          <w:sz w:val="20"/>
          <w:szCs w:val="20"/>
        </w:rPr>
        <w:t>SME growth markets will achieve the most traction when diverse, accessible</w:t>
      </w:r>
      <w:r w:rsidR="007639DD">
        <w:rPr>
          <w:color w:val="FF0000"/>
          <w:sz w:val="20"/>
          <w:szCs w:val="20"/>
        </w:rPr>
        <w:t>,</w:t>
      </w:r>
      <w:r>
        <w:rPr>
          <w:color w:val="FF0000"/>
          <w:sz w:val="20"/>
          <w:szCs w:val="20"/>
        </w:rPr>
        <w:t xml:space="preserve"> and with demonstrable proof of liquidity. Regulated market makers are likely to have less risky opportunities for their capital in other markets, so the cost for them to support this market should be reduced. </w:t>
      </w:r>
      <w:r w:rsidR="00647836">
        <w:rPr>
          <w:color w:val="FF0000"/>
          <w:sz w:val="20"/>
          <w:szCs w:val="20"/>
        </w:rPr>
        <w:t>Any barriers such as liquidity schemes, regulat</w:t>
      </w:r>
      <w:r w:rsidR="002A6C26">
        <w:rPr>
          <w:color w:val="FF0000"/>
          <w:sz w:val="20"/>
          <w:szCs w:val="20"/>
        </w:rPr>
        <w:t>ed</w:t>
      </w:r>
      <w:r w:rsidR="00647836">
        <w:rPr>
          <w:color w:val="FF0000"/>
          <w:sz w:val="20"/>
          <w:szCs w:val="20"/>
        </w:rPr>
        <w:t xml:space="preserve"> or mandated liquidity provider agreements are likely to create unnecessary barriers to providing base liquidity in these markets.</w:t>
      </w:r>
    </w:p>
    <w:p w14:paraId="64693C11" w14:textId="6E061405" w:rsidR="00647836" w:rsidRDefault="00647836" w:rsidP="006C3AF7">
      <w:pPr>
        <w:pStyle w:val="ListParagraph"/>
        <w:numPr>
          <w:ilvl w:val="0"/>
          <w:numId w:val="1"/>
        </w:numPr>
        <w:spacing w:after="0" w:line="240" w:lineRule="auto"/>
        <w:jc w:val="both"/>
        <w:rPr>
          <w:color w:val="FF0000"/>
          <w:sz w:val="20"/>
          <w:szCs w:val="20"/>
        </w:rPr>
      </w:pPr>
      <w:r>
        <w:rPr>
          <w:color w:val="FF0000"/>
          <w:sz w:val="20"/>
          <w:szCs w:val="20"/>
        </w:rPr>
        <w:t>There are fewer than 20 SME growth markets in the whole of Europe and many are rebranded existing markets which were previously considered inaccessible. Emerging SME growth markets tackling new capital markets are restricted from gaining traction due to their status as junior markets. The position of SME growth markets could be improved by considering them regulated growth markets which would also allow institutional investors to participate.</w:t>
      </w:r>
    </w:p>
    <w:p w14:paraId="40AF3842" w14:textId="5544E729" w:rsidR="00647836" w:rsidRDefault="00647836" w:rsidP="006C3AF7">
      <w:pPr>
        <w:pStyle w:val="ListParagraph"/>
        <w:numPr>
          <w:ilvl w:val="0"/>
          <w:numId w:val="1"/>
        </w:numPr>
        <w:spacing w:after="0" w:line="240" w:lineRule="auto"/>
        <w:jc w:val="both"/>
        <w:rPr>
          <w:color w:val="FF0000"/>
          <w:sz w:val="20"/>
          <w:szCs w:val="20"/>
        </w:rPr>
      </w:pPr>
      <w:r>
        <w:rPr>
          <w:color w:val="FF0000"/>
          <w:sz w:val="20"/>
          <w:szCs w:val="20"/>
        </w:rPr>
        <w:t>Existing market infrastructure providers should be non-discriminatory in their practices. Banks, clearing houses, CSDs</w:t>
      </w:r>
      <w:r w:rsidR="001C6EE8">
        <w:rPr>
          <w:color w:val="FF0000"/>
          <w:sz w:val="20"/>
          <w:szCs w:val="20"/>
        </w:rPr>
        <w:t>,</w:t>
      </w:r>
      <w:r>
        <w:rPr>
          <w:color w:val="FF0000"/>
          <w:sz w:val="20"/>
          <w:szCs w:val="20"/>
        </w:rPr>
        <w:t xml:space="preserve"> and any other related ecosystem entit</w:t>
      </w:r>
      <w:r w:rsidR="001C6EE8">
        <w:rPr>
          <w:color w:val="FF0000"/>
          <w:sz w:val="20"/>
          <w:szCs w:val="20"/>
        </w:rPr>
        <w:t>ies</w:t>
      </w:r>
      <w:r>
        <w:rPr>
          <w:color w:val="FF0000"/>
          <w:sz w:val="20"/>
          <w:szCs w:val="20"/>
        </w:rPr>
        <w:t xml:space="preserve"> should be required to offer their services to SME growth markets at a rate in line with their size</w:t>
      </w:r>
      <w:r w:rsidR="001C6EE8">
        <w:rPr>
          <w:color w:val="FF0000"/>
          <w:sz w:val="20"/>
          <w:szCs w:val="20"/>
        </w:rPr>
        <w:t>.</w:t>
      </w:r>
    </w:p>
    <w:p w14:paraId="24DFD8F1" w14:textId="715189F9" w:rsidR="00C122B1" w:rsidRPr="00005785" w:rsidRDefault="00647836" w:rsidP="006C3AF7">
      <w:pPr>
        <w:pStyle w:val="ListParagraph"/>
        <w:numPr>
          <w:ilvl w:val="0"/>
          <w:numId w:val="1"/>
        </w:numPr>
        <w:spacing w:after="0" w:line="240" w:lineRule="auto"/>
        <w:jc w:val="both"/>
        <w:rPr>
          <w:color w:val="FF0000"/>
          <w:sz w:val="20"/>
          <w:szCs w:val="20"/>
        </w:rPr>
      </w:pPr>
      <w:r>
        <w:rPr>
          <w:color w:val="FF0000"/>
          <w:sz w:val="20"/>
          <w:szCs w:val="20"/>
        </w:rPr>
        <w:t>SME growth markets should be able to enable SMEs to raise capital which can be streamlined through an SME growth market admission. This would help to reduce the number of private market bulletin boards that are emerging and preventing real traction in the SME marketplaces.</w:t>
      </w:r>
    </w:p>
    <w:p w14:paraId="62EA3056" w14:textId="218227AA" w:rsidR="00E874F9" w:rsidRPr="009C343E" w:rsidRDefault="00E874F9" w:rsidP="00E874F9">
      <w:pPr>
        <w:spacing w:after="120" w:line="240" w:lineRule="auto"/>
        <w:jc w:val="both"/>
        <w:rPr>
          <w:b/>
          <w:bCs/>
          <w:sz w:val="20"/>
          <w:szCs w:val="20"/>
        </w:rPr>
      </w:pPr>
      <w:r w:rsidRPr="009C343E">
        <w:rPr>
          <w:b/>
          <w:bCs/>
          <w:sz w:val="20"/>
          <w:szCs w:val="20"/>
        </w:rPr>
        <w:t>Q3: In your view does the 50% threshold set in Article 33(3)(a) of MIFID II remain appropriate for the time being as a criterion for an MTF to qualify as an SME GM? Do you think that a medium-term increase of the threshold and the creation of a more specialised SME GMs regime would be appropriate?</w:t>
      </w:r>
    </w:p>
    <w:p w14:paraId="19386AF8" w14:textId="53435E77" w:rsidR="00CB1798" w:rsidRPr="00096FE9" w:rsidRDefault="00CB1798" w:rsidP="00E874F9">
      <w:pPr>
        <w:spacing w:after="120" w:line="240" w:lineRule="auto"/>
        <w:jc w:val="both"/>
        <w:rPr>
          <w:color w:val="FF0000"/>
          <w:sz w:val="20"/>
          <w:szCs w:val="20"/>
        </w:rPr>
      </w:pPr>
      <w:r w:rsidRPr="00096FE9">
        <w:rPr>
          <w:color w:val="FF0000"/>
          <w:sz w:val="20"/>
          <w:szCs w:val="20"/>
        </w:rPr>
        <w:t>Archax agrees that venues registering as SME GM</w:t>
      </w:r>
      <w:r w:rsidR="003732D2" w:rsidRPr="00096FE9">
        <w:rPr>
          <w:color w:val="FF0000"/>
          <w:sz w:val="20"/>
          <w:szCs w:val="20"/>
        </w:rPr>
        <w:t>s</w:t>
      </w:r>
      <w:r w:rsidRPr="00096FE9">
        <w:rPr>
          <w:color w:val="FF0000"/>
          <w:sz w:val="20"/>
          <w:szCs w:val="20"/>
        </w:rPr>
        <w:t xml:space="preserve"> </w:t>
      </w:r>
      <w:r w:rsidR="00B77C19" w:rsidRPr="00096FE9">
        <w:rPr>
          <w:color w:val="FF0000"/>
          <w:sz w:val="20"/>
          <w:szCs w:val="20"/>
        </w:rPr>
        <w:t>remains</w:t>
      </w:r>
      <w:r w:rsidRPr="00096FE9">
        <w:rPr>
          <w:color w:val="FF0000"/>
          <w:sz w:val="20"/>
          <w:szCs w:val="20"/>
        </w:rPr>
        <w:t xml:space="preserve"> on-going, indeed we are unlikely to have seen many new venues which launched in response to the SME GM additions achieve their regulatory </w:t>
      </w:r>
      <w:r w:rsidRPr="00096FE9">
        <w:rPr>
          <w:color w:val="FF0000"/>
          <w:sz w:val="20"/>
          <w:szCs w:val="20"/>
        </w:rPr>
        <w:lastRenderedPageBreak/>
        <w:t>approval yet. Archax believes that if a review of the threshold is undertaken, that it is done so after such venues have had a chance to mature.</w:t>
      </w:r>
    </w:p>
    <w:p w14:paraId="6C1B5CC5" w14:textId="391ED94E" w:rsidR="00CB1798" w:rsidRPr="00096FE9" w:rsidRDefault="00CB1798" w:rsidP="007D6F56">
      <w:pPr>
        <w:spacing w:after="0" w:line="240" w:lineRule="auto"/>
        <w:jc w:val="both"/>
        <w:rPr>
          <w:color w:val="FF0000"/>
          <w:sz w:val="20"/>
          <w:szCs w:val="20"/>
        </w:rPr>
      </w:pPr>
      <w:r w:rsidRPr="00096FE9">
        <w:rPr>
          <w:color w:val="FF0000"/>
          <w:sz w:val="20"/>
          <w:szCs w:val="20"/>
        </w:rPr>
        <w:t>When considering any such a review, how would issuers no longer deemed ‘SME’ in accordance with CDR (EU) 2017/565 due to the</w:t>
      </w:r>
      <w:r w:rsidR="007D6F56" w:rsidRPr="00096FE9">
        <w:rPr>
          <w:color w:val="FF0000"/>
          <w:sz w:val="20"/>
          <w:szCs w:val="20"/>
        </w:rPr>
        <w:t>ir success within the SME regime be accounted fo</w:t>
      </w:r>
      <w:r w:rsidR="007D6F56" w:rsidRPr="00096FE9">
        <w:rPr>
          <w:color w:val="FF0000"/>
          <w:sz w:val="20"/>
          <w:szCs w:val="20"/>
        </w:rPr>
        <w:t>r</w:t>
      </w:r>
      <w:r w:rsidR="00B77C19" w:rsidRPr="00096FE9">
        <w:rPr>
          <w:color w:val="FF0000"/>
          <w:sz w:val="20"/>
          <w:szCs w:val="20"/>
        </w:rPr>
        <w:t>?</w:t>
      </w:r>
      <w:r w:rsidR="007D6F56" w:rsidRPr="00096FE9">
        <w:rPr>
          <w:color w:val="FF0000"/>
          <w:sz w:val="20"/>
          <w:szCs w:val="20"/>
        </w:rPr>
        <w:t xml:space="preserve"> </w:t>
      </w:r>
      <w:r w:rsidR="007D6F56" w:rsidRPr="00096FE9">
        <w:rPr>
          <w:color w:val="FF0000"/>
          <w:sz w:val="20"/>
          <w:szCs w:val="20"/>
        </w:rPr>
        <w:t xml:space="preserve">Where a venue only runs one market segment and is in breach of the </w:t>
      </w:r>
      <w:r w:rsidR="007D6F56" w:rsidRPr="00096FE9">
        <w:rPr>
          <w:color w:val="FF0000"/>
          <w:sz w:val="20"/>
          <w:szCs w:val="20"/>
        </w:rPr>
        <w:t xml:space="preserve">threshold </w:t>
      </w:r>
      <w:r w:rsidR="008D3458" w:rsidRPr="00096FE9">
        <w:rPr>
          <w:color w:val="FF0000"/>
          <w:sz w:val="20"/>
          <w:szCs w:val="20"/>
        </w:rPr>
        <w:t>(</w:t>
      </w:r>
      <w:r w:rsidR="007D6F56" w:rsidRPr="00096FE9">
        <w:rPr>
          <w:color w:val="FF0000"/>
          <w:sz w:val="20"/>
          <w:szCs w:val="20"/>
        </w:rPr>
        <w:t>as enough previously SME issuers no longer</w:t>
      </w:r>
      <w:r w:rsidR="00ED6958" w:rsidRPr="00096FE9">
        <w:rPr>
          <w:color w:val="FF0000"/>
          <w:sz w:val="20"/>
          <w:szCs w:val="20"/>
        </w:rPr>
        <w:t xml:space="preserve"> qualify as</w:t>
      </w:r>
      <w:r w:rsidR="007D6F56" w:rsidRPr="00096FE9">
        <w:rPr>
          <w:color w:val="FF0000"/>
          <w:sz w:val="20"/>
          <w:szCs w:val="20"/>
        </w:rPr>
        <w:t xml:space="preserve"> such</w:t>
      </w:r>
      <w:r w:rsidR="008D3458" w:rsidRPr="00096FE9">
        <w:rPr>
          <w:color w:val="FF0000"/>
          <w:sz w:val="20"/>
          <w:szCs w:val="20"/>
        </w:rPr>
        <w:t>)</w:t>
      </w:r>
      <w:r w:rsidR="007D6F56" w:rsidRPr="00096FE9">
        <w:rPr>
          <w:color w:val="FF0000"/>
          <w:sz w:val="20"/>
          <w:szCs w:val="20"/>
        </w:rPr>
        <w:t xml:space="preserve"> is it </w:t>
      </w:r>
      <w:r w:rsidR="00ED6958" w:rsidRPr="00096FE9">
        <w:rPr>
          <w:color w:val="FF0000"/>
          <w:sz w:val="20"/>
          <w:szCs w:val="20"/>
        </w:rPr>
        <w:t>pre</w:t>
      </w:r>
      <w:r w:rsidR="00ED6958" w:rsidRPr="00096FE9">
        <w:rPr>
          <w:color w:val="FF0000"/>
          <w:sz w:val="20"/>
          <w:szCs w:val="20"/>
        </w:rPr>
        <w:t>ferable</w:t>
      </w:r>
      <w:r w:rsidR="007D6F56" w:rsidRPr="00096FE9">
        <w:rPr>
          <w:color w:val="FF0000"/>
          <w:sz w:val="20"/>
          <w:szCs w:val="20"/>
        </w:rPr>
        <w:t xml:space="preserve"> that the venue:</w:t>
      </w:r>
    </w:p>
    <w:p w14:paraId="501B31CE" w14:textId="45277831" w:rsidR="007D6F56" w:rsidRPr="00096FE9" w:rsidRDefault="007D6F56" w:rsidP="002C2CD1">
      <w:pPr>
        <w:pStyle w:val="ListParagraph"/>
        <w:numPr>
          <w:ilvl w:val="0"/>
          <w:numId w:val="4"/>
        </w:numPr>
        <w:spacing w:after="0" w:line="240" w:lineRule="auto"/>
        <w:jc w:val="both"/>
        <w:rPr>
          <w:color w:val="FF0000"/>
          <w:sz w:val="20"/>
          <w:szCs w:val="20"/>
        </w:rPr>
      </w:pPr>
      <w:r w:rsidRPr="00096FE9">
        <w:rPr>
          <w:color w:val="FF0000"/>
          <w:sz w:val="20"/>
          <w:szCs w:val="20"/>
        </w:rPr>
        <w:t>requests that those successful issuers to remove their issuance and go elsewhere?</w:t>
      </w:r>
    </w:p>
    <w:p w14:paraId="49472C76" w14:textId="2A20A317" w:rsidR="007D6F56" w:rsidRDefault="007D6F56" w:rsidP="002C2CD1">
      <w:pPr>
        <w:pStyle w:val="ListParagraph"/>
        <w:numPr>
          <w:ilvl w:val="0"/>
          <w:numId w:val="4"/>
        </w:numPr>
        <w:spacing w:after="120" w:line="240" w:lineRule="auto"/>
        <w:jc w:val="both"/>
        <w:rPr>
          <w:color w:val="FF0000"/>
          <w:sz w:val="20"/>
          <w:szCs w:val="20"/>
        </w:rPr>
      </w:pPr>
      <w:r w:rsidRPr="00096FE9">
        <w:rPr>
          <w:color w:val="FF0000"/>
          <w:sz w:val="20"/>
          <w:szCs w:val="20"/>
        </w:rPr>
        <w:t xml:space="preserve">deregisters as an SME </w:t>
      </w:r>
      <w:r w:rsidR="0043587F" w:rsidRPr="00096FE9">
        <w:rPr>
          <w:color w:val="FF0000"/>
          <w:sz w:val="20"/>
          <w:szCs w:val="20"/>
        </w:rPr>
        <w:t>GM</w:t>
      </w:r>
      <w:r w:rsidRPr="00096FE9">
        <w:rPr>
          <w:color w:val="FF0000"/>
          <w:sz w:val="20"/>
          <w:szCs w:val="20"/>
        </w:rPr>
        <w:t xml:space="preserve"> to accommodate the successful issuers, to the detriment of remaining </w:t>
      </w:r>
      <w:proofErr w:type="gramStart"/>
      <w:r w:rsidRPr="00096FE9">
        <w:rPr>
          <w:color w:val="FF0000"/>
          <w:sz w:val="20"/>
          <w:szCs w:val="20"/>
        </w:rPr>
        <w:t>SMEs?</w:t>
      </w:r>
      <w:proofErr w:type="gramEnd"/>
    </w:p>
    <w:p w14:paraId="39834032" w14:textId="53B798D1" w:rsidR="00646EE8" w:rsidRPr="00646EE8" w:rsidRDefault="00646EE8" w:rsidP="00646EE8">
      <w:pPr>
        <w:spacing w:after="120" w:line="240" w:lineRule="auto"/>
        <w:jc w:val="both"/>
        <w:rPr>
          <w:color w:val="FF0000"/>
          <w:sz w:val="20"/>
          <w:szCs w:val="20"/>
        </w:rPr>
      </w:pPr>
      <w:r>
        <w:rPr>
          <w:color w:val="FF0000"/>
          <w:sz w:val="20"/>
          <w:szCs w:val="20"/>
        </w:rPr>
        <w:t xml:space="preserve">An important </w:t>
      </w:r>
      <w:r w:rsidR="004909BC">
        <w:rPr>
          <w:color w:val="FF0000"/>
          <w:sz w:val="20"/>
          <w:szCs w:val="20"/>
        </w:rPr>
        <w:t xml:space="preserve">realisation that cannot be overlooked is the need for SME GMs to </w:t>
      </w:r>
      <w:r w:rsidRPr="00646EE8">
        <w:rPr>
          <w:color w:val="FF0000"/>
          <w:sz w:val="20"/>
          <w:szCs w:val="20"/>
        </w:rPr>
        <w:t>be able to</w:t>
      </w:r>
      <w:r w:rsidR="004909BC">
        <w:rPr>
          <w:color w:val="FF0000"/>
          <w:sz w:val="20"/>
          <w:szCs w:val="20"/>
        </w:rPr>
        <w:t xml:space="preserve"> generate revenues</w:t>
      </w:r>
      <w:r w:rsidR="00790CE0">
        <w:rPr>
          <w:color w:val="FF0000"/>
          <w:sz w:val="20"/>
          <w:szCs w:val="20"/>
        </w:rPr>
        <w:t xml:space="preserve"> (such as fees)</w:t>
      </w:r>
      <w:r w:rsidRPr="00646EE8">
        <w:rPr>
          <w:color w:val="FF0000"/>
          <w:sz w:val="20"/>
          <w:szCs w:val="20"/>
        </w:rPr>
        <w:t xml:space="preserve"> from non-SME trading </w:t>
      </w:r>
      <w:r w:rsidR="00790CE0">
        <w:rPr>
          <w:color w:val="FF0000"/>
          <w:sz w:val="20"/>
          <w:szCs w:val="20"/>
        </w:rPr>
        <w:t>so as to</w:t>
      </w:r>
      <w:r w:rsidRPr="00646EE8">
        <w:rPr>
          <w:color w:val="FF0000"/>
          <w:sz w:val="20"/>
          <w:szCs w:val="20"/>
        </w:rPr>
        <w:t xml:space="preserve"> </w:t>
      </w:r>
      <w:r w:rsidR="009A2E92">
        <w:rPr>
          <w:color w:val="FF0000"/>
          <w:sz w:val="20"/>
          <w:szCs w:val="20"/>
        </w:rPr>
        <w:t xml:space="preserve">facilitate the operation of markets in </w:t>
      </w:r>
      <w:r w:rsidRPr="00646EE8">
        <w:rPr>
          <w:color w:val="FF0000"/>
          <w:sz w:val="20"/>
          <w:szCs w:val="20"/>
        </w:rPr>
        <w:t>SME</w:t>
      </w:r>
      <w:r w:rsidR="009A2E92">
        <w:rPr>
          <w:color w:val="FF0000"/>
          <w:sz w:val="20"/>
          <w:szCs w:val="20"/>
        </w:rPr>
        <w:t>s</w:t>
      </w:r>
      <w:r w:rsidRPr="00646EE8">
        <w:rPr>
          <w:color w:val="FF0000"/>
          <w:sz w:val="20"/>
          <w:szCs w:val="20"/>
        </w:rPr>
        <w:t xml:space="preserve"> </w:t>
      </w:r>
      <w:r w:rsidR="009A2E92">
        <w:rPr>
          <w:color w:val="FF0000"/>
          <w:sz w:val="20"/>
          <w:szCs w:val="20"/>
        </w:rPr>
        <w:t xml:space="preserve">which are likely to </w:t>
      </w:r>
      <w:r w:rsidR="007F3DD2">
        <w:rPr>
          <w:color w:val="FF0000"/>
          <w:sz w:val="20"/>
          <w:szCs w:val="20"/>
        </w:rPr>
        <w:t>experience low liquidity conditions, especially until SME GMs are more established and legitimised.</w:t>
      </w:r>
    </w:p>
    <w:p w14:paraId="6D0060A1" w14:textId="3BF539B6" w:rsidR="00E874F9" w:rsidRPr="009C343E" w:rsidRDefault="00E874F9" w:rsidP="00E874F9">
      <w:pPr>
        <w:spacing w:after="120" w:line="240" w:lineRule="auto"/>
        <w:jc w:val="both"/>
        <w:rPr>
          <w:b/>
          <w:bCs/>
          <w:sz w:val="20"/>
          <w:szCs w:val="20"/>
        </w:rPr>
      </w:pPr>
      <w:r w:rsidRPr="009C343E">
        <w:rPr>
          <w:b/>
          <w:bCs/>
          <w:sz w:val="20"/>
          <w:szCs w:val="20"/>
        </w:rPr>
        <w:t>Q4: Do you consider that a further alignment of the definitions of an SME in different pieces of regulation with the MiFID II definition of SME would be helpful? Can you provide specifics of where alignment would be needed?</w:t>
      </w:r>
      <w:r w:rsidR="00570B68" w:rsidRPr="009C343E">
        <w:rPr>
          <w:b/>
          <w:bCs/>
          <w:sz w:val="20"/>
          <w:szCs w:val="20"/>
        </w:rPr>
        <w:t xml:space="preserve"> </w:t>
      </w:r>
    </w:p>
    <w:p w14:paraId="725A4875" w14:textId="18B222E8" w:rsidR="00CB1798" w:rsidRPr="00096FE9" w:rsidRDefault="00CB1798" w:rsidP="00E874F9">
      <w:pPr>
        <w:spacing w:after="120" w:line="240" w:lineRule="auto"/>
        <w:jc w:val="both"/>
        <w:rPr>
          <w:color w:val="FF0000"/>
          <w:sz w:val="20"/>
          <w:szCs w:val="20"/>
        </w:rPr>
      </w:pPr>
      <w:r w:rsidRPr="00096FE9">
        <w:rPr>
          <w:color w:val="FF0000"/>
          <w:sz w:val="20"/>
          <w:szCs w:val="20"/>
        </w:rPr>
        <w:t xml:space="preserve">Archax believes that there should be total alignment where possible. Any uncertainty or ambiguity in the underpinning legislation only leads to an increased burden on potential issuers to ensure they meet all the required thresholds. Often such issuers lack in-house expertise to be able to navigate relevant regulations and therefore must outsource </w:t>
      </w:r>
      <w:r w:rsidR="001018D5" w:rsidRPr="00096FE9">
        <w:rPr>
          <w:color w:val="FF0000"/>
          <w:sz w:val="20"/>
          <w:szCs w:val="20"/>
        </w:rPr>
        <w:t>it</w:t>
      </w:r>
      <w:r w:rsidRPr="00096FE9">
        <w:rPr>
          <w:color w:val="FF0000"/>
          <w:sz w:val="20"/>
          <w:szCs w:val="20"/>
        </w:rPr>
        <w:t xml:space="preserve">. Costs incurred here can be easily reduced by refining the legislative framework against which they are </w:t>
      </w:r>
      <w:r w:rsidR="0043587F" w:rsidRPr="00096FE9">
        <w:rPr>
          <w:color w:val="FF0000"/>
          <w:sz w:val="20"/>
          <w:szCs w:val="20"/>
        </w:rPr>
        <w:t>beholden</w:t>
      </w:r>
      <w:r w:rsidRPr="00096FE9">
        <w:rPr>
          <w:color w:val="FF0000"/>
          <w:sz w:val="20"/>
          <w:szCs w:val="20"/>
        </w:rPr>
        <w:t>.</w:t>
      </w:r>
    </w:p>
    <w:p w14:paraId="4EE8B00A" w14:textId="5F37A994" w:rsidR="0094791D" w:rsidRPr="00096FE9" w:rsidRDefault="0067642D" w:rsidP="00E874F9">
      <w:pPr>
        <w:spacing w:after="120" w:line="240" w:lineRule="auto"/>
        <w:jc w:val="both"/>
        <w:rPr>
          <w:color w:val="FF0000"/>
          <w:sz w:val="20"/>
          <w:szCs w:val="20"/>
        </w:rPr>
      </w:pPr>
      <w:r w:rsidRPr="00096FE9">
        <w:rPr>
          <w:color w:val="FF0000"/>
          <w:sz w:val="20"/>
          <w:szCs w:val="20"/>
        </w:rPr>
        <w:t>Additional consideration should be given to the definition of an SME more broadly, for example would a large</w:t>
      </w:r>
      <w:r w:rsidRPr="00096FE9">
        <w:rPr>
          <w:color w:val="FF0000"/>
          <w:sz w:val="20"/>
          <w:szCs w:val="20"/>
        </w:rPr>
        <w:t xml:space="preserve"> investment manager </w:t>
      </w:r>
      <w:r w:rsidRPr="00096FE9">
        <w:rPr>
          <w:color w:val="FF0000"/>
          <w:sz w:val="20"/>
          <w:szCs w:val="20"/>
        </w:rPr>
        <w:t>(r</w:t>
      </w:r>
      <w:r w:rsidRPr="00096FE9">
        <w:rPr>
          <w:color w:val="FF0000"/>
          <w:sz w:val="20"/>
          <w:szCs w:val="20"/>
        </w:rPr>
        <w:t>un</w:t>
      </w:r>
      <w:r w:rsidRPr="00096FE9">
        <w:rPr>
          <w:color w:val="FF0000"/>
          <w:sz w:val="20"/>
          <w:szCs w:val="20"/>
        </w:rPr>
        <w:t>ning</w:t>
      </w:r>
      <w:r w:rsidRPr="00096FE9">
        <w:rPr>
          <w:color w:val="FF0000"/>
          <w:sz w:val="20"/>
          <w:szCs w:val="20"/>
        </w:rPr>
        <w:t xml:space="preserve"> </w:t>
      </w:r>
      <w:r w:rsidR="00DB6BEA" w:rsidRPr="00096FE9">
        <w:rPr>
          <w:color w:val="FF0000"/>
          <w:sz w:val="20"/>
          <w:szCs w:val="20"/>
        </w:rPr>
        <w:t xml:space="preserve">GBP </w:t>
      </w:r>
      <w:r w:rsidRPr="00096FE9">
        <w:rPr>
          <w:color w:val="FF0000"/>
          <w:sz w:val="20"/>
          <w:szCs w:val="20"/>
        </w:rPr>
        <w:t>billions</w:t>
      </w:r>
      <w:r w:rsidR="00DB6BEA" w:rsidRPr="00096FE9">
        <w:rPr>
          <w:color w:val="FF0000"/>
          <w:sz w:val="20"/>
          <w:szCs w:val="20"/>
        </w:rPr>
        <w:t>)</w:t>
      </w:r>
      <w:r w:rsidR="00884EBD" w:rsidRPr="00096FE9">
        <w:rPr>
          <w:color w:val="FF0000"/>
          <w:sz w:val="20"/>
          <w:szCs w:val="20"/>
        </w:rPr>
        <w:t xml:space="preserve"> be able to </w:t>
      </w:r>
      <w:r w:rsidR="00D705A3" w:rsidRPr="00096FE9">
        <w:rPr>
          <w:color w:val="FF0000"/>
          <w:sz w:val="20"/>
          <w:szCs w:val="20"/>
        </w:rPr>
        <w:t>create funds</w:t>
      </w:r>
      <w:r w:rsidRPr="00096FE9">
        <w:rPr>
          <w:color w:val="FF0000"/>
          <w:sz w:val="20"/>
          <w:szCs w:val="20"/>
        </w:rPr>
        <w:t>, each of which are separate fund vehicles</w:t>
      </w:r>
      <w:r w:rsidR="00BB2046" w:rsidRPr="00096FE9">
        <w:rPr>
          <w:color w:val="FF0000"/>
          <w:sz w:val="20"/>
          <w:szCs w:val="20"/>
        </w:rPr>
        <w:t xml:space="preserve"> with</w:t>
      </w:r>
      <w:r w:rsidRPr="00096FE9">
        <w:rPr>
          <w:color w:val="FF0000"/>
          <w:sz w:val="20"/>
          <w:szCs w:val="20"/>
        </w:rPr>
        <w:t xml:space="preserve"> ~£100m under management, </w:t>
      </w:r>
      <w:r w:rsidR="0027410D" w:rsidRPr="00096FE9">
        <w:rPr>
          <w:color w:val="FF0000"/>
          <w:sz w:val="20"/>
          <w:szCs w:val="20"/>
        </w:rPr>
        <w:t>that are</w:t>
      </w:r>
      <w:r w:rsidRPr="00096FE9">
        <w:rPr>
          <w:color w:val="FF0000"/>
          <w:sz w:val="20"/>
          <w:szCs w:val="20"/>
        </w:rPr>
        <w:t xml:space="preserve"> treated as independent SME</w:t>
      </w:r>
      <w:r w:rsidR="006C54B1" w:rsidRPr="00096FE9">
        <w:rPr>
          <w:color w:val="FF0000"/>
          <w:sz w:val="20"/>
          <w:szCs w:val="20"/>
        </w:rPr>
        <w:t>s</w:t>
      </w:r>
      <w:r w:rsidRPr="00096FE9">
        <w:rPr>
          <w:color w:val="FF0000"/>
          <w:sz w:val="20"/>
          <w:szCs w:val="20"/>
        </w:rPr>
        <w:t xml:space="preserve">? </w:t>
      </w:r>
      <w:r w:rsidR="00AD198F" w:rsidRPr="00096FE9">
        <w:rPr>
          <w:color w:val="FF0000"/>
          <w:sz w:val="20"/>
          <w:szCs w:val="20"/>
        </w:rPr>
        <w:t>There is demand for</w:t>
      </w:r>
      <w:r w:rsidR="00F97725" w:rsidRPr="00096FE9">
        <w:rPr>
          <w:color w:val="FF0000"/>
          <w:sz w:val="20"/>
          <w:szCs w:val="20"/>
        </w:rPr>
        <w:t xml:space="preserve"> this</w:t>
      </w:r>
      <w:r w:rsidR="00943E32" w:rsidRPr="00096FE9">
        <w:rPr>
          <w:color w:val="FF0000"/>
          <w:sz w:val="20"/>
          <w:szCs w:val="20"/>
        </w:rPr>
        <w:t>.</w:t>
      </w:r>
    </w:p>
    <w:p w14:paraId="4D896209" w14:textId="37D35936" w:rsidR="00E874F9" w:rsidRPr="009C343E" w:rsidRDefault="00E874F9" w:rsidP="00E874F9">
      <w:pPr>
        <w:spacing w:after="120" w:line="240" w:lineRule="auto"/>
        <w:jc w:val="both"/>
        <w:rPr>
          <w:b/>
          <w:bCs/>
          <w:sz w:val="20"/>
          <w:szCs w:val="20"/>
        </w:rPr>
      </w:pPr>
      <w:r w:rsidRPr="009C343E">
        <w:rPr>
          <w:b/>
          <w:bCs/>
          <w:sz w:val="20"/>
          <w:szCs w:val="20"/>
        </w:rPr>
        <w:t>Q5: Which are your views on the regime applicable to SME GMs regarding the initial and ongoing admission to trading of financial instruments? Are there requirements which should be specified?</w:t>
      </w:r>
    </w:p>
    <w:p w14:paraId="42122B8F" w14:textId="4D0FD71A" w:rsidR="00344E76" w:rsidRPr="00096FE9" w:rsidRDefault="00344E76" w:rsidP="00E874F9">
      <w:pPr>
        <w:spacing w:after="120" w:line="240" w:lineRule="auto"/>
        <w:jc w:val="both"/>
        <w:rPr>
          <w:color w:val="FF0000"/>
          <w:sz w:val="20"/>
          <w:szCs w:val="20"/>
        </w:rPr>
      </w:pPr>
      <w:r w:rsidRPr="00096FE9">
        <w:rPr>
          <w:color w:val="FF0000"/>
          <w:sz w:val="20"/>
          <w:szCs w:val="20"/>
        </w:rPr>
        <w:t>A</w:t>
      </w:r>
      <w:r w:rsidR="00606298" w:rsidRPr="00096FE9">
        <w:rPr>
          <w:color w:val="FF0000"/>
          <w:sz w:val="20"/>
          <w:szCs w:val="20"/>
        </w:rPr>
        <w:t>rchax agrees</w:t>
      </w:r>
      <w:r w:rsidR="00EB31BF" w:rsidRPr="00096FE9">
        <w:rPr>
          <w:color w:val="FF0000"/>
          <w:sz w:val="20"/>
          <w:szCs w:val="20"/>
        </w:rPr>
        <w:t xml:space="preserve"> that the flexibility offered to SME GMs is useful and will foster competition between </w:t>
      </w:r>
      <w:r w:rsidR="00E3189F" w:rsidRPr="00096FE9">
        <w:rPr>
          <w:color w:val="FF0000"/>
          <w:sz w:val="20"/>
          <w:szCs w:val="20"/>
        </w:rPr>
        <w:t xml:space="preserve">SME GMs going forward. If there were to be a tightening of </w:t>
      </w:r>
      <w:r w:rsidR="003714FD" w:rsidRPr="00096FE9">
        <w:rPr>
          <w:color w:val="FF0000"/>
          <w:sz w:val="20"/>
          <w:szCs w:val="20"/>
        </w:rPr>
        <w:t>requirements,</w:t>
      </w:r>
      <w:r w:rsidR="00E3189F" w:rsidRPr="00096FE9">
        <w:rPr>
          <w:color w:val="FF0000"/>
          <w:sz w:val="20"/>
          <w:szCs w:val="20"/>
        </w:rPr>
        <w:t xml:space="preserve"> </w:t>
      </w:r>
      <w:r w:rsidR="00F26DED" w:rsidRPr="00096FE9">
        <w:rPr>
          <w:color w:val="FF0000"/>
          <w:sz w:val="20"/>
          <w:szCs w:val="20"/>
        </w:rPr>
        <w:t xml:space="preserve">then these should focus in corporate and governance codes and </w:t>
      </w:r>
      <w:r w:rsidR="00D51250" w:rsidRPr="00096FE9">
        <w:rPr>
          <w:color w:val="FF0000"/>
          <w:sz w:val="20"/>
          <w:szCs w:val="20"/>
        </w:rPr>
        <w:t>mandatory disclosures</w:t>
      </w:r>
      <w:r w:rsidR="003714FD" w:rsidRPr="00096FE9">
        <w:rPr>
          <w:color w:val="FF0000"/>
          <w:sz w:val="20"/>
          <w:szCs w:val="20"/>
        </w:rPr>
        <w:t xml:space="preserve">. </w:t>
      </w:r>
      <w:r w:rsidR="0010120D" w:rsidRPr="00096FE9">
        <w:rPr>
          <w:color w:val="FF0000"/>
          <w:sz w:val="20"/>
          <w:szCs w:val="20"/>
        </w:rPr>
        <w:t>That said any such changes should</w:t>
      </w:r>
      <w:r w:rsidR="004A0025" w:rsidRPr="00096FE9">
        <w:rPr>
          <w:color w:val="FF0000"/>
          <w:sz w:val="20"/>
          <w:szCs w:val="20"/>
        </w:rPr>
        <w:t xml:space="preserve"> not</w:t>
      </w:r>
      <w:r w:rsidR="0010120D" w:rsidRPr="00096FE9">
        <w:rPr>
          <w:color w:val="FF0000"/>
          <w:sz w:val="20"/>
          <w:szCs w:val="20"/>
        </w:rPr>
        <w:t xml:space="preserve"> be </w:t>
      </w:r>
      <w:r w:rsidR="00E94D07" w:rsidRPr="00096FE9">
        <w:rPr>
          <w:color w:val="FF0000"/>
          <w:sz w:val="20"/>
          <w:szCs w:val="20"/>
        </w:rPr>
        <w:t>prescriptive but</w:t>
      </w:r>
      <w:r w:rsidR="004A0025" w:rsidRPr="00096FE9">
        <w:rPr>
          <w:color w:val="FF0000"/>
          <w:sz w:val="20"/>
          <w:szCs w:val="20"/>
        </w:rPr>
        <w:t xml:space="preserve"> aim to raise </w:t>
      </w:r>
      <w:r w:rsidR="00727BF7" w:rsidRPr="00096FE9">
        <w:rPr>
          <w:color w:val="FF0000"/>
          <w:sz w:val="20"/>
          <w:szCs w:val="20"/>
        </w:rPr>
        <w:t xml:space="preserve">minimum standards to a higher common bar. </w:t>
      </w:r>
      <w:r w:rsidR="00A138F1" w:rsidRPr="00096FE9">
        <w:rPr>
          <w:color w:val="FF0000"/>
          <w:sz w:val="20"/>
          <w:szCs w:val="20"/>
        </w:rPr>
        <w:t xml:space="preserve">It makes sense that issuers with the most robust and transparent governance and disclosure </w:t>
      </w:r>
      <w:r w:rsidR="00E94D07" w:rsidRPr="00096FE9">
        <w:rPr>
          <w:color w:val="FF0000"/>
          <w:sz w:val="20"/>
          <w:szCs w:val="20"/>
        </w:rPr>
        <w:t>standards will attract more investment</w:t>
      </w:r>
      <w:r w:rsidR="00B47597" w:rsidRPr="00096FE9">
        <w:rPr>
          <w:color w:val="FF0000"/>
          <w:sz w:val="20"/>
          <w:szCs w:val="20"/>
        </w:rPr>
        <w:t>, this natural selection should be allowed to happen unimpeded.</w:t>
      </w:r>
    </w:p>
    <w:p w14:paraId="06C94A2E" w14:textId="7B0448BA" w:rsidR="00816163" w:rsidRPr="00096FE9" w:rsidRDefault="00CC1BDA" w:rsidP="00E874F9">
      <w:pPr>
        <w:spacing w:after="120" w:line="240" w:lineRule="auto"/>
        <w:jc w:val="both"/>
        <w:rPr>
          <w:color w:val="FF0000"/>
          <w:sz w:val="20"/>
          <w:szCs w:val="20"/>
        </w:rPr>
      </w:pPr>
      <w:r w:rsidRPr="00096FE9">
        <w:rPr>
          <w:color w:val="FF0000"/>
          <w:sz w:val="20"/>
          <w:szCs w:val="20"/>
        </w:rPr>
        <w:t xml:space="preserve">More practically, </w:t>
      </w:r>
      <w:r w:rsidR="004565B6" w:rsidRPr="00096FE9">
        <w:rPr>
          <w:color w:val="FF0000"/>
          <w:sz w:val="20"/>
          <w:szCs w:val="20"/>
        </w:rPr>
        <w:t>i</w:t>
      </w:r>
      <w:r w:rsidR="00816163" w:rsidRPr="00096FE9">
        <w:rPr>
          <w:color w:val="FF0000"/>
          <w:sz w:val="20"/>
          <w:szCs w:val="20"/>
        </w:rPr>
        <w:t>t is still hard for an SME to access capital markets – they need to pay a lawyer, corporate advisor,</w:t>
      </w:r>
      <w:r w:rsidR="004565B6" w:rsidRPr="00096FE9">
        <w:rPr>
          <w:color w:val="FF0000"/>
          <w:sz w:val="20"/>
          <w:szCs w:val="20"/>
        </w:rPr>
        <w:t xml:space="preserve"> broker</w:t>
      </w:r>
      <w:r w:rsidR="00D978FC" w:rsidRPr="00096FE9">
        <w:rPr>
          <w:color w:val="FF0000"/>
          <w:sz w:val="20"/>
          <w:szCs w:val="20"/>
        </w:rPr>
        <w:t>, PR</w:t>
      </w:r>
      <w:r w:rsidR="009971BD" w:rsidRPr="00096FE9">
        <w:rPr>
          <w:color w:val="FF0000"/>
          <w:sz w:val="20"/>
          <w:szCs w:val="20"/>
        </w:rPr>
        <w:t>, and</w:t>
      </w:r>
      <w:r w:rsidR="00816163" w:rsidRPr="00096FE9">
        <w:rPr>
          <w:color w:val="FF0000"/>
          <w:sz w:val="20"/>
          <w:szCs w:val="20"/>
        </w:rPr>
        <w:t xml:space="preserve"> an audit firm</w:t>
      </w:r>
      <w:r w:rsidR="000837DF" w:rsidRPr="00096FE9">
        <w:rPr>
          <w:color w:val="FF0000"/>
          <w:sz w:val="20"/>
          <w:szCs w:val="20"/>
        </w:rPr>
        <w:t xml:space="preserve"> if they want the best chance of success. </w:t>
      </w:r>
      <w:r w:rsidR="00816163" w:rsidRPr="00096FE9">
        <w:rPr>
          <w:color w:val="FF0000"/>
          <w:sz w:val="20"/>
          <w:szCs w:val="20"/>
        </w:rPr>
        <w:t xml:space="preserve">These costs for </w:t>
      </w:r>
      <w:r w:rsidR="000837DF" w:rsidRPr="00096FE9">
        <w:rPr>
          <w:color w:val="FF0000"/>
          <w:sz w:val="20"/>
          <w:szCs w:val="20"/>
        </w:rPr>
        <w:t xml:space="preserve">SMEs </w:t>
      </w:r>
      <w:r w:rsidR="00816163" w:rsidRPr="00096FE9">
        <w:rPr>
          <w:color w:val="FF0000"/>
          <w:sz w:val="20"/>
          <w:szCs w:val="20"/>
        </w:rPr>
        <w:t>are still</w:t>
      </w:r>
      <w:r w:rsidR="000837DF" w:rsidRPr="00096FE9">
        <w:rPr>
          <w:color w:val="FF0000"/>
          <w:sz w:val="20"/>
          <w:szCs w:val="20"/>
        </w:rPr>
        <w:t xml:space="preserve"> often</w:t>
      </w:r>
      <w:r w:rsidR="00816163" w:rsidRPr="00096FE9">
        <w:rPr>
          <w:color w:val="FF0000"/>
          <w:sz w:val="20"/>
          <w:szCs w:val="20"/>
        </w:rPr>
        <w:t xml:space="preserve"> prohibitive. Regulatory/legal work on </w:t>
      </w:r>
      <w:r w:rsidR="00781088" w:rsidRPr="00096FE9">
        <w:rPr>
          <w:color w:val="FF0000"/>
          <w:sz w:val="20"/>
          <w:szCs w:val="20"/>
        </w:rPr>
        <w:t xml:space="preserve">documentation </w:t>
      </w:r>
      <w:r w:rsidR="00816163" w:rsidRPr="00096FE9">
        <w:rPr>
          <w:color w:val="FF0000"/>
          <w:sz w:val="20"/>
          <w:szCs w:val="20"/>
        </w:rPr>
        <w:t>templates which could be adopted could help SMEs more readily access these markets.</w:t>
      </w:r>
    </w:p>
    <w:p w14:paraId="761D8730" w14:textId="00EC387E" w:rsidR="00E874F9" w:rsidRPr="009C343E" w:rsidRDefault="00E874F9" w:rsidP="00E874F9">
      <w:pPr>
        <w:spacing w:after="120" w:line="240" w:lineRule="auto"/>
        <w:jc w:val="both"/>
        <w:rPr>
          <w:b/>
          <w:bCs/>
          <w:sz w:val="20"/>
          <w:szCs w:val="20"/>
        </w:rPr>
      </w:pPr>
      <w:r w:rsidRPr="009C343E">
        <w:rPr>
          <w:b/>
          <w:bCs/>
          <w:sz w:val="20"/>
          <w:szCs w:val="20"/>
        </w:rPr>
        <w:t>Q6: Do you think it could be beneficial to harmonise accounting standards used by issuers listed on SME GMs with the aim of increasing cross-border investment?</w:t>
      </w:r>
    </w:p>
    <w:p w14:paraId="013FDEF1" w14:textId="0C922531" w:rsidR="005611F1" w:rsidRPr="00096FE9" w:rsidRDefault="005611F1" w:rsidP="00E874F9">
      <w:pPr>
        <w:spacing w:after="120" w:line="240" w:lineRule="auto"/>
        <w:jc w:val="both"/>
        <w:rPr>
          <w:color w:val="FF0000"/>
          <w:sz w:val="20"/>
          <w:szCs w:val="20"/>
        </w:rPr>
      </w:pPr>
      <w:r w:rsidRPr="00096FE9">
        <w:rPr>
          <w:color w:val="FF0000"/>
          <w:sz w:val="20"/>
          <w:szCs w:val="20"/>
        </w:rPr>
        <w:t xml:space="preserve">No – </w:t>
      </w:r>
      <w:r w:rsidR="00D72669" w:rsidRPr="00096FE9">
        <w:rPr>
          <w:color w:val="FF0000"/>
          <w:sz w:val="20"/>
          <w:szCs w:val="20"/>
        </w:rPr>
        <w:t xml:space="preserve">attempting to </w:t>
      </w:r>
      <w:r w:rsidRPr="00096FE9">
        <w:rPr>
          <w:color w:val="FF0000"/>
          <w:sz w:val="20"/>
          <w:szCs w:val="20"/>
        </w:rPr>
        <w:t>harmonis</w:t>
      </w:r>
      <w:r w:rsidR="00D72669" w:rsidRPr="00096FE9">
        <w:rPr>
          <w:color w:val="FF0000"/>
          <w:sz w:val="20"/>
          <w:szCs w:val="20"/>
        </w:rPr>
        <w:t>e</w:t>
      </w:r>
      <w:r w:rsidRPr="00096FE9">
        <w:rPr>
          <w:color w:val="FF0000"/>
          <w:sz w:val="20"/>
          <w:szCs w:val="20"/>
        </w:rPr>
        <w:t xml:space="preserve"> accounting st</w:t>
      </w:r>
      <w:r w:rsidR="00D93A77" w:rsidRPr="00096FE9">
        <w:rPr>
          <w:color w:val="FF0000"/>
          <w:sz w:val="20"/>
          <w:szCs w:val="20"/>
        </w:rPr>
        <w:t>andards</w:t>
      </w:r>
      <w:r w:rsidR="00D72669" w:rsidRPr="00096FE9">
        <w:rPr>
          <w:color w:val="FF0000"/>
          <w:sz w:val="20"/>
          <w:szCs w:val="20"/>
        </w:rPr>
        <w:t xml:space="preserve"> within the bloc</w:t>
      </w:r>
      <w:r w:rsidRPr="00096FE9">
        <w:rPr>
          <w:color w:val="FF0000"/>
          <w:sz w:val="20"/>
          <w:szCs w:val="20"/>
        </w:rPr>
        <w:t xml:space="preserve"> would effectively dictate which standards a potential issuer can use. This could lead to an extra administrative and economic burden on the potential issuer, stemming from regulatory change.</w:t>
      </w:r>
      <w:r w:rsidR="004F3224" w:rsidRPr="00096FE9">
        <w:rPr>
          <w:color w:val="FF0000"/>
          <w:sz w:val="20"/>
          <w:szCs w:val="20"/>
        </w:rPr>
        <w:t xml:space="preserve"> Issuers should be free to use whichever accepted accounting standards they see fit</w:t>
      </w:r>
      <w:r w:rsidR="0022254C" w:rsidRPr="00096FE9">
        <w:rPr>
          <w:color w:val="FF0000"/>
          <w:sz w:val="20"/>
          <w:szCs w:val="20"/>
        </w:rPr>
        <w:t>. One might consider establishing minimum requirements for accounting standards</w:t>
      </w:r>
      <w:r w:rsidR="004F5130" w:rsidRPr="00096FE9">
        <w:rPr>
          <w:color w:val="FF0000"/>
          <w:sz w:val="20"/>
          <w:szCs w:val="20"/>
        </w:rPr>
        <w:t>, so long as these are not prescriptiv</w:t>
      </w:r>
      <w:r w:rsidR="0002388F" w:rsidRPr="00096FE9">
        <w:rPr>
          <w:color w:val="FF0000"/>
          <w:sz w:val="20"/>
          <w:szCs w:val="20"/>
        </w:rPr>
        <w:t xml:space="preserve">e, or potentially </w:t>
      </w:r>
      <w:r w:rsidR="000B0ADD" w:rsidRPr="00096FE9">
        <w:rPr>
          <w:color w:val="FF0000"/>
          <w:sz w:val="20"/>
          <w:szCs w:val="20"/>
        </w:rPr>
        <w:t xml:space="preserve">the inclusion of a </w:t>
      </w:r>
      <w:r w:rsidR="00DA1F6B" w:rsidRPr="00096FE9">
        <w:rPr>
          <w:color w:val="FF0000"/>
          <w:sz w:val="20"/>
          <w:szCs w:val="20"/>
        </w:rPr>
        <w:t xml:space="preserve">minimum </w:t>
      </w:r>
      <w:r w:rsidR="00B71DCD" w:rsidRPr="00096FE9">
        <w:rPr>
          <w:color w:val="FF0000"/>
          <w:sz w:val="20"/>
          <w:szCs w:val="20"/>
        </w:rPr>
        <w:t>set of metrics</w:t>
      </w:r>
      <w:r w:rsidR="002D726C" w:rsidRPr="00096FE9">
        <w:rPr>
          <w:color w:val="FF0000"/>
          <w:sz w:val="20"/>
          <w:szCs w:val="20"/>
        </w:rPr>
        <w:t xml:space="preserve"> </w:t>
      </w:r>
      <w:r w:rsidR="00E743F0" w:rsidRPr="00096FE9">
        <w:rPr>
          <w:color w:val="FF0000"/>
          <w:sz w:val="20"/>
          <w:szCs w:val="20"/>
        </w:rPr>
        <w:t xml:space="preserve">which are consistently </w:t>
      </w:r>
      <w:r w:rsidR="0074562B" w:rsidRPr="00096FE9">
        <w:rPr>
          <w:color w:val="FF0000"/>
          <w:sz w:val="20"/>
          <w:szCs w:val="20"/>
        </w:rPr>
        <w:t>calculated</w:t>
      </w:r>
      <w:r w:rsidR="00691FAD" w:rsidRPr="00096FE9">
        <w:rPr>
          <w:color w:val="FF0000"/>
          <w:sz w:val="20"/>
          <w:szCs w:val="20"/>
        </w:rPr>
        <w:t xml:space="preserve"> (as per whichever accounting standard)</w:t>
      </w:r>
      <w:r w:rsidR="00BC5374" w:rsidRPr="00096FE9">
        <w:rPr>
          <w:color w:val="FF0000"/>
          <w:sz w:val="20"/>
          <w:szCs w:val="20"/>
        </w:rPr>
        <w:t xml:space="preserve"> over time.</w:t>
      </w:r>
    </w:p>
    <w:p w14:paraId="3F428549" w14:textId="580AF9BE" w:rsidR="004F5130" w:rsidRPr="00096FE9" w:rsidRDefault="004F5130" w:rsidP="00E874F9">
      <w:pPr>
        <w:spacing w:after="120" w:line="240" w:lineRule="auto"/>
        <w:jc w:val="both"/>
        <w:rPr>
          <w:color w:val="FF0000"/>
          <w:sz w:val="20"/>
          <w:szCs w:val="20"/>
        </w:rPr>
      </w:pPr>
      <w:r w:rsidRPr="00096FE9">
        <w:rPr>
          <w:color w:val="FF0000"/>
          <w:sz w:val="20"/>
          <w:szCs w:val="20"/>
        </w:rPr>
        <w:t>A similar</w:t>
      </w:r>
      <w:r w:rsidR="004E2E9C" w:rsidRPr="00096FE9">
        <w:rPr>
          <w:color w:val="FF0000"/>
          <w:sz w:val="20"/>
          <w:szCs w:val="20"/>
        </w:rPr>
        <w:t xml:space="preserve"> end could be achieved through mandated frequency </w:t>
      </w:r>
      <w:r w:rsidR="00DF2256" w:rsidRPr="00096FE9">
        <w:rPr>
          <w:color w:val="FF0000"/>
          <w:sz w:val="20"/>
          <w:szCs w:val="20"/>
        </w:rPr>
        <w:t>and nature of ongoing audits.</w:t>
      </w:r>
    </w:p>
    <w:p w14:paraId="34E398E9" w14:textId="110E3298" w:rsidR="00E874F9" w:rsidRPr="009C343E" w:rsidRDefault="00E874F9" w:rsidP="00E874F9">
      <w:pPr>
        <w:spacing w:after="120" w:line="240" w:lineRule="auto"/>
        <w:jc w:val="both"/>
        <w:rPr>
          <w:b/>
          <w:bCs/>
          <w:sz w:val="20"/>
          <w:szCs w:val="20"/>
        </w:rPr>
      </w:pPr>
      <w:r w:rsidRPr="009C343E">
        <w:rPr>
          <w:b/>
          <w:bCs/>
          <w:sz w:val="20"/>
          <w:szCs w:val="20"/>
        </w:rPr>
        <w:t>Q7: Should ESMA propose to create homogeneous admission requirements for issuers admitted to trading on SME GMs? Should such requirements be tailored depending on the size of the issuer (e.g. providing less burdensome requirements for Micro-SMEs)?</w:t>
      </w:r>
    </w:p>
    <w:p w14:paraId="68B7BE78" w14:textId="4D012B27" w:rsidR="00426FB4" w:rsidRPr="00096FE9" w:rsidRDefault="00426FB4" w:rsidP="00E874F9">
      <w:pPr>
        <w:spacing w:after="120" w:line="240" w:lineRule="auto"/>
        <w:jc w:val="both"/>
        <w:rPr>
          <w:color w:val="FF0000"/>
          <w:sz w:val="20"/>
          <w:szCs w:val="20"/>
        </w:rPr>
      </w:pPr>
      <w:r w:rsidRPr="00096FE9">
        <w:rPr>
          <w:color w:val="FF0000"/>
          <w:sz w:val="20"/>
          <w:szCs w:val="20"/>
        </w:rPr>
        <w:t xml:space="preserve">If the rationale is to foster an </w:t>
      </w:r>
      <w:r w:rsidR="007C2FED" w:rsidRPr="00096FE9">
        <w:rPr>
          <w:color w:val="FF0000"/>
          <w:sz w:val="20"/>
          <w:szCs w:val="20"/>
        </w:rPr>
        <w:t>‘I</w:t>
      </w:r>
      <w:r w:rsidRPr="00096FE9">
        <w:rPr>
          <w:color w:val="FF0000"/>
          <w:sz w:val="20"/>
          <w:szCs w:val="20"/>
        </w:rPr>
        <w:t xml:space="preserve">ssuers </w:t>
      </w:r>
      <w:r w:rsidR="007C2FED" w:rsidRPr="00096FE9">
        <w:rPr>
          <w:color w:val="FF0000"/>
          <w:sz w:val="20"/>
          <w:szCs w:val="20"/>
        </w:rPr>
        <w:t>F</w:t>
      </w:r>
      <w:r w:rsidRPr="00096FE9">
        <w:rPr>
          <w:color w:val="FF0000"/>
          <w:sz w:val="20"/>
          <w:szCs w:val="20"/>
        </w:rPr>
        <w:t>ramework</w:t>
      </w:r>
      <w:r w:rsidR="007C2FED" w:rsidRPr="00096FE9">
        <w:rPr>
          <w:color w:val="FF0000"/>
          <w:sz w:val="20"/>
          <w:szCs w:val="20"/>
        </w:rPr>
        <w:t>’</w:t>
      </w:r>
      <w:r w:rsidRPr="00096FE9">
        <w:rPr>
          <w:color w:val="FF0000"/>
          <w:sz w:val="20"/>
          <w:szCs w:val="20"/>
        </w:rPr>
        <w:t xml:space="preserve"> to facilitate cross-border issuances (particularly considering the findings of the local market study) then Archax can see the merits of such amendments. However, the ability for both issuers and participants to choose where they admit their instruments and invest is an important aspect for the development and maturity of SME GMs. Legislating a set of minimum standards </w:t>
      </w:r>
      <w:r w:rsidR="00585592" w:rsidRPr="00096FE9">
        <w:rPr>
          <w:color w:val="FF0000"/>
          <w:sz w:val="20"/>
          <w:szCs w:val="20"/>
        </w:rPr>
        <w:t>might assist this, but the likely outcome is that issuers get anchored to those standards in a ‘race to the bottom’ effect.</w:t>
      </w:r>
      <w:r w:rsidR="00893645" w:rsidRPr="00096FE9">
        <w:rPr>
          <w:color w:val="FF0000"/>
          <w:sz w:val="20"/>
          <w:szCs w:val="20"/>
        </w:rPr>
        <w:t xml:space="preserve"> Furthermore, </w:t>
      </w:r>
      <w:r w:rsidR="00B62AD1" w:rsidRPr="00096FE9">
        <w:rPr>
          <w:color w:val="FF0000"/>
          <w:sz w:val="20"/>
          <w:szCs w:val="20"/>
        </w:rPr>
        <w:t xml:space="preserve">legislatively homogenising admission requirements will </w:t>
      </w:r>
      <w:r w:rsidR="001912D1" w:rsidRPr="00096FE9">
        <w:rPr>
          <w:color w:val="FF0000"/>
          <w:sz w:val="20"/>
          <w:szCs w:val="20"/>
        </w:rPr>
        <w:t>stifle competition and innovation in the space (two things that are essential if SME GMs are to thrive)</w:t>
      </w:r>
      <w:r w:rsidR="00F60206" w:rsidRPr="00096FE9">
        <w:rPr>
          <w:color w:val="FF0000"/>
          <w:sz w:val="20"/>
          <w:szCs w:val="20"/>
        </w:rPr>
        <w:t>. Some consideration could be given to minimum requirements relative to an issuers</w:t>
      </w:r>
      <w:r w:rsidR="009152FF" w:rsidRPr="00096FE9">
        <w:rPr>
          <w:color w:val="FF0000"/>
          <w:sz w:val="20"/>
          <w:szCs w:val="20"/>
        </w:rPr>
        <w:t xml:space="preserve"> size or the total issuance size.</w:t>
      </w:r>
    </w:p>
    <w:p w14:paraId="2B4974A8" w14:textId="46B5E63B" w:rsidR="00585592" w:rsidRPr="00096FE9" w:rsidRDefault="00585592" w:rsidP="00E874F9">
      <w:pPr>
        <w:spacing w:after="120" w:line="240" w:lineRule="auto"/>
        <w:jc w:val="both"/>
        <w:rPr>
          <w:color w:val="FF0000"/>
          <w:sz w:val="20"/>
          <w:szCs w:val="20"/>
        </w:rPr>
      </w:pPr>
      <w:r w:rsidRPr="00096FE9">
        <w:rPr>
          <w:color w:val="FF0000"/>
          <w:sz w:val="20"/>
          <w:szCs w:val="20"/>
        </w:rPr>
        <w:t>Adding a scale for issuers to fit themselves into also opens the regulations up to gaming, particularly if the sca</w:t>
      </w:r>
      <w:r w:rsidR="0043587F" w:rsidRPr="00096FE9">
        <w:rPr>
          <w:color w:val="FF0000"/>
          <w:sz w:val="20"/>
          <w:szCs w:val="20"/>
        </w:rPr>
        <w:t>l</w:t>
      </w:r>
      <w:r w:rsidRPr="00096FE9">
        <w:rPr>
          <w:color w:val="FF0000"/>
          <w:sz w:val="20"/>
          <w:szCs w:val="20"/>
        </w:rPr>
        <w:t xml:space="preserve">e is applied against self-reported accounts. </w:t>
      </w:r>
      <w:r w:rsidR="0072585C" w:rsidRPr="00096FE9">
        <w:rPr>
          <w:color w:val="FF0000"/>
          <w:sz w:val="20"/>
          <w:szCs w:val="20"/>
        </w:rPr>
        <w:t>Furthermore, t</w:t>
      </w:r>
      <w:r w:rsidRPr="00096FE9">
        <w:rPr>
          <w:color w:val="FF0000"/>
          <w:sz w:val="20"/>
          <w:szCs w:val="20"/>
        </w:rPr>
        <w:t>he size of the issuance might be completely uncorrelated with the size/complexity of the issuer.</w:t>
      </w:r>
    </w:p>
    <w:p w14:paraId="4FB17239" w14:textId="130F2E0D" w:rsidR="00E874F9" w:rsidRPr="009C343E" w:rsidRDefault="00E874F9" w:rsidP="00E874F9">
      <w:pPr>
        <w:spacing w:after="120" w:line="240" w:lineRule="auto"/>
        <w:jc w:val="both"/>
        <w:rPr>
          <w:b/>
          <w:bCs/>
          <w:sz w:val="20"/>
          <w:szCs w:val="20"/>
        </w:rPr>
      </w:pPr>
      <w:r w:rsidRPr="009C343E">
        <w:rPr>
          <w:b/>
          <w:bCs/>
          <w:sz w:val="20"/>
          <w:szCs w:val="20"/>
        </w:rPr>
        <w:t>Q8: Should ESMA suggest an amendment requiring an MTF registering as SME GM to make publicly available financial reports concerning the issuers admitted to trading on the SME GM up to one year before registration?</w:t>
      </w:r>
    </w:p>
    <w:p w14:paraId="54F70278" w14:textId="0ACEA7BE" w:rsidR="00585592" w:rsidRPr="00096FE9" w:rsidRDefault="00741A77" w:rsidP="00F05730">
      <w:pPr>
        <w:spacing w:after="120" w:line="240" w:lineRule="auto"/>
        <w:jc w:val="both"/>
        <w:rPr>
          <w:color w:val="FF0000"/>
          <w:sz w:val="20"/>
          <w:szCs w:val="20"/>
        </w:rPr>
      </w:pPr>
      <w:r w:rsidRPr="00096FE9">
        <w:rPr>
          <w:color w:val="FF0000"/>
          <w:sz w:val="20"/>
          <w:szCs w:val="20"/>
        </w:rPr>
        <w:lastRenderedPageBreak/>
        <w:t>Such a proposal is sensible and wo</w:t>
      </w:r>
      <w:r w:rsidR="003940C2" w:rsidRPr="00096FE9">
        <w:rPr>
          <w:color w:val="FF0000"/>
          <w:sz w:val="20"/>
          <w:szCs w:val="20"/>
        </w:rPr>
        <w:t>uld benefit potential investors, boosting legitimacy</w:t>
      </w:r>
      <w:r w:rsidR="00585592" w:rsidRPr="00096FE9">
        <w:rPr>
          <w:color w:val="FF0000"/>
          <w:sz w:val="20"/>
          <w:szCs w:val="20"/>
        </w:rPr>
        <w:t xml:space="preserve">. </w:t>
      </w:r>
    </w:p>
    <w:p w14:paraId="4C9EDBC1" w14:textId="617B78B8" w:rsidR="00E874F9" w:rsidRPr="009C343E" w:rsidRDefault="00E874F9" w:rsidP="00E874F9">
      <w:pPr>
        <w:spacing w:after="120" w:line="240" w:lineRule="auto"/>
        <w:jc w:val="both"/>
        <w:rPr>
          <w:b/>
          <w:bCs/>
          <w:sz w:val="20"/>
          <w:szCs w:val="20"/>
        </w:rPr>
      </w:pPr>
      <w:r w:rsidRPr="009C343E">
        <w:rPr>
          <w:b/>
          <w:bCs/>
          <w:sz w:val="20"/>
          <w:szCs w:val="20"/>
        </w:rPr>
        <w:t>Q9: Is there any other aspect of the SME GMs regime as envisaged under MiFID II that you think should be revisited? Would you consider it useful to make the periodic financial information under Article 33(3)(d) available in a more standardised format?</w:t>
      </w:r>
    </w:p>
    <w:p w14:paraId="64C326BE" w14:textId="142E3577" w:rsidR="00A433F1" w:rsidRPr="00096FE9" w:rsidRDefault="00585592" w:rsidP="00E874F9">
      <w:pPr>
        <w:spacing w:after="120" w:line="240" w:lineRule="auto"/>
        <w:jc w:val="both"/>
        <w:rPr>
          <w:color w:val="FF0000"/>
          <w:sz w:val="20"/>
          <w:szCs w:val="20"/>
        </w:rPr>
      </w:pPr>
      <w:r w:rsidRPr="00096FE9">
        <w:rPr>
          <w:color w:val="FF0000"/>
          <w:sz w:val="20"/>
          <w:szCs w:val="20"/>
        </w:rPr>
        <w:t>Where possible ESMA should</w:t>
      </w:r>
      <w:r w:rsidR="001B4524" w:rsidRPr="00096FE9">
        <w:rPr>
          <w:color w:val="FF0000"/>
          <w:sz w:val="20"/>
          <w:szCs w:val="20"/>
        </w:rPr>
        <w:t xml:space="preserve"> advocate for lower fees for SME issuers requiring documents to be reviewed by the relevant NCAs</w:t>
      </w:r>
      <w:r w:rsidR="006760D1" w:rsidRPr="00096FE9">
        <w:rPr>
          <w:color w:val="FF0000"/>
          <w:sz w:val="20"/>
          <w:szCs w:val="20"/>
        </w:rPr>
        <w:t xml:space="preserve">. Further than this, </w:t>
      </w:r>
      <w:r w:rsidR="00A723AA" w:rsidRPr="00096FE9">
        <w:rPr>
          <w:color w:val="FF0000"/>
          <w:sz w:val="20"/>
          <w:szCs w:val="20"/>
        </w:rPr>
        <w:t>the introduction of</w:t>
      </w:r>
      <w:r w:rsidR="00EB0852" w:rsidRPr="00096FE9">
        <w:rPr>
          <w:color w:val="FF0000"/>
          <w:sz w:val="20"/>
          <w:szCs w:val="20"/>
        </w:rPr>
        <w:t xml:space="preserve"> explicit amendments to the Pro</w:t>
      </w:r>
      <w:r w:rsidR="000D5D0B" w:rsidRPr="00096FE9">
        <w:rPr>
          <w:color w:val="FF0000"/>
          <w:sz w:val="20"/>
          <w:szCs w:val="20"/>
        </w:rPr>
        <w:t xml:space="preserve">spectus Regulation </w:t>
      </w:r>
      <w:r w:rsidR="005C3DE9" w:rsidRPr="00096FE9">
        <w:rPr>
          <w:color w:val="FF0000"/>
          <w:sz w:val="20"/>
          <w:szCs w:val="20"/>
        </w:rPr>
        <w:t>broadening the exemptions for SME</w:t>
      </w:r>
      <w:r w:rsidR="00E43A1A" w:rsidRPr="00096FE9">
        <w:rPr>
          <w:color w:val="FF0000"/>
          <w:sz w:val="20"/>
          <w:szCs w:val="20"/>
        </w:rPr>
        <w:t xml:space="preserve">s </w:t>
      </w:r>
      <w:r w:rsidR="0087584D" w:rsidRPr="00096FE9">
        <w:rPr>
          <w:color w:val="FF0000"/>
          <w:sz w:val="20"/>
          <w:szCs w:val="20"/>
        </w:rPr>
        <w:t>undertaking an initial raise on an SME GM.</w:t>
      </w:r>
      <w:r w:rsidR="00EC643A" w:rsidRPr="00096FE9">
        <w:rPr>
          <w:color w:val="FF0000"/>
          <w:sz w:val="20"/>
          <w:szCs w:val="20"/>
        </w:rPr>
        <w:t xml:space="preserve"> </w:t>
      </w:r>
      <w:r w:rsidR="00BB3DE7" w:rsidRPr="00096FE9">
        <w:rPr>
          <w:color w:val="FF0000"/>
          <w:sz w:val="20"/>
          <w:szCs w:val="20"/>
        </w:rPr>
        <w:t>That is</w:t>
      </w:r>
      <w:r w:rsidR="00EC643A" w:rsidRPr="00096FE9">
        <w:rPr>
          <w:color w:val="FF0000"/>
          <w:sz w:val="20"/>
          <w:szCs w:val="20"/>
        </w:rPr>
        <w:t xml:space="preserve"> not to remove the requirement for a meaningful admission document, </w:t>
      </w:r>
      <w:r w:rsidR="00A13523" w:rsidRPr="00096FE9">
        <w:rPr>
          <w:color w:val="FF0000"/>
          <w:sz w:val="20"/>
          <w:szCs w:val="20"/>
        </w:rPr>
        <w:t>just to allow</w:t>
      </w:r>
      <w:r w:rsidR="008129E7" w:rsidRPr="00096FE9">
        <w:rPr>
          <w:color w:val="FF0000"/>
          <w:sz w:val="20"/>
          <w:szCs w:val="20"/>
        </w:rPr>
        <w:t xml:space="preserve"> SMEs to </w:t>
      </w:r>
      <w:r w:rsidR="004876EB" w:rsidRPr="00096FE9">
        <w:rPr>
          <w:color w:val="FF0000"/>
          <w:sz w:val="20"/>
          <w:szCs w:val="20"/>
        </w:rPr>
        <w:t>make a public offering on an SME GM</w:t>
      </w:r>
      <w:r w:rsidR="00DA2E3D" w:rsidRPr="00096FE9">
        <w:rPr>
          <w:color w:val="FF0000"/>
          <w:sz w:val="20"/>
          <w:szCs w:val="20"/>
        </w:rPr>
        <w:t xml:space="preserve"> without the additional costs of producing an official prospectus. </w:t>
      </w:r>
    </w:p>
    <w:p w14:paraId="09CA87C1" w14:textId="2526EF0F" w:rsidR="001B4524" w:rsidRPr="00096FE9" w:rsidRDefault="00EC20B6" w:rsidP="00205383">
      <w:pPr>
        <w:spacing w:after="120" w:line="240" w:lineRule="auto"/>
        <w:jc w:val="both"/>
        <w:rPr>
          <w:color w:val="FF0000"/>
          <w:sz w:val="20"/>
          <w:szCs w:val="20"/>
        </w:rPr>
      </w:pPr>
      <w:r w:rsidRPr="00096FE9">
        <w:rPr>
          <w:color w:val="FF0000"/>
          <w:sz w:val="20"/>
          <w:szCs w:val="20"/>
        </w:rPr>
        <w:t>M</w:t>
      </w:r>
      <w:r w:rsidR="00A93198" w:rsidRPr="00096FE9">
        <w:rPr>
          <w:color w:val="FF0000"/>
          <w:sz w:val="20"/>
          <w:szCs w:val="20"/>
        </w:rPr>
        <w:t>ore broadly, m</w:t>
      </w:r>
      <w:r w:rsidRPr="00096FE9">
        <w:rPr>
          <w:color w:val="FF0000"/>
          <w:sz w:val="20"/>
          <w:szCs w:val="20"/>
        </w:rPr>
        <w:t xml:space="preserve">any SMEs raise money via private placements which then change hands on </w:t>
      </w:r>
      <w:r w:rsidR="001B4524" w:rsidRPr="00096FE9">
        <w:rPr>
          <w:color w:val="FF0000"/>
          <w:sz w:val="20"/>
          <w:szCs w:val="20"/>
        </w:rPr>
        <w:t>bulletin boards</w:t>
      </w:r>
      <w:r w:rsidR="00205383" w:rsidRPr="00096FE9">
        <w:rPr>
          <w:color w:val="FF0000"/>
          <w:sz w:val="20"/>
          <w:szCs w:val="20"/>
        </w:rPr>
        <w:t xml:space="preserve">. Given the </w:t>
      </w:r>
      <w:r w:rsidR="00E104F0" w:rsidRPr="00096FE9">
        <w:rPr>
          <w:color w:val="FF0000"/>
          <w:sz w:val="20"/>
          <w:szCs w:val="20"/>
        </w:rPr>
        <w:t>goal of MiFI</w:t>
      </w:r>
      <w:r w:rsidR="00386BEC" w:rsidRPr="00096FE9">
        <w:rPr>
          <w:color w:val="FF0000"/>
          <w:sz w:val="20"/>
          <w:szCs w:val="20"/>
        </w:rPr>
        <w:t>D</w:t>
      </w:r>
      <w:r w:rsidR="00E104F0" w:rsidRPr="00096FE9">
        <w:rPr>
          <w:color w:val="FF0000"/>
          <w:sz w:val="20"/>
          <w:szCs w:val="20"/>
        </w:rPr>
        <w:t xml:space="preserve"> II</w:t>
      </w:r>
      <w:r w:rsidR="00CB7FEA" w:rsidRPr="00096FE9">
        <w:rPr>
          <w:color w:val="FF0000"/>
          <w:sz w:val="20"/>
          <w:szCs w:val="20"/>
        </w:rPr>
        <w:t xml:space="preserve"> to promote on venue trading, and the EC’s </w:t>
      </w:r>
      <w:r w:rsidR="00352017" w:rsidRPr="00096FE9">
        <w:rPr>
          <w:color w:val="FF0000"/>
          <w:sz w:val="20"/>
          <w:szCs w:val="20"/>
        </w:rPr>
        <w:t xml:space="preserve">SME </w:t>
      </w:r>
      <w:r w:rsidR="007D037C" w:rsidRPr="00096FE9">
        <w:rPr>
          <w:color w:val="FF0000"/>
          <w:sz w:val="20"/>
          <w:szCs w:val="20"/>
        </w:rPr>
        <w:t xml:space="preserve">strategy </w:t>
      </w:r>
      <w:r w:rsidR="00913AD4" w:rsidRPr="00096FE9">
        <w:rPr>
          <w:color w:val="FF0000"/>
          <w:sz w:val="20"/>
          <w:szCs w:val="20"/>
        </w:rPr>
        <w:t>generally</w:t>
      </w:r>
      <w:r w:rsidR="006B5544" w:rsidRPr="00096FE9">
        <w:rPr>
          <w:color w:val="FF0000"/>
          <w:sz w:val="20"/>
          <w:szCs w:val="20"/>
        </w:rPr>
        <w:t xml:space="preserve"> it would be prudent to further define the bulletin board/multilateral system perimeter</w:t>
      </w:r>
      <w:r w:rsidR="00241C06" w:rsidRPr="00096FE9">
        <w:rPr>
          <w:color w:val="FF0000"/>
          <w:sz w:val="20"/>
          <w:szCs w:val="20"/>
        </w:rPr>
        <w:t>.</w:t>
      </w:r>
      <w:r w:rsidR="00FD5F97" w:rsidRPr="00096FE9">
        <w:rPr>
          <w:color w:val="FF0000"/>
          <w:sz w:val="20"/>
          <w:szCs w:val="20"/>
        </w:rPr>
        <w:t xml:space="preserve"> </w:t>
      </w:r>
      <w:r w:rsidR="007B439F" w:rsidRPr="00096FE9">
        <w:rPr>
          <w:color w:val="FF0000"/>
          <w:sz w:val="20"/>
          <w:szCs w:val="20"/>
        </w:rPr>
        <w:t>This</w:t>
      </w:r>
      <w:r w:rsidR="00FD5F97" w:rsidRPr="00096FE9">
        <w:rPr>
          <w:color w:val="FF0000"/>
          <w:sz w:val="20"/>
          <w:szCs w:val="20"/>
        </w:rPr>
        <w:t xml:space="preserve"> ambiguity is being leveraged </w:t>
      </w:r>
      <w:r w:rsidR="00120BEC" w:rsidRPr="00096FE9">
        <w:rPr>
          <w:color w:val="FF0000"/>
          <w:sz w:val="20"/>
          <w:szCs w:val="20"/>
        </w:rPr>
        <w:t xml:space="preserve">by firms and this confuses the </w:t>
      </w:r>
      <w:r w:rsidR="00BC182F" w:rsidRPr="00096FE9">
        <w:rPr>
          <w:color w:val="FF0000"/>
          <w:sz w:val="20"/>
          <w:szCs w:val="20"/>
        </w:rPr>
        <w:t xml:space="preserve">picture for SMEs seeking to raise money. </w:t>
      </w:r>
      <w:r w:rsidR="007B21B5" w:rsidRPr="00096FE9">
        <w:rPr>
          <w:color w:val="FF0000"/>
          <w:sz w:val="20"/>
          <w:szCs w:val="20"/>
        </w:rPr>
        <w:t xml:space="preserve">This </w:t>
      </w:r>
      <w:r w:rsidR="00BC5259" w:rsidRPr="00096FE9">
        <w:rPr>
          <w:color w:val="FF0000"/>
          <w:sz w:val="20"/>
          <w:szCs w:val="20"/>
        </w:rPr>
        <w:t>results in high</w:t>
      </w:r>
      <w:r w:rsidR="007B439F" w:rsidRPr="00096FE9">
        <w:rPr>
          <w:color w:val="FF0000"/>
          <w:sz w:val="20"/>
          <w:szCs w:val="20"/>
        </w:rPr>
        <w:t>er</w:t>
      </w:r>
      <w:r w:rsidR="004A1AA3" w:rsidRPr="00096FE9">
        <w:rPr>
          <w:color w:val="FF0000"/>
          <w:sz w:val="20"/>
          <w:szCs w:val="20"/>
        </w:rPr>
        <w:t xml:space="preserve"> regulatory costs for </w:t>
      </w:r>
      <w:r w:rsidR="006046DE" w:rsidRPr="00096FE9">
        <w:rPr>
          <w:color w:val="FF0000"/>
          <w:sz w:val="20"/>
          <w:szCs w:val="20"/>
        </w:rPr>
        <w:t xml:space="preserve">SMEs seeking </w:t>
      </w:r>
      <w:r w:rsidR="004A1AA3" w:rsidRPr="00096FE9">
        <w:rPr>
          <w:color w:val="FF0000"/>
          <w:sz w:val="20"/>
          <w:szCs w:val="20"/>
        </w:rPr>
        <w:t>issu</w:t>
      </w:r>
      <w:r w:rsidR="006046DE" w:rsidRPr="00096FE9">
        <w:rPr>
          <w:color w:val="FF0000"/>
          <w:sz w:val="20"/>
          <w:szCs w:val="20"/>
        </w:rPr>
        <w:t>ance</w:t>
      </w:r>
      <w:r w:rsidR="004A1AA3" w:rsidRPr="00096FE9">
        <w:rPr>
          <w:color w:val="FF0000"/>
          <w:sz w:val="20"/>
          <w:szCs w:val="20"/>
        </w:rPr>
        <w:t xml:space="preserve">, and </w:t>
      </w:r>
      <w:r w:rsidR="005B4352" w:rsidRPr="00096FE9">
        <w:rPr>
          <w:color w:val="FF0000"/>
          <w:sz w:val="20"/>
          <w:szCs w:val="20"/>
        </w:rPr>
        <w:t>fragments funding</w:t>
      </w:r>
      <w:r w:rsidR="00771246" w:rsidRPr="00096FE9">
        <w:rPr>
          <w:color w:val="FF0000"/>
          <w:sz w:val="20"/>
          <w:szCs w:val="20"/>
        </w:rPr>
        <w:t xml:space="preserve"> as potential investors are spread </w:t>
      </w:r>
      <w:r w:rsidR="00DB3CBB" w:rsidRPr="00096FE9">
        <w:rPr>
          <w:color w:val="FF0000"/>
          <w:sz w:val="20"/>
          <w:szCs w:val="20"/>
        </w:rPr>
        <w:t>more thinly across</w:t>
      </w:r>
      <w:r w:rsidR="005B4352" w:rsidRPr="00096FE9">
        <w:rPr>
          <w:color w:val="FF0000"/>
          <w:sz w:val="20"/>
          <w:szCs w:val="20"/>
        </w:rPr>
        <w:t xml:space="preserve"> </w:t>
      </w:r>
      <w:r w:rsidR="00DB3CBB" w:rsidRPr="00096FE9">
        <w:rPr>
          <w:color w:val="FF0000"/>
          <w:sz w:val="20"/>
          <w:szCs w:val="20"/>
        </w:rPr>
        <w:t>multiple platforms.</w:t>
      </w:r>
    </w:p>
    <w:p w14:paraId="1665A3CF" w14:textId="164BC67A" w:rsidR="00052A53" w:rsidRPr="00096FE9" w:rsidRDefault="00EC4A55" w:rsidP="00205383">
      <w:pPr>
        <w:spacing w:after="120" w:line="240" w:lineRule="auto"/>
        <w:jc w:val="both"/>
        <w:rPr>
          <w:color w:val="FF0000"/>
          <w:sz w:val="20"/>
          <w:szCs w:val="20"/>
        </w:rPr>
      </w:pPr>
      <w:r w:rsidRPr="00096FE9">
        <w:rPr>
          <w:color w:val="FF0000"/>
          <w:sz w:val="20"/>
          <w:szCs w:val="20"/>
        </w:rPr>
        <w:t>Finally, all access barriers to</w:t>
      </w:r>
      <w:r w:rsidR="00F663A2" w:rsidRPr="00096FE9">
        <w:rPr>
          <w:color w:val="FF0000"/>
          <w:sz w:val="20"/>
          <w:szCs w:val="20"/>
        </w:rPr>
        <w:t xml:space="preserve"> MTF operated</w:t>
      </w:r>
      <w:r w:rsidRPr="00096FE9">
        <w:rPr>
          <w:color w:val="FF0000"/>
          <w:sz w:val="20"/>
          <w:szCs w:val="20"/>
        </w:rPr>
        <w:t xml:space="preserve"> SME GMs should be removed</w:t>
      </w:r>
      <w:r w:rsidR="00817A4E" w:rsidRPr="00096FE9">
        <w:rPr>
          <w:color w:val="FF0000"/>
          <w:sz w:val="20"/>
          <w:szCs w:val="20"/>
        </w:rPr>
        <w:t>.</w:t>
      </w:r>
      <w:r w:rsidR="008E3202" w:rsidRPr="00096FE9">
        <w:rPr>
          <w:color w:val="FF0000"/>
          <w:sz w:val="20"/>
          <w:szCs w:val="20"/>
        </w:rPr>
        <w:t xml:space="preserve"> E</w:t>
      </w:r>
      <w:r w:rsidR="00402E80" w:rsidRPr="00096FE9">
        <w:rPr>
          <w:color w:val="FF0000"/>
          <w:sz w:val="20"/>
          <w:szCs w:val="20"/>
        </w:rPr>
        <w:t xml:space="preserve">xamples here being </w:t>
      </w:r>
      <w:r w:rsidR="005F3FDB" w:rsidRPr="00096FE9">
        <w:rPr>
          <w:color w:val="FF0000"/>
          <w:sz w:val="20"/>
          <w:szCs w:val="20"/>
        </w:rPr>
        <w:t xml:space="preserve">non-investment firms being able to </w:t>
      </w:r>
      <w:r w:rsidR="00C451BB" w:rsidRPr="00096FE9">
        <w:rPr>
          <w:color w:val="FF0000"/>
          <w:sz w:val="20"/>
          <w:szCs w:val="20"/>
        </w:rPr>
        <w:t xml:space="preserve">become direct members of </w:t>
      </w:r>
      <w:r w:rsidR="00856F33" w:rsidRPr="00096FE9">
        <w:rPr>
          <w:color w:val="FF0000"/>
          <w:sz w:val="20"/>
          <w:szCs w:val="20"/>
        </w:rPr>
        <w:t>MTFs</w:t>
      </w:r>
      <w:r w:rsidR="00BF2294" w:rsidRPr="00096FE9">
        <w:rPr>
          <w:color w:val="FF0000"/>
          <w:sz w:val="20"/>
          <w:szCs w:val="20"/>
        </w:rPr>
        <w:t xml:space="preserve">, and </w:t>
      </w:r>
      <w:r w:rsidR="00810172" w:rsidRPr="00096FE9">
        <w:rPr>
          <w:color w:val="FF0000"/>
          <w:sz w:val="20"/>
          <w:szCs w:val="20"/>
        </w:rPr>
        <w:t xml:space="preserve">some pension funds are </w:t>
      </w:r>
      <w:r w:rsidR="00D05B8A" w:rsidRPr="00096FE9">
        <w:rPr>
          <w:color w:val="FF0000"/>
          <w:sz w:val="20"/>
          <w:szCs w:val="20"/>
        </w:rPr>
        <w:t xml:space="preserve">limited to only transacting on Regulated Markets. </w:t>
      </w:r>
      <w:r w:rsidR="007B50E6" w:rsidRPr="00096FE9">
        <w:rPr>
          <w:color w:val="FF0000"/>
          <w:sz w:val="20"/>
          <w:szCs w:val="20"/>
        </w:rPr>
        <w:t>To give</w:t>
      </w:r>
      <w:r w:rsidR="007E2A14" w:rsidRPr="00096FE9">
        <w:rPr>
          <w:color w:val="FF0000"/>
          <w:sz w:val="20"/>
          <w:szCs w:val="20"/>
        </w:rPr>
        <w:t xml:space="preserve"> </w:t>
      </w:r>
      <w:r w:rsidR="007B50E6" w:rsidRPr="00096FE9">
        <w:rPr>
          <w:color w:val="FF0000"/>
          <w:sz w:val="20"/>
          <w:szCs w:val="20"/>
        </w:rPr>
        <w:t>liquidity the best chance of growing</w:t>
      </w:r>
      <w:r w:rsidR="007E2A14" w:rsidRPr="00096FE9">
        <w:rPr>
          <w:color w:val="FF0000"/>
          <w:sz w:val="20"/>
          <w:szCs w:val="20"/>
        </w:rPr>
        <w:t>,</w:t>
      </w:r>
      <w:r w:rsidR="007B50E6" w:rsidRPr="00096FE9">
        <w:rPr>
          <w:color w:val="FF0000"/>
          <w:sz w:val="20"/>
          <w:szCs w:val="20"/>
        </w:rPr>
        <w:t xml:space="preserve"> </w:t>
      </w:r>
      <w:r w:rsidR="005A688F" w:rsidRPr="00096FE9">
        <w:rPr>
          <w:color w:val="FF0000"/>
          <w:sz w:val="20"/>
          <w:szCs w:val="20"/>
        </w:rPr>
        <w:t>as many parties as possible should have</w:t>
      </w:r>
      <w:r w:rsidR="008E187C" w:rsidRPr="00096FE9">
        <w:rPr>
          <w:color w:val="FF0000"/>
          <w:sz w:val="20"/>
          <w:szCs w:val="20"/>
        </w:rPr>
        <w:t xml:space="preserve"> </w:t>
      </w:r>
      <w:r w:rsidR="005A688F" w:rsidRPr="00096FE9">
        <w:rPr>
          <w:color w:val="FF0000"/>
          <w:sz w:val="20"/>
          <w:szCs w:val="20"/>
        </w:rPr>
        <w:t>the</w:t>
      </w:r>
      <w:r w:rsidR="008E187C" w:rsidRPr="00096FE9">
        <w:rPr>
          <w:color w:val="FF0000"/>
          <w:sz w:val="20"/>
          <w:szCs w:val="20"/>
        </w:rPr>
        <w:t xml:space="preserve"> </w:t>
      </w:r>
      <w:r w:rsidR="005A688F" w:rsidRPr="00096FE9">
        <w:rPr>
          <w:color w:val="FF0000"/>
          <w:sz w:val="20"/>
          <w:szCs w:val="20"/>
        </w:rPr>
        <w:t xml:space="preserve">ability to </w:t>
      </w:r>
      <w:r w:rsidR="008E187C" w:rsidRPr="00096FE9">
        <w:rPr>
          <w:color w:val="FF0000"/>
          <w:sz w:val="20"/>
          <w:szCs w:val="20"/>
        </w:rPr>
        <w:t xml:space="preserve">interact with </w:t>
      </w:r>
      <w:r w:rsidR="00C966F9" w:rsidRPr="00096FE9">
        <w:rPr>
          <w:color w:val="FF0000"/>
          <w:sz w:val="20"/>
          <w:szCs w:val="20"/>
        </w:rPr>
        <w:t xml:space="preserve">SME GMs. </w:t>
      </w:r>
    </w:p>
    <w:p w14:paraId="74B09A82" w14:textId="21D6FA50" w:rsidR="00E874F9" w:rsidRPr="009C343E" w:rsidRDefault="00E874F9" w:rsidP="00E874F9">
      <w:pPr>
        <w:spacing w:after="120" w:line="240" w:lineRule="auto"/>
        <w:jc w:val="both"/>
        <w:rPr>
          <w:b/>
          <w:bCs/>
          <w:sz w:val="20"/>
          <w:szCs w:val="20"/>
        </w:rPr>
      </w:pPr>
      <w:r w:rsidRPr="009C343E">
        <w:rPr>
          <w:b/>
          <w:bCs/>
          <w:sz w:val="20"/>
          <w:szCs w:val="20"/>
        </w:rPr>
        <w:t>Q10: Do you think that in the medium term a two-tier SME regime with additional alleviations for micro-SMEs could incentivise such issuers to seek funding from capital markets? If so, which type of alleviations could be envisaged for micro-SMEs?</w:t>
      </w:r>
    </w:p>
    <w:p w14:paraId="37ED5030" w14:textId="4834672F" w:rsidR="00E25E65" w:rsidRPr="006A6627" w:rsidRDefault="003A64FF" w:rsidP="00FC64B4">
      <w:pPr>
        <w:spacing w:after="120" w:line="240" w:lineRule="auto"/>
        <w:jc w:val="both"/>
        <w:rPr>
          <w:color w:val="FF0000"/>
          <w:sz w:val="20"/>
          <w:szCs w:val="20"/>
        </w:rPr>
      </w:pPr>
      <w:r w:rsidRPr="006A6627">
        <w:rPr>
          <w:color w:val="FF0000"/>
          <w:sz w:val="20"/>
          <w:szCs w:val="20"/>
        </w:rPr>
        <w:t>The c</w:t>
      </w:r>
      <w:r w:rsidR="001B4524" w:rsidRPr="006A6627">
        <w:rPr>
          <w:color w:val="FF0000"/>
          <w:sz w:val="20"/>
          <w:szCs w:val="20"/>
        </w:rPr>
        <w:t>urrent successes of the SME regime would imply such a</w:t>
      </w:r>
      <w:r w:rsidR="00C72A78" w:rsidRPr="006A6627">
        <w:rPr>
          <w:color w:val="FF0000"/>
          <w:sz w:val="20"/>
          <w:szCs w:val="20"/>
        </w:rPr>
        <w:t xml:space="preserve"> (two-tiered)</w:t>
      </w:r>
      <w:r w:rsidR="001B4524" w:rsidRPr="006A6627">
        <w:rPr>
          <w:color w:val="FF0000"/>
          <w:sz w:val="20"/>
          <w:szCs w:val="20"/>
        </w:rPr>
        <w:t xml:space="preserve"> regime </w:t>
      </w:r>
      <w:r w:rsidR="00C1264B" w:rsidRPr="006A6627">
        <w:rPr>
          <w:color w:val="FF0000"/>
          <w:sz w:val="20"/>
          <w:szCs w:val="20"/>
        </w:rPr>
        <w:t>might</w:t>
      </w:r>
      <w:r w:rsidR="001B4524" w:rsidRPr="006A6627">
        <w:rPr>
          <w:color w:val="FF0000"/>
          <w:sz w:val="20"/>
          <w:szCs w:val="20"/>
        </w:rPr>
        <w:t xml:space="preserve"> also be successful</w:t>
      </w:r>
      <w:r w:rsidR="00C1264B" w:rsidRPr="006A6627">
        <w:rPr>
          <w:color w:val="FF0000"/>
          <w:sz w:val="20"/>
          <w:szCs w:val="20"/>
        </w:rPr>
        <w:t>, and a</w:t>
      </w:r>
      <w:r w:rsidR="001B4524" w:rsidRPr="006A6627">
        <w:rPr>
          <w:color w:val="FF0000"/>
          <w:sz w:val="20"/>
          <w:szCs w:val="20"/>
        </w:rPr>
        <w:t xml:space="preserve">ny measures taken to move capital raising and investments into the regulated space </w:t>
      </w:r>
      <w:r w:rsidR="00C1264B" w:rsidRPr="006A6627">
        <w:rPr>
          <w:color w:val="FF0000"/>
          <w:sz w:val="20"/>
          <w:szCs w:val="20"/>
        </w:rPr>
        <w:t xml:space="preserve">should </w:t>
      </w:r>
      <w:proofErr w:type="gramStart"/>
      <w:r w:rsidR="00C1264B" w:rsidRPr="006A6627">
        <w:rPr>
          <w:color w:val="FF0000"/>
          <w:sz w:val="20"/>
          <w:szCs w:val="20"/>
        </w:rPr>
        <w:t>be seen as</w:t>
      </w:r>
      <w:proofErr w:type="gramEnd"/>
      <w:r w:rsidR="00C1264B" w:rsidRPr="006A6627">
        <w:rPr>
          <w:color w:val="FF0000"/>
          <w:sz w:val="20"/>
          <w:szCs w:val="20"/>
        </w:rPr>
        <w:t xml:space="preserve"> </w:t>
      </w:r>
      <w:r w:rsidR="001B4524" w:rsidRPr="006A6627">
        <w:rPr>
          <w:color w:val="FF0000"/>
          <w:sz w:val="20"/>
          <w:szCs w:val="20"/>
        </w:rPr>
        <w:t>positive.</w:t>
      </w:r>
      <w:bookmarkStart w:id="0" w:name="_Hlk41049538"/>
      <w:r w:rsidR="00A2735B" w:rsidRPr="006A6627">
        <w:rPr>
          <w:color w:val="FF0000"/>
          <w:sz w:val="20"/>
          <w:szCs w:val="20"/>
        </w:rPr>
        <w:t xml:space="preserve"> </w:t>
      </w:r>
      <w:r w:rsidR="006D0864" w:rsidRPr="006A6627">
        <w:rPr>
          <w:color w:val="FF0000"/>
          <w:sz w:val="20"/>
          <w:szCs w:val="20"/>
        </w:rPr>
        <w:t xml:space="preserve">A cautious approach should be </w:t>
      </w:r>
      <w:r w:rsidR="00A9222A" w:rsidRPr="006A6627">
        <w:rPr>
          <w:color w:val="FF0000"/>
          <w:sz w:val="20"/>
          <w:szCs w:val="20"/>
        </w:rPr>
        <w:t>taken though as any further</w:t>
      </w:r>
      <w:r w:rsidR="00A2735B" w:rsidRPr="006A6627">
        <w:rPr>
          <w:color w:val="FF0000"/>
          <w:sz w:val="20"/>
          <w:szCs w:val="20"/>
        </w:rPr>
        <w:t xml:space="preserve"> alleviations </w:t>
      </w:r>
      <w:r w:rsidR="00237426" w:rsidRPr="006A6627">
        <w:rPr>
          <w:color w:val="FF0000"/>
          <w:sz w:val="20"/>
          <w:szCs w:val="20"/>
        </w:rPr>
        <w:t>would still</w:t>
      </w:r>
      <w:r w:rsidR="005D4B9D" w:rsidRPr="006A6627">
        <w:rPr>
          <w:color w:val="FF0000"/>
          <w:sz w:val="20"/>
          <w:szCs w:val="20"/>
        </w:rPr>
        <w:t xml:space="preserve"> have to</w:t>
      </w:r>
      <w:r w:rsidR="00237426" w:rsidRPr="006A6627">
        <w:rPr>
          <w:color w:val="FF0000"/>
          <w:sz w:val="20"/>
          <w:szCs w:val="20"/>
        </w:rPr>
        <w:t xml:space="preserve"> </w:t>
      </w:r>
      <w:r w:rsidR="00E20E23" w:rsidRPr="006A6627">
        <w:rPr>
          <w:color w:val="FF0000"/>
          <w:sz w:val="20"/>
          <w:szCs w:val="20"/>
        </w:rPr>
        <w:t>promote</w:t>
      </w:r>
      <w:r w:rsidR="00B67732" w:rsidRPr="006A6627">
        <w:rPr>
          <w:color w:val="FF0000"/>
          <w:sz w:val="20"/>
          <w:szCs w:val="20"/>
        </w:rPr>
        <w:t xml:space="preserve"> legitimacy of the space</w:t>
      </w:r>
      <w:r w:rsidR="005D4B9D" w:rsidRPr="006A6627">
        <w:rPr>
          <w:color w:val="FF0000"/>
          <w:sz w:val="20"/>
          <w:szCs w:val="20"/>
        </w:rPr>
        <w:t xml:space="preserve"> and not</w:t>
      </w:r>
      <w:r w:rsidR="00B94EEB" w:rsidRPr="006A6627">
        <w:rPr>
          <w:color w:val="FF0000"/>
          <w:sz w:val="20"/>
          <w:szCs w:val="20"/>
        </w:rPr>
        <w:t xml:space="preserve"> create </w:t>
      </w:r>
      <w:r w:rsidR="008043E1" w:rsidRPr="006A6627">
        <w:rPr>
          <w:color w:val="FF0000"/>
          <w:sz w:val="20"/>
          <w:szCs w:val="20"/>
        </w:rPr>
        <w:t xml:space="preserve">incentives for issuers to game the thresholds and </w:t>
      </w:r>
      <w:r w:rsidR="00FC64B4" w:rsidRPr="006A6627">
        <w:rPr>
          <w:color w:val="FF0000"/>
          <w:sz w:val="20"/>
          <w:szCs w:val="20"/>
        </w:rPr>
        <w:t>raise capital with inappropriately low disclosure standards.</w:t>
      </w:r>
      <w:r w:rsidR="00E25E65" w:rsidRPr="006A6627">
        <w:rPr>
          <w:color w:val="FF0000"/>
          <w:sz w:val="20"/>
          <w:szCs w:val="20"/>
        </w:rPr>
        <w:t xml:space="preserve"> </w:t>
      </w:r>
      <w:r w:rsidR="009A689B" w:rsidRPr="006A6627">
        <w:rPr>
          <w:color w:val="FF0000"/>
          <w:sz w:val="20"/>
          <w:szCs w:val="20"/>
        </w:rPr>
        <w:t>Furthermore, fractionalising further the SME</w:t>
      </w:r>
      <w:r w:rsidR="00364B3E" w:rsidRPr="006A6627">
        <w:rPr>
          <w:color w:val="FF0000"/>
          <w:sz w:val="20"/>
          <w:szCs w:val="20"/>
        </w:rPr>
        <w:t xml:space="preserve"> investment landscape risks reducing the </w:t>
      </w:r>
      <w:r w:rsidR="00527A40" w:rsidRPr="006A6627">
        <w:rPr>
          <w:color w:val="FF0000"/>
          <w:sz w:val="20"/>
          <w:szCs w:val="20"/>
        </w:rPr>
        <w:t xml:space="preserve">amount of eligible investor capital seeking </w:t>
      </w:r>
      <w:r w:rsidR="002730EA" w:rsidRPr="006A6627">
        <w:rPr>
          <w:color w:val="FF0000"/>
          <w:sz w:val="20"/>
          <w:szCs w:val="20"/>
        </w:rPr>
        <w:t xml:space="preserve">access to SME firms. Creating multiple venue with different admission standards </w:t>
      </w:r>
      <w:r w:rsidR="00FE4099" w:rsidRPr="006A6627">
        <w:rPr>
          <w:color w:val="FF0000"/>
          <w:sz w:val="20"/>
          <w:szCs w:val="20"/>
        </w:rPr>
        <w:t>introduces greater administrative burdens on those seeking to invest (be</w:t>
      </w:r>
      <w:r w:rsidR="00B856BF" w:rsidRPr="006A6627">
        <w:rPr>
          <w:color w:val="FF0000"/>
          <w:sz w:val="20"/>
          <w:szCs w:val="20"/>
        </w:rPr>
        <w:t>ing members of multiple venues, tying up capital with each one just to have access)</w:t>
      </w:r>
      <w:r w:rsidR="00E876EA" w:rsidRPr="006A6627">
        <w:rPr>
          <w:color w:val="FF0000"/>
          <w:sz w:val="20"/>
          <w:szCs w:val="20"/>
        </w:rPr>
        <w:t xml:space="preserve">. Too many SME GMs, each with different standards and each with </w:t>
      </w:r>
      <w:r w:rsidR="0066170C" w:rsidRPr="006A6627">
        <w:rPr>
          <w:color w:val="FF0000"/>
          <w:sz w:val="20"/>
          <w:szCs w:val="20"/>
        </w:rPr>
        <w:t>fewer issuances will likely reduce the overall level of SME investment in the Bloc.</w:t>
      </w:r>
    </w:p>
    <w:p w14:paraId="4428C927" w14:textId="48D0450B" w:rsidR="006A6627" w:rsidRPr="00096FE9" w:rsidRDefault="00E60E0A" w:rsidP="00E60E0A">
      <w:pPr>
        <w:spacing w:after="120" w:line="240" w:lineRule="auto"/>
        <w:jc w:val="both"/>
        <w:rPr>
          <w:color w:val="FF0000"/>
          <w:sz w:val="20"/>
          <w:szCs w:val="20"/>
        </w:rPr>
      </w:pPr>
      <w:r w:rsidRPr="006A6627">
        <w:rPr>
          <w:color w:val="FF0000"/>
          <w:sz w:val="20"/>
          <w:szCs w:val="20"/>
        </w:rPr>
        <w:t>Finally, i</w:t>
      </w:r>
      <w:r w:rsidR="00E714BB" w:rsidRPr="006A6627">
        <w:rPr>
          <w:color w:val="FF0000"/>
          <w:sz w:val="20"/>
          <w:szCs w:val="20"/>
        </w:rPr>
        <w:t>t is</w:t>
      </w:r>
      <w:r w:rsidR="00CB6861" w:rsidRPr="006A6627">
        <w:rPr>
          <w:color w:val="FF0000"/>
          <w:sz w:val="20"/>
          <w:szCs w:val="20"/>
        </w:rPr>
        <w:t xml:space="preserve"> worth reiterating that micro-SMEs will still </w:t>
      </w:r>
      <w:r w:rsidR="00EF5681" w:rsidRPr="006A6627">
        <w:rPr>
          <w:color w:val="FF0000"/>
          <w:sz w:val="20"/>
          <w:szCs w:val="20"/>
        </w:rPr>
        <w:t>b</w:t>
      </w:r>
      <w:r w:rsidR="006A6627" w:rsidRPr="006A6627">
        <w:rPr>
          <w:color w:val="FF0000"/>
          <w:sz w:val="20"/>
          <w:szCs w:val="20"/>
        </w:rPr>
        <w:t>are</w:t>
      </w:r>
      <w:r w:rsidR="00EF5681" w:rsidRPr="006A6627">
        <w:rPr>
          <w:color w:val="FF0000"/>
          <w:sz w:val="20"/>
          <w:szCs w:val="20"/>
        </w:rPr>
        <w:t xml:space="preserve"> costs linked to offering, admitting, and maintain</w:t>
      </w:r>
      <w:r w:rsidR="00E714BB" w:rsidRPr="006A6627">
        <w:rPr>
          <w:color w:val="FF0000"/>
          <w:sz w:val="20"/>
          <w:szCs w:val="20"/>
        </w:rPr>
        <w:t>ing an issuance. Even if these are reduced for micro-SMEs</w:t>
      </w:r>
      <w:r w:rsidR="006A6627" w:rsidRPr="006A6627">
        <w:rPr>
          <w:color w:val="FF0000"/>
          <w:sz w:val="20"/>
          <w:szCs w:val="20"/>
        </w:rPr>
        <w:t>,</w:t>
      </w:r>
      <w:r w:rsidR="00E714BB" w:rsidRPr="006A6627">
        <w:rPr>
          <w:color w:val="FF0000"/>
          <w:sz w:val="20"/>
          <w:szCs w:val="20"/>
        </w:rPr>
        <w:t xml:space="preserve"> they could still be very high relative costs</w:t>
      </w:r>
      <w:r w:rsidR="006A6627" w:rsidRPr="006A6627">
        <w:rPr>
          <w:color w:val="FF0000"/>
          <w:sz w:val="20"/>
          <w:szCs w:val="20"/>
        </w:rPr>
        <w:t xml:space="preserve"> (to the rest of their business).</w:t>
      </w:r>
    </w:p>
    <w:bookmarkEnd w:id="0"/>
    <w:p w14:paraId="53248993" w14:textId="0B028F92" w:rsidR="00E874F9" w:rsidRPr="009C343E" w:rsidRDefault="00E874F9" w:rsidP="00E874F9">
      <w:pPr>
        <w:spacing w:after="120" w:line="240" w:lineRule="auto"/>
        <w:jc w:val="both"/>
        <w:rPr>
          <w:b/>
          <w:bCs/>
          <w:sz w:val="20"/>
          <w:szCs w:val="20"/>
        </w:rPr>
      </w:pPr>
      <w:r w:rsidRPr="009C343E">
        <w:rPr>
          <w:b/>
          <w:bCs/>
          <w:sz w:val="20"/>
          <w:szCs w:val="20"/>
        </w:rPr>
        <w:t>Q11: Do you think that requiring SME GMs to have in place mandatory liquidity provision schemes, designed in the spirit of what is envisaged in Article 48(2) and (3) of MiFID II, could alleviate costs for SMEs issuers and provide them an incentive to go public? Do you think that on balance such provision would increase costs for MTFs in a way which encompasses potential benefits, resulting in reducing the incentive to register as an SME GM?</w:t>
      </w:r>
    </w:p>
    <w:p w14:paraId="37C52824" w14:textId="51EED893" w:rsidR="004415B2" w:rsidRPr="00096FE9" w:rsidRDefault="00361C56" w:rsidP="00E874F9">
      <w:pPr>
        <w:spacing w:after="120" w:line="240" w:lineRule="auto"/>
        <w:jc w:val="both"/>
        <w:rPr>
          <w:color w:val="FF0000"/>
          <w:sz w:val="20"/>
          <w:szCs w:val="20"/>
        </w:rPr>
      </w:pPr>
      <w:r w:rsidRPr="00096FE9">
        <w:rPr>
          <w:color w:val="FF0000"/>
          <w:sz w:val="20"/>
          <w:szCs w:val="20"/>
        </w:rPr>
        <w:t>M</w:t>
      </w:r>
      <w:r w:rsidR="0020337D" w:rsidRPr="00096FE9">
        <w:rPr>
          <w:color w:val="FF0000"/>
          <w:sz w:val="20"/>
          <w:szCs w:val="20"/>
        </w:rPr>
        <w:t xml:space="preserve">andating liquidity providers </w:t>
      </w:r>
      <w:r w:rsidRPr="00096FE9">
        <w:rPr>
          <w:color w:val="FF0000"/>
          <w:sz w:val="20"/>
          <w:szCs w:val="20"/>
        </w:rPr>
        <w:t>will</w:t>
      </w:r>
      <w:r w:rsidR="00F771A9" w:rsidRPr="00096FE9">
        <w:rPr>
          <w:color w:val="FF0000"/>
          <w:sz w:val="20"/>
          <w:szCs w:val="20"/>
        </w:rPr>
        <w:t xml:space="preserve"> introduce a barrier to </w:t>
      </w:r>
      <w:r w:rsidR="008F6841" w:rsidRPr="00096FE9">
        <w:rPr>
          <w:color w:val="FF0000"/>
          <w:sz w:val="20"/>
          <w:szCs w:val="20"/>
        </w:rPr>
        <w:t>entry</w:t>
      </w:r>
      <w:r w:rsidR="00F771A9" w:rsidRPr="00096FE9">
        <w:rPr>
          <w:color w:val="FF0000"/>
          <w:sz w:val="20"/>
          <w:szCs w:val="20"/>
        </w:rPr>
        <w:t xml:space="preserve"> for new SME GMs</w:t>
      </w:r>
      <w:r w:rsidR="00C27C99" w:rsidRPr="00096FE9">
        <w:rPr>
          <w:color w:val="FF0000"/>
          <w:sz w:val="20"/>
          <w:szCs w:val="20"/>
        </w:rPr>
        <w:t xml:space="preserve"> however it is likely that this is mitigated by the </w:t>
      </w:r>
      <w:r w:rsidR="0087093A" w:rsidRPr="00096FE9">
        <w:rPr>
          <w:color w:val="FF0000"/>
          <w:sz w:val="20"/>
          <w:szCs w:val="20"/>
        </w:rPr>
        <w:t>benefits of increased liquidity for SMEs.</w:t>
      </w:r>
    </w:p>
    <w:p w14:paraId="52F768C0" w14:textId="7A21134C" w:rsidR="00D23CF0" w:rsidRPr="00096FE9" w:rsidRDefault="00D23CF0" w:rsidP="00E874F9">
      <w:pPr>
        <w:spacing w:after="120" w:line="240" w:lineRule="auto"/>
        <w:jc w:val="both"/>
        <w:rPr>
          <w:color w:val="FF0000"/>
          <w:sz w:val="20"/>
          <w:szCs w:val="20"/>
        </w:rPr>
      </w:pPr>
      <w:r w:rsidRPr="00096FE9">
        <w:rPr>
          <w:color w:val="FF0000"/>
          <w:sz w:val="20"/>
          <w:szCs w:val="20"/>
        </w:rPr>
        <w:t xml:space="preserve">Regarding costs, </w:t>
      </w:r>
      <w:r w:rsidR="002F116F" w:rsidRPr="00096FE9">
        <w:rPr>
          <w:color w:val="FF0000"/>
          <w:sz w:val="20"/>
          <w:szCs w:val="20"/>
        </w:rPr>
        <w:t>SME GMs are free to set the level of remuneration within their liquidity provision schemes</w:t>
      </w:r>
      <w:r w:rsidR="00425BFD" w:rsidRPr="00096FE9">
        <w:rPr>
          <w:color w:val="FF0000"/>
          <w:sz w:val="20"/>
          <w:szCs w:val="20"/>
        </w:rPr>
        <w:t xml:space="preserve"> (LPS)</w:t>
      </w:r>
      <w:r w:rsidR="002F116F" w:rsidRPr="00096FE9">
        <w:rPr>
          <w:color w:val="FF0000"/>
          <w:sz w:val="20"/>
          <w:szCs w:val="20"/>
        </w:rPr>
        <w:t xml:space="preserve"> and so despite </w:t>
      </w:r>
      <w:r w:rsidR="00425BFD" w:rsidRPr="00096FE9">
        <w:rPr>
          <w:color w:val="FF0000"/>
          <w:sz w:val="20"/>
          <w:szCs w:val="20"/>
        </w:rPr>
        <w:t>LPS being mandated there is still a level of autonomy</w:t>
      </w:r>
      <w:r w:rsidR="00BB30E7" w:rsidRPr="00096FE9">
        <w:rPr>
          <w:color w:val="FF0000"/>
          <w:sz w:val="20"/>
          <w:szCs w:val="20"/>
        </w:rPr>
        <w:t xml:space="preserve"> for the SME GM</w:t>
      </w:r>
      <w:r w:rsidR="007E595C" w:rsidRPr="00096FE9">
        <w:rPr>
          <w:color w:val="FF0000"/>
          <w:sz w:val="20"/>
          <w:szCs w:val="20"/>
        </w:rPr>
        <w:t xml:space="preserve"> to </w:t>
      </w:r>
      <w:r w:rsidR="00A41CD2" w:rsidRPr="00096FE9">
        <w:rPr>
          <w:color w:val="FF0000"/>
          <w:sz w:val="20"/>
          <w:szCs w:val="20"/>
        </w:rPr>
        <w:t xml:space="preserve">allow them to </w:t>
      </w:r>
      <w:r w:rsidR="004A572D" w:rsidRPr="00096FE9">
        <w:rPr>
          <w:color w:val="FF0000"/>
          <w:sz w:val="20"/>
          <w:szCs w:val="20"/>
        </w:rPr>
        <w:t xml:space="preserve">operate profitably and </w:t>
      </w:r>
      <w:r w:rsidR="00B70AF3" w:rsidRPr="00096FE9">
        <w:rPr>
          <w:color w:val="FF0000"/>
          <w:sz w:val="20"/>
          <w:szCs w:val="20"/>
        </w:rPr>
        <w:t>foster competition between SME GMs.</w:t>
      </w:r>
    </w:p>
    <w:p w14:paraId="48D83410" w14:textId="79D291EF" w:rsidR="00C02478" w:rsidRDefault="003514A7" w:rsidP="00B8581C">
      <w:pPr>
        <w:spacing w:after="120" w:line="240" w:lineRule="auto"/>
        <w:jc w:val="both"/>
        <w:rPr>
          <w:color w:val="FF0000"/>
          <w:sz w:val="20"/>
          <w:szCs w:val="20"/>
        </w:rPr>
      </w:pPr>
      <w:r w:rsidRPr="00096FE9">
        <w:rPr>
          <w:color w:val="FF0000"/>
          <w:sz w:val="20"/>
          <w:szCs w:val="20"/>
        </w:rPr>
        <w:t>Enticing</w:t>
      </w:r>
      <w:r w:rsidR="00046B3A" w:rsidRPr="00096FE9">
        <w:rPr>
          <w:color w:val="FF0000"/>
          <w:sz w:val="20"/>
          <w:szCs w:val="20"/>
        </w:rPr>
        <w:t xml:space="preserve"> </w:t>
      </w:r>
      <w:r w:rsidR="00B8581C" w:rsidRPr="00096FE9">
        <w:rPr>
          <w:color w:val="FF0000"/>
          <w:sz w:val="20"/>
          <w:szCs w:val="20"/>
        </w:rPr>
        <w:t>market maker</w:t>
      </w:r>
      <w:r w:rsidR="00046B3A" w:rsidRPr="00096FE9">
        <w:rPr>
          <w:color w:val="FF0000"/>
          <w:sz w:val="20"/>
          <w:szCs w:val="20"/>
        </w:rPr>
        <w:t>s</w:t>
      </w:r>
      <w:r w:rsidR="00B8581C" w:rsidRPr="00096FE9">
        <w:rPr>
          <w:color w:val="FF0000"/>
          <w:sz w:val="20"/>
          <w:szCs w:val="20"/>
        </w:rPr>
        <w:t xml:space="preserve"> to make markets o</w:t>
      </w:r>
      <w:r w:rsidR="00046B3A" w:rsidRPr="00096FE9">
        <w:rPr>
          <w:color w:val="FF0000"/>
          <w:sz w:val="20"/>
          <w:szCs w:val="20"/>
        </w:rPr>
        <w:t>n new and novel</w:t>
      </w:r>
      <w:r w:rsidR="00B8581C" w:rsidRPr="00096FE9">
        <w:rPr>
          <w:color w:val="FF0000"/>
          <w:sz w:val="20"/>
          <w:szCs w:val="20"/>
        </w:rPr>
        <w:t xml:space="preserve"> SME</w:t>
      </w:r>
      <w:r w:rsidR="00046B3A" w:rsidRPr="00096FE9">
        <w:rPr>
          <w:color w:val="FF0000"/>
          <w:sz w:val="20"/>
          <w:szCs w:val="20"/>
        </w:rPr>
        <w:t xml:space="preserve"> GMs (an SME issuances)</w:t>
      </w:r>
      <w:r w:rsidR="00B8581C" w:rsidRPr="00096FE9">
        <w:rPr>
          <w:color w:val="FF0000"/>
          <w:sz w:val="20"/>
          <w:szCs w:val="20"/>
        </w:rPr>
        <w:t xml:space="preserve"> </w:t>
      </w:r>
      <w:r w:rsidRPr="00096FE9">
        <w:rPr>
          <w:color w:val="FF0000"/>
          <w:sz w:val="20"/>
          <w:szCs w:val="20"/>
        </w:rPr>
        <w:t>challenging</w:t>
      </w:r>
      <w:r w:rsidR="00B8581C" w:rsidRPr="00096FE9">
        <w:rPr>
          <w:color w:val="FF0000"/>
          <w:sz w:val="20"/>
          <w:szCs w:val="20"/>
        </w:rPr>
        <w:t>. It is much more likely that they</w:t>
      </w:r>
      <w:r w:rsidRPr="00096FE9">
        <w:rPr>
          <w:color w:val="FF0000"/>
          <w:sz w:val="20"/>
          <w:szCs w:val="20"/>
        </w:rPr>
        <w:t xml:space="preserve"> (m</w:t>
      </w:r>
      <w:r w:rsidR="006E6E78">
        <w:rPr>
          <w:color w:val="FF0000"/>
          <w:sz w:val="20"/>
          <w:szCs w:val="20"/>
        </w:rPr>
        <w:t>a</w:t>
      </w:r>
      <w:r w:rsidR="000C12BF">
        <w:rPr>
          <w:color w:val="FF0000"/>
          <w:sz w:val="20"/>
          <w:szCs w:val="20"/>
        </w:rPr>
        <w:t xml:space="preserve">rket </w:t>
      </w:r>
      <w:r w:rsidRPr="00096FE9">
        <w:rPr>
          <w:color w:val="FF0000"/>
          <w:sz w:val="20"/>
          <w:szCs w:val="20"/>
        </w:rPr>
        <w:t>m</w:t>
      </w:r>
      <w:r w:rsidR="000C12BF">
        <w:rPr>
          <w:color w:val="FF0000"/>
          <w:sz w:val="20"/>
          <w:szCs w:val="20"/>
        </w:rPr>
        <w:t>ak</w:t>
      </w:r>
      <w:r w:rsidRPr="00096FE9">
        <w:rPr>
          <w:color w:val="FF0000"/>
          <w:sz w:val="20"/>
          <w:szCs w:val="20"/>
        </w:rPr>
        <w:t>ers)</w:t>
      </w:r>
      <w:r w:rsidR="00B8581C" w:rsidRPr="00096FE9">
        <w:rPr>
          <w:color w:val="FF0000"/>
          <w:sz w:val="20"/>
          <w:szCs w:val="20"/>
        </w:rPr>
        <w:t xml:space="preserve"> will work </w:t>
      </w:r>
      <w:r w:rsidRPr="00096FE9">
        <w:rPr>
          <w:color w:val="FF0000"/>
          <w:sz w:val="20"/>
          <w:szCs w:val="20"/>
        </w:rPr>
        <w:t xml:space="preserve">directly </w:t>
      </w:r>
      <w:r w:rsidR="00B8581C" w:rsidRPr="00096FE9">
        <w:rPr>
          <w:color w:val="FF0000"/>
          <w:sz w:val="20"/>
          <w:szCs w:val="20"/>
        </w:rPr>
        <w:t xml:space="preserve">with the </w:t>
      </w:r>
      <w:r w:rsidRPr="00096FE9">
        <w:rPr>
          <w:color w:val="FF0000"/>
          <w:sz w:val="20"/>
          <w:szCs w:val="20"/>
        </w:rPr>
        <w:t>I</w:t>
      </w:r>
      <w:r w:rsidR="00B8581C" w:rsidRPr="00096FE9">
        <w:rPr>
          <w:color w:val="FF0000"/>
          <w:sz w:val="20"/>
          <w:szCs w:val="20"/>
        </w:rPr>
        <w:t>ssuer.</w:t>
      </w:r>
      <w:r w:rsidRPr="00096FE9">
        <w:rPr>
          <w:color w:val="FF0000"/>
          <w:sz w:val="20"/>
          <w:szCs w:val="20"/>
        </w:rPr>
        <w:t xml:space="preserve"> To this end, </w:t>
      </w:r>
      <w:r w:rsidR="00B8581C" w:rsidRPr="00096FE9">
        <w:rPr>
          <w:color w:val="FF0000"/>
          <w:sz w:val="20"/>
          <w:szCs w:val="20"/>
        </w:rPr>
        <w:t>focus</w:t>
      </w:r>
      <w:r w:rsidR="00546C09" w:rsidRPr="00096FE9">
        <w:rPr>
          <w:color w:val="FF0000"/>
          <w:sz w:val="20"/>
          <w:szCs w:val="20"/>
        </w:rPr>
        <w:t>ing</w:t>
      </w:r>
      <w:r w:rsidR="00B8581C" w:rsidRPr="00096FE9">
        <w:rPr>
          <w:color w:val="FF0000"/>
          <w:sz w:val="20"/>
          <w:szCs w:val="20"/>
        </w:rPr>
        <w:t xml:space="preserve"> on allowing SMEs to create treasury functions within themselves which can </w:t>
      </w:r>
      <w:r w:rsidR="00546C09" w:rsidRPr="00096FE9">
        <w:rPr>
          <w:color w:val="FF0000"/>
          <w:sz w:val="20"/>
          <w:szCs w:val="20"/>
        </w:rPr>
        <w:t>facilitate</w:t>
      </w:r>
      <w:r w:rsidR="00B8581C" w:rsidRPr="00096FE9">
        <w:rPr>
          <w:color w:val="FF0000"/>
          <w:sz w:val="20"/>
          <w:szCs w:val="20"/>
        </w:rPr>
        <w:t xml:space="preserve"> </w:t>
      </w:r>
      <w:r w:rsidR="00546C09" w:rsidRPr="00096FE9">
        <w:rPr>
          <w:color w:val="FF0000"/>
          <w:sz w:val="20"/>
          <w:szCs w:val="20"/>
        </w:rPr>
        <w:t>inventory</w:t>
      </w:r>
      <w:r w:rsidR="00B8581C" w:rsidRPr="00096FE9">
        <w:rPr>
          <w:color w:val="FF0000"/>
          <w:sz w:val="20"/>
          <w:szCs w:val="20"/>
        </w:rPr>
        <w:t xml:space="preserve"> management by </w:t>
      </w:r>
      <w:r w:rsidR="00546C09" w:rsidRPr="00096FE9">
        <w:rPr>
          <w:color w:val="FF0000"/>
          <w:sz w:val="20"/>
          <w:szCs w:val="20"/>
        </w:rPr>
        <w:t>m</w:t>
      </w:r>
      <w:r w:rsidR="000C12BF">
        <w:rPr>
          <w:color w:val="FF0000"/>
          <w:sz w:val="20"/>
          <w:szCs w:val="20"/>
        </w:rPr>
        <w:t xml:space="preserve">arket </w:t>
      </w:r>
      <w:r w:rsidR="00546C09" w:rsidRPr="00096FE9">
        <w:rPr>
          <w:color w:val="FF0000"/>
          <w:sz w:val="20"/>
          <w:szCs w:val="20"/>
        </w:rPr>
        <w:t>m</w:t>
      </w:r>
      <w:r w:rsidR="000C12BF">
        <w:rPr>
          <w:color w:val="FF0000"/>
          <w:sz w:val="20"/>
          <w:szCs w:val="20"/>
        </w:rPr>
        <w:t>ak</w:t>
      </w:r>
      <w:r w:rsidR="00546C09" w:rsidRPr="00096FE9">
        <w:rPr>
          <w:color w:val="FF0000"/>
          <w:sz w:val="20"/>
          <w:szCs w:val="20"/>
        </w:rPr>
        <w:t>er</w:t>
      </w:r>
      <w:r w:rsidR="00B8581C" w:rsidRPr="00096FE9">
        <w:rPr>
          <w:color w:val="FF0000"/>
          <w:sz w:val="20"/>
          <w:szCs w:val="20"/>
        </w:rPr>
        <w:t>s</w:t>
      </w:r>
      <w:r w:rsidR="00546C09" w:rsidRPr="00096FE9">
        <w:rPr>
          <w:color w:val="FF0000"/>
          <w:sz w:val="20"/>
          <w:szCs w:val="20"/>
        </w:rPr>
        <w:t xml:space="preserve"> (through liquidity contracts)</w:t>
      </w:r>
      <w:r w:rsidR="00686106" w:rsidRPr="00096FE9">
        <w:rPr>
          <w:color w:val="FF0000"/>
          <w:sz w:val="20"/>
          <w:szCs w:val="20"/>
        </w:rPr>
        <w:t xml:space="preserve"> would likely be more productive</w:t>
      </w:r>
      <w:r w:rsidR="00B8581C" w:rsidRPr="00096FE9">
        <w:rPr>
          <w:color w:val="FF0000"/>
          <w:sz w:val="20"/>
          <w:szCs w:val="20"/>
        </w:rPr>
        <w:t>.</w:t>
      </w:r>
    </w:p>
    <w:p w14:paraId="0B061A8A" w14:textId="35D695A1" w:rsidR="00E874F9" w:rsidRPr="009C343E" w:rsidRDefault="00E874F9" w:rsidP="00E874F9">
      <w:pPr>
        <w:spacing w:after="120" w:line="240" w:lineRule="auto"/>
        <w:jc w:val="both"/>
        <w:rPr>
          <w:b/>
          <w:bCs/>
          <w:sz w:val="20"/>
          <w:szCs w:val="20"/>
        </w:rPr>
      </w:pPr>
      <w:r w:rsidRPr="009C343E">
        <w:rPr>
          <w:b/>
          <w:bCs/>
          <w:sz w:val="20"/>
          <w:szCs w:val="20"/>
        </w:rPr>
        <w:t>Q12: Do you think the requirement in Article 33(7) of MiFID II regarding the issuer non objection in case of instruments already admitted to trading on SME Growth Markets to be admitted to trading on another SME growth market should be extended to any trading venue? Should a specific time frame for non-objection be specified? If so which one?</w:t>
      </w:r>
    </w:p>
    <w:p w14:paraId="0437000F" w14:textId="22615D0D" w:rsidR="006125F0" w:rsidRPr="00096FE9" w:rsidRDefault="006125F0" w:rsidP="00E874F9">
      <w:pPr>
        <w:spacing w:after="120" w:line="240" w:lineRule="auto"/>
        <w:jc w:val="both"/>
        <w:rPr>
          <w:color w:val="FF0000"/>
          <w:sz w:val="20"/>
          <w:szCs w:val="20"/>
        </w:rPr>
      </w:pPr>
      <w:r w:rsidRPr="00096FE9">
        <w:rPr>
          <w:color w:val="FF0000"/>
          <w:sz w:val="20"/>
          <w:szCs w:val="20"/>
        </w:rPr>
        <w:t>Yes – this will level the playing field between SME GMs and non-SME GMs. Furthermore</w:t>
      </w:r>
      <w:r w:rsidR="00291FBC" w:rsidRPr="00096FE9">
        <w:rPr>
          <w:color w:val="FF0000"/>
          <w:sz w:val="20"/>
          <w:szCs w:val="20"/>
        </w:rPr>
        <w:t>,</w:t>
      </w:r>
      <w:r w:rsidRPr="00096FE9">
        <w:rPr>
          <w:color w:val="FF0000"/>
          <w:sz w:val="20"/>
          <w:szCs w:val="20"/>
        </w:rPr>
        <w:t xml:space="preserve"> the rationale for introducing the requirement is the same irrespective of the classification </w:t>
      </w:r>
      <w:r w:rsidR="00291FBC" w:rsidRPr="00096FE9">
        <w:rPr>
          <w:color w:val="FF0000"/>
          <w:sz w:val="20"/>
          <w:szCs w:val="20"/>
        </w:rPr>
        <w:t xml:space="preserve">of the secondary venue. </w:t>
      </w:r>
    </w:p>
    <w:p w14:paraId="387052EB" w14:textId="594BDD5A" w:rsidR="00291FBC" w:rsidRPr="00096FE9" w:rsidRDefault="00291FBC" w:rsidP="00E874F9">
      <w:pPr>
        <w:spacing w:after="120" w:line="240" w:lineRule="auto"/>
        <w:jc w:val="both"/>
        <w:rPr>
          <w:color w:val="FF0000"/>
          <w:sz w:val="20"/>
          <w:szCs w:val="20"/>
        </w:rPr>
      </w:pPr>
      <w:r w:rsidRPr="00096FE9">
        <w:rPr>
          <w:color w:val="FF0000"/>
          <w:sz w:val="20"/>
          <w:szCs w:val="20"/>
        </w:rPr>
        <w:t>Limiting factors of the secondary venue will be where the on-going obligations of the primary are below those of the secondary. A way therefore of protecting liquidity would be to implement the lowest possible standards</w:t>
      </w:r>
      <w:r w:rsidR="00B01891" w:rsidRPr="00096FE9">
        <w:rPr>
          <w:color w:val="FF0000"/>
          <w:sz w:val="20"/>
          <w:szCs w:val="20"/>
        </w:rPr>
        <w:t xml:space="preserve"> – whilst they are not beholden under MAR, they may be under the rules of the venue. </w:t>
      </w:r>
    </w:p>
    <w:p w14:paraId="026B234E" w14:textId="47EDE849" w:rsidR="00B01891" w:rsidRPr="00096FE9" w:rsidRDefault="00B01891" w:rsidP="00E874F9">
      <w:pPr>
        <w:spacing w:after="120" w:line="240" w:lineRule="auto"/>
        <w:jc w:val="both"/>
        <w:rPr>
          <w:color w:val="FF0000"/>
          <w:sz w:val="20"/>
          <w:szCs w:val="20"/>
        </w:rPr>
      </w:pPr>
      <w:r w:rsidRPr="00096FE9">
        <w:rPr>
          <w:color w:val="FF0000"/>
          <w:sz w:val="20"/>
          <w:szCs w:val="20"/>
        </w:rPr>
        <w:t>Where the issuer has the ‘right of refusal’ then it is fa</w:t>
      </w:r>
      <w:r w:rsidR="00FE3BA2" w:rsidRPr="00096FE9">
        <w:rPr>
          <w:color w:val="FF0000"/>
          <w:sz w:val="20"/>
          <w:szCs w:val="20"/>
        </w:rPr>
        <w:t>i</w:t>
      </w:r>
      <w:r w:rsidRPr="00096FE9">
        <w:rPr>
          <w:color w:val="FF0000"/>
          <w:sz w:val="20"/>
          <w:szCs w:val="20"/>
        </w:rPr>
        <w:t>r that they are beholden to the higher obligations of the two (or more) venues. Normally</w:t>
      </w:r>
      <w:r w:rsidR="00E00DF6" w:rsidRPr="00096FE9">
        <w:rPr>
          <w:color w:val="FF0000"/>
          <w:sz w:val="20"/>
          <w:szCs w:val="20"/>
        </w:rPr>
        <w:t>,</w:t>
      </w:r>
      <w:r w:rsidRPr="00096FE9">
        <w:rPr>
          <w:color w:val="FF0000"/>
          <w:sz w:val="20"/>
          <w:szCs w:val="20"/>
        </w:rPr>
        <w:t xml:space="preserve"> on-going disclosures will only have to be made once as the obligation is for them to be published generally. A</w:t>
      </w:r>
      <w:r w:rsidR="00E473F9" w:rsidRPr="00096FE9">
        <w:rPr>
          <w:color w:val="FF0000"/>
          <w:sz w:val="20"/>
          <w:szCs w:val="20"/>
        </w:rPr>
        <w:t>n</w:t>
      </w:r>
      <w:r w:rsidRPr="00096FE9">
        <w:rPr>
          <w:color w:val="FF0000"/>
          <w:sz w:val="20"/>
          <w:szCs w:val="20"/>
        </w:rPr>
        <w:t xml:space="preserve"> issue would arise where there are conflicting corporate governance obligations. </w:t>
      </w:r>
    </w:p>
    <w:p w14:paraId="2D86231B" w14:textId="21F05845" w:rsidR="00291FBC" w:rsidRPr="00096FE9" w:rsidRDefault="00291FBC" w:rsidP="00E874F9">
      <w:pPr>
        <w:spacing w:after="120" w:line="240" w:lineRule="auto"/>
        <w:jc w:val="both"/>
        <w:rPr>
          <w:color w:val="FF0000"/>
          <w:sz w:val="20"/>
          <w:szCs w:val="20"/>
        </w:rPr>
      </w:pPr>
      <w:r w:rsidRPr="00096FE9">
        <w:rPr>
          <w:color w:val="FF0000"/>
          <w:sz w:val="20"/>
          <w:szCs w:val="20"/>
        </w:rPr>
        <w:lastRenderedPageBreak/>
        <w:t xml:space="preserve">Whilst there are dangers associated with ‘silence means acquiescence’ policies this requirement is undermined by not limiting a response time. One mitigant would be to require the secondary venue to inform both the issuer and the primary venue, the primary venue can then be obligated to ensure a response is provided in a timely manner. Such a process would alleviate further burden on the issuer whilst also informing the primary venue such a liquidity split may occur. The primary venue being made aware as early as possible seems prudent given the potential for market monitoring/surveillance impacts. </w:t>
      </w:r>
    </w:p>
    <w:p w14:paraId="5F6EC70D" w14:textId="580E2FC2" w:rsidR="00E874F9" w:rsidRPr="009C343E" w:rsidRDefault="00E874F9" w:rsidP="00E874F9">
      <w:pPr>
        <w:spacing w:after="120" w:line="240" w:lineRule="auto"/>
        <w:jc w:val="both"/>
        <w:rPr>
          <w:b/>
          <w:bCs/>
          <w:sz w:val="20"/>
          <w:szCs w:val="20"/>
        </w:rPr>
      </w:pPr>
      <w:r w:rsidRPr="009C343E">
        <w:rPr>
          <w:b/>
          <w:bCs/>
          <w:sz w:val="20"/>
          <w:szCs w:val="20"/>
        </w:rPr>
        <w:t>Q13: Do you think that it should be specified that obligations relating to corporate governance or initial, ongoing</w:t>
      </w:r>
      <w:r w:rsidR="009C343E">
        <w:rPr>
          <w:b/>
          <w:bCs/>
          <w:sz w:val="20"/>
          <w:szCs w:val="20"/>
        </w:rPr>
        <w:t>,</w:t>
      </w:r>
      <w:r w:rsidRPr="009C343E">
        <w:rPr>
          <w:b/>
          <w:bCs/>
          <w:sz w:val="20"/>
          <w:szCs w:val="20"/>
        </w:rPr>
        <w:t xml:space="preserve"> or ad hoc disclosure should still hold in case of admission to trading in multiple jurisdiction?</w:t>
      </w:r>
    </w:p>
    <w:p w14:paraId="0DBD9E07" w14:textId="56231141" w:rsidR="00B01891" w:rsidRPr="00096FE9" w:rsidRDefault="007C05B0" w:rsidP="00E874F9">
      <w:pPr>
        <w:spacing w:after="120" w:line="240" w:lineRule="auto"/>
        <w:jc w:val="both"/>
        <w:rPr>
          <w:color w:val="FF0000"/>
          <w:sz w:val="20"/>
          <w:szCs w:val="20"/>
        </w:rPr>
      </w:pPr>
      <w:r w:rsidRPr="00096FE9">
        <w:rPr>
          <w:color w:val="FF0000"/>
          <w:sz w:val="20"/>
          <w:szCs w:val="20"/>
        </w:rPr>
        <w:t xml:space="preserve">As per </w:t>
      </w:r>
      <w:r w:rsidR="00D36155" w:rsidRPr="00096FE9">
        <w:rPr>
          <w:color w:val="FF0000"/>
          <w:sz w:val="20"/>
          <w:szCs w:val="20"/>
        </w:rPr>
        <w:t>the response to Q12</w:t>
      </w:r>
      <w:r w:rsidRPr="00096FE9">
        <w:rPr>
          <w:color w:val="FF0000"/>
          <w:sz w:val="20"/>
          <w:szCs w:val="20"/>
        </w:rPr>
        <w:t xml:space="preserve"> when the issuer has the right to refuse then yes, each venues’ obligations should be met </w:t>
      </w:r>
      <w:r w:rsidR="00006D49" w:rsidRPr="00096FE9">
        <w:rPr>
          <w:color w:val="FF0000"/>
          <w:sz w:val="20"/>
          <w:szCs w:val="20"/>
        </w:rPr>
        <w:t xml:space="preserve">either in tandem (where the higher bar is met), or independently (where differing reports might be produced). The burden should fall on the issuer to identify insurmountable conflicts between obligations. </w:t>
      </w:r>
    </w:p>
    <w:p w14:paraId="0A7049C4" w14:textId="4629EB65" w:rsidR="00006D49" w:rsidRPr="009C343E" w:rsidRDefault="00E874F9" w:rsidP="00E874F9">
      <w:pPr>
        <w:spacing w:after="120" w:line="240" w:lineRule="auto"/>
        <w:jc w:val="both"/>
        <w:rPr>
          <w:b/>
          <w:bCs/>
          <w:sz w:val="20"/>
          <w:szCs w:val="20"/>
        </w:rPr>
      </w:pPr>
      <w:r w:rsidRPr="009C343E">
        <w:rPr>
          <w:b/>
          <w:bCs/>
          <w:sz w:val="20"/>
          <w:szCs w:val="20"/>
        </w:rPr>
        <w:t>Q14: How do you think the availability of research on SMEs could be increased?</w:t>
      </w:r>
    </w:p>
    <w:p w14:paraId="6E799B26" w14:textId="53CB683F" w:rsidR="0004160D" w:rsidRPr="00096FE9" w:rsidRDefault="0004160D" w:rsidP="00586C34">
      <w:pPr>
        <w:spacing w:after="120" w:line="240" w:lineRule="auto"/>
        <w:jc w:val="both"/>
        <w:rPr>
          <w:color w:val="FF0000"/>
          <w:sz w:val="20"/>
          <w:szCs w:val="20"/>
        </w:rPr>
      </w:pPr>
      <w:r w:rsidRPr="00096FE9">
        <w:rPr>
          <w:color w:val="FF0000"/>
          <w:sz w:val="20"/>
          <w:szCs w:val="20"/>
        </w:rPr>
        <w:t>Increased legitimacy of the</w:t>
      </w:r>
      <w:r w:rsidR="001749C3" w:rsidRPr="00096FE9">
        <w:rPr>
          <w:color w:val="FF0000"/>
          <w:sz w:val="20"/>
          <w:szCs w:val="20"/>
        </w:rPr>
        <w:t xml:space="preserve"> SME</w:t>
      </w:r>
      <w:r w:rsidRPr="00096FE9">
        <w:rPr>
          <w:color w:val="FF0000"/>
          <w:sz w:val="20"/>
          <w:szCs w:val="20"/>
        </w:rPr>
        <w:t xml:space="preserve"> market</w:t>
      </w:r>
      <w:r w:rsidR="001749C3" w:rsidRPr="00096FE9">
        <w:rPr>
          <w:color w:val="FF0000"/>
          <w:sz w:val="20"/>
          <w:szCs w:val="20"/>
        </w:rPr>
        <w:t xml:space="preserve"> will </w:t>
      </w:r>
      <w:r w:rsidR="00767940" w:rsidRPr="00096FE9">
        <w:rPr>
          <w:color w:val="FF0000"/>
          <w:sz w:val="20"/>
          <w:szCs w:val="20"/>
        </w:rPr>
        <w:t>result in larger investment in</w:t>
      </w:r>
      <w:r w:rsidRPr="00096FE9">
        <w:rPr>
          <w:color w:val="FF0000"/>
          <w:sz w:val="20"/>
          <w:szCs w:val="20"/>
        </w:rPr>
        <w:t xml:space="preserve"> the space</w:t>
      </w:r>
      <w:r w:rsidR="00767940" w:rsidRPr="00096FE9">
        <w:rPr>
          <w:color w:val="FF0000"/>
          <w:sz w:val="20"/>
          <w:szCs w:val="20"/>
        </w:rPr>
        <w:t>,</w:t>
      </w:r>
      <w:r w:rsidRPr="00096FE9">
        <w:rPr>
          <w:color w:val="FF0000"/>
          <w:sz w:val="20"/>
          <w:szCs w:val="20"/>
        </w:rPr>
        <w:t xml:space="preserve"> will naturally increase the amount of research done</w:t>
      </w:r>
      <w:r w:rsidR="00767940" w:rsidRPr="00096FE9">
        <w:rPr>
          <w:color w:val="FF0000"/>
          <w:sz w:val="20"/>
          <w:szCs w:val="20"/>
        </w:rPr>
        <w:t xml:space="preserve"> as it becomes </w:t>
      </w:r>
      <w:r w:rsidR="00474408" w:rsidRPr="00096FE9">
        <w:rPr>
          <w:color w:val="FF0000"/>
          <w:sz w:val="20"/>
          <w:szCs w:val="20"/>
        </w:rPr>
        <w:t>a more profitable product.</w:t>
      </w:r>
      <w:r w:rsidR="00586C34" w:rsidRPr="00096FE9">
        <w:rPr>
          <w:color w:val="FF0000"/>
          <w:sz w:val="20"/>
          <w:szCs w:val="20"/>
        </w:rPr>
        <w:t xml:space="preserve"> To facilitate this a </w:t>
      </w:r>
      <w:r w:rsidRPr="00096FE9">
        <w:rPr>
          <w:color w:val="FF0000"/>
          <w:sz w:val="20"/>
          <w:szCs w:val="20"/>
        </w:rPr>
        <w:t xml:space="preserve">carve-out for SME research to be able to be bundled with other fees </w:t>
      </w:r>
      <w:r w:rsidR="00586C34" w:rsidRPr="00096FE9">
        <w:rPr>
          <w:color w:val="FF0000"/>
          <w:sz w:val="20"/>
          <w:szCs w:val="20"/>
        </w:rPr>
        <w:t xml:space="preserve">would likely result in a </w:t>
      </w:r>
      <w:r w:rsidR="003A690D" w:rsidRPr="00096FE9">
        <w:rPr>
          <w:color w:val="FF0000"/>
          <w:sz w:val="20"/>
          <w:szCs w:val="20"/>
        </w:rPr>
        <w:t xml:space="preserve">quick increase in volume and quality being undertaken. </w:t>
      </w:r>
      <w:r w:rsidR="002D6D06" w:rsidRPr="00096FE9">
        <w:rPr>
          <w:color w:val="FF0000"/>
          <w:sz w:val="20"/>
          <w:szCs w:val="20"/>
        </w:rPr>
        <w:t>Furthermore,</w:t>
      </w:r>
      <w:r w:rsidR="003A690D" w:rsidRPr="00096FE9">
        <w:rPr>
          <w:color w:val="FF0000"/>
          <w:sz w:val="20"/>
          <w:szCs w:val="20"/>
        </w:rPr>
        <w:t xml:space="preserve"> it would likely bring </w:t>
      </w:r>
      <w:r w:rsidR="00526FA8" w:rsidRPr="00096FE9">
        <w:rPr>
          <w:color w:val="FF0000"/>
          <w:sz w:val="20"/>
          <w:szCs w:val="20"/>
        </w:rPr>
        <w:t>more established, larger names into the space (tier 1 IBs, for example)</w:t>
      </w:r>
      <w:r w:rsidRPr="00096FE9">
        <w:rPr>
          <w:color w:val="FF0000"/>
          <w:sz w:val="20"/>
          <w:szCs w:val="20"/>
        </w:rPr>
        <w:t>.</w:t>
      </w:r>
    </w:p>
    <w:p w14:paraId="03E56D39" w14:textId="3DD763D7" w:rsidR="00E874F9" w:rsidRPr="009C343E" w:rsidRDefault="00E874F9" w:rsidP="00E874F9">
      <w:pPr>
        <w:spacing w:after="120" w:line="240" w:lineRule="auto"/>
        <w:jc w:val="both"/>
        <w:rPr>
          <w:b/>
          <w:bCs/>
          <w:sz w:val="20"/>
          <w:szCs w:val="20"/>
        </w:rPr>
      </w:pPr>
      <w:r w:rsidRPr="009C343E">
        <w:rPr>
          <w:b/>
          <w:bCs/>
          <w:sz w:val="20"/>
          <w:szCs w:val="20"/>
        </w:rPr>
        <w:t>Q15: Do you agree with the proposed limits on resources or would you propose different ones? If so, please provide a justification.</w:t>
      </w:r>
    </w:p>
    <w:p w14:paraId="0B1E06DA" w14:textId="735EFB95" w:rsidR="00FC0F3D" w:rsidRPr="00096FE9" w:rsidRDefault="00016E92" w:rsidP="00E874F9">
      <w:pPr>
        <w:spacing w:after="120" w:line="240" w:lineRule="auto"/>
        <w:jc w:val="both"/>
        <w:rPr>
          <w:color w:val="FF0000"/>
          <w:sz w:val="20"/>
          <w:szCs w:val="20"/>
        </w:rPr>
      </w:pPr>
      <w:r w:rsidRPr="00096FE9">
        <w:rPr>
          <w:color w:val="FF0000"/>
          <w:sz w:val="20"/>
          <w:szCs w:val="20"/>
        </w:rPr>
        <w:t xml:space="preserve">Archax does not have anything to add with regards to the proposed calibration methodologies for limiting resources. Archax does however note the importance of this topic and believes that the attitude towards setting such limits, and the broader framework should be flexible and reactive </w:t>
      </w:r>
      <w:r w:rsidR="00D13F31" w:rsidRPr="00096FE9">
        <w:rPr>
          <w:color w:val="FF0000"/>
          <w:sz w:val="20"/>
          <w:szCs w:val="20"/>
        </w:rPr>
        <w:t>to</w:t>
      </w:r>
      <w:r w:rsidRPr="00096FE9">
        <w:rPr>
          <w:color w:val="FF0000"/>
          <w:sz w:val="20"/>
          <w:szCs w:val="20"/>
        </w:rPr>
        <w:t xml:space="preserve"> best allow for the growth of the space.</w:t>
      </w:r>
    </w:p>
    <w:p w14:paraId="5CC615CE" w14:textId="7C669238" w:rsidR="00E874F9" w:rsidRPr="009C343E" w:rsidRDefault="00E874F9" w:rsidP="00E874F9">
      <w:pPr>
        <w:spacing w:after="120" w:line="240" w:lineRule="auto"/>
        <w:jc w:val="both"/>
        <w:rPr>
          <w:b/>
          <w:bCs/>
          <w:sz w:val="20"/>
          <w:szCs w:val="20"/>
        </w:rPr>
      </w:pPr>
      <w:r w:rsidRPr="009C343E">
        <w:rPr>
          <w:b/>
          <w:bCs/>
          <w:sz w:val="20"/>
          <w:szCs w:val="20"/>
        </w:rPr>
        <w:t>Q16: Do you agree with the proposed limits on volumes or would you propose different ones? If so, please provide a justification of the alternative proposed parameters.</w:t>
      </w:r>
    </w:p>
    <w:p w14:paraId="0604615D" w14:textId="382C1101" w:rsidR="00D13F31" w:rsidRPr="00096FE9" w:rsidRDefault="00D13F31" w:rsidP="00E874F9">
      <w:pPr>
        <w:spacing w:after="120" w:line="240" w:lineRule="auto"/>
        <w:jc w:val="both"/>
        <w:rPr>
          <w:color w:val="FF0000"/>
          <w:sz w:val="20"/>
          <w:szCs w:val="20"/>
        </w:rPr>
      </w:pPr>
      <w:r w:rsidRPr="00096FE9">
        <w:rPr>
          <w:color w:val="FF0000"/>
          <w:sz w:val="20"/>
          <w:szCs w:val="20"/>
        </w:rPr>
        <w:t>As in the previous answer Archax does not have any further views currently. Again, however Archax notes the importance of calibrating limits correctly and would advocate erring on the accommodative side on all occasions.</w:t>
      </w:r>
    </w:p>
    <w:p w14:paraId="65989B1C" w14:textId="0D9531B4" w:rsidR="00E874F9" w:rsidRPr="009C343E" w:rsidRDefault="00E874F9" w:rsidP="00E874F9">
      <w:pPr>
        <w:spacing w:after="120" w:line="240" w:lineRule="auto"/>
        <w:jc w:val="both"/>
        <w:rPr>
          <w:b/>
          <w:bCs/>
          <w:sz w:val="20"/>
          <w:szCs w:val="20"/>
        </w:rPr>
      </w:pPr>
      <w:r w:rsidRPr="009C343E">
        <w:rPr>
          <w:b/>
          <w:bCs/>
          <w:sz w:val="20"/>
          <w:szCs w:val="20"/>
        </w:rPr>
        <w:t xml:space="preserve">Q17: Do you think that specific conditions should be added as regards trading during periodic auctions? For SME GMs following different trading protocols, are there criteria or safeguards which should be considered </w:t>
      </w:r>
      <w:proofErr w:type="gramStart"/>
      <w:r w:rsidRPr="009C343E">
        <w:rPr>
          <w:b/>
          <w:bCs/>
          <w:sz w:val="20"/>
          <w:szCs w:val="20"/>
        </w:rPr>
        <w:t>in order to</w:t>
      </w:r>
      <w:proofErr w:type="gramEnd"/>
      <w:r w:rsidRPr="009C343E">
        <w:rPr>
          <w:b/>
          <w:bCs/>
          <w:sz w:val="20"/>
          <w:szCs w:val="20"/>
        </w:rPr>
        <w:t xml:space="preserve"> make sure that the liquidity contract does not result in a manipulative impact on the shares’ price?</w:t>
      </w:r>
    </w:p>
    <w:p w14:paraId="2FA06DCE" w14:textId="59D23DD1" w:rsidR="00D13F31" w:rsidRPr="00A77546" w:rsidRDefault="00D13F31" w:rsidP="00E874F9">
      <w:pPr>
        <w:spacing w:after="120" w:line="240" w:lineRule="auto"/>
        <w:jc w:val="both"/>
        <w:rPr>
          <w:color w:val="FF0000"/>
          <w:sz w:val="20"/>
          <w:szCs w:val="20"/>
        </w:rPr>
      </w:pPr>
      <w:r w:rsidRPr="00096FE9">
        <w:rPr>
          <w:color w:val="FF0000"/>
          <w:sz w:val="20"/>
          <w:szCs w:val="20"/>
        </w:rPr>
        <w:t xml:space="preserve">Where price formation is dictated by periodic auctions it stands to reason that additional </w:t>
      </w:r>
      <w:r w:rsidR="000C3667" w:rsidRPr="00096FE9">
        <w:rPr>
          <w:color w:val="FF0000"/>
          <w:sz w:val="20"/>
          <w:szCs w:val="20"/>
        </w:rPr>
        <w:t>controls might be necessary to ensure prices are not unduly affected by liquidity provision. Such controls have been imagined within the current framework (price collars for example) however these controls work best when there is increased liquidity. Illiquid shares with limited price discovery are just as likely to experience material un</w:t>
      </w:r>
      <w:r w:rsidR="005E3B63" w:rsidRPr="00096FE9">
        <w:rPr>
          <w:color w:val="FF0000"/>
          <w:sz w:val="20"/>
          <w:szCs w:val="20"/>
        </w:rPr>
        <w:t xml:space="preserve">derlying changes to their fundamentals. </w:t>
      </w:r>
      <w:r w:rsidR="00DB6AFD" w:rsidRPr="00096FE9">
        <w:rPr>
          <w:color w:val="FF0000"/>
          <w:sz w:val="20"/>
          <w:szCs w:val="20"/>
        </w:rPr>
        <w:t>To</w:t>
      </w:r>
      <w:r w:rsidR="005E3B63" w:rsidRPr="00096FE9">
        <w:rPr>
          <w:color w:val="FF0000"/>
          <w:sz w:val="20"/>
          <w:szCs w:val="20"/>
        </w:rPr>
        <w:t xml:space="preserve"> ensure both confidence and legitimacy within the market the price discovery </w:t>
      </w:r>
      <w:r w:rsidR="005E3B63" w:rsidRPr="00A77546">
        <w:rPr>
          <w:color w:val="FF0000"/>
          <w:sz w:val="20"/>
          <w:szCs w:val="20"/>
        </w:rPr>
        <w:t>process should remain as unencumbered as possible.</w:t>
      </w:r>
    </w:p>
    <w:p w14:paraId="719A54C3" w14:textId="0BB9309C" w:rsidR="00976C81" w:rsidRPr="0064025E" w:rsidRDefault="00976C81" w:rsidP="00E874F9">
      <w:pPr>
        <w:spacing w:after="120" w:line="240" w:lineRule="auto"/>
        <w:jc w:val="both"/>
        <w:rPr>
          <w:color w:val="FF0000"/>
          <w:sz w:val="20"/>
          <w:szCs w:val="20"/>
        </w:rPr>
      </w:pPr>
      <w:r w:rsidRPr="00A77546">
        <w:rPr>
          <w:color w:val="FF0000"/>
          <w:sz w:val="20"/>
          <w:szCs w:val="20"/>
        </w:rPr>
        <w:t>In the case of auction</w:t>
      </w:r>
      <w:r w:rsidR="00A9175D" w:rsidRPr="00A77546">
        <w:rPr>
          <w:color w:val="FF0000"/>
          <w:sz w:val="20"/>
          <w:szCs w:val="20"/>
        </w:rPr>
        <w:t xml:space="preserve">s, equal size </w:t>
      </w:r>
      <w:r w:rsidR="00B10F92" w:rsidRPr="00A77546">
        <w:rPr>
          <w:color w:val="FF0000"/>
          <w:sz w:val="20"/>
          <w:szCs w:val="20"/>
        </w:rPr>
        <w:t xml:space="preserve">market orders </w:t>
      </w:r>
      <w:r w:rsidR="00A9175D" w:rsidRPr="00A77546">
        <w:rPr>
          <w:color w:val="FF0000"/>
          <w:sz w:val="20"/>
          <w:szCs w:val="20"/>
        </w:rPr>
        <w:t xml:space="preserve">posted on </w:t>
      </w:r>
      <w:r w:rsidR="00B10F92" w:rsidRPr="00A77546">
        <w:rPr>
          <w:color w:val="FF0000"/>
          <w:sz w:val="20"/>
          <w:szCs w:val="20"/>
        </w:rPr>
        <w:t>both sides of the book</w:t>
      </w:r>
      <w:r w:rsidR="0061649C" w:rsidRPr="00A77546">
        <w:rPr>
          <w:color w:val="FF0000"/>
          <w:sz w:val="20"/>
          <w:szCs w:val="20"/>
        </w:rPr>
        <w:t xml:space="preserve"> with a prohibition on self-</w:t>
      </w:r>
      <w:r w:rsidR="0061649C" w:rsidRPr="0064025E">
        <w:rPr>
          <w:color w:val="FF0000"/>
          <w:sz w:val="20"/>
          <w:szCs w:val="20"/>
        </w:rPr>
        <w:t>matching</w:t>
      </w:r>
      <w:r w:rsidR="00B10F92" w:rsidRPr="0064025E">
        <w:rPr>
          <w:color w:val="FF0000"/>
          <w:sz w:val="20"/>
          <w:szCs w:val="20"/>
        </w:rPr>
        <w:t xml:space="preserve"> would provide liquidity w</w:t>
      </w:r>
      <w:r w:rsidR="00200B78" w:rsidRPr="0064025E">
        <w:rPr>
          <w:color w:val="FF0000"/>
          <w:sz w:val="20"/>
          <w:szCs w:val="20"/>
        </w:rPr>
        <w:t xml:space="preserve">hilst allowing other users to </w:t>
      </w:r>
      <w:r w:rsidR="0061649C" w:rsidRPr="0064025E">
        <w:rPr>
          <w:color w:val="FF0000"/>
          <w:sz w:val="20"/>
          <w:szCs w:val="20"/>
        </w:rPr>
        <w:t xml:space="preserve">dictate price discovery. </w:t>
      </w:r>
    </w:p>
    <w:p w14:paraId="60861C2B" w14:textId="119E3000" w:rsidR="00A77546" w:rsidRPr="0064025E" w:rsidRDefault="005373DF" w:rsidP="00C9429C">
      <w:pPr>
        <w:spacing w:after="0" w:line="240" w:lineRule="auto"/>
        <w:jc w:val="both"/>
        <w:rPr>
          <w:color w:val="FF0000"/>
          <w:sz w:val="20"/>
          <w:szCs w:val="20"/>
        </w:rPr>
      </w:pPr>
      <w:r w:rsidRPr="0064025E">
        <w:rPr>
          <w:color w:val="FF0000"/>
          <w:sz w:val="20"/>
          <w:szCs w:val="20"/>
        </w:rPr>
        <w:t xml:space="preserve">Considering </w:t>
      </w:r>
      <w:r w:rsidR="00DF351A" w:rsidRPr="0064025E">
        <w:rPr>
          <w:color w:val="FF0000"/>
          <w:sz w:val="20"/>
          <w:szCs w:val="20"/>
        </w:rPr>
        <w:t xml:space="preserve">liquidity contracts more </w:t>
      </w:r>
      <w:r w:rsidR="00256856" w:rsidRPr="0064025E">
        <w:rPr>
          <w:color w:val="FF0000"/>
          <w:sz w:val="20"/>
          <w:szCs w:val="20"/>
        </w:rPr>
        <w:t xml:space="preserve">broadly,  </w:t>
      </w:r>
      <w:r w:rsidR="00A77546" w:rsidRPr="0064025E">
        <w:rPr>
          <w:color w:val="FF0000"/>
          <w:sz w:val="20"/>
          <w:szCs w:val="20"/>
        </w:rPr>
        <w:t xml:space="preserve">if a </w:t>
      </w:r>
      <w:r w:rsidR="00046245" w:rsidRPr="0064025E">
        <w:rPr>
          <w:color w:val="FF0000"/>
          <w:sz w:val="20"/>
          <w:szCs w:val="20"/>
        </w:rPr>
        <w:t>liquidity</w:t>
      </w:r>
      <w:r w:rsidR="00A77546" w:rsidRPr="0064025E">
        <w:rPr>
          <w:color w:val="FF0000"/>
          <w:sz w:val="20"/>
          <w:szCs w:val="20"/>
        </w:rPr>
        <w:t xml:space="preserve"> provider signs a liquidity contract with an </w:t>
      </w:r>
      <w:r w:rsidR="00361FD8" w:rsidRPr="0064025E">
        <w:rPr>
          <w:color w:val="FF0000"/>
          <w:sz w:val="20"/>
          <w:szCs w:val="20"/>
        </w:rPr>
        <w:t>I</w:t>
      </w:r>
      <w:r w:rsidR="00A77546" w:rsidRPr="0064025E">
        <w:rPr>
          <w:color w:val="FF0000"/>
          <w:sz w:val="20"/>
          <w:szCs w:val="20"/>
        </w:rPr>
        <w:t xml:space="preserve">ssuer , and they then </w:t>
      </w:r>
      <w:r w:rsidR="006E5C4F" w:rsidRPr="0064025E">
        <w:rPr>
          <w:color w:val="FF0000"/>
          <w:sz w:val="20"/>
          <w:szCs w:val="20"/>
        </w:rPr>
        <w:t>provide liquidity</w:t>
      </w:r>
      <w:r w:rsidR="00A77546" w:rsidRPr="0064025E">
        <w:rPr>
          <w:color w:val="FF0000"/>
          <w:sz w:val="20"/>
          <w:szCs w:val="20"/>
        </w:rPr>
        <w:t xml:space="preserve"> according to that contract, will </w:t>
      </w:r>
      <w:r w:rsidR="006E5C4F" w:rsidRPr="0064025E">
        <w:rPr>
          <w:color w:val="FF0000"/>
          <w:sz w:val="20"/>
          <w:szCs w:val="20"/>
        </w:rPr>
        <w:t>the liquidity provider</w:t>
      </w:r>
      <w:r w:rsidR="00A77546" w:rsidRPr="0064025E">
        <w:rPr>
          <w:color w:val="FF0000"/>
          <w:sz w:val="20"/>
          <w:szCs w:val="20"/>
        </w:rPr>
        <w:t xml:space="preserve"> be exempt from need</w:t>
      </w:r>
      <w:r w:rsidR="006E5C4F" w:rsidRPr="0064025E">
        <w:rPr>
          <w:color w:val="FF0000"/>
          <w:sz w:val="20"/>
          <w:szCs w:val="20"/>
        </w:rPr>
        <w:t>ing</w:t>
      </w:r>
      <w:r w:rsidR="00A77546" w:rsidRPr="0064025E">
        <w:rPr>
          <w:color w:val="FF0000"/>
          <w:sz w:val="20"/>
          <w:szCs w:val="20"/>
        </w:rPr>
        <w:t xml:space="preserve"> to sign a</w:t>
      </w:r>
      <w:r w:rsidR="006E5C4F" w:rsidRPr="0064025E">
        <w:rPr>
          <w:color w:val="FF0000"/>
          <w:sz w:val="20"/>
          <w:szCs w:val="20"/>
        </w:rPr>
        <w:t>n RTS 8 market making</w:t>
      </w:r>
      <w:r w:rsidR="00A77546" w:rsidRPr="0064025E">
        <w:rPr>
          <w:color w:val="FF0000"/>
          <w:sz w:val="20"/>
          <w:szCs w:val="20"/>
        </w:rPr>
        <w:t xml:space="preserve"> agreement</w:t>
      </w:r>
      <w:r w:rsidR="0068578F" w:rsidRPr="0064025E">
        <w:rPr>
          <w:color w:val="FF0000"/>
          <w:sz w:val="20"/>
          <w:szCs w:val="20"/>
        </w:rPr>
        <w:t xml:space="preserve"> even</w:t>
      </w:r>
      <w:r w:rsidR="00A77546" w:rsidRPr="0064025E">
        <w:rPr>
          <w:color w:val="FF0000"/>
          <w:sz w:val="20"/>
          <w:szCs w:val="20"/>
        </w:rPr>
        <w:t xml:space="preserve"> if they</w:t>
      </w:r>
      <w:r w:rsidR="00C9429C" w:rsidRPr="0064025E">
        <w:rPr>
          <w:color w:val="FF0000"/>
          <w:sz w:val="20"/>
          <w:szCs w:val="20"/>
        </w:rPr>
        <w:t>:</w:t>
      </w:r>
    </w:p>
    <w:p w14:paraId="13F391B0" w14:textId="64AAB863" w:rsidR="00A77546" w:rsidRPr="0064025E" w:rsidRDefault="00A77546" w:rsidP="002C2CD1">
      <w:pPr>
        <w:pStyle w:val="ListParagraph"/>
        <w:numPr>
          <w:ilvl w:val="0"/>
          <w:numId w:val="5"/>
        </w:numPr>
        <w:spacing w:after="0" w:line="240" w:lineRule="auto"/>
        <w:jc w:val="both"/>
        <w:rPr>
          <w:color w:val="FF0000"/>
          <w:sz w:val="20"/>
          <w:szCs w:val="20"/>
        </w:rPr>
      </w:pPr>
      <w:r w:rsidRPr="0064025E">
        <w:rPr>
          <w:color w:val="FF0000"/>
          <w:sz w:val="20"/>
          <w:szCs w:val="20"/>
        </w:rPr>
        <w:t>post firm, simultaneous two-way quotes of comparable size and competitive prices</w:t>
      </w:r>
      <w:r w:rsidR="00E446D0" w:rsidRPr="0064025E">
        <w:rPr>
          <w:color w:val="FF0000"/>
          <w:sz w:val="20"/>
          <w:szCs w:val="20"/>
        </w:rPr>
        <w:t>,</w:t>
      </w:r>
    </w:p>
    <w:p w14:paraId="0228CE47" w14:textId="2EAE02B5" w:rsidR="00A77546" w:rsidRPr="0064025E" w:rsidRDefault="00A77546" w:rsidP="002C2CD1">
      <w:pPr>
        <w:pStyle w:val="ListParagraph"/>
        <w:numPr>
          <w:ilvl w:val="0"/>
          <w:numId w:val="5"/>
        </w:numPr>
        <w:spacing w:after="0" w:line="240" w:lineRule="auto"/>
        <w:jc w:val="both"/>
        <w:rPr>
          <w:color w:val="FF0000"/>
          <w:sz w:val="20"/>
          <w:szCs w:val="20"/>
        </w:rPr>
      </w:pPr>
      <w:r w:rsidRPr="0064025E">
        <w:rPr>
          <w:color w:val="FF0000"/>
          <w:sz w:val="20"/>
          <w:szCs w:val="20"/>
        </w:rPr>
        <w:t>in at least one financial instrument on one trading venue for at least 50 % of the daily trading hours of continuous trading at the respective trading venue, excluding opening and closing auctions</w:t>
      </w:r>
      <w:r w:rsidR="00E446D0" w:rsidRPr="0064025E">
        <w:rPr>
          <w:color w:val="FF0000"/>
          <w:sz w:val="20"/>
          <w:szCs w:val="20"/>
        </w:rPr>
        <w:t>?</w:t>
      </w:r>
    </w:p>
    <w:p w14:paraId="6FDA67DF" w14:textId="206AE7E6" w:rsidR="00A77546" w:rsidRPr="0064025E" w:rsidRDefault="00AE3EB1" w:rsidP="0080621B">
      <w:pPr>
        <w:spacing w:after="120" w:line="240" w:lineRule="auto"/>
        <w:jc w:val="both"/>
        <w:rPr>
          <w:color w:val="FF0000"/>
          <w:sz w:val="20"/>
          <w:szCs w:val="20"/>
        </w:rPr>
      </w:pPr>
      <w:r w:rsidRPr="0064025E">
        <w:rPr>
          <w:color w:val="FF0000"/>
          <w:sz w:val="20"/>
          <w:szCs w:val="20"/>
        </w:rPr>
        <w:t xml:space="preserve">More directly, </w:t>
      </w:r>
      <w:r w:rsidR="00B074E5" w:rsidRPr="0064025E">
        <w:rPr>
          <w:color w:val="FF0000"/>
          <w:sz w:val="20"/>
          <w:szCs w:val="20"/>
        </w:rPr>
        <w:t>would</w:t>
      </w:r>
      <w:r w:rsidR="006173AE" w:rsidRPr="0064025E">
        <w:rPr>
          <w:color w:val="FF0000"/>
          <w:sz w:val="20"/>
          <w:szCs w:val="20"/>
        </w:rPr>
        <w:t xml:space="preserve"> </w:t>
      </w:r>
      <w:r w:rsidR="00C10C88" w:rsidRPr="0064025E">
        <w:rPr>
          <w:color w:val="FF0000"/>
          <w:sz w:val="20"/>
          <w:szCs w:val="20"/>
        </w:rPr>
        <w:t>a participant fulfilling the obligations of a</w:t>
      </w:r>
      <w:r w:rsidR="005D27E3" w:rsidRPr="0064025E">
        <w:rPr>
          <w:color w:val="FF0000"/>
          <w:sz w:val="20"/>
          <w:szCs w:val="20"/>
        </w:rPr>
        <w:t xml:space="preserve"> liquidity contract</w:t>
      </w:r>
      <w:r w:rsidR="00817DD5" w:rsidRPr="0064025E">
        <w:rPr>
          <w:color w:val="FF0000"/>
          <w:sz w:val="20"/>
          <w:szCs w:val="20"/>
        </w:rPr>
        <w:t xml:space="preserve"> </w:t>
      </w:r>
      <w:r w:rsidR="00856667" w:rsidRPr="0064025E">
        <w:rPr>
          <w:color w:val="FF0000"/>
          <w:sz w:val="20"/>
          <w:szCs w:val="20"/>
        </w:rPr>
        <w:t xml:space="preserve">be ‘dealing on </w:t>
      </w:r>
      <w:r w:rsidR="00A77546" w:rsidRPr="0064025E">
        <w:rPr>
          <w:color w:val="FF0000"/>
          <w:sz w:val="20"/>
          <w:szCs w:val="20"/>
        </w:rPr>
        <w:t>their own account</w:t>
      </w:r>
      <w:r w:rsidR="00856667" w:rsidRPr="0064025E">
        <w:rPr>
          <w:color w:val="FF0000"/>
          <w:sz w:val="20"/>
          <w:szCs w:val="20"/>
        </w:rPr>
        <w:t>’</w:t>
      </w:r>
      <w:r w:rsidR="00A77546" w:rsidRPr="0064025E">
        <w:rPr>
          <w:color w:val="FF0000"/>
          <w:sz w:val="20"/>
          <w:szCs w:val="20"/>
        </w:rPr>
        <w:t xml:space="preserve"> if the resources to deal are not theirs (they are those of the Issuer)</w:t>
      </w:r>
      <w:r w:rsidR="00856667" w:rsidRPr="0064025E">
        <w:rPr>
          <w:color w:val="FF0000"/>
          <w:sz w:val="20"/>
          <w:szCs w:val="20"/>
        </w:rPr>
        <w:t>?</w:t>
      </w:r>
      <w:r w:rsidR="0080621B" w:rsidRPr="0064025E">
        <w:rPr>
          <w:color w:val="FF0000"/>
          <w:sz w:val="20"/>
          <w:szCs w:val="20"/>
        </w:rPr>
        <w:t xml:space="preserve"> </w:t>
      </w:r>
      <w:proofErr w:type="gramStart"/>
      <w:r w:rsidR="00BF11B8">
        <w:rPr>
          <w:color w:val="FF0000"/>
          <w:sz w:val="20"/>
          <w:szCs w:val="20"/>
        </w:rPr>
        <w:t>I</w:t>
      </w:r>
      <w:r w:rsidR="0080621B" w:rsidRPr="0064025E">
        <w:rPr>
          <w:color w:val="FF0000"/>
          <w:sz w:val="20"/>
          <w:szCs w:val="20"/>
        </w:rPr>
        <w:t>t</w:t>
      </w:r>
      <w:r w:rsidR="008D21FA" w:rsidRPr="0064025E">
        <w:rPr>
          <w:color w:val="FF0000"/>
          <w:sz w:val="20"/>
          <w:szCs w:val="20"/>
        </w:rPr>
        <w:t>’s</w:t>
      </w:r>
      <w:proofErr w:type="gramEnd"/>
      <w:r w:rsidR="008D21FA" w:rsidRPr="0064025E">
        <w:rPr>
          <w:color w:val="FF0000"/>
          <w:sz w:val="20"/>
          <w:szCs w:val="20"/>
        </w:rPr>
        <w:t xml:space="preserve"> </w:t>
      </w:r>
      <w:r w:rsidR="00A77546" w:rsidRPr="0064025E">
        <w:rPr>
          <w:color w:val="FF0000"/>
          <w:sz w:val="20"/>
          <w:szCs w:val="20"/>
        </w:rPr>
        <w:t xml:space="preserve">the </w:t>
      </w:r>
      <w:r w:rsidR="008D21FA" w:rsidRPr="0064025E">
        <w:rPr>
          <w:color w:val="FF0000"/>
          <w:sz w:val="20"/>
          <w:szCs w:val="20"/>
        </w:rPr>
        <w:t>I</w:t>
      </w:r>
      <w:r w:rsidR="00A77546" w:rsidRPr="0064025E">
        <w:rPr>
          <w:color w:val="FF0000"/>
          <w:sz w:val="20"/>
          <w:szCs w:val="20"/>
        </w:rPr>
        <w:t xml:space="preserve">ssuer’s capital that is used to perform the </w:t>
      </w:r>
      <w:r w:rsidR="008D21FA" w:rsidRPr="0064025E">
        <w:rPr>
          <w:color w:val="FF0000"/>
          <w:sz w:val="20"/>
          <w:szCs w:val="20"/>
        </w:rPr>
        <w:t>liquidity provision</w:t>
      </w:r>
      <w:r w:rsidR="00A77546" w:rsidRPr="0064025E">
        <w:rPr>
          <w:color w:val="FF0000"/>
          <w:sz w:val="20"/>
          <w:szCs w:val="20"/>
        </w:rPr>
        <w:t xml:space="preserve"> strategy</w:t>
      </w:r>
      <w:r w:rsidR="008D21FA" w:rsidRPr="0064025E">
        <w:rPr>
          <w:color w:val="FF0000"/>
          <w:sz w:val="20"/>
          <w:szCs w:val="20"/>
        </w:rPr>
        <w:t>,</w:t>
      </w:r>
      <w:r w:rsidR="00A77546" w:rsidRPr="0064025E">
        <w:rPr>
          <w:color w:val="FF0000"/>
          <w:sz w:val="20"/>
          <w:szCs w:val="20"/>
        </w:rPr>
        <w:t xml:space="preserve"> but the implementation would be somehow outsourced to a third party</w:t>
      </w:r>
      <w:r w:rsidR="00D26C9B" w:rsidRPr="0064025E">
        <w:rPr>
          <w:color w:val="FF0000"/>
          <w:sz w:val="20"/>
          <w:szCs w:val="20"/>
        </w:rPr>
        <w:t>.</w:t>
      </w:r>
      <w:r w:rsidR="00791B55" w:rsidRPr="0064025E">
        <w:rPr>
          <w:color w:val="FF0000"/>
          <w:sz w:val="20"/>
          <w:szCs w:val="20"/>
        </w:rPr>
        <w:t xml:space="preserve"> Finally, </w:t>
      </w:r>
      <w:r w:rsidR="00F668BF" w:rsidRPr="0064025E">
        <w:rPr>
          <w:color w:val="FF0000"/>
          <w:sz w:val="20"/>
          <w:szCs w:val="20"/>
        </w:rPr>
        <w:t xml:space="preserve">how </w:t>
      </w:r>
      <w:r w:rsidR="0048330C" w:rsidRPr="0064025E">
        <w:rPr>
          <w:color w:val="FF0000"/>
          <w:sz w:val="20"/>
          <w:szCs w:val="20"/>
        </w:rPr>
        <w:t xml:space="preserve">does this </w:t>
      </w:r>
      <w:r w:rsidR="00620926" w:rsidRPr="0064025E">
        <w:rPr>
          <w:color w:val="FF0000"/>
          <w:sz w:val="20"/>
          <w:szCs w:val="20"/>
        </w:rPr>
        <w:t xml:space="preserve">work if the </w:t>
      </w:r>
      <w:r w:rsidR="007C2CC1" w:rsidRPr="0064025E">
        <w:rPr>
          <w:color w:val="FF0000"/>
          <w:sz w:val="20"/>
          <w:szCs w:val="20"/>
        </w:rPr>
        <w:t xml:space="preserve">liquidity provider is not a </w:t>
      </w:r>
      <w:r w:rsidR="005231BE" w:rsidRPr="0064025E">
        <w:rPr>
          <w:color w:val="FF0000"/>
          <w:sz w:val="20"/>
          <w:szCs w:val="20"/>
        </w:rPr>
        <w:t>regulated investment firm?</w:t>
      </w:r>
    </w:p>
    <w:p w14:paraId="118B771C" w14:textId="0599AB9F" w:rsidR="00E874F9" w:rsidRPr="009C343E" w:rsidRDefault="00E874F9" w:rsidP="00E874F9">
      <w:pPr>
        <w:spacing w:after="120" w:line="240" w:lineRule="auto"/>
        <w:jc w:val="both"/>
        <w:rPr>
          <w:b/>
          <w:bCs/>
          <w:sz w:val="20"/>
          <w:szCs w:val="20"/>
        </w:rPr>
      </w:pPr>
      <w:r w:rsidRPr="009C343E">
        <w:rPr>
          <w:b/>
          <w:bCs/>
          <w:sz w:val="20"/>
          <w:szCs w:val="20"/>
        </w:rPr>
        <w:t>Q18: Do you agree with ESMA’s view that the liquidity contract may cover large orders only in limited circumstances as described in paragraph 118?</w:t>
      </w:r>
    </w:p>
    <w:p w14:paraId="7359960D" w14:textId="14229389" w:rsidR="00153C3C" w:rsidRPr="00096FE9" w:rsidRDefault="00153C3C" w:rsidP="00E874F9">
      <w:pPr>
        <w:spacing w:after="120" w:line="240" w:lineRule="auto"/>
        <w:jc w:val="both"/>
        <w:rPr>
          <w:color w:val="FF0000"/>
          <w:sz w:val="20"/>
          <w:szCs w:val="20"/>
        </w:rPr>
      </w:pPr>
      <w:r w:rsidRPr="00096FE9">
        <w:rPr>
          <w:color w:val="FF0000"/>
          <w:sz w:val="20"/>
          <w:szCs w:val="20"/>
        </w:rPr>
        <w:lastRenderedPageBreak/>
        <w:t xml:space="preserve">SME GM structures should be able to benefit from the same waivers allowed for other ‘on venue’ markets. </w:t>
      </w:r>
      <w:r w:rsidR="004415B2" w:rsidRPr="00096FE9">
        <w:rPr>
          <w:color w:val="FF0000"/>
          <w:sz w:val="20"/>
          <w:szCs w:val="20"/>
        </w:rPr>
        <w:t>Accordingly,</w:t>
      </w:r>
      <w:r w:rsidR="005C6ED8" w:rsidRPr="00096FE9">
        <w:rPr>
          <w:color w:val="FF0000"/>
          <w:sz w:val="20"/>
          <w:szCs w:val="20"/>
        </w:rPr>
        <w:t xml:space="preserve"> all participants should be able to interact with those waivers in</w:t>
      </w:r>
      <w:r w:rsidR="00DF1BEF" w:rsidRPr="00096FE9">
        <w:rPr>
          <w:color w:val="FF0000"/>
          <w:sz w:val="20"/>
          <w:szCs w:val="20"/>
        </w:rPr>
        <w:t xml:space="preserve"> the capacity that they are operating in the market as. </w:t>
      </w:r>
      <w:r w:rsidR="00EA60A2" w:rsidRPr="00096FE9">
        <w:rPr>
          <w:color w:val="FF0000"/>
          <w:sz w:val="20"/>
          <w:szCs w:val="20"/>
        </w:rPr>
        <w:t>Archax agrees with ESMA that the liquidity contract safe harbour should</w:t>
      </w:r>
      <w:r w:rsidR="000320B2" w:rsidRPr="00096FE9">
        <w:rPr>
          <w:color w:val="FF0000"/>
          <w:sz w:val="20"/>
          <w:szCs w:val="20"/>
        </w:rPr>
        <w:t xml:space="preserve"> apply to large order when they are executed on venue</w:t>
      </w:r>
      <w:r w:rsidR="004415B2" w:rsidRPr="00096FE9">
        <w:rPr>
          <w:color w:val="FF0000"/>
          <w:sz w:val="20"/>
          <w:szCs w:val="20"/>
        </w:rPr>
        <w:t>.</w:t>
      </w:r>
    </w:p>
    <w:p w14:paraId="7C2049C1" w14:textId="149F9B80" w:rsidR="00E874F9" w:rsidRPr="009C343E" w:rsidRDefault="00E874F9" w:rsidP="00E874F9">
      <w:pPr>
        <w:spacing w:after="120" w:line="240" w:lineRule="auto"/>
        <w:jc w:val="both"/>
        <w:rPr>
          <w:b/>
          <w:bCs/>
          <w:sz w:val="20"/>
          <w:szCs w:val="20"/>
        </w:rPr>
      </w:pPr>
      <w:r w:rsidRPr="009C343E">
        <w:rPr>
          <w:b/>
          <w:bCs/>
          <w:sz w:val="20"/>
          <w:szCs w:val="20"/>
        </w:rPr>
        <w:t>Q19: Do you agree with the proposal described above regarding the template for the insider list to be submitted by issuers on SME GMs? If not, please elaborate.</w:t>
      </w:r>
    </w:p>
    <w:p w14:paraId="4A1D316D" w14:textId="528E9DEA" w:rsidR="00350320" w:rsidRPr="00096FE9" w:rsidRDefault="004A0967" w:rsidP="00E874F9">
      <w:pPr>
        <w:spacing w:after="120" w:line="240" w:lineRule="auto"/>
        <w:jc w:val="both"/>
        <w:rPr>
          <w:color w:val="FF0000"/>
          <w:sz w:val="20"/>
          <w:szCs w:val="20"/>
        </w:rPr>
      </w:pPr>
      <w:r w:rsidRPr="00096FE9">
        <w:rPr>
          <w:color w:val="FF0000"/>
          <w:sz w:val="20"/>
          <w:szCs w:val="20"/>
        </w:rPr>
        <w:t>Archax recognises the attempts to implement the spirit of the broader EU SME Strategy</w:t>
      </w:r>
      <w:r w:rsidR="00E71694" w:rsidRPr="00096FE9">
        <w:rPr>
          <w:color w:val="FF0000"/>
          <w:sz w:val="20"/>
          <w:szCs w:val="20"/>
        </w:rPr>
        <w:t xml:space="preserve"> and agrees that any action which reduces the regulatory burden on SMEs is positive. </w:t>
      </w:r>
    </w:p>
    <w:p w14:paraId="448EA68D" w14:textId="538DBC2B" w:rsidR="003F2CBA" w:rsidRPr="009C343E" w:rsidRDefault="00E874F9" w:rsidP="00E874F9">
      <w:pPr>
        <w:spacing w:after="120" w:line="240" w:lineRule="auto"/>
        <w:jc w:val="both"/>
        <w:rPr>
          <w:b/>
          <w:bCs/>
          <w:sz w:val="20"/>
          <w:szCs w:val="20"/>
        </w:rPr>
      </w:pPr>
      <w:r w:rsidRPr="009C343E">
        <w:rPr>
          <w:b/>
          <w:bCs/>
          <w:sz w:val="20"/>
          <w:szCs w:val="20"/>
        </w:rPr>
        <w:t>CBA Q1: Can you identify any other costs and benefits? Please elaborate.</w:t>
      </w:r>
    </w:p>
    <w:p w14:paraId="7F78ADDC" w14:textId="445F9FBE" w:rsidR="004A0967" w:rsidRPr="00096FE9" w:rsidRDefault="004A0967" w:rsidP="00E874F9">
      <w:pPr>
        <w:spacing w:after="120" w:line="240" w:lineRule="auto"/>
        <w:jc w:val="both"/>
        <w:rPr>
          <w:color w:val="FF0000"/>
          <w:sz w:val="20"/>
          <w:szCs w:val="20"/>
        </w:rPr>
      </w:pPr>
      <w:r w:rsidRPr="00096FE9">
        <w:rPr>
          <w:color w:val="FF0000"/>
          <w:sz w:val="20"/>
          <w:szCs w:val="20"/>
        </w:rPr>
        <w:t>No comments</w:t>
      </w:r>
    </w:p>
    <w:sectPr w:rsidR="004A0967" w:rsidRPr="00096FE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8A2F0" w14:textId="77777777" w:rsidR="00861563" w:rsidRDefault="00861563" w:rsidP="00861563">
      <w:pPr>
        <w:spacing w:after="0" w:line="240" w:lineRule="auto"/>
      </w:pPr>
      <w:r>
        <w:separator/>
      </w:r>
    </w:p>
  </w:endnote>
  <w:endnote w:type="continuationSeparator" w:id="0">
    <w:p w14:paraId="04104F2E" w14:textId="77777777" w:rsidR="00861563" w:rsidRDefault="00861563" w:rsidP="00861563">
      <w:pPr>
        <w:spacing w:after="0" w:line="240" w:lineRule="auto"/>
      </w:pPr>
      <w:r>
        <w:continuationSeparator/>
      </w:r>
    </w:p>
  </w:endnote>
  <w:endnote w:type="continuationNotice" w:id="1">
    <w:p w14:paraId="046D92ED" w14:textId="77777777" w:rsidR="00861563" w:rsidRDefault="00861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800674"/>
      <w:docPartObj>
        <w:docPartGallery w:val="Page Numbers (Bottom of Page)"/>
        <w:docPartUnique/>
      </w:docPartObj>
    </w:sdtPr>
    <w:sdtEndPr>
      <w:rPr>
        <w:noProof/>
      </w:rPr>
    </w:sdtEndPr>
    <w:sdtContent>
      <w:p w14:paraId="0534A0A7" w14:textId="62BD64A3" w:rsidR="00311918" w:rsidRDefault="003119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66213" w14:textId="77777777" w:rsidR="00311918" w:rsidRDefault="0031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0ED3D" w14:textId="77777777" w:rsidR="00861563" w:rsidRDefault="00861563" w:rsidP="00861563">
      <w:pPr>
        <w:spacing w:after="0" w:line="240" w:lineRule="auto"/>
      </w:pPr>
      <w:r>
        <w:separator/>
      </w:r>
    </w:p>
  </w:footnote>
  <w:footnote w:type="continuationSeparator" w:id="0">
    <w:p w14:paraId="09546DF8" w14:textId="77777777" w:rsidR="00861563" w:rsidRDefault="00861563" w:rsidP="00861563">
      <w:pPr>
        <w:spacing w:after="0" w:line="240" w:lineRule="auto"/>
      </w:pPr>
      <w:r>
        <w:continuationSeparator/>
      </w:r>
    </w:p>
  </w:footnote>
  <w:footnote w:type="continuationNotice" w:id="1">
    <w:p w14:paraId="5E2C8C92" w14:textId="77777777" w:rsidR="00861563" w:rsidRDefault="00861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4F53B" w14:textId="24CAE90B" w:rsidR="00861563" w:rsidRPr="007A3C53" w:rsidRDefault="00861563" w:rsidP="00055AD0">
    <w:pPr>
      <w:pStyle w:val="Header"/>
      <w:jc w:val="right"/>
      <w:rPr>
        <w:color w:val="767171" w:themeColor="background2" w:themeShade="80"/>
        <w:sz w:val="20"/>
        <w:szCs w:val="20"/>
      </w:rPr>
    </w:pPr>
    <w:r w:rsidRPr="007A3C53">
      <w:rPr>
        <w:color w:val="767171" w:themeColor="background2" w:themeShade="80"/>
        <w:sz w:val="20"/>
        <w:szCs w:val="20"/>
      </w:rPr>
      <w:t xml:space="preserve">Archax </w:t>
    </w:r>
    <w:r w:rsidR="00055AD0" w:rsidRPr="007A3C53">
      <w:rPr>
        <w:color w:val="767171" w:themeColor="background2" w:themeShade="80"/>
        <w:sz w:val="20"/>
        <w:szCs w:val="20"/>
      </w:rPr>
      <w:t>Compliance</w:t>
    </w:r>
    <w:r w:rsidRPr="007A3C53">
      <w:rPr>
        <w:color w:val="767171" w:themeColor="background2" w:themeShade="80"/>
        <w:sz w:val="20"/>
        <w:szCs w:val="20"/>
      </w:rPr>
      <w:t xml:space="preserve"> | Alex Royle</w:t>
    </w:r>
  </w:p>
  <w:p w14:paraId="0710D87D" w14:textId="4B369B2C" w:rsidR="00861563" w:rsidRPr="007A3C53" w:rsidRDefault="00055AD0" w:rsidP="00055AD0">
    <w:pPr>
      <w:pStyle w:val="Header"/>
      <w:jc w:val="right"/>
      <w:rPr>
        <w:color w:val="767171" w:themeColor="background2" w:themeShade="80"/>
        <w:sz w:val="20"/>
        <w:szCs w:val="20"/>
      </w:rPr>
    </w:pPr>
    <w:r w:rsidRPr="007A3C53">
      <w:rPr>
        <w:color w:val="767171" w:themeColor="background2" w:themeShade="80"/>
        <w:sz w:val="20"/>
        <w:szCs w:val="20"/>
      </w:rPr>
      <w:t>PUBLIC: Consultation Response</w:t>
    </w:r>
  </w:p>
  <w:p w14:paraId="23E1766A" w14:textId="188D8968" w:rsidR="00861563" w:rsidRPr="007A3C53" w:rsidRDefault="00055AD0" w:rsidP="00055AD0">
    <w:pPr>
      <w:pStyle w:val="Header"/>
      <w:jc w:val="right"/>
      <w:rPr>
        <w:color w:val="767171" w:themeColor="background2" w:themeShade="80"/>
        <w:sz w:val="20"/>
        <w:szCs w:val="20"/>
      </w:rPr>
    </w:pPr>
    <w:r w:rsidRPr="007A3C53">
      <w:rPr>
        <w:color w:val="767171" w:themeColor="background2" w:themeShade="80"/>
        <w:sz w:val="20"/>
        <w:szCs w:val="20"/>
      </w:rPr>
      <w:t xml:space="preserve">Submitted: </w:t>
    </w:r>
    <w:r w:rsidR="00861563" w:rsidRPr="007A3C53">
      <w:rPr>
        <w:color w:val="767171" w:themeColor="background2" w:themeShade="80"/>
        <w:sz w:val="20"/>
        <w:szCs w:val="20"/>
      </w:rPr>
      <w:t>1</w:t>
    </w:r>
    <w:r w:rsidRPr="007A3C53">
      <w:rPr>
        <w:color w:val="767171" w:themeColor="background2" w:themeShade="80"/>
        <w:sz w:val="20"/>
        <w:szCs w:val="20"/>
      </w:rPr>
      <w:t>5</w:t>
    </w:r>
    <w:r w:rsidR="00861563" w:rsidRPr="007A3C53">
      <w:rPr>
        <w:color w:val="767171" w:themeColor="background2" w:themeShade="80"/>
        <w:sz w:val="20"/>
        <w:szCs w:val="20"/>
      </w:rPr>
      <w:t xml:space="preserve"> </w:t>
    </w:r>
    <w:r w:rsidRPr="007A3C53">
      <w:rPr>
        <w:color w:val="767171" w:themeColor="background2" w:themeShade="80"/>
        <w:sz w:val="20"/>
        <w:szCs w:val="20"/>
      </w:rPr>
      <w:t>July</w:t>
    </w:r>
    <w:r w:rsidR="00861563" w:rsidRPr="007A3C53">
      <w:rPr>
        <w:color w:val="767171" w:themeColor="background2" w:themeShade="80"/>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F0F97"/>
    <w:multiLevelType w:val="hybridMultilevel"/>
    <w:tmpl w:val="29ECC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54DDB"/>
    <w:multiLevelType w:val="hybridMultilevel"/>
    <w:tmpl w:val="29ECC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7E3B26"/>
    <w:multiLevelType w:val="hybridMultilevel"/>
    <w:tmpl w:val="ECF62E2C"/>
    <w:lvl w:ilvl="0" w:tplc="7B2E1C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64DBF"/>
    <w:multiLevelType w:val="hybridMultilevel"/>
    <w:tmpl w:val="DFF660A2"/>
    <w:lvl w:ilvl="0" w:tplc="201C20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F624BF"/>
    <w:multiLevelType w:val="hybridMultilevel"/>
    <w:tmpl w:val="29ECC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F9"/>
    <w:rsid w:val="00001D6D"/>
    <w:rsid w:val="00003C11"/>
    <w:rsid w:val="00005785"/>
    <w:rsid w:val="00006D49"/>
    <w:rsid w:val="00014114"/>
    <w:rsid w:val="00014E89"/>
    <w:rsid w:val="00016E92"/>
    <w:rsid w:val="0002388F"/>
    <w:rsid w:val="000320B2"/>
    <w:rsid w:val="000413B2"/>
    <w:rsid w:val="0004160D"/>
    <w:rsid w:val="00046245"/>
    <w:rsid w:val="00046B3A"/>
    <w:rsid w:val="00052A53"/>
    <w:rsid w:val="000554F1"/>
    <w:rsid w:val="00055AD0"/>
    <w:rsid w:val="00065FA3"/>
    <w:rsid w:val="00066AC4"/>
    <w:rsid w:val="000750CB"/>
    <w:rsid w:val="000837DF"/>
    <w:rsid w:val="00085AA9"/>
    <w:rsid w:val="000912C1"/>
    <w:rsid w:val="000963A2"/>
    <w:rsid w:val="00096FE9"/>
    <w:rsid w:val="000A169D"/>
    <w:rsid w:val="000B0ADD"/>
    <w:rsid w:val="000B2444"/>
    <w:rsid w:val="000B2B17"/>
    <w:rsid w:val="000B41EF"/>
    <w:rsid w:val="000C12BF"/>
    <w:rsid w:val="000C3667"/>
    <w:rsid w:val="000C4817"/>
    <w:rsid w:val="000D1617"/>
    <w:rsid w:val="000D3968"/>
    <w:rsid w:val="000D5D0B"/>
    <w:rsid w:val="000F28D7"/>
    <w:rsid w:val="0010120D"/>
    <w:rsid w:val="001018D5"/>
    <w:rsid w:val="001053E0"/>
    <w:rsid w:val="00120BEC"/>
    <w:rsid w:val="00125861"/>
    <w:rsid w:val="00131F89"/>
    <w:rsid w:val="0013321A"/>
    <w:rsid w:val="00137665"/>
    <w:rsid w:val="001423F6"/>
    <w:rsid w:val="00153C3C"/>
    <w:rsid w:val="00173357"/>
    <w:rsid w:val="001749C3"/>
    <w:rsid w:val="00176399"/>
    <w:rsid w:val="00183E34"/>
    <w:rsid w:val="00187057"/>
    <w:rsid w:val="00187E6A"/>
    <w:rsid w:val="001912D1"/>
    <w:rsid w:val="00192DAB"/>
    <w:rsid w:val="001941DD"/>
    <w:rsid w:val="001A5F6D"/>
    <w:rsid w:val="001B4524"/>
    <w:rsid w:val="001C188E"/>
    <w:rsid w:val="001C3857"/>
    <w:rsid w:val="001C6EE8"/>
    <w:rsid w:val="001E6BBB"/>
    <w:rsid w:val="001F3FC5"/>
    <w:rsid w:val="001F737E"/>
    <w:rsid w:val="00200B78"/>
    <w:rsid w:val="0020337D"/>
    <w:rsid w:val="00205383"/>
    <w:rsid w:val="00207A0D"/>
    <w:rsid w:val="00217414"/>
    <w:rsid w:val="00221B40"/>
    <w:rsid w:val="0022254C"/>
    <w:rsid w:val="00224B30"/>
    <w:rsid w:val="0022660E"/>
    <w:rsid w:val="00234B75"/>
    <w:rsid w:val="00237426"/>
    <w:rsid w:val="00240CF1"/>
    <w:rsid w:val="00241C06"/>
    <w:rsid w:val="00247392"/>
    <w:rsid w:val="00256856"/>
    <w:rsid w:val="00256914"/>
    <w:rsid w:val="00266A4B"/>
    <w:rsid w:val="00272BAE"/>
    <w:rsid w:val="002730EA"/>
    <w:rsid w:val="0027410D"/>
    <w:rsid w:val="00283E9B"/>
    <w:rsid w:val="00291FBC"/>
    <w:rsid w:val="0029306D"/>
    <w:rsid w:val="00297BE2"/>
    <w:rsid w:val="002A14C2"/>
    <w:rsid w:val="002A6551"/>
    <w:rsid w:val="002A6C26"/>
    <w:rsid w:val="002C2CD1"/>
    <w:rsid w:val="002D6D06"/>
    <w:rsid w:val="002D7016"/>
    <w:rsid w:val="002D726C"/>
    <w:rsid w:val="002E1608"/>
    <w:rsid w:val="002F116F"/>
    <w:rsid w:val="002F3B45"/>
    <w:rsid w:val="002F71FF"/>
    <w:rsid w:val="00302611"/>
    <w:rsid w:val="00311918"/>
    <w:rsid w:val="00314485"/>
    <w:rsid w:val="00320EE3"/>
    <w:rsid w:val="00321955"/>
    <w:rsid w:val="00332B69"/>
    <w:rsid w:val="0033478F"/>
    <w:rsid w:val="00336792"/>
    <w:rsid w:val="003374EF"/>
    <w:rsid w:val="00344E76"/>
    <w:rsid w:val="00350320"/>
    <w:rsid w:val="003514A7"/>
    <w:rsid w:val="00352017"/>
    <w:rsid w:val="0035566B"/>
    <w:rsid w:val="00361C56"/>
    <w:rsid w:val="00361FD8"/>
    <w:rsid w:val="003642CB"/>
    <w:rsid w:val="00364B3E"/>
    <w:rsid w:val="00365812"/>
    <w:rsid w:val="003714FD"/>
    <w:rsid w:val="003732D2"/>
    <w:rsid w:val="00381037"/>
    <w:rsid w:val="00385305"/>
    <w:rsid w:val="00386B2F"/>
    <w:rsid w:val="00386BEC"/>
    <w:rsid w:val="0039094C"/>
    <w:rsid w:val="003940C2"/>
    <w:rsid w:val="00395A0B"/>
    <w:rsid w:val="003A2F2C"/>
    <w:rsid w:val="003A4004"/>
    <w:rsid w:val="003A64FF"/>
    <w:rsid w:val="003A690D"/>
    <w:rsid w:val="003A7A56"/>
    <w:rsid w:val="003C1923"/>
    <w:rsid w:val="003D1913"/>
    <w:rsid w:val="003D2607"/>
    <w:rsid w:val="003D5987"/>
    <w:rsid w:val="00402E80"/>
    <w:rsid w:val="00417F28"/>
    <w:rsid w:val="00425BFD"/>
    <w:rsid w:val="00426FB4"/>
    <w:rsid w:val="00432ECE"/>
    <w:rsid w:val="0043587F"/>
    <w:rsid w:val="004415B2"/>
    <w:rsid w:val="004565B6"/>
    <w:rsid w:val="00464F62"/>
    <w:rsid w:val="00465A88"/>
    <w:rsid w:val="0046680F"/>
    <w:rsid w:val="00474408"/>
    <w:rsid w:val="0048330C"/>
    <w:rsid w:val="00483EB0"/>
    <w:rsid w:val="004876EB"/>
    <w:rsid w:val="004909BC"/>
    <w:rsid w:val="00495870"/>
    <w:rsid w:val="004A0025"/>
    <w:rsid w:val="004A0967"/>
    <w:rsid w:val="004A1AA3"/>
    <w:rsid w:val="004A572D"/>
    <w:rsid w:val="004A77E9"/>
    <w:rsid w:val="004C1661"/>
    <w:rsid w:val="004D570E"/>
    <w:rsid w:val="004E24C6"/>
    <w:rsid w:val="004E2E9C"/>
    <w:rsid w:val="004E5C9C"/>
    <w:rsid w:val="004F3224"/>
    <w:rsid w:val="004F5130"/>
    <w:rsid w:val="00517B7D"/>
    <w:rsid w:val="005231BE"/>
    <w:rsid w:val="00526FA8"/>
    <w:rsid w:val="00527A40"/>
    <w:rsid w:val="005373DF"/>
    <w:rsid w:val="00546C09"/>
    <w:rsid w:val="0054721F"/>
    <w:rsid w:val="00554AE3"/>
    <w:rsid w:val="00554B8C"/>
    <w:rsid w:val="00555163"/>
    <w:rsid w:val="0055605B"/>
    <w:rsid w:val="00560F0B"/>
    <w:rsid w:val="005611F1"/>
    <w:rsid w:val="00570B68"/>
    <w:rsid w:val="005775AC"/>
    <w:rsid w:val="00581237"/>
    <w:rsid w:val="00582716"/>
    <w:rsid w:val="00583417"/>
    <w:rsid w:val="00585592"/>
    <w:rsid w:val="00586C34"/>
    <w:rsid w:val="005A688F"/>
    <w:rsid w:val="005B0299"/>
    <w:rsid w:val="005B3411"/>
    <w:rsid w:val="005B4352"/>
    <w:rsid w:val="005B5A50"/>
    <w:rsid w:val="005B6D7F"/>
    <w:rsid w:val="005C2CD0"/>
    <w:rsid w:val="005C3DE9"/>
    <w:rsid w:val="005C4A19"/>
    <w:rsid w:val="005C584F"/>
    <w:rsid w:val="005C6ED8"/>
    <w:rsid w:val="005D27E3"/>
    <w:rsid w:val="005D4B9D"/>
    <w:rsid w:val="005D6F9F"/>
    <w:rsid w:val="005D7BC2"/>
    <w:rsid w:val="005E3B63"/>
    <w:rsid w:val="005E3BB4"/>
    <w:rsid w:val="005F2EF1"/>
    <w:rsid w:val="005F3FDB"/>
    <w:rsid w:val="005F789A"/>
    <w:rsid w:val="00601691"/>
    <w:rsid w:val="00603D77"/>
    <w:rsid w:val="006046DE"/>
    <w:rsid w:val="00606298"/>
    <w:rsid w:val="006125F0"/>
    <w:rsid w:val="0061649C"/>
    <w:rsid w:val="006173AE"/>
    <w:rsid w:val="00620926"/>
    <w:rsid w:val="00630744"/>
    <w:rsid w:val="0064025E"/>
    <w:rsid w:val="00646EE8"/>
    <w:rsid w:val="00647836"/>
    <w:rsid w:val="00655660"/>
    <w:rsid w:val="0066170C"/>
    <w:rsid w:val="00673BAE"/>
    <w:rsid w:val="00674FCD"/>
    <w:rsid w:val="006760D1"/>
    <w:rsid w:val="0067642D"/>
    <w:rsid w:val="00677473"/>
    <w:rsid w:val="0068578F"/>
    <w:rsid w:val="00686106"/>
    <w:rsid w:val="00691FAD"/>
    <w:rsid w:val="006A3AC4"/>
    <w:rsid w:val="006A43AB"/>
    <w:rsid w:val="006A59C2"/>
    <w:rsid w:val="006A6627"/>
    <w:rsid w:val="006A7299"/>
    <w:rsid w:val="006B3EEC"/>
    <w:rsid w:val="006B4E67"/>
    <w:rsid w:val="006B5544"/>
    <w:rsid w:val="006C0C98"/>
    <w:rsid w:val="006C3AF7"/>
    <w:rsid w:val="006C54B1"/>
    <w:rsid w:val="006C660E"/>
    <w:rsid w:val="006D0864"/>
    <w:rsid w:val="006E1BF0"/>
    <w:rsid w:val="006E2922"/>
    <w:rsid w:val="006E2D2F"/>
    <w:rsid w:val="006E5C4F"/>
    <w:rsid w:val="006E6E78"/>
    <w:rsid w:val="006F66FE"/>
    <w:rsid w:val="00702F41"/>
    <w:rsid w:val="00703524"/>
    <w:rsid w:val="0072585C"/>
    <w:rsid w:val="0072635B"/>
    <w:rsid w:val="00727BF7"/>
    <w:rsid w:val="00734644"/>
    <w:rsid w:val="00741A77"/>
    <w:rsid w:val="0074562B"/>
    <w:rsid w:val="007611C2"/>
    <w:rsid w:val="00762F5C"/>
    <w:rsid w:val="007639DD"/>
    <w:rsid w:val="00767940"/>
    <w:rsid w:val="00771246"/>
    <w:rsid w:val="007715F1"/>
    <w:rsid w:val="00781088"/>
    <w:rsid w:val="00785DAA"/>
    <w:rsid w:val="00790CE0"/>
    <w:rsid w:val="00791B55"/>
    <w:rsid w:val="007A32C4"/>
    <w:rsid w:val="007A3C53"/>
    <w:rsid w:val="007B21B5"/>
    <w:rsid w:val="007B439F"/>
    <w:rsid w:val="007B4C2B"/>
    <w:rsid w:val="007B50E6"/>
    <w:rsid w:val="007B5B12"/>
    <w:rsid w:val="007C05B0"/>
    <w:rsid w:val="007C2CC1"/>
    <w:rsid w:val="007C2FED"/>
    <w:rsid w:val="007D037C"/>
    <w:rsid w:val="007D411A"/>
    <w:rsid w:val="007D6557"/>
    <w:rsid w:val="007D6F56"/>
    <w:rsid w:val="007E2A14"/>
    <w:rsid w:val="007E595C"/>
    <w:rsid w:val="007F3DD2"/>
    <w:rsid w:val="007F6EB4"/>
    <w:rsid w:val="008043E1"/>
    <w:rsid w:val="0080621B"/>
    <w:rsid w:val="00810172"/>
    <w:rsid w:val="008129E7"/>
    <w:rsid w:val="00816163"/>
    <w:rsid w:val="00817A4E"/>
    <w:rsid w:val="00817DD5"/>
    <w:rsid w:val="00823C94"/>
    <w:rsid w:val="00825DC9"/>
    <w:rsid w:val="0083108D"/>
    <w:rsid w:val="0083786E"/>
    <w:rsid w:val="00841DF1"/>
    <w:rsid w:val="008454F8"/>
    <w:rsid w:val="00847D77"/>
    <w:rsid w:val="00853A28"/>
    <w:rsid w:val="00856667"/>
    <w:rsid w:val="00856F33"/>
    <w:rsid w:val="00861563"/>
    <w:rsid w:val="008647F1"/>
    <w:rsid w:val="0086547F"/>
    <w:rsid w:val="00865B17"/>
    <w:rsid w:val="0087093A"/>
    <w:rsid w:val="0087584D"/>
    <w:rsid w:val="00875F20"/>
    <w:rsid w:val="00884EBD"/>
    <w:rsid w:val="00893645"/>
    <w:rsid w:val="008A49BD"/>
    <w:rsid w:val="008A673A"/>
    <w:rsid w:val="008C6A97"/>
    <w:rsid w:val="008C724B"/>
    <w:rsid w:val="008D00A6"/>
    <w:rsid w:val="008D21FA"/>
    <w:rsid w:val="008D3458"/>
    <w:rsid w:val="008E187C"/>
    <w:rsid w:val="008E3202"/>
    <w:rsid w:val="008E597A"/>
    <w:rsid w:val="008F29A3"/>
    <w:rsid w:val="008F6841"/>
    <w:rsid w:val="00912B9D"/>
    <w:rsid w:val="00913AD4"/>
    <w:rsid w:val="009152FF"/>
    <w:rsid w:val="009259BB"/>
    <w:rsid w:val="0093341E"/>
    <w:rsid w:val="00943E32"/>
    <w:rsid w:val="009440CE"/>
    <w:rsid w:val="0094791D"/>
    <w:rsid w:val="0096164F"/>
    <w:rsid w:val="0096345C"/>
    <w:rsid w:val="00976C81"/>
    <w:rsid w:val="009876B1"/>
    <w:rsid w:val="009971BD"/>
    <w:rsid w:val="009A10FC"/>
    <w:rsid w:val="009A2E92"/>
    <w:rsid w:val="009A4903"/>
    <w:rsid w:val="009A4AA4"/>
    <w:rsid w:val="009A689B"/>
    <w:rsid w:val="009B1EE5"/>
    <w:rsid w:val="009C343E"/>
    <w:rsid w:val="009C4AE8"/>
    <w:rsid w:val="009D27FD"/>
    <w:rsid w:val="009D4F21"/>
    <w:rsid w:val="009E1B74"/>
    <w:rsid w:val="009F7840"/>
    <w:rsid w:val="00A127A5"/>
    <w:rsid w:val="00A13523"/>
    <w:rsid w:val="00A138F1"/>
    <w:rsid w:val="00A2735B"/>
    <w:rsid w:val="00A36732"/>
    <w:rsid w:val="00A4120D"/>
    <w:rsid w:val="00A41CD2"/>
    <w:rsid w:val="00A433F1"/>
    <w:rsid w:val="00A55C6C"/>
    <w:rsid w:val="00A62312"/>
    <w:rsid w:val="00A723AA"/>
    <w:rsid w:val="00A763B7"/>
    <w:rsid w:val="00A77546"/>
    <w:rsid w:val="00A9175D"/>
    <w:rsid w:val="00A9222A"/>
    <w:rsid w:val="00A93198"/>
    <w:rsid w:val="00AA5B2B"/>
    <w:rsid w:val="00AD198F"/>
    <w:rsid w:val="00AD1AD3"/>
    <w:rsid w:val="00AE3EB1"/>
    <w:rsid w:val="00AF5B9C"/>
    <w:rsid w:val="00B013F3"/>
    <w:rsid w:val="00B01891"/>
    <w:rsid w:val="00B022CE"/>
    <w:rsid w:val="00B074E5"/>
    <w:rsid w:val="00B10F92"/>
    <w:rsid w:val="00B1105B"/>
    <w:rsid w:val="00B17C7D"/>
    <w:rsid w:val="00B41DAE"/>
    <w:rsid w:val="00B43C73"/>
    <w:rsid w:val="00B47597"/>
    <w:rsid w:val="00B62AD1"/>
    <w:rsid w:val="00B65BFB"/>
    <w:rsid w:val="00B67732"/>
    <w:rsid w:val="00B70AF3"/>
    <w:rsid w:val="00B70B25"/>
    <w:rsid w:val="00B71DCD"/>
    <w:rsid w:val="00B77810"/>
    <w:rsid w:val="00B77C19"/>
    <w:rsid w:val="00B82A8C"/>
    <w:rsid w:val="00B856BF"/>
    <w:rsid w:val="00B8581C"/>
    <w:rsid w:val="00B909E5"/>
    <w:rsid w:val="00B9170E"/>
    <w:rsid w:val="00B92F4C"/>
    <w:rsid w:val="00B94EEB"/>
    <w:rsid w:val="00BA15EE"/>
    <w:rsid w:val="00BA7BB8"/>
    <w:rsid w:val="00BB2046"/>
    <w:rsid w:val="00BB30E7"/>
    <w:rsid w:val="00BB3DE7"/>
    <w:rsid w:val="00BB3F7C"/>
    <w:rsid w:val="00BB78ED"/>
    <w:rsid w:val="00BC0B3E"/>
    <w:rsid w:val="00BC182F"/>
    <w:rsid w:val="00BC5259"/>
    <w:rsid w:val="00BC5374"/>
    <w:rsid w:val="00BD067B"/>
    <w:rsid w:val="00BD3779"/>
    <w:rsid w:val="00BE0030"/>
    <w:rsid w:val="00BE361D"/>
    <w:rsid w:val="00BF11B8"/>
    <w:rsid w:val="00BF1B9D"/>
    <w:rsid w:val="00BF2294"/>
    <w:rsid w:val="00BF30F0"/>
    <w:rsid w:val="00C01F43"/>
    <w:rsid w:val="00C02478"/>
    <w:rsid w:val="00C07538"/>
    <w:rsid w:val="00C10C88"/>
    <w:rsid w:val="00C122B1"/>
    <w:rsid w:val="00C1264B"/>
    <w:rsid w:val="00C1625D"/>
    <w:rsid w:val="00C22693"/>
    <w:rsid w:val="00C27C99"/>
    <w:rsid w:val="00C35091"/>
    <w:rsid w:val="00C451BB"/>
    <w:rsid w:val="00C64D7F"/>
    <w:rsid w:val="00C66C31"/>
    <w:rsid w:val="00C72A78"/>
    <w:rsid w:val="00C73394"/>
    <w:rsid w:val="00C762ED"/>
    <w:rsid w:val="00C811D1"/>
    <w:rsid w:val="00C85D32"/>
    <w:rsid w:val="00C9429C"/>
    <w:rsid w:val="00C966F9"/>
    <w:rsid w:val="00CB1798"/>
    <w:rsid w:val="00CB6861"/>
    <w:rsid w:val="00CB7FEA"/>
    <w:rsid w:val="00CC1BDA"/>
    <w:rsid w:val="00CE373A"/>
    <w:rsid w:val="00CF482C"/>
    <w:rsid w:val="00D013EC"/>
    <w:rsid w:val="00D05B8A"/>
    <w:rsid w:val="00D1230B"/>
    <w:rsid w:val="00D13F31"/>
    <w:rsid w:val="00D23CF0"/>
    <w:rsid w:val="00D26C9B"/>
    <w:rsid w:val="00D36155"/>
    <w:rsid w:val="00D51250"/>
    <w:rsid w:val="00D53A0E"/>
    <w:rsid w:val="00D66C56"/>
    <w:rsid w:val="00D705A3"/>
    <w:rsid w:val="00D72669"/>
    <w:rsid w:val="00D80571"/>
    <w:rsid w:val="00D80873"/>
    <w:rsid w:val="00D85F32"/>
    <w:rsid w:val="00D93A77"/>
    <w:rsid w:val="00D978FC"/>
    <w:rsid w:val="00DA1F6B"/>
    <w:rsid w:val="00DA2E3D"/>
    <w:rsid w:val="00DA3166"/>
    <w:rsid w:val="00DB3CBB"/>
    <w:rsid w:val="00DB6AFD"/>
    <w:rsid w:val="00DB6BEA"/>
    <w:rsid w:val="00DB6E59"/>
    <w:rsid w:val="00DC571A"/>
    <w:rsid w:val="00DF1BEF"/>
    <w:rsid w:val="00DF2256"/>
    <w:rsid w:val="00DF351A"/>
    <w:rsid w:val="00E00DF6"/>
    <w:rsid w:val="00E01CE6"/>
    <w:rsid w:val="00E104F0"/>
    <w:rsid w:val="00E20E23"/>
    <w:rsid w:val="00E25E65"/>
    <w:rsid w:val="00E26180"/>
    <w:rsid w:val="00E3123F"/>
    <w:rsid w:val="00E3189F"/>
    <w:rsid w:val="00E40425"/>
    <w:rsid w:val="00E43A1A"/>
    <w:rsid w:val="00E446D0"/>
    <w:rsid w:val="00E473F9"/>
    <w:rsid w:val="00E60E0A"/>
    <w:rsid w:val="00E66CD5"/>
    <w:rsid w:val="00E70BBF"/>
    <w:rsid w:val="00E714BB"/>
    <w:rsid w:val="00E71694"/>
    <w:rsid w:val="00E743F0"/>
    <w:rsid w:val="00E81492"/>
    <w:rsid w:val="00E814FE"/>
    <w:rsid w:val="00E87022"/>
    <w:rsid w:val="00E874F9"/>
    <w:rsid w:val="00E876EA"/>
    <w:rsid w:val="00E916F3"/>
    <w:rsid w:val="00E94D07"/>
    <w:rsid w:val="00EA1C30"/>
    <w:rsid w:val="00EA474A"/>
    <w:rsid w:val="00EA60A2"/>
    <w:rsid w:val="00EB0852"/>
    <w:rsid w:val="00EB0A0D"/>
    <w:rsid w:val="00EB31BF"/>
    <w:rsid w:val="00EC0A8D"/>
    <w:rsid w:val="00EC1FF1"/>
    <w:rsid w:val="00EC20B6"/>
    <w:rsid w:val="00EC4A55"/>
    <w:rsid w:val="00EC643A"/>
    <w:rsid w:val="00EC7FAB"/>
    <w:rsid w:val="00ED1EA7"/>
    <w:rsid w:val="00ED25F8"/>
    <w:rsid w:val="00ED4E32"/>
    <w:rsid w:val="00ED6958"/>
    <w:rsid w:val="00ED7ACB"/>
    <w:rsid w:val="00EF5681"/>
    <w:rsid w:val="00F05730"/>
    <w:rsid w:val="00F16F20"/>
    <w:rsid w:val="00F17105"/>
    <w:rsid w:val="00F21536"/>
    <w:rsid w:val="00F26DED"/>
    <w:rsid w:val="00F32974"/>
    <w:rsid w:val="00F364F1"/>
    <w:rsid w:val="00F3719F"/>
    <w:rsid w:val="00F376E6"/>
    <w:rsid w:val="00F45DFA"/>
    <w:rsid w:val="00F60206"/>
    <w:rsid w:val="00F63264"/>
    <w:rsid w:val="00F64C2F"/>
    <w:rsid w:val="00F663A2"/>
    <w:rsid w:val="00F668BF"/>
    <w:rsid w:val="00F771A9"/>
    <w:rsid w:val="00F8669E"/>
    <w:rsid w:val="00F97725"/>
    <w:rsid w:val="00FA4641"/>
    <w:rsid w:val="00FA7CED"/>
    <w:rsid w:val="00FB6A87"/>
    <w:rsid w:val="00FC0F3D"/>
    <w:rsid w:val="00FC64B4"/>
    <w:rsid w:val="00FC6775"/>
    <w:rsid w:val="00FD5F97"/>
    <w:rsid w:val="00FD6459"/>
    <w:rsid w:val="00FE3BA2"/>
    <w:rsid w:val="00FE4099"/>
    <w:rsid w:val="00FE49B5"/>
    <w:rsid w:val="00FE760D"/>
    <w:rsid w:val="02775E0E"/>
    <w:rsid w:val="14DE7731"/>
    <w:rsid w:val="242BAA7B"/>
    <w:rsid w:val="26EF45DB"/>
    <w:rsid w:val="3CF4EE93"/>
    <w:rsid w:val="3D5DF95F"/>
    <w:rsid w:val="40F199AA"/>
    <w:rsid w:val="4437D168"/>
    <w:rsid w:val="4ECE8A1C"/>
    <w:rsid w:val="505C2027"/>
    <w:rsid w:val="57208F15"/>
    <w:rsid w:val="5EF16EE3"/>
    <w:rsid w:val="7BCB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917"/>
  <w15:chartTrackingRefBased/>
  <w15:docId w15:val="{21AED027-942C-4AF4-8071-D61CA93D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F56"/>
    <w:pPr>
      <w:ind w:left="720"/>
      <w:contextualSpacing/>
    </w:pPr>
  </w:style>
  <w:style w:type="paragraph" w:styleId="BalloonText">
    <w:name w:val="Balloon Text"/>
    <w:basedOn w:val="Normal"/>
    <w:link w:val="BalloonTextChar"/>
    <w:uiPriority w:val="99"/>
    <w:semiHidden/>
    <w:unhideWhenUsed/>
    <w:rsid w:val="003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2D2"/>
    <w:rPr>
      <w:rFonts w:ascii="Segoe UI" w:hAnsi="Segoe UI" w:cs="Segoe UI"/>
      <w:sz w:val="18"/>
      <w:szCs w:val="18"/>
    </w:rPr>
  </w:style>
  <w:style w:type="character" w:styleId="CommentReference">
    <w:name w:val="annotation reference"/>
    <w:basedOn w:val="DefaultParagraphFont"/>
    <w:uiPriority w:val="99"/>
    <w:semiHidden/>
    <w:unhideWhenUsed/>
    <w:rsid w:val="00E40425"/>
    <w:rPr>
      <w:sz w:val="16"/>
      <w:szCs w:val="16"/>
    </w:rPr>
  </w:style>
  <w:style w:type="paragraph" w:styleId="CommentText">
    <w:name w:val="annotation text"/>
    <w:basedOn w:val="Normal"/>
    <w:link w:val="CommentTextChar"/>
    <w:uiPriority w:val="99"/>
    <w:unhideWhenUsed/>
    <w:rsid w:val="00E40425"/>
    <w:pPr>
      <w:spacing w:line="240" w:lineRule="auto"/>
    </w:pPr>
    <w:rPr>
      <w:sz w:val="20"/>
      <w:szCs w:val="20"/>
    </w:rPr>
  </w:style>
  <w:style w:type="character" w:customStyle="1" w:styleId="CommentTextChar">
    <w:name w:val="Comment Text Char"/>
    <w:basedOn w:val="DefaultParagraphFont"/>
    <w:link w:val="CommentText"/>
    <w:uiPriority w:val="99"/>
    <w:rsid w:val="00E40425"/>
    <w:rPr>
      <w:sz w:val="20"/>
      <w:szCs w:val="20"/>
    </w:rPr>
  </w:style>
  <w:style w:type="paragraph" w:styleId="CommentSubject">
    <w:name w:val="annotation subject"/>
    <w:basedOn w:val="CommentText"/>
    <w:next w:val="CommentText"/>
    <w:link w:val="CommentSubjectChar"/>
    <w:uiPriority w:val="99"/>
    <w:semiHidden/>
    <w:unhideWhenUsed/>
    <w:rsid w:val="00E40425"/>
    <w:rPr>
      <w:b/>
      <w:bCs/>
    </w:rPr>
  </w:style>
  <w:style w:type="character" w:customStyle="1" w:styleId="CommentSubjectChar">
    <w:name w:val="Comment Subject Char"/>
    <w:basedOn w:val="CommentTextChar"/>
    <w:link w:val="CommentSubject"/>
    <w:uiPriority w:val="99"/>
    <w:semiHidden/>
    <w:rsid w:val="00E40425"/>
    <w:rPr>
      <w:b/>
      <w:bCs/>
      <w:sz w:val="20"/>
      <w:szCs w:val="20"/>
    </w:rPr>
  </w:style>
  <w:style w:type="character" w:styleId="UnresolvedMention">
    <w:name w:val="Unresolved Mention"/>
    <w:basedOn w:val="DefaultParagraphFont"/>
    <w:uiPriority w:val="99"/>
    <w:unhideWhenUsed/>
    <w:rsid w:val="00217414"/>
    <w:rPr>
      <w:color w:val="605E5C"/>
      <w:shd w:val="clear" w:color="auto" w:fill="E1DFDD"/>
    </w:rPr>
  </w:style>
  <w:style w:type="character" w:styleId="Mention">
    <w:name w:val="Mention"/>
    <w:basedOn w:val="DefaultParagraphFont"/>
    <w:uiPriority w:val="99"/>
    <w:unhideWhenUsed/>
    <w:rsid w:val="00217414"/>
    <w:rPr>
      <w:color w:val="2B579A"/>
      <w:shd w:val="clear" w:color="auto" w:fill="E1DFDD"/>
    </w:rPr>
  </w:style>
  <w:style w:type="paragraph" w:styleId="Header">
    <w:name w:val="header"/>
    <w:basedOn w:val="Normal"/>
    <w:link w:val="HeaderChar"/>
    <w:uiPriority w:val="99"/>
    <w:unhideWhenUsed/>
    <w:rsid w:val="00861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563"/>
  </w:style>
  <w:style w:type="paragraph" w:styleId="Footer">
    <w:name w:val="footer"/>
    <w:basedOn w:val="Normal"/>
    <w:link w:val="FooterChar"/>
    <w:uiPriority w:val="99"/>
    <w:unhideWhenUsed/>
    <w:rsid w:val="00861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5D7E5840181647AAAB42AF6CAD6A5A" ma:contentTypeVersion="13" ma:contentTypeDescription="Create a new document." ma:contentTypeScope="" ma:versionID="335a6fc8b08aa4ff96bd66b8fae81a12">
  <xsd:schema xmlns:xsd="http://www.w3.org/2001/XMLSchema" xmlns:xs="http://www.w3.org/2001/XMLSchema" xmlns:p="http://schemas.microsoft.com/office/2006/metadata/properties" xmlns:ns2="25036da1-1870-472a-b570-058a6883b77c" xmlns:ns3="667414e7-0d9a-4dc9-8b8b-bad1c6a2f8fb" targetNamespace="http://schemas.microsoft.com/office/2006/metadata/properties" ma:root="true" ma:fieldsID="9fc351ecf802d1b0c4ccc1fc7ad1ae5a" ns2:_="" ns3:_="">
    <xsd:import namespace="25036da1-1870-472a-b570-058a6883b77c"/>
    <xsd:import namespace="667414e7-0d9a-4dc9-8b8b-bad1c6a2f8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36da1-1870-472a-b570-058a6883b7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414e7-0d9a-4dc9-8b8b-bad1c6a2f8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5036da1-1870-472a-b570-058a6883b77c">3EF4TZ6SKJQV-727751095-103707</_dlc_DocId>
    <_dlc_DocIdUrl xmlns="25036da1-1870-472a-b570-058a6883b77c">
      <Url>https://archax.sharepoint.com/sites/FileShare/_layouts/15/DocIdRedir.aspx?ID=3EF4TZ6SKJQV-727751095-103707</Url>
      <Description>3EF4TZ6SKJQV-727751095-103707</Description>
    </_dlc_DocIdUrl>
    <_Flow_SignoffStatus xmlns="667414e7-0d9a-4dc9-8b8b-bad1c6a2f8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FE731-E5D2-46E0-B2F7-A905CA9A0830}">
  <ds:schemaRefs>
    <ds:schemaRef ds:uri="http://schemas.microsoft.com/sharepoint/events"/>
  </ds:schemaRefs>
</ds:datastoreItem>
</file>

<file path=customXml/itemProps2.xml><?xml version="1.0" encoding="utf-8"?>
<ds:datastoreItem xmlns:ds="http://schemas.openxmlformats.org/officeDocument/2006/customXml" ds:itemID="{2F11A174-FA6A-41CB-B9D3-22CC6DE29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36da1-1870-472a-b570-058a6883b77c"/>
    <ds:schemaRef ds:uri="667414e7-0d9a-4dc9-8b8b-bad1c6a2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B860C-216E-4515-8985-A7B96AF5A51C}">
  <ds:schemaRefs>
    <ds:schemaRef ds:uri="http://schemas.microsoft.com/office/2006/metadata/properties"/>
    <ds:schemaRef ds:uri="http://schemas.microsoft.com/office/infopath/2007/PartnerControls"/>
    <ds:schemaRef ds:uri="25036da1-1870-472a-b570-058a6883b77c"/>
    <ds:schemaRef ds:uri="667414e7-0d9a-4dc9-8b8b-bad1c6a2f8fb"/>
  </ds:schemaRefs>
</ds:datastoreItem>
</file>

<file path=customXml/itemProps4.xml><?xml version="1.0" encoding="utf-8"?>
<ds:datastoreItem xmlns:ds="http://schemas.openxmlformats.org/officeDocument/2006/customXml" ds:itemID="{DB5A1FA8-3CC5-4F41-996A-BC08D7675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5</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Royle</dc:creator>
  <cp:keywords/>
  <dc:description/>
  <cp:lastModifiedBy>Alex Royle</cp:lastModifiedBy>
  <cp:revision>477</cp:revision>
  <dcterms:created xsi:type="dcterms:W3CDTF">2020-05-22T10:12:00Z</dcterms:created>
  <dcterms:modified xsi:type="dcterms:W3CDTF">2020-07-15T17:23:00Z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0x010100555D7E5840181647AAAB42AF6CAD6A5A</vt:lpwstr>
  </property>
  <property fmtid="{D5CDD505-2E9C-101B-9397-08002B2CF9AE}" pid="3" name="_dlc_DocIdItemGuid">
    <vt:lpwstr>a657f34c-cadf-4e5a-b2d2-e7ad6fb85f85</vt:lpwstr>
  </property>
</Properties>
</file>