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Titre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3CCEBA7" w:rsidR="00C85C8B" w:rsidRPr="00C85C8B" w:rsidRDefault="00C10691" w:rsidP="00C85C8B">
                <w:pPr>
                  <w:rPr>
                    <w:rFonts w:ascii="Arial" w:hAnsi="Arial" w:cs="Arial"/>
                    <w:color w:val="808080"/>
                    <w:sz w:val="20"/>
                    <w:lang w:eastAsia="de-DE"/>
                  </w:rPr>
                </w:pPr>
                <w:r>
                  <w:rPr>
                    <w:rFonts w:ascii="Arial" w:hAnsi="Arial" w:cs="Arial"/>
                    <w:color w:val="808080"/>
                    <w:sz w:val="20"/>
                    <w:lang w:eastAsia="de-DE"/>
                  </w:rPr>
                  <w:t>AFG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78DECF8" w:rsidR="00C85C8B" w:rsidRPr="00C85C8B" w:rsidRDefault="007D658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10691">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33B5B13" w:rsidR="00C85C8B" w:rsidRPr="00C85C8B" w:rsidRDefault="00C1069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A3C65AC" w:rsidR="00C85C8B" w:rsidRPr="00C85C8B" w:rsidRDefault="00C10691"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00AB9D92" w14:textId="65C8C6C8" w:rsidR="00C10691" w:rsidRDefault="00C10691" w:rsidP="00043954">
      <w:pPr>
        <w:jc w:val="both"/>
        <w:rPr>
          <w:rFonts w:ascii="Arial" w:hAnsi="Arial" w:cs="Arial"/>
          <w:spacing w:val="3"/>
          <w:lang w:eastAsia="fr-FR"/>
        </w:rPr>
      </w:pPr>
      <w:permStart w:id="885457707" w:edGrp="everyone"/>
      <w:r w:rsidRPr="00EE3947">
        <w:rPr>
          <w:rFonts w:ascii="Arial" w:hAnsi="Arial" w:cs="Arial"/>
          <w:spacing w:val="3"/>
          <w:lang w:eastAsia="fr-FR"/>
        </w:rPr>
        <w:t>AFG</w:t>
      </w:r>
      <w:r w:rsidR="00724EB9">
        <w:rPr>
          <w:rStyle w:val="Appelnotedebasdep"/>
          <w:rFonts w:cs="Arial"/>
          <w:spacing w:val="3"/>
          <w:lang w:eastAsia="fr-FR"/>
        </w:rPr>
        <w:footnoteReference w:id="2"/>
      </w:r>
      <w:r w:rsidRPr="00EE3947">
        <w:rPr>
          <w:rFonts w:ascii="Arial" w:hAnsi="Arial" w:cs="Arial"/>
          <w:spacing w:val="3"/>
          <w:lang w:eastAsia="fr-FR"/>
        </w:rPr>
        <w:t xml:space="preserve"> welcomes positively the objective of practice harmonisation betwee</w:t>
      </w:r>
      <w:r w:rsidRPr="00DA3361">
        <w:rPr>
          <w:rFonts w:ascii="Arial" w:hAnsi="Arial" w:cs="Arial"/>
          <w:spacing w:val="3"/>
          <w:lang w:eastAsia="fr-FR"/>
        </w:rPr>
        <w:t xml:space="preserve">n </w:t>
      </w:r>
      <w:r w:rsidRPr="00EE3947">
        <w:rPr>
          <w:rFonts w:ascii="Arial" w:hAnsi="Arial" w:cs="Arial"/>
          <w:spacing w:val="3"/>
          <w:lang w:eastAsia="fr-FR"/>
        </w:rPr>
        <w:t>NCA</w:t>
      </w:r>
      <w:r w:rsidRPr="00DA3361">
        <w:rPr>
          <w:rFonts w:ascii="Arial" w:hAnsi="Arial" w:cs="Arial"/>
          <w:spacing w:val="3"/>
          <w:lang w:eastAsia="fr-FR"/>
        </w:rPr>
        <w:t>s</w:t>
      </w:r>
      <w:r w:rsidRPr="00EE3947">
        <w:rPr>
          <w:rFonts w:ascii="Arial" w:hAnsi="Arial" w:cs="Arial"/>
          <w:spacing w:val="3"/>
          <w:lang w:eastAsia="fr-FR"/>
        </w:rPr>
        <w:t xml:space="preserve"> as ESMA has a</w:t>
      </w:r>
      <w:r>
        <w:rPr>
          <w:rFonts w:ascii="Arial" w:hAnsi="Arial" w:cs="Arial"/>
          <w:spacing w:val="3"/>
          <w:lang w:eastAsia="fr-FR"/>
        </w:rPr>
        <w:t xml:space="preserve"> real convergence</w:t>
      </w:r>
      <w:r w:rsidRPr="00EE3947">
        <w:rPr>
          <w:rFonts w:ascii="Arial" w:hAnsi="Arial" w:cs="Arial"/>
          <w:spacing w:val="3"/>
          <w:lang w:eastAsia="fr-FR"/>
        </w:rPr>
        <w:t xml:space="preserve"> </w:t>
      </w:r>
      <w:r w:rsidRPr="00DA3361">
        <w:rPr>
          <w:rFonts w:ascii="Arial" w:hAnsi="Arial" w:cs="Arial"/>
          <w:spacing w:val="3"/>
          <w:lang w:eastAsia="fr-FR"/>
        </w:rPr>
        <w:t>role</w:t>
      </w:r>
      <w:r w:rsidRPr="00EE3947">
        <w:rPr>
          <w:rFonts w:ascii="Arial" w:hAnsi="Arial" w:cs="Arial"/>
          <w:spacing w:val="3"/>
          <w:lang w:eastAsia="fr-FR"/>
        </w:rPr>
        <w:t xml:space="preserve"> to</w:t>
      </w:r>
      <w:r>
        <w:rPr>
          <w:rFonts w:ascii="Arial" w:hAnsi="Arial" w:cs="Arial"/>
          <w:spacing w:val="3"/>
          <w:lang w:eastAsia="fr-FR"/>
        </w:rPr>
        <w:t xml:space="preserve"> play.</w:t>
      </w:r>
      <w:r w:rsidRPr="00EE3947">
        <w:rPr>
          <w:rFonts w:ascii="Arial" w:hAnsi="Arial" w:cs="Arial"/>
          <w:spacing w:val="3"/>
          <w:lang w:eastAsia="fr-FR"/>
        </w:rPr>
        <w:t xml:space="preserve"> </w:t>
      </w:r>
      <w:r>
        <w:rPr>
          <w:rFonts w:ascii="Arial" w:hAnsi="Arial" w:cs="Arial"/>
          <w:spacing w:val="3"/>
          <w:lang w:eastAsia="fr-FR"/>
        </w:rPr>
        <w:t>We totally agree with ESMA’s analysis on the need to have further convergence between NCAs and its continued efforts in the field.</w:t>
      </w:r>
    </w:p>
    <w:p w14:paraId="52C8895C" w14:textId="77777777" w:rsidR="00C10691" w:rsidRDefault="00C10691" w:rsidP="00043954">
      <w:pPr>
        <w:jc w:val="both"/>
        <w:rPr>
          <w:rFonts w:ascii="Arial" w:hAnsi="Arial" w:cs="Arial"/>
          <w:spacing w:val="3"/>
          <w:lang w:eastAsia="fr-FR"/>
        </w:rPr>
      </w:pPr>
    </w:p>
    <w:p w14:paraId="724A6569" w14:textId="77777777" w:rsidR="00C10691" w:rsidRDefault="00C10691" w:rsidP="00043954">
      <w:pPr>
        <w:jc w:val="both"/>
        <w:rPr>
          <w:rFonts w:ascii="Arial" w:hAnsi="Arial" w:cs="Arial"/>
          <w:spacing w:val="3"/>
          <w:lang w:eastAsia="fr-FR"/>
        </w:rPr>
      </w:pPr>
      <w:r>
        <w:rPr>
          <w:rFonts w:ascii="Arial" w:hAnsi="Arial" w:cs="Arial"/>
          <w:spacing w:val="3"/>
          <w:lang w:eastAsia="fr-FR"/>
        </w:rPr>
        <w:t>At the same time, we believe that such a convergence exercise will be successful only if several pre-requisites are fulfilled, as described below:</w:t>
      </w:r>
    </w:p>
    <w:p w14:paraId="2B217464" w14:textId="77777777" w:rsidR="00C10691" w:rsidRPr="00EE3947" w:rsidRDefault="00C10691" w:rsidP="00043954">
      <w:pPr>
        <w:jc w:val="both"/>
        <w:rPr>
          <w:rFonts w:ascii="Arial" w:hAnsi="Arial" w:cs="Arial"/>
          <w:spacing w:val="3"/>
          <w:lang w:eastAsia="fr-FR"/>
        </w:rPr>
      </w:pPr>
    </w:p>
    <w:p w14:paraId="3D7AF4EC" w14:textId="77777777" w:rsidR="00C10691" w:rsidRDefault="00C10691" w:rsidP="00043954">
      <w:pPr>
        <w:jc w:val="both"/>
        <w:rPr>
          <w:rFonts w:ascii="Arial" w:hAnsi="Arial" w:cs="Arial"/>
          <w:spacing w:val="3"/>
          <w:lang w:eastAsia="fr-FR"/>
        </w:rPr>
      </w:pPr>
      <w:r>
        <w:rPr>
          <w:rFonts w:ascii="Arial" w:hAnsi="Arial" w:cs="Arial"/>
          <w:spacing w:val="3"/>
          <w:lang w:eastAsia="fr-FR"/>
        </w:rPr>
        <w:t xml:space="preserve">1. </w:t>
      </w:r>
      <w:r w:rsidRPr="00243157">
        <w:rPr>
          <w:rFonts w:ascii="Arial" w:hAnsi="Arial" w:cs="Arial"/>
          <w:spacing w:val="3"/>
          <w:lang w:eastAsia="fr-FR"/>
        </w:rPr>
        <w:t>AFG believes that what is needed as a first step is to ensure that the current process and framework is fully operational and effective</w:t>
      </w:r>
      <w:r>
        <w:rPr>
          <w:rFonts w:ascii="Arial" w:hAnsi="Arial" w:cs="Arial"/>
          <w:spacing w:val="3"/>
          <w:lang w:eastAsia="fr-FR"/>
        </w:rPr>
        <w:t xml:space="preserve"> before introducing any additional rules on AIFs’ leverage</w:t>
      </w:r>
      <w:r w:rsidRPr="00243157">
        <w:rPr>
          <w:rFonts w:ascii="Arial" w:hAnsi="Arial" w:cs="Arial"/>
          <w:spacing w:val="3"/>
          <w:lang w:eastAsia="fr-FR"/>
        </w:rPr>
        <w:t xml:space="preserve">. Indeed, for example, in order to use AIFM data, the homogeneity of formats for the different fields should be a priority. </w:t>
      </w:r>
      <w:r>
        <w:rPr>
          <w:rFonts w:ascii="Arial" w:hAnsi="Arial" w:cs="Arial"/>
          <w:spacing w:val="3"/>
          <w:lang w:eastAsia="fr-FR"/>
        </w:rPr>
        <w:t xml:space="preserve">Although we acknowledge ESMA’s efforts, </w:t>
      </w:r>
      <w:r w:rsidRPr="00783C1A">
        <w:rPr>
          <w:rFonts w:ascii="Arial" w:hAnsi="Arial" w:cs="Arial"/>
          <w:b/>
          <w:bCs/>
          <w:spacing w:val="3"/>
          <w:lang w:eastAsia="fr-FR"/>
        </w:rPr>
        <w:t>standardisation of the reporting format</w:t>
      </w:r>
      <w:r w:rsidRPr="00243157">
        <w:rPr>
          <w:rFonts w:ascii="Arial" w:hAnsi="Arial" w:cs="Arial"/>
          <w:spacing w:val="3"/>
          <w:lang w:eastAsia="fr-FR"/>
        </w:rPr>
        <w:t xml:space="preserve"> for leverage figures such as using the form of a percentage </w:t>
      </w:r>
      <w:r>
        <w:rPr>
          <w:rFonts w:ascii="Arial" w:hAnsi="Arial" w:cs="Arial"/>
          <w:spacing w:val="3"/>
          <w:lang w:eastAsia="fr-FR"/>
        </w:rPr>
        <w:t>(</w:t>
      </w:r>
      <w:r w:rsidRPr="00243157">
        <w:rPr>
          <w:rFonts w:ascii="Arial" w:hAnsi="Arial" w:cs="Arial"/>
          <w:spacing w:val="3"/>
          <w:lang w:eastAsia="fr-FR"/>
        </w:rPr>
        <w:t>or not</w:t>
      </w:r>
      <w:r>
        <w:rPr>
          <w:rFonts w:ascii="Arial" w:hAnsi="Arial" w:cs="Arial"/>
          <w:spacing w:val="3"/>
          <w:lang w:eastAsia="fr-FR"/>
        </w:rPr>
        <w:t>)</w:t>
      </w:r>
      <w:r w:rsidRPr="00243157">
        <w:rPr>
          <w:rFonts w:ascii="Arial" w:hAnsi="Arial" w:cs="Arial"/>
          <w:spacing w:val="3"/>
          <w:lang w:eastAsia="fr-FR"/>
        </w:rPr>
        <w:t xml:space="preserve"> is a </w:t>
      </w:r>
      <w:r w:rsidRPr="0070098E">
        <w:rPr>
          <w:rFonts w:ascii="Arial" w:hAnsi="Arial" w:cs="Arial"/>
          <w:b/>
          <w:bCs/>
          <w:spacing w:val="3"/>
          <w:lang w:eastAsia="fr-FR"/>
        </w:rPr>
        <w:t>prerequisite</w:t>
      </w:r>
      <w:r w:rsidRPr="00243157">
        <w:rPr>
          <w:rFonts w:ascii="Arial" w:hAnsi="Arial" w:cs="Arial"/>
          <w:spacing w:val="3"/>
          <w:lang w:eastAsia="fr-FR"/>
        </w:rPr>
        <w:t xml:space="preserve"> for any comparative analysis.</w:t>
      </w:r>
      <w:r>
        <w:rPr>
          <w:rFonts w:ascii="Arial" w:hAnsi="Arial" w:cs="Arial"/>
          <w:spacing w:val="3"/>
          <w:lang w:eastAsia="fr-FR"/>
        </w:rPr>
        <w:t xml:space="preserve"> </w:t>
      </w:r>
    </w:p>
    <w:p w14:paraId="3112DE59" w14:textId="77777777" w:rsidR="00C10691" w:rsidRDefault="00C10691" w:rsidP="00043954">
      <w:pPr>
        <w:jc w:val="both"/>
        <w:rPr>
          <w:rFonts w:ascii="Arial" w:hAnsi="Arial" w:cs="Arial"/>
          <w:spacing w:val="3"/>
          <w:lang w:eastAsia="fr-FR"/>
        </w:rPr>
      </w:pPr>
    </w:p>
    <w:p w14:paraId="3BE8C34A" w14:textId="77777777" w:rsidR="00C10691" w:rsidRDefault="00C10691" w:rsidP="00043954">
      <w:pPr>
        <w:autoSpaceDE w:val="0"/>
        <w:autoSpaceDN w:val="0"/>
        <w:adjustRightInd w:val="0"/>
        <w:jc w:val="both"/>
        <w:rPr>
          <w:rFonts w:ascii="Arial" w:hAnsi="Arial" w:cs="Arial"/>
          <w:spacing w:val="3"/>
          <w:lang w:eastAsia="fr-FR"/>
        </w:rPr>
      </w:pPr>
      <w:r>
        <w:rPr>
          <w:rFonts w:ascii="Arial" w:hAnsi="Arial" w:cs="Arial"/>
          <w:spacing w:val="3"/>
          <w:lang w:eastAsia="fr-FR"/>
        </w:rPr>
        <w:t>2.The</w:t>
      </w:r>
      <w:r w:rsidRPr="00243157">
        <w:rPr>
          <w:rFonts w:ascii="Arial" w:hAnsi="Arial" w:cs="Arial"/>
          <w:spacing w:val="3"/>
          <w:lang w:eastAsia="fr-FR"/>
        </w:rPr>
        <w:t xml:space="preserve"> « </w:t>
      </w:r>
      <w:r>
        <w:rPr>
          <w:rFonts w:ascii="Arial" w:hAnsi="Arial" w:cs="Arial"/>
          <w:spacing w:val="3"/>
          <w:lang w:eastAsia="fr-FR"/>
        </w:rPr>
        <w:t>systemic risk</w:t>
      </w:r>
      <w:r w:rsidRPr="00243157">
        <w:rPr>
          <w:rFonts w:ascii="Arial" w:hAnsi="Arial" w:cs="Arial"/>
          <w:spacing w:val="3"/>
          <w:lang w:eastAsia="fr-FR"/>
        </w:rPr>
        <w:t xml:space="preserve"> »</w:t>
      </w:r>
      <w:r>
        <w:rPr>
          <w:rFonts w:ascii="Arial" w:hAnsi="Arial" w:cs="Arial"/>
          <w:spacing w:val="3"/>
          <w:lang w:eastAsia="fr-FR"/>
        </w:rPr>
        <w:t xml:space="preserve"> is a complex and multivariate concept</w:t>
      </w:r>
      <w:r w:rsidRPr="00243157">
        <w:rPr>
          <w:rFonts w:ascii="Arial" w:hAnsi="Arial" w:cs="Arial"/>
          <w:spacing w:val="3"/>
          <w:lang w:eastAsia="fr-FR"/>
        </w:rPr>
        <w:t>.</w:t>
      </w:r>
      <w:r>
        <w:rPr>
          <w:rFonts w:ascii="Arial" w:hAnsi="Arial" w:cs="Arial"/>
          <w:spacing w:val="3"/>
          <w:lang w:eastAsia="fr-FR"/>
        </w:rPr>
        <w:t xml:space="preserve"> It is not straightforward to deduct when risks at individual level might have systemic repercussions.</w:t>
      </w:r>
      <w:r w:rsidRPr="00243157">
        <w:rPr>
          <w:rFonts w:ascii="Arial" w:hAnsi="Arial" w:cs="Arial"/>
          <w:spacing w:val="3"/>
          <w:lang w:eastAsia="fr-FR"/>
        </w:rPr>
        <w:t xml:space="preserve"> </w:t>
      </w:r>
      <w:r w:rsidRPr="00EE3947">
        <w:rPr>
          <w:rFonts w:ascii="Arial" w:hAnsi="Arial" w:cs="Arial"/>
          <w:spacing w:val="3"/>
          <w:lang w:eastAsia="fr-FR"/>
        </w:rPr>
        <w:t xml:space="preserve">Besides, is it relevant to consider that higher leverage </w:t>
      </w:r>
      <w:r>
        <w:rPr>
          <w:rFonts w:ascii="Arial" w:hAnsi="Arial" w:cs="Arial"/>
          <w:spacing w:val="3"/>
          <w:lang w:eastAsia="fr-FR"/>
        </w:rPr>
        <w:t xml:space="preserve">always </w:t>
      </w:r>
      <w:r w:rsidRPr="00EE3947">
        <w:rPr>
          <w:rFonts w:ascii="Arial" w:hAnsi="Arial" w:cs="Arial"/>
          <w:spacing w:val="3"/>
          <w:lang w:eastAsia="fr-FR"/>
        </w:rPr>
        <w:t xml:space="preserve">amounts to </w:t>
      </w:r>
      <w:r w:rsidRPr="001C6757">
        <w:rPr>
          <w:rFonts w:ascii="Arial" w:hAnsi="Arial" w:cs="Arial"/>
          <w:spacing w:val="3"/>
          <w:lang w:eastAsia="fr-FR"/>
        </w:rPr>
        <w:t>higher</w:t>
      </w:r>
      <w:r w:rsidRPr="00EE3947">
        <w:rPr>
          <w:rFonts w:ascii="Arial" w:hAnsi="Arial" w:cs="Arial"/>
          <w:spacing w:val="3"/>
          <w:lang w:eastAsia="fr-FR"/>
        </w:rPr>
        <w:t xml:space="preserve"> risk? </w:t>
      </w:r>
      <w:r w:rsidRPr="008B2840">
        <w:rPr>
          <w:rFonts w:ascii="Arial" w:hAnsi="Arial" w:cs="Arial"/>
          <w:spacing w:val="3"/>
          <w:lang w:eastAsia="fr-FR"/>
        </w:rPr>
        <w:t xml:space="preserve">It </w:t>
      </w:r>
      <w:r w:rsidRPr="00EE3947">
        <w:rPr>
          <w:rFonts w:ascii="Arial" w:hAnsi="Arial" w:cs="Arial"/>
          <w:spacing w:val="3"/>
          <w:lang w:eastAsia="fr-FR"/>
        </w:rPr>
        <w:t>is essential for our members to explain why a fund uses leve</w:t>
      </w:r>
      <w:r>
        <w:rPr>
          <w:rFonts w:ascii="Arial" w:hAnsi="Arial" w:cs="Arial"/>
          <w:spacing w:val="3"/>
          <w:lang w:eastAsia="fr-FR"/>
        </w:rPr>
        <w:t>ra</w:t>
      </w:r>
      <w:r w:rsidRPr="00EE3947">
        <w:rPr>
          <w:rFonts w:ascii="Arial" w:hAnsi="Arial" w:cs="Arial"/>
          <w:spacing w:val="3"/>
          <w:lang w:eastAsia="fr-FR"/>
        </w:rPr>
        <w:t xml:space="preserve">ge and its value added to the fund performance </w:t>
      </w:r>
      <w:r w:rsidRPr="0066609B">
        <w:rPr>
          <w:rFonts w:ascii="Arial" w:hAnsi="Arial" w:cs="Arial"/>
          <w:spacing w:val="3"/>
          <w:lang w:eastAsia="fr-FR"/>
        </w:rPr>
        <w:t>associated</w:t>
      </w:r>
      <w:r w:rsidRPr="008B2840">
        <w:rPr>
          <w:rFonts w:ascii="Arial" w:hAnsi="Arial" w:cs="Arial"/>
          <w:spacing w:val="3"/>
          <w:lang w:eastAsia="fr-FR"/>
        </w:rPr>
        <w:t xml:space="preserve"> </w:t>
      </w:r>
      <w:r w:rsidRPr="00EE3947">
        <w:rPr>
          <w:rFonts w:ascii="Arial" w:hAnsi="Arial" w:cs="Arial"/>
          <w:spacing w:val="3"/>
          <w:lang w:eastAsia="fr-FR"/>
        </w:rPr>
        <w:t xml:space="preserve">with the </w:t>
      </w:r>
      <w:r>
        <w:rPr>
          <w:rFonts w:ascii="Arial" w:hAnsi="Arial" w:cs="Arial"/>
          <w:spacing w:val="3"/>
          <w:lang w:eastAsia="fr-FR"/>
        </w:rPr>
        <w:t>appropriate</w:t>
      </w:r>
      <w:r w:rsidRPr="00EE3947">
        <w:rPr>
          <w:rFonts w:ascii="Arial" w:hAnsi="Arial" w:cs="Arial"/>
          <w:spacing w:val="3"/>
          <w:lang w:eastAsia="fr-FR"/>
        </w:rPr>
        <w:t xml:space="preserve"> risk management.</w:t>
      </w:r>
      <w:r>
        <w:rPr>
          <w:rFonts w:ascii="Arial" w:hAnsi="Arial" w:cs="Arial"/>
          <w:spacing w:val="3"/>
          <w:lang w:eastAsia="fr-FR"/>
        </w:rPr>
        <w:t xml:space="preserve"> From a general standpoint</w:t>
      </w:r>
      <w:r w:rsidRPr="00EE3947">
        <w:rPr>
          <w:rFonts w:ascii="Arial" w:hAnsi="Arial" w:cs="Arial"/>
          <w:spacing w:val="3"/>
          <w:lang w:eastAsia="fr-FR"/>
        </w:rPr>
        <w:t xml:space="preserve">, an efficient risk </w:t>
      </w:r>
      <w:r w:rsidRPr="00EE3947">
        <w:rPr>
          <w:rFonts w:ascii="Arial" w:hAnsi="Arial" w:cs="Arial"/>
          <w:spacing w:val="3"/>
          <w:lang w:eastAsia="fr-FR"/>
        </w:rPr>
        <w:lastRenderedPageBreak/>
        <w:t xml:space="preserve">management policy, well documented and supervised by the regulator is probably to be considered in </w:t>
      </w:r>
      <w:r w:rsidRPr="00D366E6">
        <w:rPr>
          <w:rFonts w:ascii="Arial" w:hAnsi="Arial" w:cs="Arial"/>
          <w:spacing w:val="3"/>
          <w:lang w:eastAsia="fr-FR"/>
        </w:rPr>
        <w:t>priority</w:t>
      </w:r>
      <w:r w:rsidRPr="00EE3947">
        <w:rPr>
          <w:rFonts w:ascii="Arial" w:hAnsi="Arial" w:cs="Arial"/>
          <w:spacing w:val="3"/>
          <w:lang w:eastAsia="fr-FR"/>
        </w:rPr>
        <w:t xml:space="preserve">. </w:t>
      </w:r>
    </w:p>
    <w:p w14:paraId="6B98C83E" w14:textId="77777777" w:rsidR="00C10691" w:rsidRDefault="00C10691" w:rsidP="00043954">
      <w:pPr>
        <w:autoSpaceDE w:val="0"/>
        <w:autoSpaceDN w:val="0"/>
        <w:adjustRightInd w:val="0"/>
        <w:jc w:val="both"/>
        <w:rPr>
          <w:rFonts w:ascii="Arial" w:hAnsi="Arial" w:cs="Arial"/>
          <w:spacing w:val="3"/>
          <w:lang w:eastAsia="fr-FR"/>
        </w:rPr>
      </w:pPr>
    </w:p>
    <w:p w14:paraId="5F46F4F9" w14:textId="77777777" w:rsidR="00C10691" w:rsidRDefault="00C10691" w:rsidP="00043954">
      <w:pPr>
        <w:autoSpaceDE w:val="0"/>
        <w:autoSpaceDN w:val="0"/>
        <w:adjustRightInd w:val="0"/>
        <w:jc w:val="both"/>
        <w:rPr>
          <w:rFonts w:ascii="Arial" w:hAnsi="Arial" w:cs="Arial"/>
          <w:spacing w:val="3"/>
          <w:lang w:eastAsia="fr-FR"/>
        </w:rPr>
      </w:pPr>
      <w:r>
        <w:rPr>
          <w:rFonts w:ascii="Arial" w:hAnsi="Arial" w:cs="Arial"/>
          <w:spacing w:val="3"/>
          <w:lang w:eastAsia="fr-FR"/>
        </w:rPr>
        <w:t xml:space="preserve">3. Priority should be to </w:t>
      </w:r>
      <w:r>
        <w:rPr>
          <w:rFonts w:ascii="Arial" w:hAnsi="Arial" w:cs="Arial"/>
          <w:b/>
          <w:spacing w:val="3"/>
          <w:lang w:eastAsia="fr-FR"/>
        </w:rPr>
        <w:t>d</w:t>
      </w:r>
      <w:r w:rsidRPr="00B6315B">
        <w:rPr>
          <w:rFonts w:ascii="Arial" w:hAnsi="Arial" w:cs="Arial"/>
          <w:b/>
          <w:spacing w:val="3"/>
          <w:lang w:eastAsia="fr-FR"/>
        </w:rPr>
        <w:t>efin</w:t>
      </w:r>
      <w:r>
        <w:rPr>
          <w:rFonts w:ascii="Arial" w:hAnsi="Arial" w:cs="Arial"/>
          <w:b/>
          <w:spacing w:val="3"/>
          <w:lang w:eastAsia="fr-FR"/>
        </w:rPr>
        <w:t>e</w:t>
      </w:r>
      <w:r w:rsidRPr="00B6315B">
        <w:rPr>
          <w:rFonts w:ascii="Arial" w:hAnsi="Arial" w:cs="Arial"/>
          <w:b/>
          <w:spacing w:val="3"/>
          <w:lang w:eastAsia="fr-FR"/>
        </w:rPr>
        <w:t xml:space="preserve"> a robust framework without being overly complex</w:t>
      </w:r>
      <w:r>
        <w:rPr>
          <w:rFonts w:ascii="Arial" w:hAnsi="Arial" w:cs="Arial"/>
          <w:spacing w:val="3"/>
          <w:lang w:eastAsia="fr-FR"/>
        </w:rPr>
        <w:t>. Indeed, over-complexity should be avoided and sufficient flexibility should be preserved for the following reasons:</w:t>
      </w:r>
    </w:p>
    <w:p w14:paraId="4030D770" w14:textId="77777777" w:rsidR="00C10691" w:rsidRDefault="00C10691" w:rsidP="00C10691">
      <w:pPr>
        <w:pStyle w:val="Paragraphedeliste"/>
        <w:numPr>
          <w:ilvl w:val="0"/>
          <w:numId w:val="18"/>
        </w:numPr>
        <w:tabs>
          <w:tab w:val="clear" w:pos="0"/>
          <w:tab w:val="clear" w:pos="142"/>
          <w:tab w:val="clear" w:pos="284"/>
          <w:tab w:val="clear" w:pos="567"/>
        </w:tabs>
        <w:spacing w:line="240" w:lineRule="auto"/>
        <w:rPr>
          <w:rFonts w:ascii="Arial" w:hAnsi="Arial" w:cs="Arial"/>
          <w:spacing w:val="3"/>
          <w:lang w:eastAsia="fr-FR"/>
        </w:rPr>
      </w:pPr>
      <w:r w:rsidRPr="00B6315B">
        <w:rPr>
          <w:rFonts w:ascii="Arial" w:hAnsi="Arial" w:cs="Arial"/>
          <w:spacing w:val="3"/>
          <w:lang w:eastAsia="fr-FR"/>
        </w:rPr>
        <w:t>We think complexity is an issue as there is too much information asked by the consultation that goes beyond Article 25 of AIFMD with external data and even potential extension beyond the scope of substantially leveraged funds, already defined in the Level 1 Directive. It is very important to avoid adopting rules that might prove to be heavy and costly to implement for the industry, especially if the question of the effectiveness of imposing limits is visibly still open (last question of the consultation). It is also useful to ensure that NCAs will be able to exploit fully the information given to decide relevant actions with the objective of systemic risk avoidance.</w:t>
      </w:r>
    </w:p>
    <w:p w14:paraId="2CC5BB81" w14:textId="77777777" w:rsidR="00C10691" w:rsidRDefault="00C10691" w:rsidP="00C10691">
      <w:pPr>
        <w:pStyle w:val="Paragraphedeliste"/>
        <w:numPr>
          <w:ilvl w:val="0"/>
          <w:numId w:val="18"/>
        </w:numPr>
        <w:tabs>
          <w:tab w:val="clear" w:pos="0"/>
          <w:tab w:val="clear" w:pos="142"/>
          <w:tab w:val="clear" w:pos="284"/>
          <w:tab w:val="clear" w:pos="567"/>
        </w:tabs>
        <w:spacing w:line="240" w:lineRule="auto"/>
        <w:rPr>
          <w:rFonts w:ascii="Arial" w:hAnsi="Arial" w:cs="Arial"/>
          <w:spacing w:val="3"/>
          <w:lang w:eastAsia="fr-FR"/>
        </w:rPr>
      </w:pPr>
      <w:r w:rsidRPr="00B6315B">
        <w:rPr>
          <w:rFonts w:ascii="Arial" w:hAnsi="Arial" w:cs="Arial"/>
          <w:spacing w:val="3"/>
          <w:lang w:eastAsia="fr-FR"/>
        </w:rPr>
        <w:t xml:space="preserve">These questions are even more important in the aftermath of the sanitary crisis. It must be avoided to adopt heavy time-consuming frameworks while the priority in a crisis period is to be given to urgent matters where the human capital is best employed. It is difficult to see how such a complex scheme may be easily and effectively implemented </w:t>
      </w:r>
      <w:r>
        <w:rPr>
          <w:rFonts w:ascii="Arial" w:hAnsi="Arial" w:cs="Arial"/>
          <w:spacing w:val="3"/>
          <w:lang w:eastAsia="fr-FR"/>
        </w:rPr>
        <w:t xml:space="preserve">by NCAs </w:t>
      </w:r>
      <w:r w:rsidRPr="00B6315B">
        <w:rPr>
          <w:rFonts w:ascii="Arial" w:hAnsi="Arial" w:cs="Arial"/>
          <w:spacing w:val="3"/>
          <w:lang w:eastAsia="fr-FR"/>
        </w:rPr>
        <w:t>in time of crisis. In addition, we should recall that the current crisis test was again successful in terms of fund leverage containing and that no major dysfunction was reported.</w:t>
      </w:r>
    </w:p>
    <w:p w14:paraId="38B71935" w14:textId="77777777" w:rsidR="00C10691" w:rsidRDefault="00C10691" w:rsidP="00C10691">
      <w:pPr>
        <w:pStyle w:val="Paragraphedeliste"/>
        <w:numPr>
          <w:ilvl w:val="0"/>
          <w:numId w:val="18"/>
        </w:numPr>
        <w:tabs>
          <w:tab w:val="clear" w:pos="0"/>
          <w:tab w:val="clear" w:pos="142"/>
          <w:tab w:val="clear" w:pos="284"/>
          <w:tab w:val="clear" w:pos="567"/>
        </w:tabs>
        <w:spacing w:line="240" w:lineRule="auto"/>
        <w:rPr>
          <w:rFonts w:ascii="Arial" w:hAnsi="Arial" w:cs="Arial"/>
          <w:spacing w:val="3"/>
          <w:lang w:eastAsia="fr-FR"/>
        </w:rPr>
      </w:pPr>
      <w:r>
        <w:rPr>
          <w:rFonts w:ascii="Arial" w:hAnsi="Arial" w:cs="Arial"/>
          <w:spacing w:val="3"/>
          <w:lang w:eastAsia="fr-FR"/>
        </w:rPr>
        <w:t>These Guidelines applicable in the context of the use of Article 25 should consider that the exercise is meant to be done in exceptional cases and for crisis events only. The flexibility and the focus of the assessment are important criteria to take into account so as for the NCA to be efficient. Indeed, Article 25 provides that  NCAs “</w:t>
      </w:r>
      <w:r w:rsidRPr="00EE3947">
        <w:rPr>
          <w:rFonts w:ascii="Arial" w:hAnsi="Arial" w:cs="Arial"/>
          <w:b/>
          <w:bCs/>
          <w:spacing w:val="3"/>
          <w:lang w:eastAsia="fr-FR"/>
        </w:rPr>
        <w:t xml:space="preserve">shall impose </w:t>
      </w:r>
      <w:r w:rsidRPr="00173F5A">
        <w:rPr>
          <w:rFonts w:ascii="Arial" w:hAnsi="Arial" w:cs="Arial"/>
          <w:spacing w:val="3"/>
          <w:lang w:eastAsia="fr-FR"/>
        </w:rPr>
        <w:t>limits to the level of leverage</w:t>
      </w:r>
      <w:r w:rsidRPr="00236573">
        <w:rPr>
          <w:rFonts w:ascii="Arial" w:hAnsi="Arial" w:cs="Arial"/>
          <w:spacing w:val="3"/>
          <w:lang w:eastAsia="fr-FR"/>
        </w:rPr>
        <w:t xml:space="preserve"> that an AIFM are entitled</w:t>
      </w:r>
      <w:r>
        <w:rPr>
          <w:rFonts w:ascii="Arial" w:hAnsi="Arial" w:cs="Arial"/>
          <w:spacing w:val="3"/>
          <w:lang w:eastAsia="fr-FR"/>
        </w:rPr>
        <w:t xml:space="preserve"> </w:t>
      </w:r>
      <w:r w:rsidRPr="00236573">
        <w:rPr>
          <w:rFonts w:ascii="Arial" w:hAnsi="Arial" w:cs="Arial"/>
          <w:spacing w:val="3"/>
          <w:lang w:eastAsia="fr-FR"/>
        </w:rPr>
        <w:t>to employ or other restrictions on the management of the AIF</w:t>
      </w:r>
      <w:r>
        <w:rPr>
          <w:rFonts w:ascii="Arial" w:hAnsi="Arial" w:cs="Arial"/>
          <w:spacing w:val="3"/>
          <w:lang w:eastAsia="fr-FR"/>
        </w:rPr>
        <w:t xml:space="preserve"> </w:t>
      </w:r>
      <w:r w:rsidRPr="00236573">
        <w:rPr>
          <w:rFonts w:ascii="Arial" w:hAnsi="Arial" w:cs="Arial"/>
          <w:spacing w:val="3"/>
          <w:lang w:eastAsia="fr-FR"/>
        </w:rPr>
        <w:t xml:space="preserve">with respect to the AIFs under its management </w:t>
      </w:r>
      <w:r w:rsidRPr="00EE3947">
        <w:rPr>
          <w:rFonts w:ascii="Arial" w:hAnsi="Arial" w:cs="Arial"/>
          <w:b/>
          <w:bCs/>
          <w:spacing w:val="3"/>
          <w:lang w:eastAsia="fr-FR"/>
        </w:rPr>
        <w:t xml:space="preserve">to limit the extent to which the use of leverage contributes to the </w:t>
      </w:r>
      <w:proofErr w:type="spellStart"/>
      <w:r w:rsidRPr="00EE3947">
        <w:rPr>
          <w:rFonts w:ascii="Arial" w:hAnsi="Arial" w:cs="Arial"/>
          <w:b/>
          <w:bCs/>
          <w:spacing w:val="3"/>
          <w:lang w:eastAsia="fr-FR"/>
        </w:rPr>
        <w:t>build up</w:t>
      </w:r>
      <w:proofErr w:type="spellEnd"/>
      <w:r w:rsidRPr="00EE3947">
        <w:rPr>
          <w:rFonts w:ascii="Arial" w:hAnsi="Arial" w:cs="Arial"/>
          <w:b/>
          <w:bCs/>
          <w:spacing w:val="3"/>
          <w:lang w:eastAsia="fr-FR"/>
        </w:rPr>
        <w:t xml:space="preserve"> of systemic risk in the financial system or risks of disorderly markets.</w:t>
      </w:r>
      <w:r>
        <w:rPr>
          <w:rFonts w:ascii="Arial" w:hAnsi="Arial" w:cs="Arial"/>
          <w:spacing w:val="3"/>
          <w:lang w:eastAsia="fr-FR"/>
        </w:rPr>
        <w:t>”</w:t>
      </w:r>
    </w:p>
    <w:p w14:paraId="634EDBD2" w14:textId="77777777" w:rsidR="00C10691" w:rsidRDefault="00C10691" w:rsidP="00043954">
      <w:pPr>
        <w:autoSpaceDE w:val="0"/>
        <w:autoSpaceDN w:val="0"/>
        <w:adjustRightInd w:val="0"/>
        <w:jc w:val="both"/>
        <w:rPr>
          <w:rFonts w:ascii="Arial" w:hAnsi="Arial" w:cs="Arial"/>
          <w:spacing w:val="3"/>
          <w:lang w:eastAsia="fr-FR"/>
        </w:rPr>
      </w:pPr>
    </w:p>
    <w:p w14:paraId="6353F1C3" w14:textId="77777777" w:rsidR="00C10691" w:rsidRPr="00B6315B" w:rsidRDefault="00C10691" w:rsidP="00043954">
      <w:pPr>
        <w:autoSpaceDE w:val="0"/>
        <w:autoSpaceDN w:val="0"/>
        <w:adjustRightInd w:val="0"/>
        <w:jc w:val="both"/>
        <w:rPr>
          <w:rFonts w:ascii="Arial" w:hAnsi="Arial" w:cs="Arial"/>
          <w:spacing w:val="3"/>
          <w:lang w:eastAsia="fr-FR"/>
        </w:rPr>
      </w:pPr>
      <w:r>
        <w:rPr>
          <w:rFonts w:ascii="Arial" w:hAnsi="Arial" w:cs="Arial"/>
          <w:spacing w:val="3"/>
          <w:lang w:eastAsia="fr-FR"/>
        </w:rPr>
        <w:t xml:space="preserve">4. </w:t>
      </w:r>
      <w:r w:rsidRPr="00B6315B">
        <w:rPr>
          <w:rFonts w:ascii="Arial" w:hAnsi="Arial" w:cs="Arial"/>
          <w:b/>
          <w:spacing w:val="3"/>
          <w:lang w:eastAsia="fr-FR"/>
        </w:rPr>
        <w:t>The number of funds in the scope should be limited</w:t>
      </w:r>
      <w:r>
        <w:rPr>
          <w:rFonts w:ascii="Arial" w:hAnsi="Arial" w:cs="Arial"/>
          <w:spacing w:val="3"/>
          <w:lang w:eastAsia="fr-FR"/>
        </w:rPr>
        <w:t xml:space="preserve"> to the ones that need to be properly supervised (in terms of profile and size) and it should not be required to assess all funds against leverage risk in a systematic way: </w:t>
      </w:r>
    </w:p>
    <w:p w14:paraId="266EA3F4" w14:textId="77777777" w:rsidR="00C10691" w:rsidRDefault="00C10691" w:rsidP="00C10691">
      <w:pPr>
        <w:pStyle w:val="Paragraphedeliste"/>
        <w:numPr>
          <w:ilvl w:val="0"/>
          <w:numId w:val="19"/>
        </w:numPr>
        <w:tabs>
          <w:tab w:val="clear" w:pos="0"/>
          <w:tab w:val="clear" w:pos="142"/>
          <w:tab w:val="clear" w:pos="284"/>
          <w:tab w:val="clear" w:pos="567"/>
        </w:tabs>
        <w:spacing w:line="240" w:lineRule="auto"/>
        <w:rPr>
          <w:rFonts w:ascii="Arial" w:hAnsi="Arial" w:cs="Arial"/>
          <w:spacing w:val="3"/>
          <w:lang w:eastAsia="fr-FR"/>
        </w:rPr>
      </w:pPr>
      <w:r w:rsidRPr="00B6315B">
        <w:rPr>
          <w:rFonts w:ascii="Arial" w:hAnsi="Arial" w:cs="Arial"/>
          <w:spacing w:val="3"/>
          <w:lang w:eastAsia="fr-FR"/>
        </w:rPr>
        <w:t>As a reminder, the ESMA’s EU AIFs annual statistical reports take stock on the fact that AIFs make little use of financial or synthetic leverage and that the majority of AIFs are not HF-like funds, but more domestic UCITS-like type of funds. As indeed, most of the public AIF are UCITS like, the identification process of risky funds for the financial systems is of paramount importance for the efficiency of th</w:t>
      </w:r>
      <w:r>
        <w:rPr>
          <w:rFonts w:ascii="Arial" w:hAnsi="Arial" w:cs="Arial"/>
          <w:spacing w:val="3"/>
          <w:lang w:eastAsia="fr-FR"/>
        </w:rPr>
        <w:t>ese</w:t>
      </w:r>
      <w:r w:rsidRPr="00B6315B">
        <w:rPr>
          <w:rFonts w:ascii="Arial" w:hAnsi="Arial" w:cs="Arial"/>
          <w:spacing w:val="3"/>
          <w:lang w:eastAsia="fr-FR"/>
        </w:rPr>
        <w:t xml:space="preserve"> guidelines. Embarking the other funds in this heavy process would be costly, useless and may even make difficult and lengthy the identification of those few excessively leveraged funds that may really need to be dealt with.</w:t>
      </w:r>
    </w:p>
    <w:p w14:paraId="7D948082" w14:textId="77777777" w:rsidR="00C10691" w:rsidRPr="000D1EC6" w:rsidRDefault="00C10691" w:rsidP="00C10691">
      <w:pPr>
        <w:pStyle w:val="Paragraphedeliste"/>
        <w:numPr>
          <w:ilvl w:val="0"/>
          <w:numId w:val="19"/>
        </w:numPr>
        <w:tabs>
          <w:tab w:val="clear" w:pos="0"/>
          <w:tab w:val="clear" w:pos="142"/>
          <w:tab w:val="clear" w:pos="284"/>
          <w:tab w:val="clear" w:pos="567"/>
        </w:tabs>
        <w:spacing w:line="240" w:lineRule="auto"/>
        <w:rPr>
          <w:rFonts w:ascii="Arial" w:hAnsi="Arial" w:cs="Arial"/>
          <w:spacing w:val="3"/>
          <w:lang w:eastAsia="fr-FR"/>
        </w:rPr>
      </w:pPr>
      <w:r>
        <w:rPr>
          <w:rFonts w:ascii="Arial" w:hAnsi="Arial" w:cs="Arial"/>
          <w:spacing w:val="3"/>
          <w:lang w:eastAsia="fr-FR"/>
        </w:rPr>
        <w:t>T</w:t>
      </w:r>
      <w:r w:rsidRPr="000D1EC6">
        <w:rPr>
          <w:rFonts w:ascii="Arial" w:hAnsi="Arial" w:cs="Arial"/>
          <w:spacing w:val="3"/>
          <w:lang w:eastAsia="fr-FR"/>
        </w:rPr>
        <w:t>he scope of Article 25 is not linked to a general assessment, but the identification of potential systemic risk, which is not stemming from low lever</w:t>
      </w:r>
      <w:r>
        <w:rPr>
          <w:rFonts w:ascii="Arial" w:hAnsi="Arial" w:cs="Arial"/>
          <w:spacing w:val="3"/>
          <w:lang w:eastAsia="fr-FR"/>
        </w:rPr>
        <w:t>age</w:t>
      </w:r>
      <w:r w:rsidRPr="000D1EC6">
        <w:rPr>
          <w:rFonts w:ascii="Arial" w:hAnsi="Arial" w:cs="Arial"/>
          <w:spacing w:val="3"/>
          <w:lang w:eastAsia="fr-FR"/>
        </w:rPr>
        <w:t xml:space="preserve">d funds whatever their size. It is the combination of a more than substantially leveraged fund and its scale. This exercise should concentrate to the needs of Article 25 only, </w:t>
      </w:r>
      <w:proofErr w:type="spellStart"/>
      <w:r w:rsidRPr="000D1EC6">
        <w:rPr>
          <w:rFonts w:ascii="Arial" w:hAnsi="Arial" w:cs="Arial"/>
          <w:spacing w:val="3"/>
          <w:lang w:eastAsia="fr-FR"/>
        </w:rPr>
        <w:t>ie</w:t>
      </w:r>
      <w:proofErr w:type="spellEnd"/>
      <w:r w:rsidRPr="000D1EC6">
        <w:rPr>
          <w:rFonts w:ascii="Arial" w:hAnsi="Arial" w:cs="Arial"/>
          <w:spacing w:val="3"/>
          <w:lang w:eastAsia="fr-FR"/>
        </w:rPr>
        <w:t xml:space="preserve"> prepare to deal with exceptional cases only with regards to systemic risk/disorderly markets risk stemming from excessive use of leverage. For systemic risk in general or stemming from other types of risks, NCAs have already the possibility to act in order to protect markets.</w:t>
      </w:r>
    </w:p>
    <w:p w14:paraId="4512F642" w14:textId="77777777" w:rsidR="00C10691" w:rsidRPr="00EE3947" w:rsidRDefault="00C10691" w:rsidP="00043954">
      <w:pPr>
        <w:autoSpaceDE w:val="0"/>
        <w:autoSpaceDN w:val="0"/>
        <w:adjustRightInd w:val="0"/>
        <w:jc w:val="both"/>
        <w:rPr>
          <w:rFonts w:ascii="Arial" w:hAnsi="Arial" w:cs="Arial"/>
          <w:spacing w:val="3"/>
          <w:lang w:eastAsia="fr-FR"/>
        </w:rPr>
      </w:pPr>
    </w:p>
    <w:p w14:paraId="037E25B6" w14:textId="77777777" w:rsidR="00C10691" w:rsidRDefault="00C10691" w:rsidP="00043954">
      <w:pPr>
        <w:autoSpaceDE w:val="0"/>
        <w:autoSpaceDN w:val="0"/>
        <w:adjustRightInd w:val="0"/>
        <w:jc w:val="both"/>
        <w:rPr>
          <w:rFonts w:ascii="Arial" w:hAnsi="Arial" w:cs="Arial"/>
          <w:spacing w:val="3"/>
          <w:lang w:eastAsia="fr-FR"/>
        </w:rPr>
      </w:pPr>
      <w:r>
        <w:rPr>
          <w:rFonts w:ascii="Arial" w:hAnsi="Arial" w:cs="Arial"/>
          <w:spacing w:val="3"/>
          <w:lang w:eastAsia="fr-FR"/>
        </w:rPr>
        <w:lastRenderedPageBreak/>
        <w:t xml:space="preserve">5. Our members wonder if it is relevant to apply, in addition to the </w:t>
      </w:r>
      <w:r w:rsidRPr="004C4631">
        <w:rPr>
          <w:rFonts w:ascii="Arial" w:hAnsi="Arial" w:cs="Arial"/>
          <w:b/>
          <w:bCs/>
          <w:spacing w:val="3"/>
          <w:lang w:eastAsia="fr-FR"/>
        </w:rPr>
        <w:t>sectoral regulation</w:t>
      </w:r>
      <w:r>
        <w:rPr>
          <w:rFonts w:ascii="Arial" w:hAnsi="Arial" w:cs="Arial"/>
          <w:spacing w:val="3"/>
          <w:lang w:eastAsia="fr-FR"/>
        </w:rPr>
        <w:t xml:space="preserve"> that is the most relevant and appropriate approach, a </w:t>
      </w:r>
      <w:r w:rsidRPr="004C4631">
        <w:rPr>
          <w:rFonts w:ascii="Arial" w:hAnsi="Arial" w:cs="Arial"/>
          <w:b/>
          <w:bCs/>
          <w:spacing w:val="3"/>
          <w:lang w:eastAsia="fr-FR"/>
        </w:rPr>
        <w:t>macro-prudential approach</w:t>
      </w:r>
      <w:r>
        <w:rPr>
          <w:rFonts w:ascii="Arial" w:hAnsi="Arial" w:cs="Arial"/>
          <w:spacing w:val="3"/>
          <w:lang w:eastAsia="fr-FR"/>
        </w:rPr>
        <w:t xml:space="preserve"> in the EU to the asset management industry for the following reasons:</w:t>
      </w:r>
    </w:p>
    <w:p w14:paraId="19796187" w14:textId="77777777" w:rsidR="00C10691" w:rsidRDefault="00C10691" w:rsidP="00C10691">
      <w:pPr>
        <w:pStyle w:val="Paragraphedeliste"/>
        <w:numPr>
          <w:ilvl w:val="0"/>
          <w:numId w:val="20"/>
        </w:numPr>
        <w:tabs>
          <w:tab w:val="clear" w:pos="0"/>
          <w:tab w:val="clear" w:pos="142"/>
          <w:tab w:val="clear" w:pos="284"/>
          <w:tab w:val="clear" w:pos="567"/>
        </w:tabs>
        <w:spacing w:line="240" w:lineRule="auto"/>
        <w:rPr>
          <w:rFonts w:ascii="Arial" w:hAnsi="Arial" w:cs="Arial"/>
          <w:spacing w:val="3"/>
          <w:lang w:eastAsia="fr-FR"/>
        </w:rPr>
      </w:pPr>
      <w:r>
        <w:rPr>
          <w:rFonts w:ascii="Arial" w:hAnsi="Arial" w:cs="Arial"/>
          <w:spacing w:val="3"/>
          <w:lang w:eastAsia="fr-FR"/>
        </w:rPr>
        <w:t>The asset management industry is quite different from the banking one and does not require to have a transversal approach as for a bank</w:t>
      </w:r>
      <w:r w:rsidRPr="00F6771F">
        <w:rPr>
          <w:rFonts w:ascii="Arial" w:hAnsi="Arial" w:cs="Arial"/>
          <w:spacing w:val="3"/>
          <w:lang w:eastAsia="fr-FR"/>
        </w:rPr>
        <w:t xml:space="preserve">. It seems more relevant to use a </w:t>
      </w:r>
      <w:r w:rsidRPr="004C4631">
        <w:rPr>
          <w:rFonts w:ascii="Arial" w:hAnsi="Arial" w:cs="Arial"/>
          <w:b/>
          <w:bCs/>
          <w:spacing w:val="3"/>
          <w:lang w:eastAsia="fr-FR"/>
        </w:rPr>
        <w:t>targeted approach</w:t>
      </w:r>
      <w:r w:rsidRPr="00F6771F">
        <w:rPr>
          <w:rFonts w:ascii="Arial" w:hAnsi="Arial" w:cs="Arial"/>
          <w:spacing w:val="3"/>
          <w:lang w:eastAsia="fr-FR"/>
        </w:rPr>
        <w:t xml:space="preserve"> that is adapted to a one</w:t>
      </w:r>
      <w:r>
        <w:rPr>
          <w:rFonts w:ascii="Arial" w:hAnsi="Arial" w:cs="Arial"/>
          <w:spacing w:val="3"/>
          <w:lang w:eastAsia="fr-FR"/>
        </w:rPr>
        <w:t>-</w:t>
      </w:r>
      <w:r w:rsidRPr="00F6771F">
        <w:rPr>
          <w:rFonts w:ascii="Arial" w:hAnsi="Arial" w:cs="Arial"/>
          <w:spacing w:val="3"/>
          <w:lang w:eastAsia="fr-FR"/>
        </w:rPr>
        <w:t>by</w:t>
      </w:r>
      <w:r>
        <w:rPr>
          <w:rFonts w:ascii="Arial" w:hAnsi="Arial" w:cs="Arial"/>
          <w:spacing w:val="3"/>
          <w:lang w:eastAsia="fr-FR"/>
        </w:rPr>
        <w:t>-</w:t>
      </w:r>
      <w:r w:rsidRPr="00F6771F">
        <w:rPr>
          <w:rFonts w:ascii="Arial" w:hAnsi="Arial" w:cs="Arial"/>
          <w:spacing w:val="3"/>
          <w:lang w:eastAsia="fr-FR"/>
        </w:rPr>
        <w:t xml:space="preserve">one fund assessment, </w:t>
      </w:r>
      <w:r>
        <w:rPr>
          <w:rFonts w:ascii="Arial" w:hAnsi="Arial" w:cs="Arial"/>
          <w:spacing w:val="3"/>
          <w:lang w:eastAsia="fr-FR"/>
        </w:rPr>
        <w:t xml:space="preserve">and only </w:t>
      </w:r>
      <w:r w:rsidRPr="00F6771F">
        <w:rPr>
          <w:rFonts w:ascii="Arial" w:hAnsi="Arial" w:cs="Arial"/>
          <w:spacing w:val="3"/>
          <w:lang w:eastAsia="fr-FR"/>
        </w:rPr>
        <w:t>for the funds that have a significant leverage.</w:t>
      </w:r>
      <w:r>
        <w:rPr>
          <w:rFonts w:ascii="Arial" w:hAnsi="Arial" w:cs="Arial"/>
          <w:spacing w:val="3"/>
          <w:lang w:eastAsia="fr-FR"/>
        </w:rPr>
        <w:t xml:space="preserve"> </w:t>
      </w:r>
      <w:r w:rsidRPr="00F6771F">
        <w:rPr>
          <w:rFonts w:ascii="Arial" w:hAnsi="Arial" w:cs="Arial"/>
          <w:spacing w:val="3"/>
          <w:lang w:eastAsia="fr-FR"/>
        </w:rPr>
        <w:t xml:space="preserve">From a general standpoint, an efficient risk management policy, well documented and supervised by the regulator is to be considered in priority. </w:t>
      </w:r>
    </w:p>
    <w:p w14:paraId="609F4A8A" w14:textId="77777777" w:rsidR="00C10691" w:rsidRPr="00F6771F" w:rsidRDefault="00C10691" w:rsidP="00C10691">
      <w:pPr>
        <w:pStyle w:val="Paragraphedeliste"/>
        <w:numPr>
          <w:ilvl w:val="0"/>
          <w:numId w:val="20"/>
        </w:numPr>
        <w:tabs>
          <w:tab w:val="clear" w:pos="0"/>
          <w:tab w:val="clear" w:pos="142"/>
          <w:tab w:val="clear" w:pos="284"/>
          <w:tab w:val="clear" w:pos="567"/>
        </w:tabs>
        <w:spacing w:line="240" w:lineRule="auto"/>
        <w:rPr>
          <w:rFonts w:ascii="Arial" w:hAnsi="Arial" w:cs="Arial"/>
          <w:spacing w:val="3"/>
          <w:lang w:eastAsia="fr-FR"/>
        </w:rPr>
      </w:pPr>
      <w:r>
        <w:rPr>
          <w:rFonts w:ascii="Arial" w:hAnsi="Arial" w:cs="Arial"/>
          <w:spacing w:val="3"/>
          <w:lang w:eastAsia="fr-FR"/>
        </w:rPr>
        <w:t xml:space="preserve">Such an approach would create a </w:t>
      </w:r>
      <w:r w:rsidRPr="004C4631">
        <w:rPr>
          <w:rFonts w:ascii="Arial" w:hAnsi="Arial" w:cs="Arial"/>
          <w:b/>
          <w:bCs/>
          <w:spacing w:val="3"/>
          <w:lang w:eastAsia="fr-FR"/>
        </w:rPr>
        <w:t>competitive disadvantage</w:t>
      </w:r>
      <w:r>
        <w:rPr>
          <w:rFonts w:ascii="Arial" w:hAnsi="Arial" w:cs="Arial"/>
          <w:spacing w:val="3"/>
          <w:lang w:eastAsia="fr-FR"/>
        </w:rPr>
        <w:t xml:space="preserve"> for the EU industry. In this aspect, it is not aligned with the spirit of IOSCO recommendations published in December 2019, aiming among other things to ensure similar application by all NCAs globally. In addition, the macro-prudential approach as incorporated in the draft guidelines has not been retained in any other jurisdictions nor regions at this stage.</w:t>
      </w:r>
    </w:p>
    <w:p w14:paraId="59FB6972" w14:textId="77777777" w:rsidR="00C10691" w:rsidRDefault="00C10691" w:rsidP="00043954">
      <w:pPr>
        <w:autoSpaceDE w:val="0"/>
        <w:autoSpaceDN w:val="0"/>
        <w:adjustRightInd w:val="0"/>
        <w:jc w:val="both"/>
        <w:rPr>
          <w:rFonts w:ascii="Arial" w:hAnsi="Arial" w:cs="Arial"/>
          <w:spacing w:val="3"/>
          <w:lang w:eastAsia="fr-FR"/>
        </w:rPr>
      </w:pPr>
    </w:p>
    <w:p w14:paraId="12622F43" w14:textId="5BBBC8A6" w:rsidR="00C10691" w:rsidRDefault="00C10691" w:rsidP="00C85C8B">
      <w:pPr>
        <w:spacing w:after="250" w:line="276" w:lineRule="auto"/>
        <w:jc w:val="both"/>
        <w:rPr>
          <w:rFonts w:ascii="Arial" w:hAnsi="Arial" w:cs="Arial"/>
          <w:spacing w:val="3"/>
          <w:lang w:eastAsia="fr-FR"/>
        </w:rPr>
      </w:pPr>
      <w:r>
        <w:rPr>
          <w:rFonts w:ascii="Arial" w:hAnsi="Arial" w:cs="Arial"/>
          <w:spacing w:val="3"/>
          <w:lang w:eastAsia="fr-FR"/>
        </w:rPr>
        <w:t xml:space="preserve">6.  </w:t>
      </w:r>
      <w:r w:rsidRPr="00D133ED">
        <w:rPr>
          <w:rFonts w:ascii="Arial" w:hAnsi="Arial" w:cs="Arial"/>
          <w:spacing w:val="3"/>
          <w:lang w:eastAsia="fr-FR"/>
        </w:rPr>
        <w:t>Ultimately and more generally,</w:t>
      </w:r>
      <w:r>
        <w:rPr>
          <w:rFonts w:ascii="Arial" w:hAnsi="Arial" w:cs="Arial"/>
          <w:spacing w:val="3"/>
          <w:lang w:eastAsia="fr-FR"/>
        </w:rPr>
        <w:t xml:space="preserve"> we consider that the focus should be on the </w:t>
      </w:r>
      <w:r w:rsidRPr="004C4631">
        <w:rPr>
          <w:rFonts w:ascii="Arial" w:hAnsi="Arial" w:cs="Arial"/>
          <w:b/>
          <w:bCs/>
          <w:spacing w:val="3"/>
          <w:lang w:eastAsia="fr-FR"/>
        </w:rPr>
        <w:t>existing data</w:t>
      </w:r>
      <w:r>
        <w:rPr>
          <w:rFonts w:ascii="Arial" w:hAnsi="Arial" w:cs="Arial"/>
          <w:spacing w:val="3"/>
          <w:lang w:eastAsia="fr-FR"/>
        </w:rPr>
        <w:t xml:space="preserve"> and that new reporting requirements are not needed as such. I</w:t>
      </w:r>
      <w:r w:rsidRPr="00D133ED">
        <w:rPr>
          <w:rFonts w:ascii="Arial" w:hAnsi="Arial" w:cs="Arial"/>
          <w:spacing w:val="3"/>
          <w:lang w:eastAsia="fr-FR"/>
        </w:rPr>
        <w:t xml:space="preserve">f NCAs want to have a comprehensive view of risks involved in all AIFs, they can for instance make use of </w:t>
      </w:r>
      <w:r w:rsidRPr="004C4631">
        <w:rPr>
          <w:rFonts w:ascii="Arial" w:hAnsi="Arial" w:cs="Arial"/>
          <w:b/>
          <w:bCs/>
          <w:spacing w:val="3"/>
          <w:lang w:eastAsia="fr-FR"/>
        </w:rPr>
        <w:t>the fund inventories</w:t>
      </w:r>
      <w:r w:rsidRPr="00D133ED">
        <w:rPr>
          <w:rFonts w:ascii="Arial" w:hAnsi="Arial" w:cs="Arial"/>
          <w:spacing w:val="3"/>
          <w:lang w:eastAsia="fr-FR"/>
        </w:rPr>
        <w:t xml:space="preserve"> that we already provide on a monthly basis to some central banks and regulators in the EU. Thus, NCAs would receive all raw data, and could make their own calculations without additional cost and onus on AIF managers.</w:t>
      </w:r>
      <w:r>
        <w:rPr>
          <w:rFonts w:ascii="Arial" w:hAnsi="Arial" w:cs="Arial"/>
          <w:spacing w:val="3"/>
          <w:lang w:eastAsia="fr-FR"/>
        </w:rPr>
        <w:t xml:space="preserve"> The care and focus which should be used in this exercise are also pleading to avoid that Europe is overreacting with tougher rules than other markets and places itself in an unfavourable competitive position, as mentioned previously.</w:t>
      </w:r>
    </w:p>
    <w:permEnd w:id="885457707"/>
    <w:p w14:paraId="15D00E65" w14:textId="23731E6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76798182" w14:textId="77777777" w:rsidR="00C10691" w:rsidRDefault="00C10691" w:rsidP="00C10691">
      <w:pPr>
        <w:autoSpaceDE w:val="0"/>
        <w:autoSpaceDN w:val="0"/>
        <w:adjustRightInd w:val="0"/>
        <w:jc w:val="both"/>
        <w:rPr>
          <w:rFonts w:ascii="Arial" w:hAnsi="Arial" w:cs="Arial"/>
          <w:spacing w:val="3"/>
          <w:lang w:eastAsia="fr-FR"/>
        </w:rPr>
      </w:pPr>
      <w:permStart w:id="87702194" w:edGrp="everyone"/>
      <w:r w:rsidRPr="00146DC2">
        <w:rPr>
          <w:rFonts w:ascii="Arial" w:hAnsi="Arial" w:cs="Arial"/>
          <w:spacing w:val="3"/>
          <w:lang w:eastAsia="fr-FR"/>
        </w:rPr>
        <w:t xml:space="preserve">The frequency is linked to the scope. The more focused the scope, the more useful and feasible to have a more frequent reporting. It is thus possible to consider that a quarterly frequency is appropriate if the current proposed scope is narrowed to substantial leverage funds that are managing more than </w:t>
      </w:r>
      <w:r>
        <w:rPr>
          <w:rFonts w:ascii="Arial" w:hAnsi="Arial" w:cs="Arial"/>
          <w:spacing w:val="3"/>
          <w:lang w:eastAsia="fr-FR"/>
        </w:rPr>
        <w:t xml:space="preserve">€ </w:t>
      </w:r>
      <w:r w:rsidRPr="00146DC2">
        <w:rPr>
          <w:rFonts w:ascii="Arial" w:hAnsi="Arial" w:cs="Arial"/>
          <w:spacing w:val="3"/>
          <w:lang w:eastAsia="fr-FR"/>
        </w:rPr>
        <w:t xml:space="preserve">1 billion </w:t>
      </w:r>
      <w:r>
        <w:rPr>
          <w:rFonts w:ascii="Arial" w:hAnsi="Arial" w:cs="Arial"/>
          <w:spacing w:val="3"/>
          <w:lang w:eastAsia="fr-FR"/>
        </w:rPr>
        <w:t>assets at the reporting date.</w:t>
      </w:r>
      <w:r w:rsidRPr="00146DC2">
        <w:rPr>
          <w:rFonts w:ascii="Arial" w:hAnsi="Arial" w:cs="Arial"/>
          <w:spacing w:val="3"/>
          <w:lang w:eastAsia="fr-FR"/>
        </w:rPr>
        <w:t xml:space="preserve"> </w:t>
      </w:r>
      <w:r>
        <w:rPr>
          <w:rFonts w:ascii="Arial" w:hAnsi="Arial" w:cs="Arial"/>
          <w:spacing w:val="3"/>
          <w:lang w:eastAsia="fr-FR"/>
        </w:rPr>
        <w:t>In addition, it should be reminded that depending on the AUM, the AIFM reporting may be due a on half yearly or yearly pace.</w:t>
      </w:r>
    </w:p>
    <w:p w14:paraId="2E6A4BC4" w14:textId="77777777" w:rsidR="00C10691" w:rsidRDefault="00C10691" w:rsidP="00C10691">
      <w:pPr>
        <w:autoSpaceDE w:val="0"/>
        <w:autoSpaceDN w:val="0"/>
        <w:adjustRightInd w:val="0"/>
        <w:jc w:val="both"/>
        <w:rPr>
          <w:rFonts w:ascii="Arial" w:hAnsi="Arial" w:cs="Arial"/>
          <w:spacing w:val="3"/>
          <w:lang w:eastAsia="fr-FR"/>
        </w:rPr>
      </w:pPr>
    </w:p>
    <w:p w14:paraId="3EE97BA4" w14:textId="77777777" w:rsidR="00C10691" w:rsidRPr="00146DC2" w:rsidRDefault="00C10691" w:rsidP="00C10691">
      <w:pPr>
        <w:autoSpaceDE w:val="0"/>
        <w:autoSpaceDN w:val="0"/>
        <w:adjustRightInd w:val="0"/>
        <w:jc w:val="both"/>
        <w:rPr>
          <w:rFonts w:ascii="Arial" w:hAnsi="Arial" w:cs="Arial"/>
          <w:spacing w:val="3"/>
          <w:lang w:eastAsia="fr-FR"/>
        </w:rPr>
      </w:pPr>
      <w:r w:rsidRPr="00CC09B0">
        <w:rPr>
          <w:rFonts w:ascii="Arial" w:hAnsi="Arial" w:cs="Arial"/>
          <w:spacing w:val="3"/>
          <w:lang w:eastAsia="fr-FR"/>
        </w:rPr>
        <w:t>We</w:t>
      </w:r>
      <w:r w:rsidRPr="00EE3947">
        <w:rPr>
          <w:rFonts w:ascii="Arial" w:hAnsi="Arial" w:cs="Arial"/>
          <w:spacing w:val="3"/>
          <w:lang w:eastAsia="fr-FR"/>
        </w:rPr>
        <w:t xml:space="preserve"> also mention that</w:t>
      </w:r>
      <w:r w:rsidRPr="00CC09B0">
        <w:rPr>
          <w:rFonts w:ascii="Arial" w:hAnsi="Arial" w:cs="Arial"/>
          <w:spacing w:val="3"/>
          <w:lang w:eastAsia="fr-FR"/>
        </w:rPr>
        <w:t xml:space="preserve"> </w:t>
      </w:r>
      <w:r w:rsidRPr="00EE3947">
        <w:rPr>
          <w:rFonts w:ascii="Arial" w:hAnsi="Arial" w:cs="Arial"/>
          <w:spacing w:val="3"/>
          <w:lang w:eastAsia="fr-FR"/>
        </w:rPr>
        <w:t>a</w:t>
      </w:r>
      <w:r w:rsidRPr="00CC09B0">
        <w:rPr>
          <w:rFonts w:ascii="Arial" w:hAnsi="Arial" w:cs="Arial"/>
          <w:spacing w:val="3"/>
          <w:lang w:eastAsia="fr-FR"/>
        </w:rPr>
        <w:t xml:space="preserve"> risk assessment on a quarterly basi</w:t>
      </w:r>
      <w:r w:rsidRPr="00EE3947">
        <w:rPr>
          <w:rFonts w:ascii="Arial" w:hAnsi="Arial" w:cs="Arial"/>
          <w:spacing w:val="3"/>
          <w:lang w:eastAsia="fr-FR"/>
        </w:rPr>
        <w:t>s is</w:t>
      </w:r>
      <w:r w:rsidRPr="00CC09B0">
        <w:rPr>
          <w:rFonts w:ascii="Arial" w:hAnsi="Arial" w:cs="Arial"/>
          <w:spacing w:val="3"/>
          <w:lang w:eastAsia="fr-FR"/>
        </w:rPr>
        <w:t xml:space="preserve"> consisten</w:t>
      </w:r>
      <w:r w:rsidRPr="00EE3947">
        <w:rPr>
          <w:rFonts w:ascii="Arial" w:hAnsi="Arial" w:cs="Arial"/>
          <w:spacing w:val="3"/>
          <w:lang w:eastAsia="fr-FR"/>
        </w:rPr>
        <w:t>t</w:t>
      </w:r>
      <w:r w:rsidRPr="00CC09B0">
        <w:rPr>
          <w:rFonts w:ascii="Arial" w:hAnsi="Arial" w:cs="Arial"/>
          <w:spacing w:val="3"/>
          <w:lang w:eastAsia="fr-FR"/>
        </w:rPr>
        <w:t xml:space="preserve"> with Article 110(3)b-c of Commission Regulation 231/2013, through which AIFMs shall provide NCAs with the AIFMD data reporting on a quarterly basis for the leveraged AIFs they manage.</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14B56EF8" w14:textId="77777777" w:rsidR="00C10691" w:rsidRDefault="00C10691" w:rsidP="00C10691">
      <w:pPr>
        <w:autoSpaceDE w:val="0"/>
        <w:autoSpaceDN w:val="0"/>
        <w:adjustRightInd w:val="0"/>
        <w:jc w:val="both"/>
        <w:rPr>
          <w:rFonts w:ascii="Arial" w:hAnsi="Arial" w:cs="Arial"/>
          <w:spacing w:val="3"/>
          <w:lang w:eastAsia="fr-FR"/>
        </w:rPr>
      </w:pPr>
      <w:permStart w:id="1839020708" w:edGrp="everyone"/>
      <w:r w:rsidRPr="00496A71">
        <w:rPr>
          <w:rFonts w:ascii="Arial" w:hAnsi="Arial" w:cs="Arial"/>
          <w:spacing w:val="3"/>
          <w:lang w:eastAsia="fr-FR"/>
        </w:rPr>
        <w:t>No, we don’t agree to including in the risk assessment not only substantially leveraged funds</w:t>
      </w:r>
      <w:r>
        <w:rPr>
          <w:rFonts w:ascii="Arial" w:hAnsi="Arial" w:cs="Arial"/>
          <w:spacing w:val="3"/>
          <w:lang w:eastAsia="fr-FR"/>
        </w:rPr>
        <w:t xml:space="preserve"> (3 times the commitment as defined in AIFMD), </w:t>
      </w:r>
      <w:r w:rsidRPr="00496A71">
        <w:rPr>
          <w:rFonts w:ascii="Arial" w:hAnsi="Arial" w:cs="Arial"/>
          <w:spacing w:val="3"/>
          <w:lang w:eastAsia="fr-FR"/>
        </w:rPr>
        <w:t xml:space="preserve">but also funds not employing leverage on a substantial basis. Regarding the Step 1, the current scope is </w:t>
      </w:r>
      <w:r w:rsidRPr="00EE3947">
        <w:rPr>
          <w:rFonts w:ascii="Arial" w:hAnsi="Arial" w:cs="Arial"/>
          <w:b/>
          <w:bCs/>
          <w:spacing w:val="3"/>
          <w:lang w:eastAsia="fr-FR"/>
        </w:rPr>
        <w:t>ineffectively too broad</w:t>
      </w:r>
      <w:r w:rsidRPr="00496A71">
        <w:rPr>
          <w:rFonts w:ascii="Arial" w:hAnsi="Arial" w:cs="Arial"/>
          <w:spacing w:val="3"/>
          <w:lang w:eastAsia="fr-FR"/>
        </w:rPr>
        <w:t xml:space="preserve">. The current </w:t>
      </w:r>
      <w:r w:rsidRPr="00EE3947">
        <w:rPr>
          <w:rFonts w:ascii="Arial" w:hAnsi="Arial" w:cs="Arial"/>
          <w:b/>
          <w:bCs/>
          <w:spacing w:val="3"/>
          <w:lang w:eastAsia="fr-FR"/>
        </w:rPr>
        <w:t xml:space="preserve">substantial leverage metric coupled with a size component (minimum </w:t>
      </w:r>
      <w:r>
        <w:rPr>
          <w:rFonts w:ascii="Arial" w:hAnsi="Arial" w:cs="Arial"/>
          <w:b/>
          <w:bCs/>
          <w:spacing w:val="3"/>
          <w:lang w:eastAsia="fr-FR"/>
        </w:rPr>
        <w:t xml:space="preserve">€ </w:t>
      </w:r>
      <w:r w:rsidRPr="00EE3947">
        <w:rPr>
          <w:rFonts w:ascii="Arial" w:hAnsi="Arial" w:cs="Arial"/>
          <w:b/>
          <w:bCs/>
          <w:spacing w:val="3"/>
          <w:lang w:eastAsia="fr-FR"/>
        </w:rPr>
        <w:t>1 billion) should define the perimeter of funds as of this step</w:t>
      </w:r>
      <w:r>
        <w:rPr>
          <w:rFonts w:ascii="Arial" w:hAnsi="Arial" w:cs="Arial"/>
          <w:b/>
          <w:bCs/>
          <w:spacing w:val="3"/>
          <w:lang w:eastAsia="fr-FR"/>
        </w:rPr>
        <w:t xml:space="preserve"> (cumulative criteria)</w:t>
      </w:r>
      <w:r w:rsidRPr="00496A71">
        <w:rPr>
          <w:rFonts w:ascii="Arial" w:hAnsi="Arial" w:cs="Arial"/>
          <w:spacing w:val="3"/>
          <w:lang w:eastAsia="fr-FR"/>
        </w:rPr>
        <w:t>. The third element, c), should be part of Step 2, not Step 1.</w:t>
      </w:r>
      <w:r>
        <w:rPr>
          <w:rFonts w:ascii="Arial" w:hAnsi="Arial" w:cs="Arial"/>
          <w:spacing w:val="3"/>
          <w:lang w:eastAsia="fr-FR"/>
        </w:rPr>
        <w:t xml:space="preserve"> The first step is to identify risky funds from a systemic risk point of view. So potential substantial leverage coupled with a minimum size are the key elements for this step. Size alone is not a relevant criterion for the current exercise.</w:t>
      </w:r>
    </w:p>
    <w:p w14:paraId="0F6EE807" w14:textId="77777777" w:rsidR="00C10691" w:rsidRDefault="00C10691" w:rsidP="00C10691">
      <w:pPr>
        <w:autoSpaceDE w:val="0"/>
        <w:autoSpaceDN w:val="0"/>
        <w:adjustRightInd w:val="0"/>
        <w:jc w:val="both"/>
        <w:rPr>
          <w:rFonts w:ascii="Arial" w:hAnsi="Arial" w:cs="Arial"/>
          <w:spacing w:val="3"/>
          <w:lang w:eastAsia="fr-FR"/>
        </w:rPr>
      </w:pPr>
    </w:p>
    <w:p w14:paraId="2CC81668" w14:textId="77777777" w:rsidR="00C10691" w:rsidRPr="00496A71" w:rsidRDefault="00C10691" w:rsidP="00C10691">
      <w:pPr>
        <w:autoSpaceDE w:val="0"/>
        <w:autoSpaceDN w:val="0"/>
        <w:adjustRightInd w:val="0"/>
        <w:jc w:val="both"/>
        <w:rPr>
          <w:rFonts w:ascii="Arial" w:hAnsi="Arial" w:cs="Arial"/>
          <w:spacing w:val="3"/>
          <w:lang w:eastAsia="fr-FR"/>
        </w:rPr>
      </w:pPr>
      <w:r>
        <w:rPr>
          <w:rFonts w:ascii="Arial" w:hAnsi="Arial" w:cs="Arial"/>
          <w:spacing w:val="3"/>
          <w:lang w:eastAsia="fr-FR"/>
        </w:rPr>
        <w:t xml:space="preserve">The current existing rule on leverage is sufficient for this step. The AIFM Directive has on purpose defined a substantial leverage to capture funds that may need further analysis in terms of systemic risk stemming from leverage. We remind that a vast majority of AIFs are UCITS like funds with little or no leverage. A size component </w:t>
      </w:r>
      <w:r w:rsidRPr="005E1F49">
        <w:rPr>
          <w:rFonts w:ascii="Arial" w:hAnsi="Arial" w:cs="Arial"/>
          <w:spacing w:val="3"/>
          <w:u w:val="single"/>
          <w:lang w:eastAsia="fr-FR"/>
        </w:rPr>
        <w:t>on top</w:t>
      </w:r>
      <w:r>
        <w:rPr>
          <w:rFonts w:ascii="Arial" w:hAnsi="Arial" w:cs="Arial"/>
          <w:spacing w:val="3"/>
          <w:lang w:eastAsia="fr-FR"/>
        </w:rPr>
        <w:t xml:space="preserve"> (cumulative criteria) of the substantial leverage criterion helps indeed to operationalise efficiently the NCAs work under Article 25.</w:t>
      </w:r>
    </w:p>
    <w:p w14:paraId="131060A9" w14:textId="77777777" w:rsidR="00C10691" w:rsidRPr="00EB2BF4" w:rsidRDefault="00C10691" w:rsidP="00C10691">
      <w:pPr>
        <w:autoSpaceDE w:val="0"/>
        <w:autoSpaceDN w:val="0"/>
        <w:adjustRightInd w:val="0"/>
        <w:jc w:val="both"/>
        <w:rPr>
          <w:rFonts w:ascii="Arial" w:hAnsi="Arial" w:cs="Arial"/>
          <w:b/>
          <w:color w:val="920074"/>
          <w:spacing w:val="6"/>
          <w:lang w:eastAsia="fr-FR"/>
        </w:rPr>
      </w:pPr>
    </w:p>
    <w:p w14:paraId="7658F4CE" w14:textId="77777777" w:rsidR="00C10691" w:rsidRPr="00EE3947" w:rsidRDefault="00C10691" w:rsidP="00C10691">
      <w:pPr>
        <w:jc w:val="both"/>
        <w:rPr>
          <w:rFonts w:ascii="Arial" w:hAnsi="Arial" w:cs="Arial"/>
        </w:rPr>
      </w:pPr>
      <w:r w:rsidRPr="00EE3947">
        <w:rPr>
          <w:rFonts w:ascii="Arial" w:hAnsi="Arial" w:cs="Arial"/>
        </w:rPr>
        <w:t>We would like also to mention that we believe that ESMA should aim to ensure (in this exercise too) consistency with the process recommended in the December 2019 “</w:t>
      </w:r>
      <w:r w:rsidRPr="00EE3947">
        <w:rPr>
          <w:rFonts w:ascii="Arial" w:hAnsi="Arial" w:cs="Arial"/>
          <w:i/>
          <w:iCs/>
        </w:rPr>
        <w:t>IOSCO Recommendations for a Framework Assessing Leverage in Investment Funds</w:t>
      </w:r>
      <w:r w:rsidRPr="00EE3947">
        <w:rPr>
          <w:rFonts w:ascii="Arial" w:hAnsi="Arial" w:cs="Arial"/>
        </w:rPr>
        <w:t xml:space="preserve">. Indeed, the IOSCO Recommendations are aimed at being applied in the same terms by all NCAs over the world and it is appropriate for ESMA to also propose a risk assessment designed into a two-steps approach. We see however a divergence in the </w:t>
      </w:r>
      <w:r w:rsidRPr="00EE3947">
        <w:rPr>
          <w:rFonts w:ascii="Arial" w:hAnsi="Arial" w:cs="Arial"/>
        </w:rPr>
        <w:lastRenderedPageBreak/>
        <w:t>design of Step 1 which amounts to an extension of the scope for ESMA potentially to all AIFs</w:t>
      </w:r>
      <w:r>
        <w:rPr>
          <w:rFonts w:ascii="Arial" w:hAnsi="Arial" w:cs="Arial"/>
        </w:rPr>
        <w:t>,</w:t>
      </w:r>
      <w:r w:rsidRPr="00EE3947">
        <w:rPr>
          <w:rFonts w:ascii="Arial" w:hAnsi="Arial" w:cs="Arial"/>
        </w:rPr>
        <w:t xml:space="preserve"> whereas IOSCO recommends for the step 1 the identification of funds more likely to cause risks in the financial system and not all funds that may cause risks. “</w:t>
      </w:r>
    </w:p>
    <w:p w14:paraId="4DB472A1" w14:textId="77777777" w:rsidR="00C10691" w:rsidRPr="00EE3947" w:rsidRDefault="00C10691" w:rsidP="00C10691">
      <w:pPr>
        <w:jc w:val="both"/>
      </w:pPr>
    </w:p>
    <w:p w14:paraId="1E9E64A1" w14:textId="77777777" w:rsidR="00C10691" w:rsidRPr="00EE3947" w:rsidRDefault="00C10691" w:rsidP="00C10691">
      <w:pPr>
        <w:ind w:left="993"/>
        <w:jc w:val="both"/>
        <w:rPr>
          <w:rFonts w:ascii="Arial" w:hAnsi="Arial" w:cs="Arial"/>
          <w:sz w:val="18"/>
          <w:szCs w:val="18"/>
        </w:rPr>
      </w:pPr>
      <w:r w:rsidRPr="00EE3947">
        <w:rPr>
          <w:rFonts w:ascii="Arial" w:hAnsi="Arial" w:cs="Arial"/>
          <w:i/>
          <w:iCs/>
          <w:sz w:val="18"/>
          <w:szCs w:val="18"/>
        </w:rPr>
        <w:t>Recommendation 1</w:t>
      </w:r>
      <w:r w:rsidRPr="00EE3947">
        <w:rPr>
          <w:rFonts w:ascii="Arial" w:hAnsi="Arial" w:cs="Arial"/>
          <w:sz w:val="18"/>
          <w:szCs w:val="18"/>
        </w:rPr>
        <w:t xml:space="preserve"> IOSCO: “</w:t>
      </w:r>
      <w:r w:rsidRPr="00EE3947">
        <w:rPr>
          <w:rFonts w:ascii="Arial" w:hAnsi="Arial" w:cs="Arial"/>
          <w:i/>
          <w:iCs/>
          <w:sz w:val="18"/>
          <w:szCs w:val="18"/>
        </w:rPr>
        <w:t xml:space="preserve">The goal of Step 1 is to provide regulators with a means of efficiently </w:t>
      </w:r>
      <w:r w:rsidRPr="00EE3947">
        <w:rPr>
          <w:rFonts w:ascii="Arial" w:hAnsi="Arial" w:cs="Arial"/>
          <w:b/>
          <w:bCs/>
          <w:i/>
          <w:iCs/>
          <w:sz w:val="18"/>
          <w:szCs w:val="18"/>
        </w:rPr>
        <w:t xml:space="preserve">identifying those funds that are </w:t>
      </w:r>
      <w:r w:rsidRPr="00EE3947">
        <w:rPr>
          <w:rFonts w:ascii="Arial" w:hAnsi="Arial" w:cs="Arial"/>
          <w:b/>
          <w:bCs/>
          <w:i/>
          <w:iCs/>
          <w:sz w:val="18"/>
          <w:szCs w:val="18"/>
          <w:u w:val="single"/>
        </w:rPr>
        <w:t>more likely</w:t>
      </w:r>
      <w:r w:rsidRPr="00EE3947">
        <w:rPr>
          <w:rFonts w:ascii="Arial" w:hAnsi="Arial" w:cs="Arial"/>
          <w:b/>
          <w:bCs/>
          <w:i/>
          <w:iCs/>
          <w:sz w:val="18"/>
          <w:szCs w:val="18"/>
        </w:rPr>
        <w:t xml:space="preserve"> to pose risks to the financial system</w:t>
      </w:r>
      <w:r w:rsidRPr="00EE3947">
        <w:rPr>
          <w:rFonts w:ascii="Arial" w:hAnsi="Arial" w:cs="Arial"/>
          <w:i/>
          <w:iCs/>
          <w:sz w:val="18"/>
          <w:szCs w:val="18"/>
        </w:rPr>
        <w:t>.</w:t>
      </w:r>
      <w:r w:rsidRPr="00EE3947">
        <w:rPr>
          <w:rFonts w:ascii="Arial" w:hAnsi="Arial" w:cs="Arial"/>
          <w:sz w:val="18"/>
          <w:szCs w:val="18"/>
        </w:rPr>
        <w:t xml:space="preserve">” </w:t>
      </w:r>
    </w:p>
    <w:p w14:paraId="3D873BAC" w14:textId="77777777" w:rsidR="00C10691" w:rsidRPr="00EE3947" w:rsidRDefault="00C10691" w:rsidP="00C10691">
      <w:pPr>
        <w:ind w:left="993"/>
        <w:rPr>
          <w:rFonts w:ascii="Arial" w:hAnsi="Arial" w:cs="Arial"/>
          <w:sz w:val="18"/>
          <w:szCs w:val="18"/>
        </w:rPr>
      </w:pPr>
    </w:p>
    <w:p w14:paraId="0808FE65" w14:textId="77777777" w:rsidR="00C10691" w:rsidRPr="00EE3947" w:rsidRDefault="00C10691" w:rsidP="00C10691">
      <w:pPr>
        <w:ind w:left="993"/>
        <w:rPr>
          <w:rFonts w:ascii="Arial" w:hAnsi="Arial" w:cs="Arial"/>
          <w:sz w:val="18"/>
          <w:szCs w:val="18"/>
        </w:rPr>
      </w:pPr>
      <w:r w:rsidRPr="00EE3947">
        <w:rPr>
          <w:rFonts w:ascii="Arial" w:hAnsi="Arial" w:cs="Arial"/>
          <w:sz w:val="18"/>
          <w:szCs w:val="18"/>
        </w:rPr>
        <w:t>ESMA Recommendation : “</w:t>
      </w:r>
      <w:r w:rsidRPr="00EE3947">
        <w:rPr>
          <w:rFonts w:ascii="Arial" w:hAnsi="Arial" w:cs="Arial"/>
          <w:i/>
          <w:iCs/>
          <w:sz w:val="18"/>
          <w:szCs w:val="18"/>
        </w:rPr>
        <w:t xml:space="preserve">Under Step 1 (Level, source and different usages of leverage), NCAs should identify not only AIF employing leverage on a substantial basis but also non-substantially leveraged AIFs which </w:t>
      </w:r>
      <w:r w:rsidRPr="00EE3947">
        <w:rPr>
          <w:rFonts w:ascii="Arial" w:hAnsi="Arial" w:cs="Arial"/>
          <w:b/>
          <w:bCs/>
          <w:i/>
          <w:iCs/>
          <w:sz w:val="18"/>
          <w:szCs w:val="18"/>
          <w:u w:val="single"/>
        </w:rPr>
        <w:t>may</w:t>
      </w:r>
      <w:r w:rsidRPr="00EE3947">
        <w:rPr>
          <w:rFonts w:ascii="Arial" w:hAnsi="Arial" w:cs="Arial"/>
          <w:b/>
          <w:bCs/>
          <w:i/>
          <w:iCs/>
          <w:sz w:val="18"/>
          <w:szCs w:val="18"/>
        </w:rPr>
        <w:t xml:space="preserve"> cause risks</w:t>
      </w:r>
      <w:r w:rsidRPr="00EE3947">
        <w:rPr>
          <w:rFonts w:ascii="Arial" w:hAnsi="Arial" w:cs="Arial"/>
          <w:i/>
          <w:iCs/>
          <w:sz w:val="18"/>
          <w:szCs w:val="18"/>
        </w:rPr>
        <w:t xml:space="preserve"> to financial stability and thus need to be assessed under Step 2.</w:t>
      </w:r>
      <w:r w:rsidRPr="00EE3947">
        <w:rPr>
          <w:rFonts w:ascii="Arial" w:hAnsi="Arial" w:cs="Arial"/>
          <w:sz w:val="18"/>
          <w:szCs w:val="18"/>
        </w:rPr>
        <w:t>”</w:t>
      </w:r>
    </w:p>
    <w:p w14:paraId="5C14120D" w14:textId="77777777" w:rsidR="00C10691" w:rsidRPr="00EE3947" w:rsidRDefault="00C10691" w:rsidP="00C10691">
      <w:pPr>
        <w:ind w:left="1080"/>
      </w:pPr>
    </w:p>
    <w:p w14:paraId="090560C1" w14:textId="77777777" w:rsidR="00C10691" w:rsidRPr="002B3D25" w:rsidRDefault="00C10691" w:rsidP="00C10691">
      <w:pPr>
        <w:jc w:val="both"/>
        <w:rPr>
          <w:rFonts w:ascii="Arial" w:hAnsi="Arial" w:cs="Arial"/>
        </w:rPr>
      </w:pPr>
      <w:r w:rsidRPr="00EE3947">
        <w:rPr>
          <w:rFonts w:ascii="Arial" w:hAnsi="Arial" w:cs="Arial"/>
        </w:rPr>
        <w:t>Our members think that in addition to be ineffective in terms of risk surveillance, a too broad scope in Europe compared to other regions may have negative consequences in terms of competitiveness for EU fund managers, as it will likely be costlier and heavier to implement.</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02045C4C" w14:textId="77777777" w:rsidR="00117F82" w:rsidRDefault="00117F82" w:rsidP="00117F82">
      <w:pPr>
        <w:autoSpaceDE w:val="0"/>
        <w:autoSpaceDN w:val="0"/>
        <w:adjustRightInd w:val="0"/>
        <w:jc w:val="both"/>
        <w:rPr>
          <w:rFonts w:ascii="Arial" w:hAnsi="Arial" w:cs="Arial"/>
          <w:spacing w:val="3"/>
          <w:lang w:eastAsia="fr-FR"/>
        </w:rPr>
      </w:pPr>
      <w:permStart w:id="1383364894" w:edGrp="everyone"/>
      <w:r>
        <w:rPr>
          <w:rFonts w:ascii="Arial" w:hAnsi="Arial" w:cs="Arial"/>
          <w:spacing w:val="3"/>
          <w:lang w:eastAsia="fr-FR"/>
        </w:rPr>
        <w:t>No, we do not agree with the proposed threshold identified under Step 1.</w:t>
      </w:r>
    </w:p>
    <w:p w14:paraId="7C558CF9" w14:textId="77777777" w:rsidR="00117F82" w:rsidRPr="00CE12BA" w:rsidRDefault="00117F82" w:rsidP="00117F82">
      <w:pPr>
        <w:autoSpaceDE w:val="0"/>
        <w:autoSpaceDN w:val="0"/>
        <w:adjustRightInd w:val="0"/>
        <w:jc w:val="both"/>
        <w:rPr>
          <w:rFonts w:ascii="Arial" w:hAnsi="Arial" w:cs="Arial"/>
          <w:spacing w:val="3"/>
          <w:lang w:eastAsia="fr-FR"/>
        </w:rPr>
      </w:pPr>
      <w:r>
        <w:rPr>
          <w:rFonts w:ascii="Arial" w:hAnsi="Arial" w:cs="Arial"/>
          <w:spacing w:val="3"/>
          <w:lang w:eastAsia="fr-FR"/>
        </w:rPr>
        <w:t>P</w:t>
      </w:r>
      <w:r w:rsidRPr="00EE3947">
        <w:rPr>
          <w:rFonts w:ascii="Arial" w:hAnsi="Arial" w:cs="Arial"/>
          <w:spacing w:val="3"/>
          <w:lang w:eastAsia="fr-FR"/>
        </w:rPr>
        <w:t xml:space="preserve">lease see our recommendations regarding step </w:t>
      </w:r>
      <w:r>
        <w:rPr>
          <w:rFonts w:ascii="Arial" w:hAnsi="Arial" w:cs="Arial"/>
          <w:spacing w:val="3"/>
          <w:lang w:eastAsia="fr-FR"/>
        </w:rPr>
        <w:t xml:space="preserve">1’s </w:t>
      </w:r>
      <w:r w:rsidRPr="00EE3947">
        <w:rPr>
          <w:rFonts w:ascii="Arial" w:hAnsi="Arial" w:cs="Arial"/>
          <w:spacing w:val="3"/>
          <w:lang w:eastAsia="fr-FR"/>
        </w:rPr>
        <w:t xml:space="preserve">scope </w:t>
      </w:r>
      <w:r w:rsidRPr="000B58B6">
        <w:rPr>
          <w:rFonts w:ascii="Arial" w:hAnsi="Arial" w:cs="Arial"/>
          <w:spacing w:val="3"/>
          <w:lang w:eastAsia="fr-FR"/>
        </w:rPr>
        <w:t>at our</w:t>
      </w:r>
      <w:r w:rsidRPr="00CE12BA">
        <w:rPr>
          <w:rFonts w:ascii="Arial" w:hAnsi="Arial" w:cs="Arial"/>
          <w:spacing w:val="3"/>
          <w:lang w:eastAsia="fr-FR"/>
        </w:rPr>
        <w:t xml:space="preserve"> answer to the Q2. </w:t>
      </w:r>
      <w:r w:rsidRPr="00FF2F15">
        <w:rPr>
          <w:rFonts w:ascii="Arial" w:hAnsi="Arial" w:cs="Arial"/>
          <w:spacing w:val="3"/>
          <w:lang w:eastAsia="fr-FR"/>
        </w:rPr>
        <w:t xml:space="preserve">The </w:t>
      </w:r>
      <w:r w:rsidRPr="00CE12BA">
        <w:rPr>
          <w:rFonts w:ascii="Arial" w:hAnsi="Arial" w:cs="Arial"/>
          <w:spacing w:val="3"/>
          <w:lang w:eastAsia="fr-FR"/>
        </w:rPr>
        <w:t>assessment of the leve</w:t>
      </w:r>
      <w:r w:rsidRPr="00FF2F15">
        <w:rPr>
          <w:rFonts w:ascii="Arial" w:hAnsi="Arial" w:cs="Arial"/>
          <w:spacing w:val="3"/>
          <w:lang w:eastAsia="fr-FR"/>
        </w:rPr>
        <w:t>l of l</w:t>
      </w:r>
      <w:r w:rsidRPr="00CE12BA">
        <w:rPr>
          <w:rFonts w:ascii="Arial" w:hAnsi="Arial" w:cs="Arial"/>
          <w:spacing w:val="3"/>
          <w:lang w:eastAsia="fr-FR"/>
        </w:rPr>
        <w:t>everage in a given fund</w:t>
      </w:r>
      <w:r w:rsidRPr="00FF2F15">
        <w:rPr>
          <w:rFonts w:ascii="Arial" w:hAnsi="Arial" w:cs="Arial"/>
          <w:spacing w:val="3"/>
          <w:lang w:eastAsia="fr-FR"/>
        </w:rPr>
        <w:t xml:space="preserve"> is key and AIFMD already provides with the </w:t>
      </w:r>
      <w:r w:rsidRPr="00CE12BA">
        <w:rPr>
          <w:rFonts w:ascii="Arial" w:hAnsi="Arial" w:cs="Arial"/>
          <w:spacing w:val="3"/>
          <w:lang w:eastAsia="fr-FR"/>
        </w:rPr>
        <w:t xml:space="preserve">“substantially leveraged funds” </w:t>
      </w:r>
      <w:r w:rsidRPr="00FF2F15">
        <w:rPr>
          <w:rFonts w:ascii="Arial" w:hAnsi="Arial" w:cs="Arial"/>
          <w:spacing w:val="3"/>
          <w:lang w:eastAsia="fr-FR"/>
        </w:rPr>
        <w:t>distinction which triggers</w:t>
      </w:r>
      <w:r w:rsidRPr="00CE12BA">
        <w:rPr>
          <w:rFonts w:ascii="Arial" w:hAnsi="Arial" w:cs="Arial"/>
          <w:spacing w:val="3"/>
          <w:lang w:eastAsia="fr-FR"/>
        </w:rPr>
        <w:t xml:space="preserve"> the obligation to provide NCAs with enhanced </w:t>
      </w:r>
      <w:proofErr w:type="spellStart"/>
      <w:r w:rsidRPr="00CE12BA">
        <w:rPr>
          <w:rFonts w:ascii="Arial" w:hAnsi="Arial" w:cs="Arial"/>
          <w:spacing w:val="3"/>
          <w:lang w:eastAsia="fr-FR"/>
        </w:rPr>
        <w:t>reportin</w:t>
      </w:r>
      <w:r w:rsidRPr="00FF2F15">
        <w:rPr>
          <w:rFonts w:ascii="Arial" w:hAnsi="Arial" w:cs="Arial"/>
          <w:spacing w:val="3"/>
          <w:lang w:eastAsia="fr-FR"/>
        </w:rPr>
        <w:t>gs</w:t>
      </w:r>
      <w:proofErr w:type="spellEnd"/>
      <w:r w:rsidRPr="00FF2F15">
        <w:rPr>
          <w:rFonts w:ascii="Arial" w:hAnsi="Arial" w:cs="Arial"/>
          <w:spacing w:val="3"/>
          <w:lang w:eastAsia="fr-FR"/>
        </w:rPr>
        <w:t>.</w:t>
      </w:r>
      <w:r w:rsidRPr="00CE12BA">
        <w:rPr>
          <w:rFonts w:ascii="Arial" w:hAnsi="Arial" w:cs="Arial"/>
          <w:spacing w:val="3"/>
          <w:lang w:eastAsia="fr-FR"/>
        </w:rPr>
        <w:t xml:space="preserve"> </w:t>
      </w:r>
      <w:r w:rsidRPr="00496A71">
        <w:rPr>
          <w:rFonts w:ascii="Arial" w:hAnsi="Arial" w:cs="Arial"/>
          <w:spacing w:val="3"/>
          <w:lang w:eastAsia="fr-FR"/>
        </w:rPr>
        <w:t xml:space="preserve">The current </w:t>
      </w:r>
      <w:r w:rsidRPr="00436C67">
        <w:rPr>
          <w:rFonts w:ascii="Arial" w:hAnsi="Arial" w:cs="Arial"/>
          <w:b/>
          <w:bCs/>
          <w:spacing w:val="3"/>
          <w:lang w:eastAsia="fr-FR"/>
        </w:rPr>
        <w:t xml:space="preserve">substantial leverage metric coupled with a size component (minimum </w:t>
      </w:r>
      <w:r>
        <w:rPr>
          <w:rFonts w:ascii="Arial" w:hAnsi="Arial" w:cs="Arial"/>
          <w:b/>
          <w:bCs/>
          <w:spacing w:val="3"/>
          <w:lang w:eastAsia="fr-FR"/>
        </w:rPr>
        <w:t xml:space="preserve">€ </w:t>
      </w:r>
      <w:r w:rsidRPr="00436C67">
        <w:rPr>
          <w:rFonts w:ascii="Arial" w:hAnsi="Arial" w:cs="Arial"/>
          <w:b/>
          <w:bCs/>
          <w:spacing w:val="3"/>
          <w:lang w:eastAsia="fr-FR"/>
        </w:rPr>
        <w:t>1 billion) should define the perimeter of funds as of this step</w:t>
      </w:r>
      <w:r w:rsidRPr="00496A71">
        <w:rPr>
          <w:rFonts w:ascii="Arial" w:hAnsi="Arial" w:cs="Arial"/>
          <w:spacing w:val="3"/>
          <w:lang w:eastAsia="fr-FR"/>
        </w:rPr>
        <w:t>.</w:t>
      </w:r>
    </w:p>
    <w:p w14:paraId="790E2398" w14:textId="77777777" w:rsidR="00117F82" w:rsidRPr="00CE12BA" w:rsidRDefault="00117F82" w:rsidP="00117F82">
      <w:pPr>
        <w:autoSpaceDE w:val="0"/>
        <w:autoSpaceDN w:val="0"/>
        <w:adjustRightInd w:val="0"/>
        <w:jc w:val="both"/>
        <w:rPr>
          <w:rFonts w:ascii="Arial" w:hAnsi="Arial" w:cs="Arial"/>
          <w:spacing w:val="3"/>
          <w:lang w:eastAsia="fr-FR"/>
        </w:rPr>
      </w:pPr>
    </w:p>
    <w:p w14:paraId="2E7867CB" w14:textId="77777777" w:rsidR="00117F82" w:rsidRPr="002B3D25" w:rsidRDefault="00117F82" w:rsidP="00117F82">
      <w:pPr>
        <w:autoSpaceDE w:val="0"/>
        <w:autoSpaceDN w:val="0"/>
        <w:adjustRightInd w:val="0"/>
        <w:jc w:val="both"/>
        <w:rPr>
          <w:rFonts w:ascii="Arial" w:hAnsi="Arial" w:cs="Arial"/>
          <w:b/>
          <w:color w:val="920074"/>
          <w:spacing w:val="6"/>
          <w:lang w:eastAsia="fr-FR"/>
        </w:rPr>
      </w:pPr>
      <w:r w:rsidRPr="00EE3947">
        <w:rPr>
          <w:rFonts w:ascii="Arial" w:hAnsi="Arial" w:cs="Arial"/>
          <w:spacing w:val="3"/>
          <w:lang w:eastAsia="fr-FR"/>
        </w:rPr>
        <w:t xml:space="preserve">In addition, </w:t>
      </w:r>
      <w:r w:rsidRPr="00CE12BA">
        <w:rPr>
          <w:rFonts w:ascii="Arial" w:hAnsi="Arial" w:cs="Arial"/>
          <w:spacing w:val="3"/>
          <w:lang w:eastAsia="fr-FR"/>
        </w:rPr>
        <w:t>we do not consider meaningful to assess the risks by setting “types” of funds</w:t>
      </w:r>
      <w:r w:rsidRPr="00EE3947">
        <w:rPr>
          <w:rFonts w:ascii="Arial" w:hAnsi="Arial" w:cs="Arial"/>
          <w:spacing w:val="3"/>
          <w:lang w:eastAsia="fr-FR"/>
        </w:rPr>
        <w:t xml:space="preserve"> because it is ineffective in terms of accuracy of category definition. Indeed, attempts to define what is a hedge fund did not succeed in the past and ended to a very broad AIFM Directive. We also mention that member states have very different AIF domestic categories for a same asset class.</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6781FC66" w14:textId="77777777" w:rsidR="00257055" w:rsidRPr="00496A71" w:rsidRDefault="00257055" w:rsidP="00257055">
      <w:pPr>
        <w:autoSpaceDE w:val="0"/>
        <w:autoSpaceDN w:val="0"/>
        <w:adjustRightInd w:val="0"/>
        <w:jc w:val="both"/>
        <w:rPr>
          <w:rFonts w:ascii="Arial" w:hAnsi="Arial" w:cs="Arial"/>
          <w:spacing w:val="3"/>
          <w:lang w:eastAsia="fr-FR"/>
        </w:rPr>
      </w:pPr>
      <w:permStart w:id="1723492748" w:edGrp="everyone"/>
      <w:r w:rsidRPr="00496A71">
        <w:rPr>
          <w:rFonts w:ascii="Arial" w:hAnsi="Arial" w:cs="Arial"/>
          <w:spacing w:val="3"/>
          <w:lang w:eastAsia="fr-FR"/>
        </w:rPr>
        <w:t>No.</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lastRenderedPageBreak/>
        <w:t>&lt;ESMA_QUESTION_PFG_5&gt;</w:t>
      </w:r>
    </w:p>
    <w:p w14:paraId="251AEB3D" w14:textId="77777777" w:rsidR="00257055" w:rsidRPr="00EE3947" w:rsidRDefault="00257055" w:rsidP="00257055">
      <w:pPr>
        <w:autoSpaceDE w:val="0"/>
        <w:autoSpaceDN w:val="0"/>
        <w:adjustRightInd w:val="0"/>
        <w:jc w:val="both"/>
        <w:rPr>
          <w:rFonts w:ascii="Arial" w:hAnsi="Arial" w:cs="Arial"/>
          <w:b/>
          <w:bCs/>
          <w:spacing w:val="3"/>
          <w:lang w:eastAsia="fr-FR"/>
        </w:rPr>
      </w:pPr>
      <w:permStart w:id="377302903" w:edGrp="everyone"/>
      <w:r w:rsidRPr="00496A71">
        <w:rPr>
          <w:rFonts w:ascii="Arial" w:hAnsi="Arial" w:cs="Arial"/>
          <w:spacing w:val="3"/>
          <w:lang w:eastAsia="fr-FR"/>
        </w:rPr>
        <w:t>No, we think the Guidelines should focus on the leverage indicators</w:t>
      </w:r>
      <w:r>
        <w:rPr>
          <w:rFonts w:ascii="Arial" w:hAnsi="Arial" w:cs="Arial"/>
          <w:spacing w:val="3"/>
          <w:lang w:eastAsia="fr-FR"/>
        </w:rPr>
        <w:t xml:space="preserve"> only</w:t>
      </w:r>
      <w:r w:rsidRPr="00496A71">
        <w:rPr>
          <w:rFonts w:ascii="Arial" w:hAnsi="Arial" w:cs="Arial"/>
          <w:spacing w:val="3"/>
          <w:lang w:eastAsia="fr-FR"/>
        </w:rPr>
        <w:t>.</w:t>
      </w:r>
      <w:r>
        <w:rPr>
          <w:rFonts w:ascii="Arial" w:hAnsi="Arial" w:cs="Arial"/>
          <w:spacing w:val="3"/>
          <w:lang w:eastAsia="fr-FR"/>
        </w:rPr>
        <w:t xml:space="preserve"> </w:t>
      </w:r>
      <w:r w:rsidRPr="00EE3947">
        <w:rPr>
          <w:rFonts w:ascii="Arial" w:hAnsi="Arial" w:cs="Arial"/>
          <w:b/>
          <w:bCs/>
          <w:spacing w:val="3"/>
          <w:lang w:eastAsia="fr-FR"/>
        </w:rPr>
        <w:t>The proposal is too broad as it includes other types of risks than the leverage risk, which is a definite, precise and measurable type of risk.</w:t>
      </w:r>
    </w:p>
    <w:p w14:paraId="14BF39F0" w14:textId="77777777" w:rsidR="00257055" w:rsidRDefault="00257055" w:rsidP="00257055">
      <w:pPr>
        <w:autoSpaceDE w:val="0"/>
        <w:autoSpaceDN w:val="0"/>
        <w:adjustRightInd w:val="0"/>
        <w:jc w:val="both"/>
        <w:rPr>
          <w:rFonts w:ascii="Arial" w:hAnsi="Arial" w:cs="Arial"/>
          <w:spacing w:val="3"/>
          <w:lang w:eastAsia="fr-FR"/>
        </w:rPr>
      </w:pPr>
    </w:p>
    <w:p w14:paraId="071E5733" w14:textId="77777777" w:rsidR="00257055" w:rsidRPr="00496A71" w:rsidRDefault="00257055" w:rsidP="00257055">
      <w:pPr>
        <w:autoSpaceDE w:val="0"/>
        <w:autoSpaceDN w:val="0"/>
        <w:adjustRightInd w:val="0"/>
        <w:jc w:val="both"/>
        <w:rPr>
          <w:rFonts w:ascii="Arial" w:hAnsi="Arial" w:cs="Arial"/>
          <w:spacing w:val="3"/>
          <w:lang w:eastAsia="fr-FR"/>
        </w:rPr>
      </w:pPr>
      <w:r w:rsidRPr="00EE3947">
        <w:rPr>
          <w:rFonts w:ascii="Arial" w:hAnsi="Arial" w:cs="Arial"/>
          <w:spacing w:val="3"/>
          <w:lang w:eastAsia="fr-FR"/>
        </w:rPr>
        <w:t xml:space="preserve">Our members </w:t>
      </w:r>
      <w:r w:rsidRPr="00E83C84">
        <w:rPr>
          <w:rFonts w:ascii="Arial" w:hAnsi="Arial" w:cs="Arial"/>
          <w:spacing w:val="3"/>
          <w:lang w:eastAsia="fr-FR"/>
        </w:rPr>
        <w:t xml:space="preserve">think that only indicators related to Leverage should be used, in conformity with Article 25 of AIFMD Level 1 and more widely the AIFMD Level 1 provisions related to </w:t>
      </w:r>
      <w:r w:rsidRPr="00EE3947">
        <w:rPr>
          <w:rFonts w:ascii="Arial" w:hAnsi="Arial" w:cs="Arial"/>
          <w:spacing w:val="3"/>
          <w:lang w:eastAsia="fr-FR"/>
        </w:rPr>
        <w:t>l</w:t>
      </w:r>
      <w:r w:rsidRPr="00E83C84">
        <w:rPr>
          <w:rFonts w:ascii="Arial" w:hAnsi="Arial" w:cs="Arial"/>
          <w:spacing w:val="3"/>
          <w:lang w:eastAsia="fr-FR"/>
        </w:rPr>
        <w:t>everage</w:t>
      </w:r>
      <w:r w:rsidRPr="00EE3947">
        <w:rPr>
          <w:rFonts w:ascii="Arial" w:hAnsi="Arial" w:cs="Arial"/>
          <w:spacing w:val="3"/>
          <w:lang w:eastAsia="fr-FR"/>
        </w:rPr>
        <w:t>. The NCA asks, if needed, for</w:t>
      </w:r>
      <w:r w:rsidRPr="00E83C84">
        <w:rPr>
          <w:rFonts w:ascii="Arial" w:hAnsi="Arial" w:cs="Arial"/>
          <w:spacing w:val="3"/>
          <w:lang w:eastAsia="fr-FR"/>
        </w:rPr>
        <w:t xml:space="preserve"> further</w:t>
      </w:r>
      <w:r w:rsidRPr="00EE3947">
        <w:rPr>
          <w:rFonts w:ascii="Arial" w:hAnsi="Arial" w:cs="Arial"/>
          <w:spacing w:val="3"/>
          <w:lang w:eastAsia="fr-FR"/>
        </w:rPr>
        <w:t xml:space="preserve"> specific and effective information</w:t>
      </w:r>
      <w:r w:rsidRPr="00E83C84">
        <w:rPr>
          <w:rFonts w:ascii="Arial" w:hAnsi="Arial" w:cs="Arial"/>
          <w:spacing w:val="3"/>
          <w:lang w:eastAsia="fr-FR"/>
        </w:rPr>
        <w:t xml:space="preserve"> related to </w:t>
      </w:r>
      <w:r w:rsidRPr="00EE3947">
        <w:rPr>
          <w:rFonts w:ascii="Arial" w:hAnsi="Arial" w:cs="Arial"/>
          <w:spacing w:val="3"/>
          <w:lang w:eastAsia="fr-FR"/>
        </w:rPr>
        <w:t>a</w:t>
      </w:r>
      <w:r w:rsidRPr="00E83C84">
        <w:rPr>
          <w:rFonts w:ascii="Arial" w:hAnsi="Arial" w:cs="Arial"/>
          <w:spacing w:val="3"/>
          <w:lang w:eastAsia="fr-FR"/>
        </w:rPr>
        <w:t xml:space="preserve"> </w:t>
      </w:r>
      <w:r w:rsidRPr="00EE3947">
        <w:rPr>
          <w:rFonts w:ascii="Arial" w:hAnsi="Arial" w:cs="Arial"/>
          <w:spacing w:val="3"/>
          <w:lang w:eastAsia="fr-FR"/>
        </w:rPr>
        <w:t xml:space="preserve">specific </w:t>
      </w:r>
      <w:r w:rsidRPr="00E83C84">
        <w:rPr>
          <w:rFonts w:ascii="Arial" w:hAnsi="Arial" w:cs="Arial"/>
          <w:spacing w:val="3"/>
          <w:lang w:eastAsia="fr-FR"/>
        </w:rPr>
        <w:t>fund.</w:t>
      </w:r>
      <w:r w:rsidRPr="00EE3947">
        <w:rPr>
          <w:rFonts w:ascii="Arial" w:hAnsi="Arial" w:cs="Arial"/>
          <w:spacing w:val="3"/>
          <w:lang w:eastAsia="fr-FR"/>
        </w:rPr>
        <w:t xml:space="preserve"> Introducing systematically such a series of additional criteria not based on leverage would in addition diverge from the IOSCO’s Recommendations, amounting eventually to inconsistent assessment of the same risk depending on the region where the fund is located.</w:t>
      </w:r>
    </w:p>
    <w:p w14:paraId="3203FD0B" w14:textId="77777777" w:rsidR="00257055" w:rsidRPr="00E83C84" w:rsidRDefault="00257055" w:rsidP="00257055">
      <w:pPr>
        <w:autoSpaceDE w:val="0"/>
        <w:autoSpaceDN w:val="0"/>
        <w:adjustRightInd w:val="0"/>
        <w:jc w:val="both"/>
        <w:rPr>
          <w:rFonts w:ascii="Arial" w:hAnsi="Arial" w:cs="Arial"/>
          <w:spacing w:val="3"/>
          <w:lang w:eastAsia="fr-FR"/>
        </w:rPr>
      </w:pPr>
    </w:p>
    <w:p w14:paraId="5E0F6DB4" w14:textId="77777777" w:rsidR="00257055" w:rsidRDefault="00257055" w:rsidP="00257055">
      <w:pPr>
        <w:autoSpaceDE w:val="0"/>
        <w:autoSpaceDN w:val="0"/>
        <w:adjustRightInd w:val="0"/>
        <w:jc w:val="both"/>
        <w:rPr>
          <w:rFonts w:ascii="Arial" w:hAnsi="Arial" w:cs="Arial"/>
          <w:spacing w:val="3"/>
          <w:lang w:eastAsia="fr-FR"/>
        </w:rPr>
      </w:pPr>
      <w:r>
        <w:rPr>
          <w:rFonts w:ascii="Arial" w:hAnsi="Arial" w:cs="Arial"/>
          <w:spacing w:val="3"/>
          <w:lang w:eastAsia="fr-FR"/>
        </w:rPr>
        <w:t>These Guidelines applicable in the context of the use of Article 25 should consider that the exercise is meant to be done in exceptional cases and for crisis events only. The flexibility and the focus of the assessment are important criteria to take into account so as for the NCA to be efficient. Indeed, Article 25 provides that  NCAs “</w:t>
      </w:r>
      <w:r w:rsidRPr="00B95D23">
        <w:rPr>
          <w:rFonts w:ascii="Arial" w:hAnsi="Arial" w:cs="Arial"/>
          <w:b/>
          <w:bCs/>
          <w:spacing w:val="3"/>
          <w:lang w:eastAsia="fr-FR"/>
        </w:rPr>
        <w:t xml:space="preserve">shall impose </w:t>
      </w:r>
      <w:r w:rsidRPr="00173F5A">
        <w:rPr>
          <w:rFonts w:ascii="Arial" w:hAnsi="Arial" w:cs="Arial"/>
          <w:spacing w:val="3"/>
          <w:lang w:eastAsia="fr-FR"/>
        </w:rPr>
        <w:t>limits to the level of leverage</w:t>
      </w:r>
      <w:r w:rsidRPr="00236573">
        <w:rPr>
          <w:rFonts w:ascii="Arial" w:hAnsi="Arial" w:cs="Arial"/>
          <w:spacing w:val="3"/>
          <w:lang w:eastAsia="fr-FR"/>
        </w:rPr>
        <w:t xml:space="preserve"> that an AIFM are entitled</w:t>
      </w:r>
      <w:r>
        <w:rPr>
          <w:rFonts w:ascii="Arial" w:hAnsi="Arial" w:cs="Arial"/>
          <w:spacing w:val="3"/>
          <w:lang w:eastAsia="fr-FR"/>
        </w:rPr>
        <w:t xml:space="preserve"> </w:t>
      </w:r>
      <w:r w:rsidRPr="00236573">
        <w:rPr>
          <w:rFonts w:ascii="Arial" w:hAnsi="Arial" w:cs="Arial"/>
          <w:spacing w:val="3"/>
          <w:lang w:eastAsia="fr-FR"/>
        </w:rPr>
        <w:t>to employ or other restrictions on the management of the AIF</w:t>
      </w:r>
      <w:r>
        <w:rPr>
          <w:rFonts w:ascii="Arial" w:hAnsi="Arial" w:cs="Arial"/>
          <w:spacing w:val="3"/>
          <w:lang w:eastAsia="fr-FR"/>
        </w:rPr>
        <w:t xml:space="preserve"> </w:t>
      </w:r>
      <w:r w:rsidRPr="00236573">
        <w:rPr>
          <w:rFonts w:ascii="Arial" w:hAnsi="Arial" w:cs="Arial"/>
          <w:spacing w:val="3"/>
          <w:lang w:eastAsia="fr-FR"/>
        </w:rPr>
        <w:t xml:space="preserve">with respect to the AIFs under its management </w:t>
      </w:r>
      <w:r w:rsidRPr="00B95D23">
        <w:rPr>
          <w:rFonts w:ascii="Arial" w:hAnsi="Arial" w:cs="Arial"/>
          <w:b/>
          <w:bCs/>
          <w:spacing w:val="3"/>
          <w:lang w:eastAsia="fr-FR"/>
        </w:rPr>
        <w:t xml:space="preserve">to limit the extent to which the use of leverage contributes to the </w:t>
      </w:r>
      <w:proofErr w:type="spellStart"/>
      <w:r w:rsidRPr="00B95D23">
        <w:rPr>
          <w:rFonts w:ascii="Arial" w:hAnsi="Arial" w:cs="Arial"/>
          <w:b/>
          <w:bCs/>
          <w:spacing w:val="3"/>
          <w:lang w:eastAsia="fr-FR"/>
        </w:rPr>
        <w:t>build up</w:t>
      </w:r>
      <w:proofErr w:type="spellEnd"/>
      <w:r w:rsidRPr="00B95D23">
        <w:rPr>
          <w:rFonts w:ascii="Arial" w:hAnsi="Arial" w:cs="Arial"/>
          <w:b/>
          <w:bCs/>
          <w:spacing w:val="3"/>
          <w:lang w:eastAsia="fr-FR"/>
        </w:rPr>
        <w:t xml:space="preserve"> of systemic risk in the financial system or risks of disorderly markets.</w:t>
      </w:r>
      <w:r>
        <w:rPr>
          <w:rFonts w:ascii="Arial" w:hAnsi="Arial" w:cs="Arial"/>
          <w:spacing w:val="3"/>
          <w:lang w:eastAsia="fr-FR"/>
        </w:rPr>
        <w:t>”</w:t>
      </w:r>
    </w:p>
    <w:p w14:paraId="10F08303" w14:textId="77777777" w:rsidR="00257055" w:rsidRDefault="00257055" w:rsidP="00257055">
      <w:pPr>
        <w:autoSpaceDE w:val="0"/>
        <w:autoSpaceDN w:val="0"/>
        <w:adjustRightInd w:val="0"/>
        <w:jc w:val="both"/>
        <w:rPr>
          <w:rFonts w:ascii="Arial" w:hAnsi="Arial" w:cs="Arial"/>
          <w:spacing w:val="3"/>
          <w:lang w:eastAsia="fr-FR"/>
        </w:rPr>
      </w:pPr>
    </w:p>
    <w:p w14:paraId="75DEBDCA" w14:textId="77777777" w:rsidR="00257055" w:rsidRPr="002B3D25" w:rsidRDefault="00257055" w:rsidP="00257055">
      <w:pPr>
        <w:autoSpaceDE w:val="0"/>
        <w:autoSpaceDN w:val="0"/>
        <w:adjustRightInd w:val="0"/>
        <w:jc w:val="both"/>
        <w:rPr>
          <w:rFonts w:ascii="Arial" w:hAnsi="Arial" w:cs="Arial"/>
          <w:spacing w:val="3"/>
          <w:lang w:eastAsia="fr-FR"/>
        </w:rPr>
      </w:pPr>
      <w:r>
        <w:rPr>
          <w:rFonts w:ascii="Arial" w:hAnsi="Arial" w:cs="Arial"/>
          <w:spacing w:val="3"/>
          <w:lang w:eastAsia="fr-FR"/>
        </w:rPr>
        <w:t xml:space="preserve">The idea is not to assess again all funds against leverage risk in as systematic way; the scope of Article 25 is not linked to a general assessment, but to the identification of potential systemic risk, which is not stemming from low leveraged funds whatever their size. It is the combination of a more than substantially leveraged fund and its scale. This exercise should concentrate to the needs of Article 25 only, </w:t>
      </w:r>
      <w:proofErr w:type="spellStart"/>
      <w:r>
        <w:rPr>
          <w:rFonts w:ascii="Arial" w:hAnsi="Arial" w:cs="Arial"/>
          <w:spacing w:val="3"/>
          <w:lang w:eastAsia="fr-FR"/>
        </w:rPr>
        <w:t>ie</w:t>
      </w:r>
      <w:proofErr w:type="spellEnd"/>
      <w:r>
        <w:rPr>
          <w:rFonts w:ascii="Arial" w:hAnsi="Arial" w:cs="Arial"/>
          <w:spacing w:val="3"/>
          <w:lang w:eastAsia="fr-FR"/>
        </w:rPr>
        <w:t xml:space="preserve"> prepare to deal with exceptional cases only with regards to systemic risk/disorderly markets risk stemming from excessive use of leverage. For systemic risk in general or stemming from other types of risks, NCAs have already the possibility to act in order to protect markets.</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737FE819" w14:textId="77777777" w:rsidR="001B2C19" w:rsidRDefault="001B2C19" w:rsidP="001B2C19">
      <w:pPr>
        <w:autoSpaceDE w:val="0"/>
        <w:autoSpaceDN w:val="0"/>
        <w:adjustRightInd w:val="0"/>
        <w:jc w:val="both"/>
        <w:rPr>
          <w:rFonts w:ascii="Arial" w:hAnsi="Arial" w:cs="Arial"/>
          <w:spacing w:val="3"/>
          <w:lang w:eastAsia="fr-FR"/>
        </w:rPr>
      </w:pPr>
      <w:permStart w:id="1290170203" w:edGrp="everyone"/>
      <w:r w:rsidRPr="00A22BF8">
        <w:rPr>
          <w:rFonts w:ascii="Arial" w:hAnsi="Arial" w:cs="Arial"/>
          <w:spacing w:val="3"/>
          <w:lang w:eastAsia="fr-FR"/>
        </w:rPr>
        <w:t>The proposal is too much detailed, it is difficult to see how such a complex scheme may be easily and effectively implemented in time of crisis by NCAs.</w:t>
      </w:r>
    </w:p>
    <w:p w14:paraId="0CF80065" w14:textId="77777777" w:rsidR="001B2C19" w:rsidRDefault="001B2C19" w:rsidP="001B2C19">
      <w:pPr>
        <w:autoSpaceDE w:val="0"/>
        <w:autoSpaceDN w:val="0"/>
        <w:adjustRightInd w:val="0"/>
        <w:jc w:val="both"/>
        <w:rPr>
          <w:rFonts w:ascii="Arial" w:hAnsi="Arial" w:cs="Arial"/>
          <w:spacing w:val="3"/>
          <w:lang w:eastAsia="fr-FR"/>
        </w:rPr>
      </w:pPr>
    </w:p>
    <w:p w14:paraId="2133D92B" w14:textId="77777777" w:rsidR="001B2C19" w:rsidRDefault="001B2C19" w:rsidP="001B2C19">
      <w:pPr>
        <w:autoSpaceDE w:val="0"/>
        <w:autoSpaceDN w:val="0"/>
        <w:adjustRightInd w:val="0"/>
        <w:jc w:val="both"/>
        <w:rPr>
          <w:rFonts w:ascii="Arial" w:hAnsi="Arial" w:cs="Arial"/>
          <w:spacing w:val="3"/>
          <w:lang w:eastAsia="fr-FR"/>
        </w:rPr>
      </w:pPr>
      <w:r w:rsidRPr="00957530">
        <w:rPr>
          <w:rFonts w:ascii="Arial" w:hAnsi="Arial" w:cs="Arial"/>
          <w:spacing w:val="3"/>
          <w:lang w:eastAsia="fr-FR"/>
        </w:rPr>
        <w:t>Regarding the data gathering for the analysis, we would like clarification that new fields to existing AIFM reporting and/or new reporting from management companies are not needed. It is the NCA who makes the data finding exercise based on existing data points from existing fields. In addition, there is always the possibility to access monthly portfolio inventories that are reported to the National Central Banks</w:t>
      </w:r>
      <w:r>
        <w:rPr>
          <w:rFonts w:ascii="Arial" w:hAnsi="Arial" w:cs="Arial"/>
          <w:spacing w:val="3"/>
          <w:lang w:eastAsia="fr-FR"/>
        </w:rPr>
        <w:t>. There should be no additional request to AIF managers.</w:t>
      </w:r>
    </w:p>
    <w:p w14:paraId="5D1EFC1E" w14:textId="77777777" w:rsidR="001B2C19" w:rsidRDefault="001B2C19" w:rsidP="001B2C19">
      <w:pPr>
        <w:autoSpaceDE w:val="0"/>
        <w:autoSpaceDN w:val="0"/>
        <w:adjustRightInd w:val="0"/>
        <w:jc w:val="both"/>
        <w:rPr>
          <w:rFonts w:ascii="Arial" w:hAnsi="Arial" w:cs="Arial"/>
          <w:spacing w:val="3"/>
          <w:lang w:eastAsia="fr-FR"/>
        </w:rPr>
      </w:pPr>
    </w:p>
    <w:p w14:paraId="08BAFF44" w14:textId="77777777" w:rsidR="001B2C19" w:rsidRDefault="001B2C19" w:rsidP="001B2C19">
      <w:pPr>
        <w:autoSpaceDE w:val="0"/>
        <w:autoSpaceDN w:val="0"/>
        <w:adjustRightInd w:val="0"/>
        <w:jc w:val="both"/>
        <w:rPr>
          <w:rFonts w:ascii="Arial" w:hAnsi="Arial" w:cs="Arial"/>
          <w:spacing w:val="3"/>
          <w:lang w:eastAsia="fr-FR"/>
        </w:rPr>
      </w:pPr>
      <w:r w:rsidRPr="00957530">
        <w:rPr>
          <w:rFonts w:ascii="Arial" w:hAnsi="Arial" w:cs="Arial"/>
          <w:spacing w:val="3"/>
          <w:lang w:eastAsia="fr-FR"/>
        </w:rPr>
        <w:lastRenderedPageBreak/>
        <w:t>Regarding the leverage measures that are calculated and reported, currently there are only two on which the NCAs may base their analysis: commitment and gross leverage as per AIFMD delegated regulation. ESMA mentions additional ones like adjusted gross, which is not an AIFM metric and does not bring any supplementary material added value to the analysis.</w:t>
      </w:r>
    </w:p>
    <w:p w14:paraId="08DF8A8E" w14:textId="77777777" w:rsidR="001B2C19" w:rsidRPr="00957530" w:rsidRDefault="001B2C19" w:rsidP="001B2C19">
      <w:pPr>
        <w:autoSpaceDE w:val="0"/>
        <w:autoSpaceDN w:val="0"/>
        <w:adjustRightInd w:val="0"/>
        <w:jc w:val="both"/>
        <w:rPr>
          <w:rFonts w:ascii="Arial" w:hAnsi="Arial" w:cs="Arial"/>
          <w:spacing w:val="3"/>
          <w:lang w:eastAsia="fr-FR"/>
        </w:rPr>
      </w:pPr>
    </w:p>
    <w:p w14:paraId="02D31B91" w14:textId="77777777" w:rsidR="001B2C19" w:rsidRDefault="001B2C19" w:rsidP="001B2C19">
      <w:pPr>
        <w:autoSpaceDE w:val="0"/>
        <w:autoSpaceDN w:val="0"/>
        <w:adjustRightInd w:val="0"/>
        <w:jc w:val="both"/>
        <w:rPr>
          <w:rFonts w:ascii="Arial" w:hAnsi="Arial" w:cs="Arial"/>
          <w:spacing w:val="3"/>
          <w:lang w:eastAsia="fr-FR"/>
        </w:rPr>
      </w:pPr>
      <w:r w:rsidRPr="00957530">
        <w:rPr>
          <w:rFonts w:ascii="Arial" w:hAnsi="Arial" w:cs="Arial"/>
          <w:spacing w:val="3"/>
          <w:lang w:eastAsia="fr-FR"/>
        </w:rPr>
        <w:t>Real Estate funds do not all have the same leverage calculation from one members state to the other and it would be interesting to see if there is room to work towards greater European convergence. France for instance has worked on a harmonised set of rules for real estate funds.</w:t>
      </w:r>
    </w:p>
    <w:p w14:paraId="77D54311" w14:textId="77777777" w:rsidR="001B2C19" w:rsidRDefault="001B2C19" w:rsidP="001B2C19">
      <w:pPr>
        <w:autoSpaceDE w:val="0"/>
        <w:autoSpaceDN w:val="0"/>
        <w:adjustRightInd w:val="0"/>
        <w:jc w:val="both"/>
        <w:rPr>
          <w:rFonts w:ascii="Arial" w:hAnsi="Arial" w:cs="Arial"/>
          <w:spacing w:val="3"/>
          <w:lang w:eastAsia="fr-FR"/>
        </w:rPr>
      </w:pPr>
    </w:p>
    <w:p w14:paraId="4B7AE8A0" w14:textId="77777777" w:rsidR="001B2C19" w:rsidRPr="0060742A" w:rsidRDefault="001B2C19" w:rsidP="001B2C19">
      <w:pPr>
        <w:autoSpaceDE w:val="0"/>
        <w:autoSpaceDN w:val="0"/>
        <w:adjustRightInd w:val="0"/>
        <w:jc w:val="both"/>
        <w:rPr>
          <w:rFonts w:ascii="Arial" w:hAnsi="Arial" w:cs="Arial"/>
          <w:spacing w:val="3"/>
          <w:lang w:eastAsia="fr-FR"/>
        </w:rPr>
      </w:pPr>
      <w:r w:rsidRPr="00EE3947">
        <w:rPr>
          <w:rFonts w:ascii="Arial" w:hAnsi="Arial" w:cs="Arial"/>
          <w:spacing w:val="3"/>
          <w:lang w:eastAsia="fr-FR"/>
        </w:rPr>
        <w:t>Our members</w:t>
      </w:r>
      <w:r w:rsidRPr="009D1C85">
        <w:rPr>
          <w:rFonts w:ascii="Arial" w:hAnsi="Arial" w:cs="Arial"/>
          <w:spacing w:val="3"/>
          <w:lang w:eastAsia="fr-FR"/>
        </w:rPr>
        <w:t xml:space="preserve"> think there is no need for additional external data sources other th</w:t>
      </w:r>
      <w:r w:rsidRPr="0060742A">
        <w:rPr>
          <w:rFonts w:ascii="Arial" w:hAnsi="Arial" w:cs="Arial"/>
          <w:spacing w:val="3"/>
          <w:lang w:eastAsia="fr-FR"/>
        </w:rPr>
        <w:t>an those already identified in the Annex.</w:t>
      </w:r>
      <w:r>
        <w:rPr>
          <w:rFonts w:ascii="Arial" w:hAnsi="Arial" w:cs="Arial"/>
          <w:spacing w:val="3"/>
          <w:lang w:eastAsia="fr-FR"/>
        </w:rPr>
        <w:t xml:space="preserve"> The Table in page 32 is considered to use too much information; leverage figures are sufficient.</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0F19D1AC" w14:textId="36F66BD0" w:rsidR="00E14B45" w:rsidRPr="00F43532" w:rsidRDefault="00E14B45" w:rsidP="00E14B45">
      <w:pPr>
        <w:autoSpaceDE w:val="0"/>
        <w:autoSpaceDN w:val="0"/>
        <w:adjustRightInd w:val="0"/>
        <w:jc w:val="both"/>
        <w:rPr>
          <w:rFonts w:ascii="Arial" w:hAnsi="Arial" w:cs="Arial"/>
          <w:spacing w:val="3"/>
          <w:lang w:eastAsia="fr-FR"/>
        </w:rPr>
      </w:pPr>
      <w:permStart w:id="463824392" w:edGrp="everyone"/>
      <w:r w:rsidRPr="00E14B45">
        <w:rPr>
          <w:rFonts w:ascii="Arial" w:hAnsi="Arial" w:cs="Arial"/>
          <w:spacing w:val="3"/>
          <w:lang w:eastAsia="fr-FR"/>
        </w:rPr>
        <w:t xml:space="preserve"> </w:t>
      </w:r>
      <w:r w:rsidRPr="00F43532">
        <w:rPr>
          <w:rFonts w:ascii="Arial" w:hAnsi="Arial" w:cs="Arial"/>
          <w:spacing w:val="3"/>
          <w:lang w:eastAsia="fr-FR"/>
        </w:rPr>
        <w:t>We don’t see other restrictions to ad</w:t>
      </w:r>
      <w:r>
        <w:rPr>
          <w:rFonts w:ascii="Arial" w:hAnsi="Arial" w:cs="Arial"/>
          <w:spacing w:val="3"/>
          <w:lang w:eastAsia="fr-FR"/>
        </w:rPr>
        <w:t>d, the approach is already overly complex.</w:t>
      </w:r>
    </w:p>
    <w:p w14:paraId="79F4CB3A" w14:textId="20677D39" w:rsidR="001F23C9" w:rsidRDefault="001F23C9" w:rsidP="001F23C9">
      <w:pPr>
        <w:rPr>
          <w:rFonts w:ascii="Arial" w:hAnsi="Arial" w:cs="Arial"/>
        </w:rPr>
      </w:pPr>
      <w:r>
        <w:rPr>
          <w:rFonts w:ascii="Arial" w:hAnsi="Arial" w:cs="Arial"/>
        </w:rPr>
        <w:t xml:space="preserve"> </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68DC0275" w14:textId="54C017E3" w:rsidR="00610396" w:rsidRPr="00EE3947" w:rsidRDefault="00610396" w:rsidP="00610396">
      <w:pPr>
        <w:autoSpaceDE w:val="0"/>
        <w:autoSpaceDN w:val="0"/>
        <w:adjustRightInd w:val="0"/>
        <w:jc w:val="both"/>
        <w:rPr>
          <w:rFonts w:ascii="Arial" w:hAnsi="Arial" w:cs="Arial"/>
          <w:spacing w:val="3"/>
          <w:lang w:eastAsia="fr-FR"/>
        </w:rPr>
      </w:pPr>
      <w:permStart w:id="71388718" w:edGrp="everyone"/>
      <w:r w:rsidRPr="00610396">
        <w:rPr>
          <w:rFonts w:ascii="Arial" w:hAnsi="Arial" w:cs="Arial"/>
          <w:spacing w:val="3"/>
          <w:lang w:eastAsia="fr-FR"/>
        </w:rPr>
        <w:t xml:space="preserve"> </w:t>
      </w:r>
      <w:r w:rsidRPr="00EE3947">
        <w:rPr>
          <w:rFonts w:ascii="Arial" w:hAnsi="Arial" w:cs="Arial"/>
          <w:spacing w:val="3"/>
          <w:lang w:eastAsia="fr-FR"/>
        </w:rPr>
        <w:t xml:space="preserve">We generally think it is the responsibility of each NCA to regulate its own </w:t>
      </w:r>
      <w:r w:rsidRPr="00EC4BF5">
        <w:rPr>
          <w:rFonts w:ascii="Arial" w:hAnsi="Arial" w:cs="Arial"/>
          <w:spacing w:val="3"/>
          <w:lang w:eastAsia="fr-FR"/>
        </w:rPr>
        <w:t>locally domiciled</w:t>
      </w:r>
      <w:r w:rsidRPr="00EE3947">
        <w:rPr>
          <w:rFonts w:ascii="Arial" w:hAnsi="Arial" w:cs="Arial"/>
          <w:spacing w:val="3"/>
          <w:lang w:eastAsia="fr-FR"/>
        </w:rPr>
        <w:t xml:space="preserve"> range of AIFs.</w:t>
      </w:r>
    </w:p>
    <w:p w14:paraId="5B5726E8" w14:textId="77777777" w:rsidR="00610396" w:rsidRPr="0060742A" w:rsidRDefault="00610396" w:rsidP="00610396">
      <w:pPr>
        <w:autoSpaceDE w:val="0"/>
        <w:autoSpaceDN w:val="0"/>
        <w:adjustRightInd w:val="0"/>
        <w:jc w:val="both"/>
        <w:rPr>
          <w:rFonts w:ascii="Arial" w:hAnsi="Arial" w:cs="Arial"/>
          <w:spacing w:val="3"/>
          <w:lang w:eastAsia="fr-FR"/>
        </w:rPr>
      </w:pPr>
    </w:p>
    <w:p w14:paraId="397C7B68" w14:textId="77777777" w:rsidR="00610396" w:rsidRPr="0060742A" w:rsidRDefault="00610396" w:rsidP="00610396">
      <w:pPr>
        <w:autoSpaceDE w:val="0"/>
        <w:autoSpaceDN w:val="0"/>
        <w:adjustRightInd w:val="0"/>
        <w:jc w:val="both"/>
        <w:rPr>
          <w:rFonts w:ascii="Arial" w:hAnsi="Arial" w:cs="Arial"/>
          <w:spacing w:val="3"/>
          <w:lang w:eastAsia="fr-FR"/>
        </w:rPr>
      </w:pPr>
      <w:r w:rsidRPr="00952558">
        <w:rPr>
          <w:rFonts w:ascii="Arial" w:hAnsi="Arial" w:cs="Arial"/>
          <w:spacing w:val="3"/>
          <w:lang w:eastAsia="fr-FR"/>
        </w:rPr>
        <w:t>We</w:t>
      </w:r>
      <w:r w:rsidRPr="004E35CD">
        <w:rPr>
          <w:rFonts w:ascii="Arial" w:hAnsi="Arial" w:cs="Arial"/>
          <w:spacing w:val="3"/>
          <w:lang w:eastAsia="fr-FR"/>
        </w:rPr>
        <w:t xml:space="preserve"> can</w:t>
      </w:r>
      <w:r w:rsidRPr="00733A09">
        <w:rPr>
          <w:rFonts w:ascii="Arial" w:hAnsi="Arial" w:cs="Arial"/>
          <w:spacing w:val="3"/>
          <w:lang w:eastAsia="fr-FR"/>
        </w:rPr>
        <w:t xml:space="preserve"> agree to apply </w:t>
      </w:r>
      <w:r w:rsidRPr="00B57F18">
        <w:rPr>
          <w:rFonts w:ascii="Arial" w:hAnsi="Arial" w:cs="Arial"/>
          <w:spacing w:val="3"/>
          <w:lang w:eastAsia="fr-FR"/>
        </w:rPr>
        <w:t xml:space="preserve">leverage limits </w:t>
      </w:r>
      <w:r w:rsidRPr="006E4FB0">
        <w:rPr>
          <w:rFonts w:ascii="Arial" w:hAnsi="Arial" w:cs="Arial"/>
          <w:spacing w:val="3"/>
          <w:lang w:eastAsia="fr-FR"/>
        </w:rPr>
        <w:t>to individual funds as part of a group.</w:t>
      </w:r>
      <w:r w:rsidRPr="0060742A">
        <w:rPr>
          <w:rFonts w:ascii="Arial" w:hAnsi="Arial" w:cs="Arial"/>
          <w:spacing w:val="3"/>
          <w:lang w:eastAsia="fr-FR"/>
        </w:rPr>
        <w:t xml:space="preserve"> The group of funds (paragraph 21) should represent a perimeter based on objective criteria. Leverage limits apply at the fund level for each fund in the group.</w:t>
      </w:r>
    </w:p>
    <w:p w14:paraId="7797188C" w14:textId="77777777" w:rsidR="00610396" w:rsidRPr="0060742A" w:rsidRDefault="00610396" w:rsidP="00610396">
      <w:pPr>
        <w:autoSpaceDE w:val="0"/>
        <w:autoSpaceDN w:val="0"/>
        <w:adjustRightInd w:val="0"/>
        <w:jc w:val="both"/>
        <w:rPr>
          <w:rFonts w:ascii="Arial" w:hAnsi="Arial" w:cs="Arial"/>
          <w:spacing w:val="3"/>
          <w:lang w:eastAsia="fr-FR"/>
        </w:rPr>
      </w:pPr>
    </w:p>
    <w:p w14:paraId="7A95B5E8" w14:textId="77777777" w:rsidR="00610396" w:rsidRDefault="00610396" w:rsidP="00610396">
      <w:pPr>
        <w:autoSpaceDE w:val="0"/>
        <w:autoSpaceDN w:val="0"/>
        <w:adjustRightInd w:val="0"/>
        <w:jc w:val="both"/>
        <w:rPr>
          <w:rFonts w:ascii="Arial" w:hAnsi="Arial" w:cs="Arial"/>
          <w:spacing w:val="3"/>
          <w:lang w:eastAsia="fr-FR"/>
        </w:rPr>
      </w:pPr>
      <w:r w:rsidRPr="00EE3947">
        <w:rPr>
          <w:rFonts w:ascii="Arial" w:hAnsi="Arial" w:cs="Arial"/>
          <w:spacing w:val="3"/>
          <w:lang w:eastAsia="fr-FR"/>
        </w:rPr>
        <w:t xml:space="preserve">Any leverage limit </w:t>
      </w:r>
      <w:r w:rsidRPr="0060742A">
        <w:rPr>
          <w:rFonts w:ascii="Arial" w:hAnsi="Arial" w:cs="Arial"/>
          <w:spacing w:val="3"/>
          <w:lang w:eastAsia="fr-FR"/>
        </w:rPr>
        <w:t>should be set up only in exceptional situations</w:t>
      </w:r>
      <w:r w:rsidRPr="00EE3947">
        <w:rPr>
          <w:rFonts w:ascii="Arial" w:hAnsi="Arial" w:cs="Arial"/>
          <w:spacing w:val="3"/>
          <w:lang w:eastAsia="fr-FR"/>
        </w:rPr>
        <w:t xml:space="preserve"> </w:t>
      </w:r>
      <w:r w:rsidRPr="0060742A">
        <w:rPr>
          <w:rFonts w:ascii="Arial" w:hAnsi="Arial" w:cs="Arial"/>
          <w:spacing w:val="3"/>
          <w:lang w:eastAsia="fr-FR"/>
        </w:rPr>
        <w:t>and only if the relevant AIFs</w:t>
      </w:r>
      <w:r w:rsidRPr="00EE3947">
        <w:rPr>
          <w:rFonts w:ascii="Arial" w:hAnsi="Arial" w:cs="Arial"/>
          <w:spacing w:val="3"/>
          <w:lang w:eastAsia="fr-FR"/>
        </w:rPr>
        <w:t xml:space="preserve"> (inside of a group or not) a</w:t>
      </w:r>
      <w:r w:rsidRPr="0060742A">
        <w:rPr>
          <w:rFonts w:ascii="Arial" w:hAnsi="Arial" w:cs="Arial"/>
          <w:spacing w:val="3"/>
          <w:lang w:eastAsia="fr-FR"/>
        </w:rPr>
        <w:t xml:space="preserve">re specifically </w:t>
      </w:r>
      <w:r w:rsidRPr="00EE3947">
        <w:rPr>
          <w:rFonts w:ascii="Arial" w:hAnsi="Arial" w:cs="Arial"/>
          <w:spacing w:val="3"/>
          <w:lang w:eastAsia="fr-FR"/>
        </w:rPr>
        <w:t>identified</w:t>
      </w:r>
      <w:r w:rsidRPr="0060742A">
        <w:rPr>
          <w:rFonts w:ascii="Arial" w:hAnsi="Arial" w:cs="Arial"/>
          <w:spacing w:val="3"/>
          <w:lang w:eastAsia="fr-FR"/>
        </w:rPr>
        <w:t xml:space="preserve"> </w:t>
      </w:r>
      <w:r w:rsidRPr="00EE3947">
        <w:rPr>
          <w:rFonts w:ascii="Arial" w:hAnsi="Arial" w:cs="Arial"/>
          <w:spacing w:val="3"/>
          <w:lang w:eastAsia="fr-FR"/>
        </w:rPr>
        <w:t>post</w:t>
      </w:r>
      <w:r w:rsidRPr="0060742A">
        <w:rPr>
          <w:rFonts w:ascii="Arial" w:hAnsi="Arial" w:cs="Arial"/>
          <w:spacing w:val="3"/>
          <w:lang w:eastAsia="fr-FR"/>
        </w:rPr>
        <w:t xml:space="preserve"> Step 1.</w:t>
      </w:r>
    </w:p>
    <w:p w14:paraId="5C7079A5" w14:textId="77777777" w:rsidR="00610396" w:rsidRDefault="00610396" w:rsidP="00610396">
      <w:pPr>
        <w:autoSpaceDE w:val="0"/>
        <w:autoSpaceDN w:val="0"/>
        <w:adjustRightInd w:val="0"/>
        <w:jc w:val="both"/>
        <w:rPr>
          <w:rFonts w:ascii="Arial" w:hAnsi="Arial" w:cs="Arial"/>
          <w:spacing w:val="3"/>
          <w:lang w:eastAsia="fr-FR"/>
        </w:rPr>
      </w:pPr>
    </w:p>
    <w:p w14:paraId="61F78C3A" w14:textId="77777777" w:rsidR="00610396" w:rsidRDefault="00610396" w:rsidP="00610396">
      <w:pPr>
        <w:autoSpaceDE w:val="0"/>
        <w:autoSpaceDN w:val="0"/>
        <w:adjustRightInd w:val="0"/>
        <w:jc w:val="both"/>
        <w:rPr>
          <w:rFonts w:ascii="Arial" w:hAnsi="Arial" w:cs="Arial"/>
          <w:spacing w:val="3"/>
          <w:lang w:eastAsia="fr-FR"/>
        </w:rPr>
      </w:pPr>
      <w:r>
        <w:rPr>
          <w:rFonts w:ascii="Arial" w:hAnsi="Arial" w:cs="Arial"/>
          <w:spacing w:val="3"/>
          <w:lang w:eastAsia="fr-FR"/>
        </w:rPr>
        <w:t>These Guidelines applicable to the use of Article 25 should consider that the exercise is meant to be done in exceptional cases and for crisis events. The flexibility and the focus of the assessment are important criteria to take into account so as for the NCA to be efficient. Indeed, Article 25 provides that  NCAs “</w:t>
      </w:r>
      <w:r w:rsidRPr="00B95D23">
        <w:rPr>
          <w:rFonts w:ascii="Arial" w:hAnsi="Arial" w:cs="Arial"/>
          <w:b/>
          <w:bCs/>
          <w:spacing w:val="3"/>
          <w:lang w:eastAsia="fr-FR"/>
        </w:rPr>
        <w:t xml:space="preserve">shall impose </w:t>
      </w:r>
      <w:r w:rsidRPr="00173F5A">
        <w:rPr>
          <w:rFonts w:ascii="Arial" w:hAnsi="Arial" w:cs="Arial"/>
          <w:spacing w:val="3"/>
          <w:lang w:eastAsia="fr-FR"/>
        </w:rPr>
        <w:t>limits to the level of leverage</w:t>
      </w:r>
      <w:r w:rsidRPr="00236573">
        <w:rPr>
          <w:rFonts w:ascii="Arial" w:hAnsi="Arial" w:cs="Arial"/>
          <w:spacing w:val="3"/>
          <w:lang w:eastAsia="fr-FR"/>
        </w:rPr>
        <w:t xml:space="preserve"> that an AIFM are entitled</w:t>
      </w:r>
      <w:r>
        <w:rPr>
          <w:rFonts w:ascii="Arial" w:hAnsi="Arial" w:cs="Arial"/>
          <w:spacing w:val="3"/>
          <w:lang w:eastAsia="fr-FR"/>
        </w:rPr>
        <w:t xml:space="preserve"> </w:t>
      </w:r>
      <w:r w:rsidRPr="00236573">
        <w:rPr>
          <w:rFonts w:ascii="Arial" w:hAnsi="Arial" w:cs="Arial"/>
          <w:spacing w:val="3"/>
          <w:lang w:eastAsia="fr-FR"/>
        </w:rPr>
        <w:t>to employ or other restrictions on the management of the AIF</w:t>
      </w:r>
      <w:r>
        <w:rPr>
          <w:rFonts w:ascii="Arial" w:hAnsi="Arial" w:cs="Arial"/>
          <w:spacing w:val="3"/>
          <w:lang w:eastAsia="fr-FR"/>
        </w:rPr>
        <w:t xml:space="preserve"> </w:t>
      </w:r>
      <w:r w:rsidRPr="00236573">
        <w:rPr>
          <w:rFonts w:ascii="Arial" w:hAnsi="Arial" w:cs="Arial"/>
          <w:spacing w:val="3"/>
          <w:lang w:eastAsia="fr-FR"/>
        </w:rPr>
        <w:t xml:space="preserve">with respect to the AIFs under its management </w:t>
      </w:r>
      <w:r w:rsidRPr="00B95D23">
        <w:rPr>
          <w:rFonts w:ascii="Arial" w:hAnsi="Arial" w:cs="Arial"/>
          <w:b/>
          <w:bCs/>
          <w:spacing w:val="3"/>
          <w:lang w:eastAsia="fr-FR"/>
        </w:rPr>
        <w:t xml:space="preserve">to limit the extent to which the use of leverage contributes to the </w:t>
      </w:r>
      <w:proofErr w:type="spellStart"/>
      <w:r w:rsidRPr="00B95D23">
        <w:rPr>
          <w:rFonts w:ascii="Arial" w:hAnsi="Arial" w:cs="Arial"/>
          <w:b/>
          <w:bCs/>
          <w:spacing w:val="3"/>
          <w:lang w:eastAsia="fr-FR"/>
        </w:rPr>
        <w:t>build up</w:t>
      </w:r>
      <w:proofErr w:type="spellEnd"/>
      <w:r w:rsidRPr="00B95D23">
        <w:rPr>
          <w:rFonts w:ascii="Arial" w:hAnsi="Arial" w:cs="Arial"/>
          <w:b/>
          <w:bCs/>
          <w:spacing w:val="3"/>
          <w:lang w:eastAsia="fr-FR"/>
        </w:rPr>
        <w:t xml:space="preserve"> of systemic risk in the financial system or risks of disorderly markets.</w:t>
      </w:r>
      <w:r>
        <w:rPr>
          <w:rFonts w:ascii="Arial" w:hAnsi="Arial" w:cs="Arial"/>
          <w:spacing w:val="3"/>
          <w:lang w:eastAsia="fr-FR"/>
        </w:rPr>
        <w:t>”</w:t>
      </w:r>
    </w:p>
    <w:p w14:paraId="70CB6C60" w14:textId="77777777" w:rsidR="00610396" w:rsidRDefault="00610396" w:rsidP="00610396">
      <w:pPr>
        <w:autoSpaceDE w:val="0"/>
        <w:autoSpaceDN w:val="0"/>
        <w:adjustRightInd w:val="0"/>
        <w:jc w:val="both"/>
        <w:rPr>
          <w:rFonts w:ascii="Arial" w:hAnsi="Arial" w:cs="Arial"/>
          <w:spacing w:val="3"/>
          <w:lang w:eastAsia="fr-FR"/>
        </w:rPr>
      </w:pPr>
    </w:p>
    <w:p w14:paraId="4709A0E0" w14:textId="77777777" w:rsidR="00610396" w:rsidRPr="000E3C99" w:rsidRDefault="00610396" w:rsidP="00610396">
      <w:pPr>
        <w:autoSpaceDE w:val="0"/>
        <w:autoSpaceDN w:val="0"/>
        <w:adjustRightInd w:val="0"/>
        <w:jc w:val="both"/>
        <w:rPr>
          <w:rFonts w:ascii="Arial" w:hAnsi="Arial" w:cs="Arial"/>
          <w:spacing w:val="3"/>
          <w:lang w:eastAsia="fr-FR"/>
        </w:rPr>
      </w:pPr>
      <w:r>
        <w:rPr>
          <w:rFonts w:ascii="Arial" w:hAnsi="Arial" w:cs="Arial"/>
          <w:spacing w:val="3"/>
          <w:lang w:eastAsia="fr-FR"/>
        </w:rPr>
        <w:t xml:space="preserve">The idea is not to assess again all funds against leverage risk in as systematic way; the scope of Article 25 is not linked to a general assessment, but the identification </w:t>
      </w:r>
      <w:r>
        <w:rPr>
          <w:rFonts w:ascii="Arial" w:hAnsi="Arial" w:cs="Arial"/>
          <w:spacing w:val="3"/>
          <w:lang w:eastAsia="fr-FR"/>
        </w:rPr>
        <w:lastRenderedPageBreak/>
        <w:t xml:space="preserve">of potential systemic risk, which is not stemming from low levered funds whatever their size. It is the combination of a more than substantially leveraged fund and its scale. This exercise should concentrate to the needs of Article 25 only, </w:t>
      </w:r>
      <w:proofErr w:type="spellStart"/>
      <w:r>
        <w:rPr>
          <w:rFonts w:ascii="Arial" w:hAnsi="Arial" w:cs="Arial"/>
          <w:spacing w:val="3"/>
          <w:lang w:eastAsia="fr-FR"/>
        </w:rPr>
        <w:t>ie</w:t>
      </w:r>
      <w:proofErr w:type="spellEnd"/>
      <w:r>
        <w:rPr>
          <w:rFonts w:ascii="Arial" w:hAnsi="Arial" w:cs="Arial"/>
          <w:spacing w:val="3"/>
          <w:lang w:eastAsia="fr-FR"/>
        </w:rPr>
        <w:t xml:space="preserve"> prepare to deal with exceptional cases only with regards to systemic risk/disorderly markets risk stemming from excessive use of leverage. For systemic risk in general or stemming from other types of risks, NCAs have already the possibility to act in order to protect markets.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47DCD26B" w14:textId="77777777" w:rsidR="006438C2" w:rsidRDefault="006438C2" w:rsidP="006438C2">
      <w:pPr>
        <w:jc w:val="both"/>
        <w:rPr>
          <w:rFonts w:ascii="Arial" w:hAnsi="Arial" w:cs="Arial"/>
          <w:spacing w:val="3"/>
          <w:lang w:eastAsia="fr-FR"/>
        </w:rPr>
      </w:pPr>
      <w:permStart w:id="819753946" w:edGrp="everyone"/>
      <w:r w:rsidRPr="006D3996">
        <w:rPr>
          <w:rFonts w:ascii="Arial" w:hAnsi="Arial" w:cs="Arial"/>
          <w:spacing w:val="3"/>
          <w:lang w:eastAsia="fr-FR"/>
        </w:rPr>
        <w:t>If the</w:t>
      </w:r>
      <w:r>
        <w:rPr>
          <w:rFonts w:ascii="Arial" w:hAnsi="Arial" w:cs="Arial"/>
          <w:spacing w:val="3"/>
          <w:lang w:eastAsia="fr-FR"/>
        </w:rPr>
        <w:t xml:space="preserve"> first step of assessing the risky funds from a systemic risk point of view is efficiently done then, in case of exceptional circumstances putting leverage limits on identified funds/ funds’ group could be efficient.</w:t>
      </w:r>
    </w:p>
    <w:p w14:paraId="7D813C5E" w14:textId="77777777" w:rsidR="006438C2" w:rsidRDefault="006438C2" w:rsidP="006438C2">
      <w:pPr>
        <w:jc w:val="both"/>
        <w:rPr>
          <w:rFonts w:ascii="Arial" w:hAnsi="Arial" w:cs="Arial"/>
          <w:spacing w:val="3"/>
          <w:lang w:eastAsia="fr-FR"/>
        </w:rPr>
      </w:pPr>
    </w:p>
    <w:p w14:paraId="61F5D8C2" w14:textId="77777777" w:rsidR="006438C2" w:rsidRDefault="006438C2" w:rsidP="006438C2">
      <w:pPr>
        <w:jc w:val="both"/>
        <w:rPr>
          <w:rFonts w:ascii="Arial" w:hAnsi="Arial" w:cs="Arial"/>
          <w:bCs/>
        </w:rPr>
      </w:pPr>
      <w:r>
        <w:rPr>
          <w:rFonts w:ascii="Arial" w:hAnsi="Arial" w:cs="Arial"/>
          <w:spacing w:val="3"/>
          <w:lang w:eastAsia="fr-FR"/>
        </w:rPr>
        <w:t>The example of short selling ban during the recent crisis can be an illustration thereof. In the same manner, the NCAs know their market and ultimately take the responsibility of considering if there is “excessive” leverage</w:t>
      </w:r>
      <w:r>
        <w:rPr>
          <w:rStyle w:val="Appelnotedebasdep"/>
          <w:rFonts w:ascii="Arial" w:hAnsi="Arial" w:cs="Arial"/>
          <w:spacing w:val="3"/>
          <w:lang w:eastAsia="fr-FR"/>
        </w:rPr>
        <w:footnoteReference w:id="3"/>
      </w:r>
      <w:r>
        <w:rPr>
          <w:rFonts w:ascii="Arial" w:hAnsi="Arial" w:cs="Arial"/>
          <w:spacing w:val="3"/>
          <w:lang w:eastAsia="fr-FR"/>
        </w:rPr>
        <w:t xml:space="preserve"> and apply an appropriate measure (which could be in exceptional cases the fact to impose a cap on a specific fund or group of funds) while coordinating with the other NCAs within ESMA. </w:t>
      </w:r>
      <w:r w:rsidRPr="00EE3947">
        <w:rPr>
          <w:rFonts w:ascii="Arial" w:hAnsi="Arial" w:cs="Arial"/>
          <w:bCs/>
        </w:rPr>
        <w:t xml:space="preserve">With regards to the monitoring of leverage and </w:t>
      </w:r>
      <w:r>
        <w:rPr>
          <w:rFonts w:ascii="Arial" w:hAnsi="Arial" w:cs="Arial"/>
          <w:bCs/>
        </w:rPr>
        <w:t xml:space="preserve">the </w:t>
      </w:r>
      <w:r w:rsidRPr="00EE3947">
        <w:rPr>
          <w:rFonts w:ascii="Arial" w:hAnsi="Arial" w:cs="Arial"/>
          <w:bCs/>
        </w:rPr>
        <w:t>assessment of its potential to become in exceptional circumstances a source of systemic risk, it should be reminded the importance of the thorough application of the IOSCO’s Recommendations globally, thus reaching a level playing field.</w:t>
      </w:r>
    </w:p>
    <w:p w14:paraId="2F8978FF" w14:textId="77777777" w:rsidR="006438C2" w:rsidRDefault="006438C2" w:rsidP="006438C2">
      <w:pPr>
        <w:jc w:val="both"/>
        <w:rPr>
          <w:rFonts w:ascii="Arial" w:hAnsi="Arial" w:cs="Arial"/>
          <w:bCs/>
        </w:rPr>
      </w:pPr>
    </w:p>
    <w:p w14:paraId="47F3A567" w14:textId="77777777" w:rsidR="006438C2" w:rsidRDefault="006438C2" w:rsidP="006438C2">
      <w:pPr>
        <w:jc w:val="both"/>
        <w:rPr>
          <w:rFonts w:ascii="Arial" w:hAnsi="Arial" w:cs="Arial"/>
          <w:bCs/>
        </w:rPr>
      </w:pPr>
      <w:r>
        <w:rPr>
          <w:rFonts w:ascii="Arial" w:hAnsi="Arial" w:cs="Arial"/>
          <w:spacing w:val="3"/>
          <w:lang w:eastAsia="fr-FR"/>
        </w:rPr>
        <w:t>These Guidelines applicable to the use of Article 25 should consider that the exercise is meant to be done in exceptional cases and for crisis events.</w:t>
      </w:r>
    </w:p>
    <w:p w14:paraId="691D474B" w14:textId="77777777" w:rsidR="006438C2" w:rsidRDefault="006438C2" w:rsidP="006438C2">
      <w:pPr>
        <w:jc w:val="both"/>
        <w:rPr>
          <w:rFonts w:ascii="Arial" w:hAnsi="Arial" w:cs="Arial"/>
          <w:bCs/>
        </w:rPr>
      </w:pPr>
    </w:p>
    <w:p w14:paraId="2344F126" w14:textId="77777777" w:rsidR="006438C2" w:rsidRPr="00EE3947" w:rsidRDefault="006438C2" w:rsidP="006438C2">
      <w:pPr>
        <w:jc w:val="both"/>
        <w:rPr>
          <w:rFonts w:ascii="Arial" w:hAnsi="Arial" w:cs="Arial"/>
          <w:bCs/>
        </w:rPr>
      </w:pPr>
      <w:r>
        <w:rPr>
          <w:rFonts w:ascii="Arial" w:hAnsi="Arial" w:cs="Arial"/>
          <w:bCs/>
        </w:rPr>
        <w:t xml:space="preserve">Our members think that NCAs should stick to AIFM data that is already provided in existing AIFM </w:t>
      </w:r>
      <w:proofErr w:type="spellStart"/>
      <w:r>
        <w:rPr>
          <w:rFonts w:ascii="Arial" w:hAnsi="Arial" w:cs="Arial"/>
          <w:bCs/>
        </w:rPr>
        <w:t>reportings</w:t>
      </w:r>
      <w:proofErr w:type="spellEnd"/>
      <w:r>
        <w:rPr>
          <w:rFonts w:ascii="Arial" w:hAnsi="Arial" w:cs="Arial"/>
          <w:bCs/>
        </w:rPr>
        <w:t xml:space="preserve">. </w:t>
      </w:r>
    </w:p>
    <w:p w14:paraId="26E3FDAC" w14:textId="77777777" w:rsidR="006438C2" w:rsidRDefault="006438C2" w:rsidP="006438C2">
      <w:pPr>
        <w:jc w:val="both"/>
        <w:rPr>
          <w:rFonts w:ascii="Arial" w:hAnsi="Arial" w:cs="Arial"/>
          <w:b/>
          <w:color w:val="44546A" w:themeColor="text2"/>
        </w:rPr>
      </w:pPr>
    </w:p>
    <w:p w14:paraId="1387722C" w14:textId="77777777" w:rsidR="006438C2" w:rsidRDefault="006438C2" w:rsidP="006438C2">
      <w:pPr>
        <w:jc w:val="both"/>
        <w:rPr>
          <w:rFonts w:ascii="Arial" w:hAnsi="Arial" w:cs="Arial"/>
          <w:spacing w:val="3"/>
          <w:lang w:eastAsia="fr-FR"/>
        </w:rPr>
      </w:pPr>
      <w:r w:rsidRPr="00EE3947">
        <w:rPr>
          <w:rFonts w:ascii="Arial" w:hAnsi="Arial" w:cs="Arial"/>
          <w:bCs/>
        </w:rPr>
        <w:t xml:space="preserve">There should also be mentioned the issue of cost. A complex framework may prove to be costly and it might hinder competition between market places around the world while not proving their </w:t>
      </w:r>
      <w:r w:rsidRPr="00327CC7">
        <w:rPr>
          <w:rFonts w:ascii="Arial" w:hAnsi="Arial" w:cs="Arial"/>
          <w:bCs/>
        </w:rPr>
        <w:t>efficiency</w:t>
      </w:r>
      <w:r w:rsidRPr="00EE3947">
        <w:rPr>
          <w:rFonts w:ascii="Arial" w:hAnsi="Arial" w:cs="Arial"/>
          <w:bCs/>
        </w:rPr>
        <w:t xml:space="preserve">. </w:t>
      </w:r>
      <w:r w:rsidRPr="00D133ED">
        <w:rPr>
          <w:rFonts w:ascii="Arial" w:hAnsi="Arial" w:cs="Arial"/>
          <w:spacing w:val="3"/>
          <w:lang w:eastAsia="fr-FR"/>
        </w:rPr>
        <w:t>Ultimately and more generally, if NCAs want to have a comprehensive view of risks involved in all AIFs, they can for instance make use of the fund inventories that we already provide on a monthly basis to some central banks and regulators in the EU. Thus, NCAs would receive all raw data, and could make their own calculations without additional cost and onus on AIF managers.</w:t>
      </w:r>
      <w:r>
        <w:rPr>
          <w:rFonts w:ascii="Arial" w:hAnsi="Arial" w:cs="Arial"/>
          <w:spacing w:val="3"/>
          <w:lang w:eastAsia="fr-FR"/>
        </w:rPr>
        <w:t xml:space="preserve"> The care and focus which should be used in this exercise are also pleading to avoid that Europe is overreacting with tougher rules than other markets and places itself in an unfavourable competitive position.  </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7C39" w14:textId="77777777" w:rsidR="000F6C2A" w:rsidRDefault="000F6C2A" w:rsidP="007E7997">
      <w:r>
        <w:separator/>
      </w:r>
    </w:p>
  </w:endnote>
  <w:endnote w:type="continuationSeparator" w:id="0">
    <w:p w14:paraId="56B3245D" w14:textId="77777777" w:rsidR="000F6C2A" w:rsidRDefault="000F6C2A" w:rsidP="007E7997">
      <w:r>
        <w:continuationSeparator/>
      </w:r>
    </w:p>
  </w:endnote>
  <w:endnote w:type="continuationNotice" w:id="1">
    <w:p w14:paraId="1E5E4FE3" w14:textId="77777777" w:rsidR="000F6C2A" w:rsidRDefault="000F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FB7C16F"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04029" w14:textId="77777777" w:rsidR="000F6C2A" w:rsidRDefault="000F6C2A" w:rsidP="007E7997">
      <w:r>
        <w:separator/>
      </w:r>
    </w:p>
  </w:footnote>
  <w:footnote w:type="continuationSeparator" w:id="0">
    <w:p w14:paraId="2E0BD0A5" w14:textId="77777777" w:rsidR="000F6C2A" w:rsidRDefault="000F6C2A" w:rsidP="007E7997">
      <w:r>
        <w:continuationSeparator/>
      </w:r>
    </w:p>
  </w:footnote>
  <w:footnote w:type="continuationNotice" w:id="1">
    <w:p w14:paraId="18B0A167" w14:textId="77777777" w:rsidR="000F6C2A" w:rsidRDefault="000F6C2A"/>
  </w:footnote>
  <w:footnote w:id="2">
    <w:p w14:paraId="627ED014" w14:textId="3F82E2B9" w:rsidR="00724EB9" w:rsidRPr="00724EB9" w:rsidRDefault="00724EB9">
      <w:pPr>
        <w:pStyle w:val="Notedebasdepage"/>
      </w:pPr>
      <w:r>
        <w:rPr>
          <w:rStyle w:val="Appelnotedebasdep"/>
        </w:rPr>
        <w:footnoteRef/>
      </w:r>
      <w:r>
        <w:t xml:space="preserve"> </w:t>
      </w:r>
      <w:r>
        <w:t xml:space="preserve">The Association </w:t>
      </w:r>
      <w:proofErr w:type="spellStart"/>
      <w:r>
        <w:t>Française</w:t>
      </w:r>
      <w:proofErr w:type="spellEnd"/>
      <w:r>
        <w:t xml:space="preserve"> de la Gestion financière (AFG) represents and promotes the interests of third-party portfolio management professionals</w:t>
      </w:r>
      <w:r w:rsidR="007D6589">
        <w:t xml:space="preserve"> in France</w:t>
      </w:r>
      <w:bookmarkStart w:id="1" w:name="_GoBack"/>
      <w:bookmarkEnd w:id="1"/>
      <w:r>
        <w:t>. It brings together all asset management players from the discretionary and collective portfolio management segments.</w:t>
      </w:r>
    </w:p>
  </w:footnote>
  <w:footnote w:id="3">
    <w:p w14:paraId="4E33CEC9" w14:textId="77777777" w:rsidR="006438C2" w:rsidRPr="00EE3947" w:rsidRDefault="006438C2" w:rsidP="006438C2">
      <w:pPr>
        <w:pStyle w:val="Notedebasdepage"/>
        <w:jc w:val="both"/>
      </w:pPr>
      <w:r>
        <w:rPr>
          <w:rStyle w:val="Appelnotedebasdep"/>
        </w:rPr>
        <w:footnoteRef/>
      </w:r>
      <w:r>
        <w:t xml:space="preserve"> “</w:t>
      </w:r>
      <w:r w:rsidRPr="005E718A">
        <w:t>Excessive</w:t>
      </w:r>
      <w:r w:rsidRPr="00EE3947">
        <w:t xml:space="preserve"> leverage</w:t>
      </w:r>
      <w:r>
        <w:t>”</w:t>
      </w:r>
      <w:r w:rsidRPr="00EE3947">
        <w:t xml:space="preserve"> is not a n</w:t>
      </w:r>
      <w:r>
        <w:t>otion defined by legislation (neither IOSCO nor AIFM) and this is appropriate knowing that like with the “exceptional circumstances”, defining them is admitting we can forecast the complete spectrum of what may happen in the future and the way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A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791B28"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61AFF"/>
    <w:multiLevelType w:val="hybridMultilevel"/>
    <w:tmpl w:val="E9723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A0648"/>
    <w:multiLevelType w:val="hybridMultilevel"/>
    <w:tmpl w:val="65E44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CB7BBB"/>
    <w:multiLevelType w:val="hybridMultilevel"/>
    <w:tmpl w:val="6352BC52"/>
    <w:lvl w:ilvl="0" w:tplc="CE96F944">
      <w:start w:val="9"/>
      <w:numFmt w:val="bullet"/>
      <w:lvlText w:val="-"/>
      <w:lvlJc w:val="left"/>
      <w:pPr>
        <w:ind w:left="1065" w:hanging="360"/>
      </w:pPr>
      <w:rPr>
        <w:rFonts w:ascii="Calibri" w:eastAsiaTheme="minorEastAsia"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84A7D13"/>
    <w:multiLevelType w:val="hybridMultilevel"/>
    <w:tmpl w:val="09322B2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3"/>
  </w:num>
  <w:num w:numId="4">
    <w:abstractNumId w:val="3"/>
  </w:num>
  <w:num w:numId="5">
    <w:abstractNumId w:val="9"/>
  </w:num>
  <w:num w:numId="6">
    <w:abstractNumId w:val="15"/>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1A4"/>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17F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2C19"/>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055"/>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0396"/>
    <w:rsid w:val="00613BF6"/>
    <w:rsid w:val="00616D27"/>
    <w:rsid w:val="006234FE"/>
    <w:rsid w:val="00623840"/>
    <w:rsid w:val="006255EC"/>
    <w:rsid w:val="00625A25"/>
    <w:rsid w:val="0062736A"/>
    <w:rsid w:val="0063565E"/>
    <w:rsid w:val="00636E02"/>
    <w:rsid w:val="00641DB1"/>
    <w:rsid w:val="00642297"/>
    <w:rsid w:val="006438C2"/>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24EB9"/>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6589"/>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6C0"/>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691"/>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10F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4B45"/>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 w:val="00FF69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3.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35c8e399-07b8-49e4-91bf-01a20105d4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B970E431-C7CE-45D6-9EDF-CA0B083F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8</TotalTime>
  <Pages>11</Pages>
  <Words>3702</Words>
  <Characters>20363</Characters>
  <Application>Microsoft Office Word</Application>
  <DocSecurity>8</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Auteur</cp:lastModifiedBy>
  <cp:revision>12</cp:revision>
  <cp:lastPrinted>2017-07-24T14:47:00Z</cp:lastPrinted>
  <dcterms:created xsi:type="dcterms:W3CDTF">2020-07-17T16:38:00Z</dcterms:created>
  <dcterms:modified xsi:type="dcterms:W3CDTF">2020-07-17T16:49:00Z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