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450E3E8" w14:textId="15796A8D" w:rsidR="00C2682A" w:rsidRPr="00AB6D88" w:rsidRDefault="00CD0188" w:rsidP="00CD0188">
                <w:pPr>
                  <w:rPr>
                    <w:rStyle w:val="PlaceholderText"/>
                    <w:rFonts w:cs="Arial"/>
                  </w:rPr>
                </w:pPr>
                <w:r>
                  <w:rPr>
                    <w:rStyle w:val="PlaceholderText"/>
                    <w:rFonts w:cs="Arial"/>
                  </w:rPr>
                  <w:t>Nasdaq</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12E7CC69" w:rsidR="00C2682A" w:rsidRPr="00AB6D88" w:rsidRDefault="0096252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D0188">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74F28DDD" w:rsidR="00C2682A" w:rsidRPr="00AB6D88" w:rsidRDefault="00CD0188" w:rsidP="00FA5524">
                <w:pPr>
                  <w:rPr>
                    <w:rFonts w:cs="Arial"/>
                  </w:rPr>
                </w:pPr>
                <w:r>
                  <w:rPr>
                    <w:rFonts w:cs="Arial"/>
                  </w:rPr>
                  <w:t>Europe</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2A634AA6" w14:textId="13FF15BB" w:rsidR="00CD0188" w:rsidRDefault="00CD0188" w:rsidP="00F87897">
      <w:permStart w:id="426801697" w:edGrp="everyone"/>
      <w:proofErr w:type="gramStart"/>
      <w:r>
        <w:t>Nasdaq</w:t>
      </w:r>
      <w:proofErr w:type="gramEnd"/>
      <w:r>
        <w:t xml:space="preserve"> operates regulated markets and MTFs in Europe in Iceland, Estonia, Latvia, Lithuania, Denmark, Finland and Sweden. </w:t>
      </w:r>
      <w:r w:rsidR="0092636D">
        <w:t xml:space="preserve">The growth market MTFs have since long been operated under the brand name First North. </w:t>
      </w:r>
      <w:r>
        <w:t>In Sweden, Denmark and Finland, the MTFs</w:t>
      </w:r>
      <w:r w:rsidR="0092636D">
        <w:t xml:space="preserve"> focused on growth companies </w:t>
      </w:r>
      <w:r>
        <w:t>have been converted to SME Growth Markets in accordance with MiFID.</w:t>
      </w:r>
    </w:p>
    <w:p w14:paraId="2E804D16" w14:textId="116CF6EC" w:rsidR="00CD0188" w:rsidRDefault="00CD0188" w:rsidP="00F87897"/>
    <w:p w14:paraId="1C498877" w14:textId="7D0BFD43" w:rsidR="00A05E13" w:rsidRDefault="00A05E13" w:rsidP="00F87897">
      <w:r>
        <w:t>Relative to other regions across Europe, the growth markets in the Nordics, especially Sweden, are very successful.</w:t>
      </w:r>
      <w:r w:rsidR="00D86DB6">
        <w:t xml:space="preserve"> At the end of 2019, 360 companies were listed on First North across the Nordics. 25+ of those were non-Nordic companies. The market value of First North listed companies were 25bn EUR. In 2019 there were 40 new listings on First North Nordics and the total capital raised (incl. both IPO and </w:t>
      </w:r>
      <w:proofErr w:type="spellStart"/>
      <w:r w:rsidR="00D86DB6">
        <w:t>secondaires</w:t>
      </w:r>
      <w:proofErr w:type="spellEnd"/>
      <w:r w:rsidR="00D86DB6">
        <w:t>) were 2.1bn EUR. The range of each capital raising varied from 0.8 to 39million EUR.</w:t>
      </w:r>
    </w:p>
    <w:p w14:paraId="150D9220" w14:textId="77777777" w:rsidR="00A05E13" w:rsidRDefault="00A05E13" w:rsidP="00F87897"/>
    <w:p w14:paraId="79A2DCE4" w14:textId="77777777" w:rsidR="00D86DB6" w:rsidRDefault="00A05E13" w:rsidP="00F87897">
      <w:r>
        <w:t xml:space="preserve">Many of the topics for discussion in this consultation paper are at the core of the broad considerations </w:t>
      </w:r>
      <w:proofErr w:type="gramStart"/>
      <w:r>
        <w:t>Nasdaq</w:t>
      </w:r>
      <w:proofErr w:type="gramEnd"/>
      <w:r>
        <w:t xml:space="preserve"> has been engaging in during a long time, and especially since the growth markets were introduced over 10 years ago. </w:t>
      </w:r>
      <w:r w:rsidR="00D86DB6">
        <w:t>A few important principles have emerged over those years:</w:t>
      </w:r>
    </w:p>
    <w:p w14:paraId="0DBA4DBD" w14:textId="77777777" w:rsidR="00D86DB6" w:rsidRDefault="00D86DB6" w:rsidP="00F87897"/>
    <w:p w14:paraId="622619E3" w14:textId="1B2C081E" w:rsidR="00F87897" w:rsidRDefault="00D86DB6" w:rsidP="00F87897">
      <w:r>
        <w:t xml:space="preserve">A successful growth market is dependent on a </w:t>
      </w:r>
      <w:proofErr w:type="spellStart"/>
      <w:r>
        <w:t>well functioning</w:t>
      </w:r>
      <w:proofErr w:type="spellEnd"/>
      <w:r>
        <w:t xml:space="preserve"> ecosystem. Many components are important beyond only the market infrastructure as such and the issuers, such as investors of all kinds (small and big), advisors, research and analysis, media</w:t>
      </w:r>
      <w:r w:rsidR="0060271A">
        <w:t xml:space="preserve"> and intermediaries of various types.</w:t>
      </w:r>
      <w:r w:rsidR="00CD0188">
        <w:t xml:space="preserve"> </w:t>
      </w:r>
    </w:p>
    <w:p w14:paraId="03402398" w14:textId="3C631575" w:rsidR="00F87897" w:rsidRDefault="00F87897" w:rsidP="00F87897"/>
    <w:p w14:paraId="403AEE23" w14:textId="77A90321" w:rsidR="00F87897" w:rsidRDefault="0060271A" w:rsidP="00F87897">
      <w:r>
        <w:t>The whole funding escalator needs to be in place, from start-up funding to large cap secondary capital raising and everything in between.</w:t>
      </w:r>
    </w:p>
    <w:p w14:paraId="29EA0047" w14:textId="00A727A0" w:rsidR="0060271A" w:rsidRDefault="0060271A" w:rsidP="00F87897"/>
    <w:p w14:paraId="27A7D621" w14:textId="3B845869" w:rsidR="0060271A" w:rsidRDefault="0060271A" w:rsidP="00F87897">
      <w:r>
        <w:t xml:space="preserve">Each country/region is different, so there needs to be flexibility in the </w:t>
      </w:r>
      <w:r w:rsidR="0016608C">
        <w:t>framework around SMEs.</w:t>
      </w:r>
    </w:p>
    <w:p w14:paraId="6983E4F4" w14:textId="368C8DAA" w:rsidR="0060271A" w:rsidRDefault="0060271A" w:rsidP="00F87897"/>
    <w:p w14:paraId="492391FE" w14:textId="5EE53C8A" w:rsidR="00CE7F24" w:rsidRDefault="00CE7F24" w:rsidP="00F87897">
      <w:r>
        <w:t xml:space="preserve">A clear observation is that retail investors and other small investors are key for making growth markets a success. On the First North Nordics more than 50% of the trading is from retail investors, compared to ca 10% on the main market. Financial regulation needs to further facilitate for retail and other smaller investors to participate in the SME Growth Markets. It helps the SMEs but it also allows for the general public to take part of the growth that SMEs generate. An example of an opportunity to further explore </w:t>
      </w:r>
      <w:r w:rsidR="00EC7E12">
        <w:t xml:space="preserve">for smaller investors </w:t>
      </w:r>
      <w:r>
        <w:t>is SME bond markets, see Q 1.</w:t>
      </w:r>
    </w:p>
    <w:permEnd w:id="426801697"/>
    <w:p w14:paraId="35684C97" w14:textId="77777777" w:rsidR="00F87897" w:rsidRDefault="00F87897" w:rsidP="00F87897"/>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7FB26C2" w14:textId="5C589699" w:rsidR="00A8728B" w:rsidRDefault="00F13639" w:rsidP="00A8728B">
      <w:permStart w:id="1472079269" w:edGrp="everyone"/>
      <w:proofErr w:type="gramStart"/>
      <w:r>
        <w:t>Nasdaq</w:t>
      </w:r>
      <w:proofErr w:type="gramEnd"/>
      <w:r>
        <w:t xml:space="preserve"> believes bonds would be an appropriate source for financing for SMEs, and equally a suitable type of investment for investors in SMEs. We agree and regret that SME activity in bonds is limited and we believe there is an important opportunity to explore, especially in segments for smaller issuers and smaller investors. This needs to be done in a way as to not deteriorate the wholesale segment.</w:t>
      </w:r>
    </w:p>
    <w:p w14:paraId="4D965F6C" w14:textId="5589E437" w:rsidR="00F13639" w:rsidRDefault="00F13639" w:rsidP="00A8728B"/>
    <w:p w14:paraId="1E66E42A" w14:textId="4CCF1372" w:rsidR="00A8728B" w:rsidRDefault="00F13639" w:rsidP="00A8728B">
      <w:r>
        <w:t xml:space="preserve">A first measure should be to adapt the Prospectus Regulation so that it does not </w:t>
      </w:r>
      <w:proofErr w:type="spellStart"/>
      <w:r>
        <w:t>disincentivise</w:t>
      </w:r>
      <w:proofErr w:type="spellEnd"/>
      <w:r>
        <w:t xml:space="preserve"> the issuance of bonds with smaller denominations. Today, the 100’ Euro threshold allows issuers to draw up a simpler prospectus when issuing bonds with those high denominations for the wholesale market. This threshold steers the whole financial ecosystem away from </w:t>
      </w:r>
      <w:r w:rsidR="007659BF">
        <w:t>smaller denominations which would indeed be more suitable for SMEs and smaller investors.</w:t>
      </w:r>
    </w:p>
    <w:p w14:paraId="6158BB50" w14:textId="0F1749A2" w:rsidR="00A8728B" w:rsidRDefault="00A8728B" w:rsidP="00A8728B"/>
    <w:p w14:paraId="0B7085D9" w14:textId="68B635F7" w:rsidR="00A8728B" w:rsidRDefault="00F13639" w:rsidP="00A8728B">
      <w:r>
        <w:t>Overall, we also believe financial legislation should be reviewed from the perspective of bond instruments only. There is room for simplification in for instance MAR, the Prospectus Regulation and Transparency Directive</w:t>
      </w:r>
      <w:r w:rsidR="007659BF">
        <w:t xml:space="preserve"> in order to review unnecessary costs for bond issuers</w:t>
      </w:r>
      <w:r>
        <w:t>. Legislation currently applicable to bonds has often been developed by adapting legislation originally drawn up for equity instruments. Relevant but small adaptations have been made. A more tailored regime overall should better support activities in bond markets for SMEs, thereby contributing to SMEs’ access to finance and creation of growth.</w:t>
      </w:r>
    </w:p>
    <w:p w14:paraId="590393F9" w14:textId="02C7AD68" w:rsidR="00A8728B" w:rsidRDefault="00A8728B" w:rsidP="00A8728B"/>
    <w:p w14:paraId="415431C4" w14:textId="493C316B" w:rsidR="00A8728B" w:rsidRDefault="007659BF" w:rsidP="00A8728B">
      <w:r>
        <w:t>We want to especially underline that the regulatory framework should allow SMEs as well as smaller investors to be a part of the growth of the green bond segment. In the Nordic countries especially the green bond market is growing exponentially. Demand for sustainable investments is high from many investors, not least retail investors. The green bond segment presents an immense opportunity for Europe to engage retail investors. The regulatory framework should be calibrate</w:t>
      </w:r>
      <w:r w:rsidR="00CE7F24">
        <w:t>d to embrace this opportunity</w:t>
      </w:r>
      <w:r>
        <w:t xml:space="preserve">, not to </w:t>
      </w:r>
      <w:proofErr w:type="spellStart"/>
      <w:r>
        <w:t>disincentivise</w:t>
      </w:r>
      <w:proofErr w:type="spellEnd"/>
      <w:r>
        <w:t xml:space="preserve"> it.</w:t>
      </w:r>
      <w:permEnd w:id="1472079269"/>
    </w:p>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40A7B39E" w14:textId="630E57C9" w:rsidR="008B3067" w:rsidRDefault="008B3067" w:rsidP="00A8728B">
      <w:permStart w:id="1018121392" w:edGrp="everyone"/>
      <w:r>
        <w:t>In our experience, issuers, investors and other stakeholders within a financial ecosystem are attracted by a viable and liquid market. It is important to build this locally first.</w:t>
      </w:r>
    </w:p>
    <w:p w14:paraId="384AB547" w14:textId="6F949382" w:rsidR="008B3067" w:rsidRDefault="008B3067" w:rsidP="00A8728B"/>
    <w:p w14:paraId="31EBD4DE" w14:textId="3ABA8EA5" w:rsidR="008B3067" w:rsidRDefault="008B3067" w:rsidP="00A8728B">
      <w:r>
        <w:t>One obstacle for cross-border transactions is in the post-trade and settlement part of the chain. We encourage a review of CSDR as regards what improvements in the rules a</w:t>
      </w:r>
      <w:r w:rsidR="00962528">
        <w:t>s</w:t>
      </w:r>
      <w:r>
        <w:t xml:space="preserve"> such </w:t>
      </w:r>
      <w:proofErr w:type="gramStart"/>
      <w:r>
        <w:t>and also</w:t>
      </w:r>
      <w:proofErr w:type="gramEnd"/>
      <w:r>
        <w:t xml:space="preserve"> in the implementation of CSDR can be made, in order to reduce friction in the transaction chain especially in cross-border contexts.</w:t>
      </w:r>
    </w:p>
    <w:p w14:paraId="03DE08BD" w14:textId="77777777" w:rsidR="008B3067" w:rsidRDefault="008B3067" w:rsidP="00A8728B"/>
    <w:p w14:paraId="7E606B44" w14:textId="6D2EEB0F" w:rsidR="00A8728B" w:rsidRDefault="00EC7E12" w:rsidP="00A8728B">
      <w:r>
        <w:t xml:space="preserve">It </w:t>
      </w:r>
      <w:proofErr w:type="gramStart"/>
      <w:r>
        <w:t xml:space="preserve">should </w:t>
      </w:r>
      <w:r w:rsidR="008B3067">
        <w:t xml:space="preserve">also </w:t>
      </w:r>
      <w:r>
        <w:t>be explored</w:t>
      </w:r>
      <w:proofErr w:type="gramEnd"/>
      <w:r>
        <w:t xml:space="preserve"> how market operators could be allowed under MiFID to operate listing venues across borders via branches. Currently, for instance investment firms can operate via branches, and so can CSDs, but not exchanges. For instance in the three Baltic countries one CSD now serves all three countries, which has been a key factor for launching the Pan-Baltic Capital Market initiative. This is an example of how scale can be created across a region where each capital market is relatively small. However, the exch</w:t>
      </w:r>
      <w:r w:rsidR="00CD436B">
        <w:t>ange cannot take the same steps as CSD and</w:t>
      </w:r>
      <w:r>
        <w:t xml:space="preserve"> create the same scale on the listing side. </w:t>
      </w:r>
      <w:permEnd w:id="1018121392"/>
    </w:p>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lastRenderedPageBreak/>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5501614E" w14:textId="301F3B94" w:rsidR="002E1760" w:rsidRDefault="00DD0D68" w:rsidP="002E1760">
      <w:permStart w:id="1430405890" w:edGrp="everyone"/>
      <w:r>
        <w:t>The current threshold is appropriate.</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71B02355" w14:textId="6596E940" w:rsidR="002E1760" w:rsidRDefault="00F54095" w:rsidP="002E1760">
      <w:permStart w:id="815333937" w:edGrp="everyone"/>
      <w:r>
        <w:t>Alignment would contribute to simplification and would be welcome.</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76AF3F4D" w14:textId="553334CD" w:rsidR="008B3067" w:rsidRDefault="008B3067" w:rsidP="00227C1A">
      <w:permStart w:id="1998791765" w:edGrp="everyone"/>
      <w:r>
        <w:t xml:space="preserve">In general, the current minimum requirements are relevant, as they allow for tailoring of the specific rules according to what is preferable in each financial ecosystem. The market operator can maintain a dialogue with issuers, investors, advisors and other stakeholders, </w:t>
      </w:r>
      <w:proofErr w:type="gramStart"/>
      <w:r>
        <w:t>in order to continuously</w:t>
      </w:r>
      <w:r w:rsidR="00C9505C">
        <w:t xml:space="preserve"> make</w:t>
      </w:r>
      <w:proofErr w:type="gramEnd"/>
      <w:r w:rsidR="00C9505C">
        <w:t xml:space="preserve"> adaptations as necessary. We strongly support allowing issuers listed on SME Growth Markets to apply local rules for corporate governance, accounting, etc. Please note that this still allows issuers to opt in to more standardised or stricter rules on a voluntary basis.</w:t>
      </w:r>
    </w:p>
    <w:p w14:paraId="64E49D1D" w14:textId="77777777" w:rsidR="008B3067" w:rsidRDefault="008B3067" w:rsidP="00227C1A"/>
    <w:p w14:paraId="514CF23A" w14:textId="659AA9B9" w:rsidR="00227C1A" w:rsidRDefault="008B3067" w:rsidP="00227C1A">
      <w:r>
        <w:t xml:space="preserve">However, </w:t>
      </w:r>
      <w:r w:rsidR="00C9505C">
        <w:t>we want to make a comment about the free-float requirement. T</w:t>
      </w:r>
      <w:r w:rsidR="00580DC3">
        <w:t>he main reason why the Nasdaq MTFs operated in the Baltic countries have not</w:t>
      </w:r>
      <w:r w:rsidR="00F54095">
        <w:t xml:space="preserve"> opted to become SME Growth </w:t>
      </w:r>
      <w:proofErr w:type="gramStart"/>
      <w:r w:rsidR="00F54095">
        <w:t>Mar</w:t>
      </w:r>
      <w:r w:rsidR="00962528">
        <w:t>kets,</w:t>
      </w:r>
      <w:proofErr w:type="gramEnd"/>
      <w:r w:rsidR="00CD436B">
        <w:t xml:space="preserve"> is the free-f</w:t>
      </w:r>
      <w:r w:rsidR="00580DC3">
        <w:t>loat requirement. The Baltic capital markets are relatively small, in terms of market cap and number of listed companies, but also in terms of other stakeholders which are fundamental for the financial ecosystem, such as investors, advisors and intermediarie</w:t>
      </w:r>
      <w:r w:rsidR="00CD436B">
        <w:t>s. It sometimes takes quite an effort</w:t>
      </w:r>
      <w:r w:rsidR="00580DC3">
        <w:t xml:space="preserve"> for a company to build an investor base large enough to fulfil the free</w:t>
      </w:r>
      <w:r w:rsidR="00CD436B">
        <w:t>-</w:t>
      </w:r>
      <w:r w:rsidR="00580DC3">
        <w:t>float requirement and qualify for a</w:t>
      </w:r>
      <w:r w:rsidR="00CD436B">
        <w:t>n IPO at all. A useful alternative</w:t>
      </w:r>
      <w:r w:rsidR="00580DC3">
        <w:t xml:space="preserve"> has however developed</w:t>
      </w:r>
      <w:r w:rsidR="00CD436B">
        <w:t>,</w:t>
      </w:r>
      <w:r w:rsidR="00580DC3">
        <w:t xml:space="preserve"> in </w:t>
      </w:r>
      <w:proofErr w:type="gramStart"/>
      <w:r w:rsidR="00580DC3">
        <w:t>that</w:t>
      </w:r>
      <w:proofErr w:type="gramEnd"/>
      <w:r w:rsidR="00580DC3">
        <w:t xml:space="preserve"> companies do a technical listing, i.e. the shares are listed but still held by a limited number of owners. From the position of being listed, the company then works on visibility, builds up confidence from complying with the listing rules and from this position it is easier to build up an investor base and achieve free float. We recognise this solution as one way of climbing up the funding escalator. This model allows smaller companies in smaller markets to tap the capital markets in a way which </w:t>
      </w:r>
      <w:r w:rsidR="00C63191">
        <w:t>is adapted to the local financial ecosystem. We believe abolishing the free</w:t>
      </w:r>
      <w:r w:rsidR="00CD436B">
        <w:t>-</w:t>
      </w:r>
      <w:r w:rsidR="00C63191">
        <w:t>float requirement would be an appropriate adaptation of the EU legislative framework to local conditions, which are crucial when it comes to growth of smaller companies</w:t>
      </w:r>
      <w:r w:rsidR="00CD436B">
        <w:t xml:space="preserve"> especially in smaller markets</w:t>
      </w:r>
      <w:r w:rsidR="00C63191">
        <w:t>.</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66F82FA5" w14:textId="3B025A2D" w:rsidR="0062022D" w:rsidRDefault="00EC7E12" w:rsidP="0062022D">
      <w:permStart w:id="893603295" w:edGrp="everyone"/>
      <w:r>
        <w:lastRenderedPageBreak/>
        <w:t>Using a harmonised accounting standard instead of local GAAP should remain optional for issuers listed on an SME Growth Market. It would be beneficial if there was an easy to use harmonised accounting standard for SMEs available. This way each issuer can decide if or when the time is right to opt in. Some issuers will always remain local and for these issuers it is more cost-efficient to use local GAAP. However, other issuers have a more international outlook/business/investor base, and for these issuers a harmonised regime may be more useful.</w:t>
      </w:r>
    </w:p>
    <w:p w14:paraId="644A459D" w14:textId="2F4707EC" w:rsidR="0062022D" w:rsidRDefault="0062022D" w:rsidP="0062022D"/>
    <w:p w14:paraId="778CE969" w14:textId="77777777" w:rsidR="00C9505C" w:rsidRDefault="00EC7E12" w:rsidP="0062022D">
      <w:r>
        <w:t xml:space="preserve">In </w:t>
      </w:r>
      <w:proofErr w:type="gramStart"/>
      <w:r>
        <w:t>Nasdaq’s</w:t>
      </w:r>
      <w:proofErr w:type="gramEnd"/>
      <w:r>
        <w:t xml:space="preserve"> growth markets only a few companies have opted to use IFRS. In the “Premier Segment”, which companies can opt in to </w:t>
      </w:r>
      <w:r w:rsidR="00B92519">
        <w:t xml:space="preserve">and which in practice functions </w:t>
      </w:r>
      <w:r>
        <w:t xml:space="preserve">as a stepping stone on the way to switching to the main market, IFRS applies according to the listing rules. We are convinced that if IFRS </w:t>
      </w:r>
      <w:proofErr w:type="gramStart"/>
      <w:r>
        <w:t>was mandated</w:t>
      </w:r>
      <w:proofErr w:type="gramEnd"/>
      <w:r>
        <w:t xml:space="preserve"> for all issuers on the SME Growth Market it would be a clear deterrent to using the capital markets for accessing finance</w:t>
      </w:r>
      <w:r w:rsidR="00C9505C">
        <w:t>.</w:t>
      </w:r>
    </w:p>
    <w:p w14:paraId="3E0357E5" w14:textId="77777777" w:rsidR="00C9505C" w:rsidRDefault="00C9505C" w:rsidP="0062022D"/>
    <w:p w14:paraId="41C631CA" w14:textId="2C273790" w:rsidR="00C9505C" w:rsidRPr="00C9505C" w:rsidRDefault="00C9505C" w:rsidP="00C9505C">
      <w:pPr>
        <w:spacing w:after="160" w:line="259" w:lineRule="auto"/>
        <w:rPr>
          <w:lang w:val="en-US"/>
        </w:rPr>
      </w:pPr>
      <w:r>
        <w:t xml:space="preserve">According to our observations, </w:t>
      </w:r>
      <w:proofErr w:type="spellStart"/>
      <w:r>
        <w:t>i</w:t>
      </w:r>
      <w:proofErr w:type="spellEnd"/>
      <w:r w:rsidRPr="00C9505C">
        <w:rPr>
          <w:lang w:val="en-US"/>
        </w:rPr>
        <w:t xml:space="preserve">nvestors in the Nordics </w:t>
      </w:r>
      <w:r>
        <w:rPr>
          <w:lang w:val="en-US"/>
        </w:rPr>
        <w:t>do invest in</w:t>
      </w:r>
      <w:r w:rsidRPr="00C9505C">
        <w:rPr>
          <w:lang w:val="en-US"/>
        </w:rPr>
        <w:t xml:space="preserve"> other countries too and lo</w:t>
      </w:r>
      <w:r>
        <w:rPr>
          <w:lang w:val="en-US"/>
        </w:rPr>
        <w:t xml:space="preserve">cal accounting standard </w:t>
      </w:r>
      <w:proofErr w:type="gramStart"/>
      <w:r>
        <w:rPr>
          <w:lang w:val="en-US"/>
        </w:rPr>
        <w:t>is not considered</w:t>
      </w:r>
      <w:proofErr w:type="gramEnd"/>
      <w:r>
        <w:rPr>
          <w:lang w:val="en-US"/>
        </w:rPr>
        <w:t xml:space="preserve"> a major obstacle for this.</w:t>
      </w:r>
    </w:p>
    <w:p w14:paraId="5307AA4C" w14:textId="486ADAC4" w:rsidR="0062022D" w:rsidRDefault="00C9505C" w:rsidP="0062022D">
      <w:r w:rsidRPr="00C9505C">
        <w:rPr>
          <w:lang w:val="en-US"/>
        </w:rPr>
        <w:t>Time-to-market is ofte</w:t>
      </w:r>
      <w:r>
        <w:rPr>
          <w:lang w:val="en-US"/>
        </w:rPr>
        <w:t>n a parameter for an SME in a listing process. I</w:t>
      </w:r>
      <w:r w:rsidRPr="00C9505C">
        <w:rPr>
          <w:lang w:val="en-US"/>
        </w:rPr>
        <w:t xml:space="preserve">f a new accounting standard is </w:t>
      </w:r>
      <w:proofErr w:type="gramStart"/>
      <w:r w:rsidRPr="00C9505C">
        <w:rPr>
          <w:lang w:val="en-US"/>
        </w:rPr>
        <w:t>required</w:t>
      </w:r>
      <w:proofErr w:type="gramEnd"/>
      <w:r w:rsidRPr="00C9505C">
        <w:rPr>
          <w:lang w:val="en-US"/>
        </w:rPr>
        <w:t xml:space="preserve"> that will not be in favor for ra</w:t>
      </w:r>
      <w:r>
        <w:rPr>
          <w:lang w:val="en-US"/>
        </w:rPr>
        <w:t>ising money on a public market. On the contrary, it would function as a disincentive at that point. It is preferable that the company can voluntarily opt in to another standard once listed, as part of a growth journey</w:t>
      </w:r>
      <w:r w:rsidR="00EC7E12">
        <w:t>.</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679E57AF" w14:textId="77777777" w:rsidR="00CF0BA4" w:rsidRDefault="00B92519" w:rsidP="00A263DF">
      <w:permStart w:id="1517158952" w:edGrp="everyone"/>
      <w:r>
        <w:t xml:space="preserve">We do not see benefits in layering rules according to sizes of SMEs. Creating further complexities risk creating frictions for many stakeholders in the financial ecosystem. </w:t>
      </w:r>
      <w:proofErr w:type="gramStart"/>
      <w:r w:rsidR="00CF0BA4">
        <w:t>Also</w:t>
      </w:r>
      <w:proofErr w:type="gramEnd"/>
      <w:r w:rsidR="00CF0BA4">
        <w:t>, it would create additional complications as companies grow and change category.</w:t>
      </w:r>
    </w:p>
    <w:p w14:paraId="2142B28F" w14:textId="5B7C05CC" w:rsidR="00CF0BA4" w:rsidRPr="00CF0BA4" w:rsidRDefault="00CF0BA4" w:rsidP="00A263DF"/>
    <w:p w14:paraId="1740FA28" w14:textId="232C70F4" w:rsidR="00CF0BA4" w:rsidRPr="00CF0BA4" w:rsidRDefault="00CF0BA4" w:rsidP="00CF0BA4">
      <w:pPr>
        <w:spacing w:after="160" w:line="259" w:lineRule="auto"/>
      </w:pPr>
      <w:r>
        <w:rPr>
          <w:lang w:val="en-US"/>
        </w:rPr>
        <w:t>M</w:t>
      </w:r>
      <w:r w:rsidRPr="00CF0BA4">
        <w:rPr>
          <w:lang w:val="en-US"/>
        </w:rPr>
        <w:t xml:space="preserve">icrocaps </w:t>
      </w:r>
      <w:proofErr w:type="gramStart"/>
      <w:r w:rsidRPr="00CF0BA4">
        <w:rPr>
          <w:lang w:val="en-US"/>
        </w:rPr>
        <w:t>are already listed</w:t>
      </w:r>
      <w:proofErr w:type="gramEnd"/>
      <w:r w:rsidRPr="00CF0BA4">
        <w:rPr>
          <w:lang w:val="en-US"/>
        </w:rPr>
        <w:t xml:space="preserve"> in the Nordics</w:t>
      </w:r>
      <w:r>
        <w:rPr>
          <w:lang w:val="en-US"/>
        </w:rPr>
        <w:t>. A m</w:t>
      </w:r>
      <w:r w:rsidRPr="00CF0BA4">
        <w:rPr>
          <w:lang w:val="en-US"/>
        </w:rPr>
        <w:t xml:space="preserve">icrocap segment with lower listing requirement may imply substantially higher </w:t>
      </w:r>
      <w:proofErr w:type="gramStart"/>
      <w:r w:rsidRPr="00CF0BA4">
        <w:rPr>
          <w:lang w:val="en-US"/>
        </w:rPr>
        <w:t>risk which</w:t>
      </w:r>
      <w:proofErr w:type="gramEnd"/>
      <w:r w:rsidRPr="00CF0BA4">
        <w:rPr>
          <w:lang w:val="en-US"/>
        </w:rPr>
        <w:t xml:space="preserve"> would reduce the trust in SME GMs</w:t>
      </w:r>
      <w:r>
        <w:rPr>
          <w:lang w:val="en-US"/>
        </w:rPr>
        <w:t>. We see a risk that such a situation would not support the broader use of public markets and of equity financing.</w:t>
      </w:r>
    </w:p>
    <w:p w14:paraId="66DB7A91" w14:textId="1F126F40" w:rsidR="00A263DF" w:rsidRDefault="00B92519" w:rsidP="00A263DF">
      <w:r>
        <w:t xml:space="preserve">Rather, </w:t>
      </w:r>
      <w:r w:rsidR="00CD436B">
        <w:t>the focus should be to ensure</w:t>
      </w:r>
      <w:r>
        <w:t xml:space="preserve"> appropriate</w:t>
      </w:r>
      <w:r w:rsidR="00CD436B">
        <w:t xml:space="preserve"> rules for smaller companies. This does not preclude the listing venue in cooperation with the broader financial ecosystem to introduce stricter rules via the listing agreement/rules, or via opt-in. For example, the First North ‘Premier’ segment allow issuers on the SME Growth Market to opt into a stricter layer of rules, such as IFRS. In practice, this segment </w:t>
      </w:r>
      <w:proofErr w:type="gramStart"/>
      <w:r w:rsidR="00CD436B">
        <w:t>is used</w:t>
      </w:r>
      <w:proofErr w:type="gramEnd"/>
      <w:r w:rsidR="00CD436B">
        <w:t xml:space="preserve"> as a stepping-stone towards a switch to the main market.</w:t>
      </w:r>
      <w:r>
        <w:t xml:space="preserve"> </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5A00EFF8" w14:textId="3204A5F4" w:rsidR="00E564A0" w:rsidRDefault="00C63191" w:rsidP="00A263DF">
      <w:permStart w:id="1657668776" w:edGrp="everyone"/>
      <w:r>
        <w:t xml:space="preserve">We do not believe such </w:t>
      </w:r>
      <w:r w:rsidR="00CF0BA4">
        <w:t xml:space="preserve">an amendment would add </w:t>
      </w:r>
      <w:r>
        <w:t>value.</w:t>
      </w:r>
      <w:r w:rsidR="00E564A0">
        <w:t xml:space="preserve"> From </w:t>
      </w:r>
      <w:r w:rsidR="00CD436B">
        <w:t xml:space="preserve">our experiences of </w:t>
      </w:r>
      <w:r w:rsidR="00E564A0">
        <w:t xml:space="preserve">developing growth markets across seven jurisdictions during more than a decade, we believe some room </w:t>
      </w:r>
      <w:r w:rsidR="00CF0BA4">
        <w:t xml:space="preserve">in this regard </w:t>
      </w:r>
      <w:r w:rsidR="00E564A0">
        <w:t xml:space="preserve">needs to </w:t>
      </w:r>
      <w:proofErr w:type="gramStart"/>
      <w:r w:rsidR="00E564A0">
        <w:t>be left</w:t>
      </w:r>
      <w:proofErr w:type="gramEnd"/>
      <w:r w:rsidR="00E564A0">
        <w:t xml:space="preserve"> for adaptation to the local ecosystem, close to the smaller companies.</w:t>
      </w:r>
    </w:p>
    <w:p w14:paraId="3DC73200" w14:textId="09338936" w:rsidR="00E564A0" w:rsidRDefault="00E564A0" w:rsidP="00A263DF"/>
    <w:p w14:paraId="17AE205F" w14:textId="12C9D3C0" w:rsidR="00A263DF" w:rsidRDefault="00E564A0" w:rsidP="00A263DF">
      <w:r>
        <w:lastRenderedPageBreak/>
        <w:t xml:space="preserve">In </w:t>
      </w:r>
      <w:proofErr w:type="gramStart"/>
      <w:r>
        <w:t>Nasdaq’s</w:t>
      </w:r>
      <w:proofErr w:type="gramEnd"/>
      <w:r>
        <w:t xml:space="preserve"> growth markets, apart from the already existing requirement in the Prospectus Regulation to include historical financial information, the below requirements in the listing rules are relevant:</w:t>
      </w:r>
    </w:p>
    <w:p w14:paraId="354589F9" w14:textId="4DE669C9" w:rsidR="00E564A0" w:rsidRDefault="00E564A0" w:rsidP="00A263DF"/>
    <w:p w14:paraId="1B753397" w14:textId="7EAA4CBA" w:rsidR="00E564A0" w:rsidRDefault="00E564A0" w:rsidP="00A263DF">
      <w:r>
        <w:t xml:space="preserve">The Nasdaq SME GM listing rules require an issuer who falls outside the scope of the Prospectus Regulation to draw up a so called Company Description instead. The Company Description also requires historical financial information. </w:t>
      </w:r>
      <w:proofErr w:type="gramStart"/>
      <w:r>
        <w:t>Nasdaq</w:t>
      </w:r>
      <w:proofErr w:type="gramEnd"/>
      <w:r>
        <w:t xml:space="preserve"> requires the Company Description to be published on the company’s website.</w:t>
      </w:r>
    </w:p>
    <w:p w14:paraId="4669E31E" w14:textId="3A9BF2E6" w:rsidR="00E564A0" w:rsidRDefault="00E564A0" w:rsidP="00A263DF"/>
    <w:p w14:paraId="75A47B86" w14:textId="53701ABD" w:rsidR="00E564A0" w:rsidRDefault="00E564A0" w:rsidP="00E564A0">
      <w:r>
        <w:t xml:space="preserve">Further, </w:t>
      </w:r>
      <w:proofErr w:type="gramStart"/>
      <w:r>
        <w:t>Nasdaq</w:t>
      </w:r>
      <w:proofErr w:type="gramEnd"/>
      <w:r>
        <w:t xml:space="preserve"> also requires any company coming to the SME G</w:t>
      </w:r>
      <w:bookmarkStart w:id="3" w:name="_GoBack"/>
      <w:bookmarkEnd w:id="3"/>
      <w:r>
        <w:t>M to prepare one financial report before listing (in addition to annual financial reports</w:t>
      </w:r>
      <w:r w:rsidR="00CD436B">
        <w:t>)</w:t>
      </w:r>
      <w:r>
        <w:t>, in order to ensure the company is capable of fulfilling such requirements once listed.</w:t>
      </w:r>
    </w:p>
    <w:p w14:paraId="6D0EAEE3" w14:textId="1C9AF263" w:rsidR="00E564A0" w:rsidRDefault="00E564A0" w:rsidP="00E564A0"/>
    <w:p w14:paraId="7F518AE4" w14:textId="0ABF3E45" w:rsidR="00E564A0" w:rsidRPr="00CF0BA4" w:rsidRDefault="00E564A0" w:rsidP="00E564A0">
      <w:r>
        <w:t xml:space="preserve">We believe these requirements are working well, but we also recognise that other similar </w:t>
      </w:r>
      <w:r w:rsidR="00CD436B">
        <w:t xml:space="preserve">but slightly </w:t>
      </w:r>
      <w:r w:rsidR="00CD436B" w:rsidRPr="00CF0BA4">
        <w:t xml:space="preserve">different </w:t>
      </w:r>
      <w:r w:rsidRPr="00CF0BA4">
        <w:t>solutions may be more suitable elsewhere.</w:t>
      </w:r>
    </w:p>
    <w:p w14:paraId="65C49CC1" w14:textId="13AC906B" w:rsidR="00CF0BA4" w:rsidRPr="00CF0BA4" w:rsidRDefault="00CF0BA4" w:rsidP="00E564A0"/>
    <w:p w14:paraId="59755035" w14:textId="56460A61" w:rsidR="00CF0BA4" w:rsidRPr="00CF0BA4" w:rsidRDefault="00CF0BA4" w:rsidP="00CF0BA4">
      <w:pPr>
        <w:spacing w:after="160" w:line="259" w:lineRule="auto"/>
        <w:rPr>
          <w:lang w:val="en-US"/>
        </w:rPr>
      </w:pPr>
      <w:r w:rsidRPr="00CF0BA4">
        <w:t>Please also note that a</w:t>
      </w:r>
      <w:r w:rsidRPr="00CF0BA4">
        <w:rPr>
          <w:lang w:val="en-US"/>
        </w:rPr>
        <w:t xml:space="preserve"> requirement to publish financial reports from 1 year prior to the listing also means the companies have to have an operating history of more than 1 year, which is not required on </w:t>
      </w:r>
      <w:proofErr w:type="gramStart"/>
      <w:r w:rsidRPr="00CF0BA4">
        <w:rPr>
          <w:lang w:val="en-US"/>
        </w:rPr>
        <w:t>Nasdaq’s</w:t>
      </w:r>
      <w:proofErr w:type="gramEnd"/>
      <w:r w:rsidRPr="00CF0BA4">
        <w:rPr>
          <w:lang w:val="en-US"/>
        </w:rPr>
        <w:t xml:space="preserve"> First North</w:t>
      </w:r>
      <w:r>
        <w:rPr>
          <w:lang w:val="en-US"/>
        </w:rPr>
        <w:t xml:space="preserve"> </w:t>
      </w:r>
      <w:r w:rsidRPr="00CF0BA4">
        <w:rPr>
          <w:lang w:val="en-US"/>
        </w:rPr>
        <w:t>market</w:t>
      </w:r>
      <w:r>
        <w:rPr>
          <w:lang w:val="en-US"/>
        </w:rPr>
        <w:t>s</w:t>
      </w:r>
      <w:r w:rsidRPr="00CF0BA4">
        <w:rPr>
          <w:lang w:val="en-US"/>
        </w:rPr>
        <w:t xml:space="preserve"> currently and would hinder some companies from raising money on the public market. </w:t>
      </w:r>
    </w:p>
    <w:p w14:paraId="5E2D0DC5" w14:textId="77777777" w:rsidR="00CF0BA4" w:rsidRPr="00CF0BA4" w:rsidRDefault="00CF0BA4" w:rsidP="00E564A0">
      <w:pPr>
        <w:rPr>
          <w:lang w:val="en-US"/>
        </w:rPr>
      </w:pPr>
    </w:p>
    <w:permEnd w:id="1657668776"/>
    <w:p w14:paraId="6B1B06EC" w14:textId="77777777" w:rsidR="00A263DF" w:rsidRDefault="00A263DF" w:rsidP="00A263DF"/>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758D46CC" w14:textId="4C0D1B5A" w:rsidR="002E1760" w:rsidRDefault="00051A01" w:rsidP="002E1760">
      <w:permStart w:id="1982217876" w:edGrp="everyone"/>
      <w:r>
        <w:t>As regards standardised formats, we strongly recommend to not mandate certain formats but to allow companies to voluntarily decide if/when to opt-in to certain standardised formats.</w:t>
      </w:r>
    </w:p>
    <w:p w14:paraId="2DDF1979" w14:textId="0F805CAE" w:rsidR="002E1760" w:rsidRDefault="002E1760" w:rsidP="002E1760"/>
    <w:p w14:paraId="4A704B43" w14:textId="3783CFCE" w:rsidR="002E1760" w:rsidRDefault="00051A01" w:rsidP="002E1760">
      <w:r>
        <w:t>In some markets where Nasdaq operates, there is a wide and affordable choice of formats available to issuers, and many companies are indeed already very digitalised and open for using standardised formats, such as XBRL.</w:t>
      </w:r>
      <w:r w:rsidR="00B65FBF">
        <w:t xml:space="preserve"> For many companies, this is already standard practice by choice.</w:t>
      </w:r>
    </w:p>
    <w:p w14:paraId="236EA481" w14:textId="2875F8F0" w:rsidR="002E1760" w:rsidRDefault="002E1760" w:rsidP="002E1760"/>
    <w:p w14:paraId="50DBE0C9" w14:textId="7F0C3A19" w:rsidR="002E1760" w:rsidRDefault="00051A01" w:rsidP="002E1760">
      <w:r>
        <w:t>However, in other markets, the situation is different. For instance in the Baltic countries XBRL providers are not offering services. As a result, companies listed on the regulated market and who thus have to comply with the ESEF rules, have to purchase very expensive XBRL licenses themselves, for a cost of up to 30’-100’ Euros. For smaller companies, this has a very deterring effect when it comes to using the capital markets for accessing finance. We believe that in the current Covid-19 situation, the implementation of the ESEF should be delayed, in order to avoid adding further financial burden to SMEs.</w:t>
      </w:r>
    </w:p>
    <w:p w14:paraId="4CA25018" w14:textId="34457172" w:rsidR="002E1760" w:rsidRDefault="002E1760" w:rsidP="002E1760"/>
    <w:p w14:paraId="671DECD1" w14:textId="4AA296DF" w:rsidR="002E1760" w:rsidRDefault="00051A01" w:rsidP="002E1760">
      <w:r>
        <w:t>We believe the decision of if/when to use certain standardised formats should be left for the companies themselves. This is especially true for SMEs. If/when they see standardised formats will add value in terms of visibility towards investors, analysts, etc., a company can switch optionally.</w:t>
      </w:r>
    </w:p>
    <w:p w14:paraId="5A82B6A3" w14:textId="1E0971A2" w:rsidR="002E1760" w:rsidRDefault="002E1760" w:rsidP="002E1760"/>
    <w:p w14:paraId="6B591A6F" w14:textId="137B801C" w:rsidR="002E1760" w:rsidRDefault="00A11C37" w:rsidP="002E1760">
      <w:r>
        <w:t xml:space="preserve">In relation to ongoing considerations about developing a European Single Access Point, and if/how to expand it to issuers listed on MTFs, we believe such a central access point would be valuable. We also believe it is doable – and would still add value – to include various types of information which is not (yet) standardised as to the format. For instance, a central point linking to further information is significantly more than what exists today. This should be pursued as a first step, and then standardised formats can follow later, or in an optional solution. </w:t>
      </w:r>
      <w:permEnd w:id="1982217876"/>
    </w:p>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lastRenderedPageBreak/>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77631830" w14:textId="07595C10" w:rsidR="008418E3" w:rsidRDefault="00810948" w:rsidP="008418E3">
      <w:permStart w:id="986606513" w:edGrp="everyone"/>
      <w:r>
        <w:t xml:space="preserve">We believe there is room to find alleviations for all SMEs listed on an SME Growth Market, not only for micro-sized SMEs. Adding another regulatory layer of micro-SMEs will make the regulatory framework more complicated, </w:t>
      </w:r>
      <w:r w:rsidR="00B87C85">
        <w:t xml:space="preserve">including caused by the fact that companies grow and would change category, </w:t>
      </w:r>
      <w:proofErr w:type="gramStart"/>
      <w:r w:rsidR="00B87C85">
        <w:t>and also</w:t>
      </w:r>
      <w:proofErr w:type="gramEnd"/>
      <w:r w:rsidR="00B87C85">
        <w:t xml:space="preserve"> investors would have a more complicated picture. This would</w:t>
      </w:r>
      <w:r>
        <w:t xml:space="preserve"> not benefit the ecosystem as a whole. Rather, there is </w:t>
      </w:r>
      <w:r w:rsidR="00D87BD2">
        <w:t>a risk for adding unnecessary costs with a more complex regulatory framework. For instance, other stakeholders in the ecosystems</w:t>
      </w:r>
      <w:r w:rsidR="00962528">
        <w:t>, such as intermediaries,</w:t>
      </w:r>
      <w:r w:rsidR="00D87BD2">
        <w:t xml:space="preserve"> may need to make adaptations in </w:t>
      </w:r>
      <w:r w:rsidR="00B65FBF">
        <w:t xml:space="preserve">their </w:t>
      </w:r>
      <w:proofErr w:type="gramStart"/>
      <w:r w:rsidR="00D87BD2">
        <w:t>systems</w:t>
      </w:r>
      <w:r w:rsidR="00B65FBF">
        <w:t xml:space="preserve"> which</w:t>
      </w:r>
      <w:proofErr w:type="gramEnd"/>
      <w:r w:rsidR="00B65FBF">
        <w:t xml:space="preserve"> are not considered cos</w:t>
      </w:r>
      <w:r w:rsidR="00962528">
        <w:t>t</w:t>
      </w:r>
      <w:r w:rsidR="00B65FBF">
        <w:t>-efficient, thereby risking havi</w:t>
      </w:r>
      <w:r w:rsidR="00962528">
        <w:t>ng a counterproductive effect by</w:t>
      </w:r>
      <w:r w:rsidR="00B65FBF">
        <w:t xml:space="preserve"> instead deterring activity around SMEs</w:t>
      </w:r>
      <w:r w:rsidR="00D87BD2">
        <w:t>.</w:t>
      </w:r>
    </w:p>
    <w:p w14:paraId="145205DD" w14:textId="35EFE281" w:rsidR="008418E3" w:rsidRDefault="008418E3" w:rsidP="008418E3"/>
    <w:p w14:paraId="4ED14A6D" w14:textId="5006DBA6" w:rsidR="008418E3" w:rsidRDefault="00B87C85" w:rsidP="008418E3">
      <w:r>
        <w:t xml:space="preserve">Further, there is a risk that a micro-segment </w:t>
      </w:r>
      <w:proofErr w:type="gramStart"/>
      <w:r>
        <w:t>would be perceived</w:t>
      </w:r>
      <w:proofErr w:type="gramEnd"/>
      <w:r>
        <w:t xml:space="preserve"> as overly risky and would rather have a deterring effect on the trust in the markets.</w:t>
      </w:r>
      <w:permEnd w:id="986606513"/>
    </w:p>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20450B94" w14:textId="77777777" w:rsidR="004E5A0A" w:rsidRDefault="001A2749" w:rsidP="00F469F8">
      <w:permStart w:id="836447976" w:edGrp="everyone"/>
      <w:r>
        <w:t>No</w:t>
      </w:r>
      <w:r w:rsidR="00B65FBF">
        <w:t>, we do not support a requirement for SME GMs to have in place mandatory liquidity provision schemes</w:t>
      </w:r>
      <w:r w:rsidR="004E5A0A">
        <w:t>.</w:t>
      </w:r>
    </w:p>
    <w:p w14:paraId="23D27267" w14:textId="77777777" w:rsidR="004E5A0A" w:rsidRDefault="004E5A0A" w:rsidP="00F469F8"/>
    <w:p w14:paraId="5020D7AC" w14:textId="4C13AA71" w:rsidR="00F469F8" w:rsidRDefault="001A2749" w:rsidP="00F469F8">
      <w:r>
        <w:t>Liquidity</w:t>
      </w:r>
      <w:r w:rsidR="00962528">
        <w:t xml:space="preserve"> provision schemes often have a </w:t>
      </w:r>
      <w:r>
        <w:t xml:space="preserve">positive effect on liquidity and </w:t>
      </w:r>
      <w:proofErr w:type="gramStart"/>
      <w:r>
        <w:t>Nasdaq</w:t>
      </w:r>
      <w:proofErr w:type="gramEnd"/>
      <w:r>
        <w:t xml:space="preserve"> indeed works with </w:t>
      </w:r>
      <w:r w:rsidR="004E5A0A">
        <w:t xml:space="preserve">issuers to ensure there are </w:t>
      </w:r>
      <w:r>
        <w:t>liquidity providers</w:t>
      </w:r>
      <w:r w:rsidR="004E5A0A">
        <w:t xml:space="preserve"> available</w:t>
      </w:r>
      <w:r>
        <w:t>. However, there is no guarantee and multiple factors impact the liquidity situation. Having in place mandatory liquidity provision schemes adds cost, but there is a risk it does not lead to the int</w:t>
      </w:r>
      <w:r w:rsidR="00B65FBF">
        <w:t xml:space="preserve">ended benefit. It is better to </w:t>
      </w:r>
      <w:r>
        <w:t>leave liquidity provision schemes optional, for the stakeholders in the local ecosystem to develop the best solutions for each SME capital market</w:t>
      </w:r>
      <w:r w:rsidR="00B65FBF">
        <w:t>.</w:t>
      </w:r>
    </w:p>
    <w:p w14:paraId="41CE742E" w14:textId="515A1F1F" w:rsidR="00F469F8" w:rsidRDefault="00F469F8" w:rsidP="00F469F8"/>
    <w:p w14:paraId="0968DC41" w14:textId="763A5743" w:rsidR="00F469F8" w:rsidRDefault="00B65FBF" w:rsidP="00F469F8">
      <w:r>
        <w:t xml:space="preserve">Yes, there is a risk such a requirement may in the end have a </w:t>
      </w:r>
      <w:proofErr w:type="spellStart"/>
      <w:r>
        <w:t>disincentivising</w:t>
      </w:r>
      <w:proofErr w:type="spellEnd"/>
      <w:r>
        <w:t xml:space="preserve"> effect.</w:t>
      </w:r>
    </w:p>
    <w:p w14:paraId="37328A58" w14:textId="26F684E3" w:rsidR="00F469F8" w:rsidRDefault="00F469F8" w:rsidP="00F469F8"/>
    <w:p w14:paraId="5A54D154" w14:textId="0AF7680B" w:rsidR="00F469F8" w:rsidRDefault="004E5A0A" w:rsidP="00F469F8">
      <w:r>
        <w:t>It is also worth noting that in the Nordics the contractual relationship is between the issuer and the liquidity provider, thus the issuer does not pay the market operator for a liquidity provider.</w:t>
      </w:r>
      <w:permEnd w:id="836447976"/>
    </w:p>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10661D3F" w14:textId="6B906A3E" w:rsidR="00F469F8" w:rsidRDefault="004E5A0A" w:rsidP="00F469F8">
      <w:permStart w:id="1246451605" w:edGrp="everyone"/>
      <w:r>
        <w:t xml:space="preserve"> </w:t>
      </w:r>
      <w:permEnd w:id="1246451605"/>
    </w:p>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488772AE" w:rsidR="00646C30" w:rsidRDefault="00A11C37" w:rsidP="00646C30">
      <w:permStart w:id="1809603952" w:edGrp="everyone"/>
      <w:r>
        <w:t>The original obligations should hold for the issuer, no obligations from another jurisdiction should be added. This is especially true if/when the issuer has not actively sought to be traded on a secondary venue.</w:t>
      </w:r>
    </w:p>
    <w:p w14:paraId="0F474B84" w14:textId="3B0466C8" w:rsidR="00646C30" w:rsidRDefault="00646C30" w:rsidP="00646C30"/>
    <w:p w14:paraId="32E7CEE4" w14:textId="305730A8" w:rsidR="00646C30" w:rsidRDefault="00A11C37" w:rsidP="00646C30">
      <w:r>
        <w:t xml:space="preserve">It should however be clear to any </w:t>
      </w:r>
      <w:proofErr w:type="gramStart"/>
      <w:r>
        <w:t>investor which</w:t>
      </w:r>
      <w:proofErr w:type="gramEnd"/>
      <w:r>
        <w:t xml:space="preserve"> obligations an issuer need to comply with, especially in cases of multiple jurisdiction trading.</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76BDFCED" w14:textId="4F0DC450" w:rsidR="007C6169" w:rsidRDefault="00B65FBF" w:rsidP="00646C30">
      <w:permStart w:id="1911234748" w:edGrp="everyone"/>
      <w:r>
        <w:t xml:space="preserve">The availability of research on SMEs is alarmingly low. When bundling </w:t>
      </w:r>
      <w:proofErr w:type="gramStart"/>
      <w:r>
        <w:t>was still allowed</w:t>
      </w:r>
      <w:proofErr w:type="gramEnd"/>
      <w:r>
        <w:t xml:space="preserve"> by MiFID, it was already too low. When unbundling was required, many firms no longer saw a business case to continue SME coverage. However so called paid-for research developed a little, however still at too low levels. We recognise various types of models for financing research may raise different concerns as to conflicts of interests. However, we strongly prefer these different types of models to </w:t>
      </w:r>
      <w:r w:rsidR="00962528">
        <w:t xml:space="preserve">all </w:t>
      </w:r>
      <w:proofErr w:type="gramStart"/>
      <w:r>
        <w:t>be allowed</w:t>
      </w:r>
      <w:proofErr w:type="gramEnd"/>
      <w:r>
        <w:t>, as long as there is transparency on potential conflicts of interests. This is a much preferred situa</w:t>
      </w:r>
      <w:r w:rsidR="007C6169">
        <w:t>tion compared to limiting re</w:t>
      </w:r>
      <w:r w:rsidR="00962528">
        <w:t>search to only certain models, e</w:t>
      </w:r>
      <w:r w:rsidR="007C6169">
        <w:t>specially in a situation where need for more research coverage is very strong.</w:t>
      </w:r>
    </w:p>
    <w:p w14:paraId="4C770AED" w14:textId="77777777" w:rsidR="007C6169" w:rsidRDefault="007C6169" w:rsidP="00646C30"/>
    <w:p w14:paraId="4052BBCF" w14:textId="485DA326" w:rsidR="00646C30" w:rsidRDefault="007C6169" w:rsidP="00646C30">
      <w:r>
        <w:t>A suggested way forward would be to allow bundling for research on SMEs listed on an SME Growth Market.</w:t>
      </w:r>
      <w:permEnd w:id="1911234748"/>
    </w:p>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4D3E8648" w14:textId="4513ABA7" w:rsidR="00646C30" w:rsidRDefault="0062516D" w:rsidP="00646C30">
      <w:permStart w:id="548804830" w:edGrp="everyone"/>
      <w:r>
        <w:t xml:space="preserve">As already mentioned earlier in this consultation paper, liquidity providers are active in the </w:t>
      </w:r>
      <w:proofErr w:type="gramStart"/>
      <w:r>
        <w:t>markets which</w:t>
      </w:r>
      <w:proofErr w:type="gramEnd"/>
      <w:r>
        <w:t xml:space="preserve"> Nasdaq operates in the Nordics. Often, liquidity providers do contribute to liquidity positively, but there is no guarantee</w:t>
      </w:r>
      <w:r w:rsidR="00962528">
        <w:t xml:space="preserve"> of this</w:t>
      </w:r>
      <w:r>
        <w:t xml:space="preserve">. There is no requirement on the issuers to have a liquidity provider, and when they do, the contractual relationship is between the issuer and the liquidity provider, not the market operator such as </w:t>
      </w:r>
      <w:proofErr w:type="gramStart"/>
      <w:r>
        <w:t>Nasdaq</w:t>
      </w:r>
      <w:proofErr w:type="gramEnd"/>
      <w:r>
        <w:t>.</w:t>
      </w:r>
    </w:p>
    <w:p w14:paraId="15DD1BA7" w14:textId="4A382509" w:rsidR="00646C30" w:rsidRDefault="00646C30" w:rsidP="00646C30"/>
    <w:p w14:paraId="4734E919" w14:textId="4F36FAEB" w:rsidR="00646C30" w:rsidRDefault="0062516D" w:rsidP="00646C30">
      <w:r>
        <w:t xml:space="preserve">The liquidity provider schemes in the Nordic markets however function differently from what </w:t>
      </w:r>
      <w:proofErr w:type="gramStart"/>
      <w:r>
        <w:t>is developed</w:t>
      </w:r>
      <w:proofErr w:type="gramEnd"/>
      <w:r>
        <w:t xml:space="preserve"> in ESMA’s consultation paper. The main difference is that in the Nordics, the liquidity provider does not trade with the issuer’s money, but with their own.</w:t>
      </w:r>
    </w:p>
    <w:p w14:paraId="4E9BEBE7" w14:textId="7C08C7CD" w:rsidR="00646C30" w:rsidRDefault="00646C30" w:rsidP="00646C30"/>
    <w:p w14:paraId="77E5ECE5" w14:textId="492FE8F8" w:rsidR="00646C30" w:rsidRDefault="0062516D" w:rsidP="00646C30">
      <w:r>
        <w:t xml:space="preserve">From </w:t>
      </w:r>
      <w:proofErr w:type="gramStart"/>
      <w:r>
        <w:t>Nasdaq’s</w:t>
      </w:r>
      <w:proofErr w:type="gramEnd"/>
      <w:r>
        <w:t xml:space="preserve"> point of view, we strongly prefer the current practices to continue to be allowed going forward. It is important that if new/other models are developed, </w:t>
      </w:r>
      <w:r w:rsidR="00962528">
        <w:t>the models that have</w:t>
      </w:r>
      <w:r>
        <w:t xml:space="preserve"> developed and is functioning satisfactorily in the </w:t>
      </w:r>
      <w:proofErr w:type="gramStart"/>
      <w:r>
        <w:t>Nordics,</w:t>
      </w:r>
      <w:proofErr w:type="gramEnd"/>
      <w:r>
        <w:t xml:space="preserve"> are not prohibited.</w:t>
      </w:r>
    </w:p>
    <w:p w14:paraId="4DA1EB80" w14:textId="03EDA18D" w:rsidR="00646C30" w:rsidRDefault="00646C30" w:rsidP="00646C30"/>
    <w:p w14:paraId="4E5B4542" w14:textId="2CDAAACB" w:rsidR="00646C30" w:rsidRDefault="0062516D" w:rsidP="00646C30">
      <w:r>
        <w:t xml:space="preserve">As regards the proposed model, we are not convinced it would be attractive to all issuers to first pay a fee to the liquidity provider, and in addition provide an amount to </w:t>
      </w:r>
      <w:proofErr w:type="gramStart"/>
      <w:r>
        <w:t>be risked</w:t>
      </w:r>
      <w:proofErr w:type="gramEnd"/>
      <w:r>
        <w:t xml:space="preserve"> for trading. We see a risk it would </w:t>
      </w:r>
      <w:r>
        <w:lastRenderedPageBreak/>
        <w:t>be more costly and complex for the issuer. We are not convinced this model would provide more benefits than the model currently in use in the Nordics.</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26C019E8" w:rsidR="00646C30" w:rsidRDefault="0016608C" w:rsidP="00646C30">
      <w:permStart w:id="742271790" w:edGrp="everyone"/>
      <w:r>
        <w:t>See Q15.</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4AF5D156" w:rsidR="00646C30" w:rsidRDefault="0016608C" w:rsidP="00646C30">
      <w:permStart w:id="159910378" w:edGrp="everyone"/>
      <w:r>
        <w:t>See Q15.</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46C875B8" w:rsidR="00646C30" w:rsidRDefault="0016608C" w:rsidP="00646C30">
      <w:permStart w:id="503998741" w:edGrp="everyone"/>
      <w:r>
        <w:t>See Q15.</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08B42771" w14:textId="1BF4071C" w:rsidR="00646C30" w:rsidRDefault="004E5A0A" w:rsidP="00646C30">
      <w:permStart w:id="324808430" w:edGrp="everyone"/>
      <w:r>
        <w:t>As we operate markets in multiple jurisdictions, we note that these proposals will have different impacts in different countries, given different interpretations and implementations of the MAR. This illustrates the need for clarification and simplification across the EU.</w:t>
      </w:r>
      <w:r w:rsidR="00962528">
        <w:t xml:space="preserve"> Different rules in this regard</w:t>
      </w:r>
      <w:r>
        <w:t xml:space="preserve"> is a clear disincentive for owners to decide to take their companies public, and especially for investors to be active across borders. We underline that simplification and harmonisation as regards the application of MAR should be a priority.</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D932A16" w14:textId="77777777" w:rsidR="00602344" w:rsidRDefault="0016608C" w:rsidP="006D4E38">
      <w:permStart w:id="966160956" w:edGrp="everyone"/>
      <w:r>
        <w:t xml:space="preserve">We want to take the opportunity to underline that the factors </w:t>
      </w:r>
      <w:proofErr w:type="gramStart"/>
      <w:r>
        <w:t>impacting</w:t>
      </w:r>
      <w:proofErr w:type="gramEnd"/>
      <w:r>
        <w:t xml:space="preserve"> how well functioning or successful an SME Growth Market is, are not only found in MiFID</w:t>
      </w:r>
      <w:r w:rsidR="00602344">
        <w:t xml:space="preserve">. The SME GM as such is an infrastructure, but </w:t>
      </w:r>
      <w:proofErr w:type="gramStart"/>
      <w:r w:rsidR="00602344">
        <w:t>its attractiveness is impacted by other regulatory frameworks at EU</w:t>
      </w:r>
      <w:proofErr w:type="gramEnd"/>
      <w:r w:rsidR="00602344">
        <w:t xml:space="preserve"> level as well as nationally. Examples are obviously tax regimes but also other regimes </w:t>
      </w:r>
      <w:proofErr w:type="gramStart"/>
      <w:r w:rsidR="00602344">
        <w:t>impacting</w:t>
      </w:r>
      <w:proofErr w:type="gramEnd"/>
      <w:r w:rsidR="00602344">
        <w:t xml:space="preserve"> possibilities and interests for investors to allocate more capital to financing issuers listing on SME Growth Markets.</w:t>
      </w:r>
    </w:p>
    <w:p w14:paraId="39EAFD1B" w14:textId="77777777" w:rsidR="00602344" w:rsidRDefault="00602344" w:rsidP="006D4E38"/>
    <w:p w14:paraId="3DD6EA04" w14:textId="470C04AC" w:rsidR="00602344" w:rsidRDefault="00602344" w:rsidP="006D4E38">
      <w:r>
        <w:lastRenderedPageBreak/>
        <w:t>A specific aspect is to involve retail investors. Smaller issuers tend to be attractive for smaller investors and we acknowledge that retail investors have played a crucial role in the development of the now successful growth markets in the Nordics. Finding appropriate investor prote</w:t>
      </w:r>
      <w:r w:rsidR="00962528">
        <w:t>ction rules for more experienced</w:t>
      </w:r>
      <w:r>
        <w:t xml:space="preserve"> retail investors is a </w:t>
      </w:r>
      <w:proofErr w:type="gramStart"/>
      <w:r>
        <w:t>measure which we believe</w:t>
      </w:r>
      <w:proofErr w:type="gramEnd"/>
      <w:r>
        <w:t xml:space="preserve"> will benefit especially the further development of SME Growth Markets. </w:t>
      </w:r>
    </w:p>
    <w:p w14:paraId="3F798EC8" w14:textId="5BEA7970" w:rsidR="00602344" w:rsidRDefault="00602344" w:rsidP="006D4E38"/>
    <w:p w14:paraId="4D41B306" w14:textId="3A5E5DBD" w:rsidR="00602344" w:rsidRDefault="00602344" w:rsidP="006D4E38">
      <w:r>
        <w:t xml:space="preserve">Another comment is to ensure that sustainable finance frameworks, including non-financial disclosure rules, </w:t>
      </w:r>
      <w:proofErr w:type="gramStart"/>
      <w:r>
        <w:t>are developed</w:t>
      </w:r>
      <w:proofErr w:type="gramEnd"/>
      <w:r>
        <w:t xml:space="preserve"> specifically with SMEs in mind. </w:t>
      </w:r>
      <w:proofErr w:type="gramStart"/>
      <w:r>
        <w:t>Nasdaq</w:t>
      </w:r>
      <w:proofErr w:type="gramEnd"/>
      <w:r>
        <w:t xml:space="preserve"> works very closely with the financial ecosystem to develop products and services responding to demands from both issuers and investors. The best way forward would be to develop </w:t>
      </w:r>
      <w:proofErr w:type="gramStart"/>
      <w:r>
        <w:t>frameworks which</w:t>
      </w:r>
      <w:proofErr w:type="gramEnd"/>
      <w:r>
        <w:t xml:space="preserve"> are perceived as useful for SMEs, so that the incentive to opt-in to these rules are clear. </w:t>
      </w:r>
    </w:p>
    <w:p w14:paraId="69117B6C" w14:textId="77777777" w:rsidR="00602344" w:rsidRDefault="00602344" w:rsidP="006D4E38"/>
    <w:p w14:paraId="5CD0907F" w14:textId="5D55CBD5" w:rsidR="006D4E38" w:rsidRDefault="00602344" w:rsidP="006D4E38">
      <w:r>
        <w:t>We encourage further engagement and cooperation with EU institutions as well as national legislators, supervisors and other stakeholders, in order to find best ways forward, including on sharing best practices.</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EE49" w14:textId="77777777" w:rsidR="00EA3016" w:rsidRDefault="00EA3016">
      <w:r>
        <w:separator/>
      </w:r>
    </w:p>
    <w:p w14:paraId="70816B5D" w14:textId="77777777" w:rsidR="00EA3016" w:rsidRDefault="00EA3016"/>
  </w:endnote>
  <w:endnote w:type="continuationSeparator" w:id="0">
    <w:p w14:paraId="2A5C4E4C" w14:textId="77777777" w:rsidR="00EA3016" w:rsidRDefault="00EA3016">
      <w:r>
        <w:continuationSeparator/>
      </w:r>
    </w:p>
    <w:p w14:paraId="32347B8C" w14:textId="77777777" w:rsidR="00EA3016" w:rsidRDefault="00EA3016"/>
  </w:endnote>
  <w:endnote w:type="continuationNotice" w:id="1">
    <w:p w14:paraId="6A07460B" w14:textId="77777777" w:rsidR="00EA3016" w:rsidRDefault="00EA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0FCB6EF5"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62528">
            <w:rPr>
              <w:rFonts w:cs="Arial"/>
              <w:noProof/>
              <w:sz w:val="22"/>
              <w:szCs w:val="22"/>
            </w:rPr>
            <w:t>5</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91749" w14:textId="77777777" w:rsidR="00EA3016" w:rsidRDefault="00EA3016">
      <w:r>
        <w:separator/>
      </w:r>
    </w:p>
    <w:p w14:paraId="29FF30C0" w14:textId="77777777" w:rsidR="00EA3016" w:rsidRDefault="00EA3016"/>
  </w:footnote>
  <w:footnote w:type="continuationSeparator" w:id="0">
    <w:p w14:paraId="53338D5C" w14:textId="77777777" w:rsidR="00EA3016" w:rsidRDefault="00EA3016">
      <w:r>
        <w:continuationSeparator/>
      </w:r>
    </w:p>
    <w:p w14:paraId="7BC2DF1B" w14:textId="77777777" w:rsidR="00EA3016" w:rsidRDefault="00EA3016"/>
  </w:footnote>
  <w:footnote w:type="continuationNotice" w:id="1">
    <w:p w14:paraId="61E1AC53" w14:textId="77777777" w:rsidR="00EA3016" w:rsidRDefault="00EA30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5836" w14:textId="77777777" w:rsidR="00F107EF" w:rsidRDefault="00F107EF">
    <w:pPr>
      <w:pStyle w:val="Header"/>
    </w:pPr>
    <w:r>
      <w:rPr>
        <w:noProof/>
        <w:lang w:val="en-US" w:eastAsia="en-US"/>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2989" w14:textId="77777777" w:rsidR="00F107EF" w:rsidRDefault="00F107EF" w:rsidP="00013CCE">
    <w:pPr>
      <w:pStyle w:val="Header"/>
      <w:jc w:val="right"/>
    </w:pPr>
    <w:r>
      <w:rPr>
        <w:noProof/>
        <w:lang w:val="en-US" w:eastAsia="en-US"/>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val="en-US" w:eastAsia="en-US"/>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0235DF"/>
    <w:multiLevelType w:val="hybridMultilevel"/>
    <w:tmpl w:val="987A23D0"/>
    <w:lvl w:ilvl="0" w:tplc="D6AE7748">
      <w:start w:val="9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586DE4"/>
    <w:multiLevelType w:val="hybridMultilevel"/>
    <w:tmpl w:val="BD9A54E8"/>
    <w:lvl w:ilvl="0" w:tplc="39723392">
      <w:start w:val="7"/>
      <w:numFmt w:val="bullet"/>
      <w:lvlText w:val=""/>
      <w:lvlJc w:val="left"/>
      <w:pPr>
        <w:ind w:left="720" w:hanging="360"/>
      </w:pPr>
      <w:rPr>
        <w:rFonts w:ascii="Wingdings" w:eastAsiaTheme="minorHAnsi" w:hAnsi="Wingding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FE06FC"/>
    <w:multiLevelType w:val="hybridMultilevel"/>
    <w:tmpl w:val="36A0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9"/>
  </w:num>
  <w:num w:numId="29">
    <w:abstractNumId w:val="7"/>
  </w:num>
  <w:num w:numId="30">
    <w:abstractNumId w:val="3"/>
  </w:num>
  <w:num w:numId="31">
    <w:abstractNumId w:val="21"/>
  </w:num>
  <w:num w:numId="32">
    <w:abstractNumId w:val="20"/>
  </w:num>
  <w:num w:numId="33">
    <w:abstractNumId w:val="35"/>
  </w:num>
  <w:num w:numId="34">
    <w:abstractNumId w:val="34"/>
  </w:num>
  <w:num w:numId="35">
    <w:abstractNumId w:val="5"/>
  </w:num>
  <w:num w:numId="36">
    <w:abstractNumId w:val="36"/>
  </w:num>
  <w:num w:numId="37">
    <w:abstractNumId w:val="20"/>
    <w:lvlOverride w:ilvl="0">
      <w:startOverride w:val="1"/>
    </w:lvlOverride>
  </w:num>
  <w:num w:numId="38">
    <w:abstractNumId w:val="20"/>
  </w:num>
  <w:num w:numId="39">
    <w:abstractNumId w:val="2"/>
  </w:num>
  <w:num w:numId="40">
    <w:abstractNumId w:val="23"/>
  </w:num>
  <w:num w:numId="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A01"/>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08C"/>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2749"/>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C7FE6"/>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CB"/>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2D3B"/>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DA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A0A"/>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0DC3"/>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44"/>
    <w:rsid w:val="006023E1"/>
    <w:rsid w:val="0060271A"/>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16D"/>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9BF"/>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6169"/>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0948"/>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067"/>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36D"/>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528"/>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E13"/>
    <w:rsid w:val="00A06340"/>
    <w:rsid w:val="00A0684F"/>
    <w:rsid w:val="00A06867"/>
    <w:rsid w:val="00A10148"/>
    <w:rsid w:val="00A113FD"/>
    <w:rsid w:val="00A11C37"/>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5FBF"/>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C85"/>
    <w:rsid w:val="00B91B86"/>
    <w:rsid w:val="00B92519"/>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191"/>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05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188"/>
    <w:rsid w:val="00CD05CF"/>
    <w:rsid w:val="00CD1FAE"/>
    <w:rsid w:val="00CD232F"/>
    <w:rsid w:val="00CD279E"/>
    <w:rsid w:val="00CD2F92"/>
    <w:rsid w:val="00CD436B"/>
    <w:rsid w:val="00CD4EB0"/>
    <w:rsid w:val="00CD512D"/>
    <w:rsid w:val="00CD5831"/>
    <w:rsid w:val="00CD6F6E"/>
    <w:rsid w:val="00CE157F"/>
    <w:rsid w:val="00CE1966"/>
    <w:rsid w:val="00CE1ED4"/>
    <w:rsid w:val="00CE2216"/>
    <w:rsid w:val="00CE3014"/>
    <w:rsid w:val="00CE30E5"/>
    <w:rsid w:val="00CE6FC6"/>
    <w:rsid w:val="00CE7F24"/>
    <w:rsid w:val="00CF0BA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6DB6"/>
    <w:rsid w:val="00D871C6"/>
    <w:rsid w:val="00D87BD2"/>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D68"/>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4A0"/>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C7E12"/>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39"/>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095"/>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15621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20fbe147-bbda-4e53-b6b1-7e8bbff3fe1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0B57E941-D308-4FD9-815A-28E99C1F5215}">
  <ds:schemaRefs>
    <ds:schemaRef ds:uri="http://schemas.openxmlformats.org/officeDocument/2006/bibliography"/>
  </ds:schemaRefs>
</ds:datastoreItem>
</file>

<file path=customXml/itemProps6.xml><?xml version="1.0" encoding="utf-8"?>
<ds:datastoreItem xmlns:ds="http://schemas.openxmlformats.org/officeDocument/2006/customXml" ds:itemID="{0AF181AD-2DE8-492B-9BB1-46DA16D8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12</Pages>
  <Words>4453</Words>
  <Characters>24134</Characters>
  <Application>Microsoft Office Word</Application>
  <DocSecurity>8</DocSecurity>
  <Lines>201</Lines>
  <Paragraphs>57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28530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Elina Yrgård</cp:lastModifiedBy>
  <cp:revision>8</cp:revision>
  <cp:lastPrinted>2015-02-18T11:01:00Z</cp:lastPrinted>
  <dcterms:created xsi:type="dcterms:W3CDTF">2020-06-17T07:58:00Z</dcterms:created>
  <dcterms:modified xsi:type="dcterms:W3CDTF">2020-07-15T15:52:00Z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