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10E4D0AD" w14:textId="77777777" w:rsidTr="00315E96">
        <w:trPr>
          <w:trHeight w:val="284"/>
        </w:trPr>
        <w:tc>
          <w:tcPr>
            <w:tcW w:w="9412" w:type="dxa"/>
          </w:tcPr>
          <w:p w14:paraId="5C38FA3D" w14:textId="77777777"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35264082" w14:textId="77777777"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AD41D6C" w14:textId="77777777" w:rsidTr="005B77D2">
        <w:trPr>
          <w:trHeight w:hRule="exact" w:val="1985"/>
        </w:trPr>
        <w:tc>
          <w:tcPr>
            <w:tcW w:w="9397" w:type="dxa"/>
            <w:vAlign w:val="bottom"/>
          </w:tcPr>
          <w:p w14:paraId="178595E5" w14:textId="77777777"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7588DF29" w14:textId="77777777" w:rsidTr="005B77D2">
        <w:trPr>
          <w:trHeight w:hRule="exact" w:val="605"/>
        </w:trPr>
        <w:tc>
          <w:tcPr>
            <w:tcW w:w="9397" w:type="dxa"/>
            <w:tcMar>
              <w:top w:w="142" w:type="dxa"/>
            </w:tcMar>
          </w:tcPr>
          <w:p w14:paraId="3679B105"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1EE619A3"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589EE8E2" w14:textId="77777777" w:rsidTr="00315E96">
        <w:trPr>
          <w:trHeight w:hRule="exact" w:val="964"/>
        </w:trPr>
        <w:tc>
          <w:tcPr>
            <w:tcW w:w="2325" w:type="dxa"/>
          </w:tcPr>
          <w:p w14:paraId="7C7251DC"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48BB6859" w14:textId="77777777" w:rsidR="002E0B20" w:rsidRPr="00A52EBB" w:rsidRDefault="002E0B20" w:rsidP="00B1467D">
            <w:pPr>
              <w:pStyle w:val="02Date"/>
              <w:rPr>
                <w:rFonts w:cs="Arial"/>
              </w:rPr>
            </w:pPr>
            <w:r w:rsidRPr="002E0B20">
              <w:rPr>
                <w:rFonts w:cs="Arial"/>
              </w:rPr>
              <w:t>ESMA70-156-2</w:t>
            </w:r>
            <w:r>
              <w:rPr>
                <w:rFonts w:cs="Arial"/>
              </w:rPr>
              <w:t xml:space="preserve">803: </w:t>
            </w:r>
          </w:p>
        </w:tc>
      </w:tr>
    </w:tbl>
    <w:p w14:paraId="63591C0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9581B9" w14:textId="77777777"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3E9E8B18" w14:textId="77777777" w:rsidR="00F574D0" w:rsidRPr="00EF0769" w:rsidRDefault="00F574D0" w:rsidP="00F574D0">
      <w:pPr>
        <w:pStyle w:val="04BodyText"/>
        <w:spacing w:before="120" w:after="120"/>
        <w:rPr>
          <w:rFonts w:cs="Arial"/>
        </w:rPr>
      </w:pPr>
    </w:p>
    <w:p w14:paraId="634AFF58" w14:textId="77777777" w:rsidR="001D000A" w:rsidRDefault="001D000A" w:rsidP="00F574D0">
      <w:pPr>
        <w:autoSpaceDE w:val="0"/>
        <w:autoSpaceDN w:val="0"/>
        <w:adjustRightInd w:val="0"/>
        <w:spacing w:before="120" w:after="120" w:line="276" w:lineRule="auto"/>
        <w:jc w:val="both"/>
        <w:rPr>
          <w:rStyle w:val="Strong4"/>
          <w:rFonts w:cs="Arial"/>
          <w:i/>
        </w:rPr>
      </w:pPr>
    </w:p>
    <w:p w14:paraId="4F32B4D3"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74FE50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F1250B3"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7CAED956"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5AD4B140"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CA0CB94"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2FAEB2C0"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5C0C3C4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5C704E8C"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5B822EE5"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2C4DDF75" w14:textId="77777777" w:rsidR="001D000A" w:rsidRDefault="001D000A" w:rsidP="000D17AA">
      <w:pPr>
        <w:pStyle w:val="04BodyText"/>
        <w:spacing w:before="120" w:after="120"/>
        <w:jc w:val="left"/>
        <w:rPr>
          <w:rFonts w:cs="Arial"/>
          <w:b/>
        </w:rPr>
      </w:pPr>
    </w:p>
    <w:p w14:paraId="4282644B" w14:textId="77777777" w:rsidR="000D17AA" w:rsidRPr="00EF0769" w:rsidRDefault="00606240" w:rsidP="000D17AA">
      <w:pPr>
        <w:pStyle w:val="04BodyText"/>
        <w:spacing w:before="120" w:after="120"/>
        <w:jc w:val="left"/>
        <w:rPr>
          <w:rFonts w:cs="Arial"/>
          <w:b/>
        </w:rPr>
      </w:pPr>
      <w:r>
        <w:rPr>
          <w:rFonts w:cs="Arial"/>
          <w:b/>
        </w:rPr>
        <w:t>Naming protocol</w:t>
      </w:r>
    </w:p>
    <w:p w14:paraId="1F4E74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FD64C80"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7B41937A"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1DC3AC61"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76B8BEDB"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287ECB8D"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23539A98"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95E7FCD" w14:textId="77777777"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1959B95C"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2228C8C1"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1AA4EC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4D9D311D"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2271F2F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881AD0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71D7456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A8E36D0"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CD9C4F8" w14:textId="77777777" w:rsidR="00332304" w:rsidRDefault="00332304">
      <w:pPr>
        <w:rPr>
          <w:rFonts w:cs="Arial"/>
          <w:b/>
          <w:bCs/>
          <w:kern w:val="32"/>
          <w:sz w:val="24"/>
          <w:szCs w:val="32"/>
        </w:rPr>
      </w:pPr>
      <w:r>
        <w:br w:type="page"/>
      </w:r>
    </w:p>
    <w:p w14:paraId="79663E26"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4D29BFC0" w14:textId="77777777" w:rsidTr="00FA5524">
        <w:tc>
          <w:tcPr>
            <w:tcW w:w="3929" w:type="dxa"/>
            <w:shd w:val="clear" w:color="auto" w:fill="auto"/>
          </w:tcPr>
          <w:p w14:paraId="626B32E9" w14:textId="77777777" w:rsidR="00C2682A" w:rsidRPr="00E40A5C" w:rsidRDefault="00C2682A" w:rsidP="00FA5524">
            <w:pPr>
              <w:rPr>
                <w:rFonts w:cs="Arial"/>
                <w:sz w:val="22"/>
              </w:rPr>
            </w:pPr>
            <w:permStart w:id="1219389832"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458CFF44" w14:textId="77777777" w:rsidR="00C2682A" w:rsidRPr="00AB6D88" w:rsidRDefault="00E00C72" w:rsidP="00E00C72">
                <w:pPr>
                  <w:rPr>
                    <w:rStyle w:val="Platzhaltertext"/>
                    <w:rFonts w:cs="Arial"/>
                  </w:rPr>
                </w:pPr>
                <w:r>
                  <w:rPr>
                    <w:rStyle w:val="Platzhaltertext"/>
                    <w:rFonts w:cs="Arial"/>
                  </w:rPr>
                  <w:t>Deutsches Aktieninstitut e.V.</w:t>
                </w:r>
              </w:p>
            </w:tc>
          </w:sdtContent>
        </w:sdt>
      </w:tr>
      <w:tr w:rsidR="00C2682A" w:rsidRPr="00AB6D88" w14:paraId="16935897" w14:textId="77777777" w:rsidTr="00FA5524">
        <w:tc>
          <w:tcPr>
            <w:tcW w:w="3929" w:type="dxa"/>
            <w:shd w:val="clear" w:color="auto" w:fill="auto"/>
          </w:tcPr>
          <w:p w14:paraId="55ADFFBE" w14:textId="77777777" w:rsidR="00C2682A" w:rsidRPr="00E40A5C" w:rsidRDefault="00C2682A" w:rsidP="00FA5524">
            <w:pPr>
              <w:rPr>
                <w:rFonts w:cs="Arial"/>
                <w:sz w:val="22"/>
              </w:rPr>
            </w:pPr>
            <w:permStart w:id="370700572" w:edGrp="everyone" w:colFirst="1" w:colLast="1"/>
            <w:permEnd w:id="1219389832"/>
            <w:r w:rsidRPr="00E40A5C">
              <w:rPr>
                <w:rFonts w:cs="Arial"/>
                <w:sz w:val="22"/>
              </w:rPr>
              <w:t>Activity</w:t>
            </w:r>
          </w:p>
        </w:tc>
        <w:tc>
          <w:tcPr>
            <w:tcW w:w="5595" w:type="dxa"/>
            <w:shd w:val="clear" w:color="auto" w:fill="auto"/>
          </w:tcPr>
          <w:p w14:paraId="0F38F172" w14:textId="1D785F02" w:rsidR="00C2682A" w:rsidRPr="00AB6D88" w:rsidRDefault="00D77A9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0C05">
                  <w:rPr>
                    <w:rFonts w:cs="Arial"/>
                  </w:rPr>
                  <w:t>Non-financial counterparty</w:t>
                </w:r>
              </w:sdtContent>
            </w:sdt>
          </w:p>
        </w:tc>
      </w:tr>
      <w:tr w:rsidR="00C2682A" w:rsidRPr="00AB6D88" w14:paraId="53CF505A" w14:textId="77777777" w:rsidTr="00FA5524">
        <w:tc>
          <w:tcPr>
            <w:tcW w:w="3929" w:type="dxa"/>
            <w:shd w:val="clear" w:color="auto" w:fill="auto"/>
          </w:tcPr>
          <w:p w14:paraId="2DBA58D8" w14:textId="77777777" w:rsidR="00C2682A" w:rsidRPr="00E40A5C" w:rsidRDefault="00C2682A" w:rsidP="00FA5524">
            <w:pPr>
              <w:rPr>
                <w:rFonts w:cs="Arial"/>
                <w:sz w:val="22"/>
              </w:rPr>
            </w:pPr>
            <w:permStart w:id="821845506" w:edGrp="everyone" w:colFirst="1" w:colLast="1"/>
            <w:permEnd w:id="370700572"/>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60EF34F4" w14:textId="42F4FDAB" w:rsidR="00C2682A" w:rsidRPr="00AB6D88" w:rsidRDefault="00046105" w:rsidP="00FA5524">
                <w:pPr>
                  <w:rPr>
                    <w:rFonts w:cs="Arial"/>
                  </w:rPr>
                </w:pPr>
                <w:r>
                  <w:rPr>
                    <w:rFonts w:ascii="MS Gothic" w:eastAsia="MS Gothic" w:hAnsi="MS Gothic" w:cs="Arial" w:hint="eastAsia"/>
                  </w:rPr>
                  <w:t>☒</w:t>
                </w:r>
              </w:p>
            </w:tc>
          </w:sdtContent>
        </w:sdt>
      </w:tr>
      <w:tr w:rsidR="00C2682A" w:rsidRPr="00AB6D88" w14:paraId="345EB113" w14:textId="77777777" w:rsidTr="00FA5524">
        <w:tc>
          <w:tcPr>
            <w:tcW w:w="3929" w:type="dxa"/>
            <w:shd w:val="clear" w:color="auto" w:fill="auto"/>
          </w:tcPr>
          <w:p w14:paraId="534A731F" w14:textId="77777777" w:rsidR="00C2682A" w:rsidRPr="00E40A5C" w:rsidRDefault="00C2682A" w:rsidP="00FA5524">
            <w:pPr>
              <w:rPr>
                <w:rFonts w:cs="Arial"/>
                <w:sz w:val="22"/>
              </w:rPr>
            </w:pPr>
            <w:permStart w:id="1148282581" w:edGrp="everyone" w:colFirst="1" w:colLast="1"/>
            <w:permEnd w:id="821845506"/>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2F51B6" w14:textId="77777777" w:rsidR="00C2682A" w:rsidRPr="00AB6D88" w:rsidRDefault="00E00C72" w:rsidP="00FA5524">
                <w:pPr>
                  <w:rPr>
                    <w:rFonts w:cs="Arial"/>
                  </w:rPr>
                </w:pPr>
                <w:r>
                  <w:rPr>
                    <w:rFonts w:cs="Arial"/>
                  </w:rPr>
                  <w:t>Germany</w:t>
                </w:r>
              </w:p>
            </w:tc>
          </w:sdtContent>
        </w:sdt>
      </w:tr>
      <w:permEnd w:id="1148282581"/>
    </w:tbl>
    <w:p w14:paraId="2FBBE658" w14:textId="77777777" w:rsidR="00C2682A" w:rsidRDefault="00C2682A" w:rsidP="00F87897">
      <w:pPr>
        <w:spacing w:after="120" w:line="264" w:lineRule="auto"/>
      </w:pPr>
    </w:p>
    <w:p w14:paraId="56807989" w14:textId="77777777" w:rsidR="00F87897" w:rsidRDefault="00F87897" w:rsidP="00F87897">
      <w:pPr>
        <w:spacing w:after="120" w:line="264" w:lineRule="auto"/>
      </w:pPr>
    </w:p>
    <w:p w14:paraId="19C3661F" w14:textId="77777777" w:rsidR="00F87897" w:rsidRDefault="00F87897" w:rsidP="00F87897">
      <w:pPr>
        <w:pStyle w:val="berschrift1"/>
        <w:numPr>
          <w:ilvl w:val="0"/>
          <w:numId w:val="0"/>
        </w:numPr>
        <w:ind w:left="431" w:hanging="431"/>
      </w:pPr>
      <w:r>
        <w:t>Introduction</w:t>
      </w:r>
    </w:p>
    <w:p w14:paraId="78317592"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1C7858BA" w14:textId="77777777" w:rsidR="00F87897" w:rsidRPr="00BF28DA" w:rsidRDefault="00F87897" w:rsidP="00F87897"/>
    <w:p w14:paraId="4FF0A69E" w14:textId="77777777" w:rsidR="00F87897" w:rsidRPr="006F4535" w:rsidRDefault="00F87897" w:rsidP="00F87897">
      <w:r w:rsidRPr="006F4535">
        <w:t>&lt;ESMA_COMMENT_</w:t>
      </w:r>
      <w:r w:rsidR="00227C1A">
        <w:t>CP</w:t>
      </w:r>
      <w:r w:rsidR="00D72869">
        <w:t>_SME_</w:t>
      </w:r>
      <w:r w:rsidRPr="006F4535">
        <w:t>1&gt;</w:t>
      </w:r>
    </w:p>
    <w:p w14:paraId="18E1C503" w14:textId="09370AC7" w:rsidR="00F87897" w:rsidRDefault="00E00C72" w:rsidP="00F87897">
      <w:permStart w:id="1805866542" w:edGrp="everyone"/>
      <w:r w:rsidRPr="00E00C72">
        <w:t xml:space="preserve">Deutsches Aktieninstitut (identification number: 38064081304-25) represents the entire German economy interested in capital markets. The about 200 members of Deutsches Aktieninstitut are listed corporations, banks, stock exchanges, investors and other important market participants. </w:t>
      </w:r>
      <w:r w:rsidRPr="00E00C72">
        <w:rPr>
          <w:lang w:val="de-DE"/>
        </w:rPr>
        <w:t>Deutsches Aktieninstitut keeps offices in Frankfurt, Brussels and in Berlin.</w:t>
      </w:r>
      <w:permEnd w:id="1805866542"/>
    </w:p>
    <w:p w14:paraId="2F85CD10" w14:textId="77777777" w:rsidR="00F87897" w:rsidRPr="00BF28DA" w:rsidRDefault="00F87897" w:rsidP="00F87897">
      <w:r w:rsidRPr="00BF28DA">
        <w:t>&lt;ESMA_COMMENT_</w:t>
      </w:r>
      <w:r w:rsidR="00227C1A">
        <w:t>CP</w:t>
      </w:r>
      <w:r w:rsidR="00D72869">
        <w:t>_SME_</w:t>
      </w:r>
      <w:r w:rsidRPr="00BF28DA">
        <w:t>1&gt;</w:t>
      </w:r>
    </w:p>
    <w:p w14:paraId="3B189D74" w14:textId="77777777" w:rsidR="00F87897" w:rsidRDefault="00F87897">
      <w:pPr>
        <w:rPr>
          <w:rFonts w:eastAsiaTheme="minorEastAsia" w:cstheme="minorBidi"/>
          <w:b/>
          <w:sz w:val="22"/>
          <w:szCs w:val="20"/>
          <w:lang w:eastAsia="en-US"/>
        </w:rPr>
      </w:pPr>
      <w:r>
        <w:br w:type="page"/>
      </w:r>
    </w:p>
    <w:p w14:paraId="3A5D3F49" w14:textId="77777777"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2651ACB0" w14:textId="77777777" w:rsidR="00A8728B" w:rsidRDefault="00A8728B" w:rsidP="00A8728B">
      <w:r>
        <w:t>&lt;ESMA_QUESTION</w:t>
      </w:r>
      <w:r w:rsidR="00D920D1">
        <w:t>_</w:t>
      </w:r>
      <w:r w:rsidR="00227C1A">
        <w:t>CP</w:t>
      </w:r>
      <w:r w:rsidR="00D72869">
        <w:t>_SME_</w:t>
      </w:r>
      <w:r>
        <w:t>1&gt;</w:t>
      </w:r>
    </w:p>
    <w:p w14:paraId="265A9542" w14:textId="77777777" w:rsidR="00A8728B" w:rsidRDefault="00A8728B" w:rsidP="00A8728B">
      <w:permStart w:id="1126506836" w:edGrp="everyone"/>
      <w:r>
        <w:t>TYPE YOUR TEXT HERE</w:t>
      </w:r>
      <w:permEnd w:id="1126506836"/>
    </w:p>
    <w:p w14:paraId="7C1CDD17" w14:textId="77777777" w:rsidR="00A8728B" w:rsidRDefault="00A8728B" w:rsidP="00A8728B">
      <w:r>
        <w:t>&lt;ESMA_QUESTION</w:t>
      </w:r>
      <w:r w:rsidR="00D920D1">
        <w:t>_</w:t>
      </w:r>
      <w:r w:rsidR="00227C1A">
        <w:t>CP</w:t>
      </w:r>
      <w:r w:rsidR="00D72869">
        <w:t>_SME_</w:t>
      </w:r>
      <w:r>
        <w:t>1&gt;</w:t>
      </w:r>
    </w:p>
    <w:p w14:paraId="7A5AAC92" w14:textId="77777777" w:rsidR="00C228C1" w:rsidRDefault="00C228C1" w:rsidP="00A8728B"/>
    <w:p w14:paraId="039B4891" w14:textId="77777777"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773B88F6" w14:textId="77777777" w:rsidR="00A8728B" w:rsidRDefault="00A8728B" w:rsidP="00A8728B">
      <w:r>
        <w:t>&lt;ESMA_QUESTION</w:t>
      </w:r>
      <w:r w:rsidR="00D920D1">
        <w:t>_</w:t>
      </w:r>
      <w:r w:rsidR="00227C1A">
        <w:t>CP</w:t>
      </w:r>
      <w:r w:rsidR="00D72869">
        <w:t>_SME_</w:t>
      </w:r>
      <w:r>
        <w:t>2&gt;</w:t>
      </w:r>
    </w:p>
    <w:p w14:paraId="2055C095" w14:textId="272C7DCA" w:rsidR="00FE23CF" w:rsidRPr="00140204" w:rsidRDefault="00011489" w:rsidP="00080DBB">
      <w:pPr>
        <w:jc w:val="both"/>
        <w:rPr>
          <w:szCs w:val="20"/>
        </w:rPr>
      </w:pPr>
      <w:permStart w:id="1818045738" w:edGrp="everyone"/>
      <w:r w:rsidRPr="00140204">
        <w:rPr>
          <w:szCs w:val="20"/>
        </w:rPr>
        <w:t>T</w:t>
      </w:r>
      <w:r w:rsidR="00EF320B" w:rsidRPr="00140204">
        <w:rPr>
          <w:szCs w:val="20"/>
        </w:rPr>
        <w:t xml:space="preserve">he visibility and </w:t>
      </w:r>
      <w:r w:rsidRPr="00140204">
        <w:rPr>
          <w:szCs w:val="20"/>
        </w:rPr>
        <w:t>attractiveness</w:t>
      </w:r>
      <w:r w:rsidR="00EF320B" w:rsidRPr="00140204">
        <w:rPr>
          <w:szCs w:val="20"/>
        </w:rPr>
        <w:t xml:space="preserve"> </w:t>
      </w:r>
      <w:r w:rsidRPr="00140204">
        <w:rPr>
          <w:szCs w:val="20"/>
        </w:rPr>
        <w:t>of SME GMs is strongly int</w:t>
      </w:r>
      <w:r w:rsidR="00EF320B" w:rsidRPr="00140204">
        <w:rPr>
          <w:szCs w:val="20"/>
        </w:rPr>
        <w:t xml:space="preserve">erlinked with the general intensity of compliance duties for companies stemming from various levels of EU capital markets regulation. In this context, the requirements of MAR have proven to be particularly cumbersome for issuers. We </w:t>
      </w:r>
      <w:r w:rsidR="00CE58A1" w:rsidRPr="00140204">
        <w:rPr>
          <w:szCs w:val="20"/>
        </w:rPr>
        <w:t>believe</w:t>
      </w:r>
      <w:r w:rsidR="00EF320B" w:rsidRPr="00140204">
        <w:rPr>
          <w:szCs w:val="20"/>
        </w:rPr>
        <w:t xml:space="preserve"> that</w:t>
      </w:r>
      <w:r w:rsidR="00F50A26" w:rsidRPr="00140204">
        <w:rPr>
          <w:szCs w:val="20"/>
        </w:rPr>
        <w:t xml:space="preserve"> further </w:t>
      </w:r>
      <w:r w:rsidR="00F50A26" w:rsidRPr="00140204">
        <w:rPr>
          <w:szCs w:val="20"/>
          <w:highlight w:val="yellow"/>
        </w:rPr>
        <w:t xml:space="preserve">alleviations </w:t>
      </w:r>
      <w:r w:rsidR="00EF320B" w:rsidRPr="00140204">
        <w:rPr>
          <w:szCs w:val="20"/>
          <w:highlight w:val="yellow"/>
        </w:rPr>
        <w:t>from the MAR requirements for</w:t>
      </w:r>
      <w:r w:rsidR="00F50A26" w:rsidRPr="00140204">
        <w:rPr>
          <w:szCs w:val="20"/>
          <w:highlight w:val="yellow"/>
        </w:rPr>
        <w:t xml:space="preserve"> issuers </w:t>
      </w:r>
      <w:r w:rsidR="00EF320B" w:rsidRPr="00140204">
        <w:rPr>
          <w:szCs w:val="20"/>
        </w:rPr>
        <w:t>of all sizes</w:t>
      </w:r>
      <w:r w:rsidR="00F50A26" w:rsidRPr="00140204">
        <w:rPr>
          <w:szCs w:val="20"/>
        </w:rPr>
        <w:t xml:space="preserve"> </w:t>
      </w:r>
      <w:r w:rsidR="00EF320B" w:rsidRPr="00140204">
        <w:rPr>
          <w:szCs w:val="20"/>
        </w:rPr>
        <w:t xml:space="preserve">would also be of benefit for SME GMs, thereby increasing the </w:t>
      </w:r>
      <w:r w:rsidR="00F50A26" w:rsidRPr="00140204">
        <w:rPr>
          <w:szCs w:val="20"/>
        </w:rPr>
        <w:t>visibility and attractiveness of SME GMs.</w:t>
      </w:r>
    </w:p>
    <w:p w14:paraId="771DE2AB" w14:textId="42C1CF52" w:rsidR="00F933FE" w:rsidRPr="00140204" w:rsidRDefault="00F933FE" w:rsidP="00080DBB">
      <w:pPr>
        <w:jc w:val="both"/>
        <w:rPr>
          <w:szCs w:val="20"/>
        </w:rPr>
      </w:pPr>
    </w:p>
    <w:p w14:paraId="5BB08828" w14:textId="77777777" w:rsidR="00F933FE" w:rsidRPr="00140204" w:rsidRDefault="00F933FE" w:rsidP="00F933FE">
      <w:pPr>
        <w:jc w:val="both"/>
        <w:rPr>
          <w:szCs w:val="20"/>
        </w:rPr>
      </w:pPr>
      <w:r w:rsidRPr="00140204">
        <w:rPr>
          <w:szCs w:val="20"/>
        </w:rPr>
        <w:t>Therefore, MAR should be further adjusted with regard to:</w:t>
      </w:r>
    </w:p>
    <w:p w14:paraId="072BAC82" w14:textId="77777777" w:rsidR="00F933FE" w:rsidRPr="00140204" w:rsidRDefault="00F933FE" w:rsidP="00F933FE">
      <w:pPr>
        <w:pStyle w:val="Bulletpoints"/>
        <w:contextualSpacing w:val="0"/>
        <w:outlineLvl w:val="9"/>
        <w:rPr>
          <w:rFonts w:ascii="Arial" w:hAnsi="Arial" w:cs="Arial"/>
          <w:bCs/>
          <w:sz w:val="20"/>
          <w:szCs w:val="20"/>
        </w:rPr>
      </w:pPr>
      <w:r w:rsidRPr="00140204">
        <w:rPr>
          <w:rFonts w:ascii="Arial" w:hAnsi="Arial" w:cs="Arial"/>
          <w:bCs/>
          <w:sz w:val="20"/>
          <w:szCs w:val="20"/>
        </w:rPr>
        <w:t xml:space="preserve">disclosure requirements, notably around information dissemination; </w:t>
      </w:r>
    </w:p>
    <w:p w14:paraId="31859B0B" w14:textId="77777777" w:rsidR="00F933FE" w:rsidRPr="00140204" w:rsidRDefault="00F933FE" w:rsidP="00F933FE">
      <w:pPr>
        <w:pStyle w:val="Bulletpoints"/>
        <w:contextualSpacing w:val="0"/>
        <w:outlineLvl w:val="9"/>
        <w:rPr>
          <w:rFonts w:ascii="Arial" w:hAnsi="Arial" w:cs="Arial"/>
          <w:bCs/>
          <w:sz w:val="20"/>
          <w:szCs w:val="20"/>
        </w:rPr>
      </w:pPr>
      <w:r w:rsidRPr="00140204">
        <w:rPr>
          <w:rFonts w:ascii="Arial" w:hAnsi="Arial" w:cs="Arial"/>
          <w:bCs/>
          <w:sz w:val="20"/>
          <w:szCs w:val="20"/>
        </w:rPr>
        <w:t>the duty to react on rumours related to inside information;</w:t>
      </w:r>
    </w:p>
    <w:p w14:paraId="564EE345" w14:textId="77777777" w:rsidR="000478C6" w:rsidRDefault="00F933FE" w:rsidP="00A8728B">
      <w:pPr>
        <w:pStyle w:val="Bulletpoints"/>
        <w:contextualSpacing w:val="0"/>
        <w:outlineLvl w:val="9"/>
        <w:rPr>
          <w:rFonts w:ascii="Arial" w:hAnsi="Arial" w:cs="Arial"/>
          <w:bCs/>
          <w:sz w:val="20"/>
          <w:szCs w:val="20"/>
        </w:rPr>
      </w:pPr>
      <w:r w:rsidRPr="00140204">
        <w:rPr>
          <w:rFonts w:ascii="Arial" w:hAnsi="Arial" w:cs="Arial"/>
          <w:bCs/>
          <w:sz w:val="20"/>
          <w:szCs w:val="20"/>
        </w:rPr>
        <w:t xml:space="preserve">the level of detail of insider lists; </w:t>
      </w:r>
    </w:p>
    <w:p w14:paraId="29A11AA3" w14:textId="77777777" w:rsidR="00D77A93" w:rsidRPr="00D77A93" w:rsidRDefault="00F933FE" w:rsidP="00D77A93">
      <w:pPr>
        <w:pStyle w:val="Bulletpoints"/>
        <w:contextualSpacing w:val="0"/>
        <w:outlineLvl w:val="9"/>
        <w:rPr>
          <w:rFonts w:ascii="Arial" w:hAnsi="Arial" w:cs="Arial"/>
          <w:bCs/>
          <w:sz w:val="20"/>
          <w:szCs w:val="20"/>
        </w:rPr>
      </w:pPr>
      <w:r w:rsidRPr="000478C6">
        <w:rPr>
          <w:rFonts w:ascii="Arial" w:hAnsi="Arial" w:cs="Arial"/>
          <w:bCs/>
          <w:sz w:val="20"/>
          <w:szCs w:val="20"/>
        </w:rPr>
        <w:t>requirements in relation to managers’ transaction reporting;</w:t>
      </w:r>
    </w:p>
    <w:p w14:paraId="592038B1" w14:textId="77777777" w:rsidR="00D77A93" w:rsidRPr="00D77A93" w:rsidRDefault="00F933FE" w:rsidP="00D77A93">
      <w:pPr>
        <w:pStyle w:val="Bulletpoints"/>
        <w:contextualSpacing w:val="0"/>
        <w:outlineLvl w:val="9"/>
        <w:rPr>
          <w:rFonts w:ascii="Arial" w:hAnsi="Arial" w:cs="Arial"/>
          <w:bCs/>
          <w:sz w:val="20"/>
          <w:szCs w:val="20"/>
        </w:rPr>
      </w:pPr>
      <w:r w:rsidRPr="00D77A93">
        <w:rPr>
          <w:rFonts w:ascii="Arial" w:hAnsi="Arial" w:cs="Arial"/>
          <w:bCs/>
          <w:sz w:val="20"/>
          <w:szCs w:val="20"/>
        </w:rPr>
        <w:t>the interpretation of the necessary speed around an ad hoc announcement, depend</w:t>
      </w:r>
      <w:r w:rsidR="00D77A93" w:rsidRPr="00D77A93">
        <w:rPr>
          <w:rFonts w:ascii="Arial" w:hAnsi="Arial" w:cs="Arial"/>
          <w:bCs/>
          <w:sz w:val="20"/>
          <w:szCs w:val="20"/>
        </w:rPr>
        <w:t>ing on the actual announcement;</w:t>
      </w:r>
      <w:bookmarkStart w:id="3" w:name="_GoBack"/>
      <w:bookmarkEnd w:id="3"/>
    </w:p>
    <w:p w14:paraId="0F3B4D07" w14:textId="7017B8FA" w:rsidR="00A8728B" w:rsidRDefault="00F933FE" w:rsidP="00A8728B">
      <w:r w:rsidRPr="00D77A93">
        <w:rPr>
          <w:rFonts w:eastAsiaTheme="minorHAnsi" w:cs="Arial"/>
          <w:bCs/>
          <w:szCs w:val="20"/>
          <w:lang w:eastAsia="en-US"/>
        </w:rPr>
        <w:t>and the very high level of sanctions</w:t>
      </w:r>
      <w:r w:rsidR="00046105">
        <w:t>.</w:t>
      </w:r>
      <w:permEnd w:id="1818045738"/>
    </w:p>
    <w:p w14:paraId="7106B9D7" w14:textId="77777777" w:rsidR="00A8728B" w:rsidRDefault="00A8728B" w:rsidP="00A8728B">
      <w:r>
        <w:t>&lt;ESMA_QUESTION</w:t>
      </w:r>
      <w:r w:rsidR="00D920D1">
        <w:t>_</w:t>
      </w:r>
      <w:r w:rsidR="00227C1A">
        <w:t>CP</w:t>
      </w:r>
      <w:r w:rsidR="00D72869">
        <w:t>_SME_</w:t>
      </w:r>
      <w:r>
        <w:t>2&gt;</w:t>
      </w:r>
    </w:p>
    <w:p w14:paraId="2A146511" w14:textId="77777777" w:rsidR="002E1760" w:rsidRDefault="002E1760" w:rsidP="00A8728B"/>
    <w:p w14:paraId="6B760FAB" w14:textId="77777777"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B4412CD" w14:textId="77777777" w:rsidR="002E1760" w:rsidRDefault="002E1760" w:rsidP="002E1760">
      <w:r>
        <w:t>&lt;ESMA_QUESTION_</w:t>
      </w:r>
      <w:r w:rsidR="00227C1A">
        <w:t>CP</w:t>
      </w:r>
      <w:r w:rsidR="00D72869">
        <w:t>_SME_</w:t>
      </w:r>
      <w:r>
        <w:t>3&gt;</w:t>
      </w:r>
    </w:p>
    <w:p w14:paraId="6D9209BA" w14:textId="77777777" w:rsidR="002E1760" w:rsidRDefault="002E1760" w:rsidP="002E1760">
      <w:permStart w:id="1265138961" w:edGrp="everyone"/>
      <w:r>
        <w:t>TYPE YOUR TEXT HERE</w:t>
      </w:r>
      <w:permEnd w:id="1265138961"/>
    </w:p>
    <w:p w14:paraId="168C1ACF" w14:textId="77777777" w:rsidR="002E1760" w:rsidRDefault="002E1760" w:rsidP="002E1760">
      <w:r>
        <w:t>&lt;ESMA_QUESTION_</w:t>
      </w:r>
      <w:r w:rsidR="00227C1A">
        <w:t>CP</w:t>
      </w:r>
      <w:r w:rsidR="00D72869">
        <w:t>_SME_</w:t>
      </w:r>
      <w:r>
        <w:t>3&gt;</w:t>
      </w:r>
    </w:p>
    <w:p w14:paraId="17ED42F4" w14:textId="77777777" w:rsidR="002E1760" w:rsidRDefault="002E1760" w:rsidP="00A8728B"/>
    <w:p w14:paraId="042E569F" w14:textId="77777777"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00BDCC49" w14:textId="77777777" w:rsidR="002E1760" w:rsidRDefault="002E1760" w:rsidP="002E1760">
      <w:r>
        <w:t>&lt;ESMA_QUESTION_</w:t>
      </w:r>
      <w:r w:rsidR="00227C1A">
        <w:t>CP</w:t>
      </w:r>
      <w:r w:rsidR="00D72869">
        <w:t>_SME_</w:t>
      </w:r>
      <w:r>
        <w:t>4&gt;</w:t>
      </w:r>
    </w:p>
    <w:p w14:paraId="0C52BAAE" w14:textId="77777777" w:rsidR="00E00C72" w:rsidRDefault="00E00C72" w:rsidP="00E00C72">
      <w:permStart w:id="656026764" w:edGrp="everyone"/>
      <w:r>
        <w:t xml:space="preserve">Yes, to align the definition among different regulations on EU-level is helpful. </w:t>
      </w:r>
    </w:p>
    <w:p w14:paraId="5CD0547E" w14:textId="77777777" w:rsidR="00E00C72" w:rsidRDefault="00E00C72" w:rsidP="00E00C72"/>
    <w:p w14:paraId="3F463C5A" w14:textId="77777777" w:rsidR="002E1760" w:rsidRDefault="00E00C72" w:rsidP="002E1760">
      <w:r>
        <w:t>Furthermore, the definition should reflect legislation in other jurisdictions, especially the US JOBS Act, which sets a higher threshold of approximately EUR 1 bn. The High Level Forum on the Capital Market Union also proposes this in its final report. It could also be worth to consider an automatically inflation adjustment of the threshold.</w:t>
      </w:r>
      <w:permEnd w:id="656026764"/>
    </w:p>
    <w:p w14:paraId="0486314D" w14:textId="77777777" w:rsidR="002E1760" w:rsidRDefault="002E1760" w:rsidP="002E1760">
      <w:r>
        <w:lastRenderedPageBreak/>
        <w:t>&lt;ESMA_QUESTION_</w:t>
      </w:r>
      <w:r w:rsidR="00227C1A">
        <w:t>CP</w:t>
      </w:r>
      <w:r w:rsidR="00D72869">
        <w:t>_SME_</w:t>
      </w:r>
      <w:r>
        <w:t>4&gt;</w:t>
      </w:r>
    </w:p>
    <w:p w14:paraId="2B1DF9F7" w14:textId="77777777" w:rsidR="002E1760" w:rsidRDefault="002E1760" w:rsidP="002E1760"/>
    <w:p w14:paraId="380B4BE7" w14:textId="77777777"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6BA839" w14:textId="77777777" w:rsidR="00227C1A" w:rsidRDefault="00227C1A" w:rsidP="00227C1A">
      <w:r>
        <w:t>&lt;ESMA_QUESTION_CP</w:t>
      </w:r>
      <w:r w:rsidR="00D72869">
        <w:t>_SME_</w:t>
      </w:r>
      <w:r w:rsidR="0062022D">
        <w:t>5</w:t>
      </w:r>
      <w:r>
        <w:t>&gt;</w:t>
      </w:r>
    </w:p>
    <w:p w14:paraId="51215B3D" w14:textId="77777777" w:rsidR="00227C1A" w:rsidRDefault="00E00C72" w:rsidP="00227C1A">
      <w:permStart w:id="34815800" w:edGrp="everyone"/>
      <w:r w:rsidRPr="00E00C72">
        <w:t>No, we do not think that the admission regime should be harmonized or specified. The requirements should be left to the discretion of the exchange providers as they could best assess the right balance between market liquidity and the difficulties to comply with such requirements.</w:t>
      </w:r>
      <w:permEnd w:id="34815800"/>
    </w:p>
    <w:p w14:paraId="07B60669" w14:textId="77777777" w:rsidR="00227C1A" w:rsidRDefault="00227C1A" w:rsidP="00227C1A">
      <w:r>
        <w:t>&lt;ESMA_QUESTION_CP</w:t>
      </w:r>
      <w:r w:rsidR="00D72869">
        <w:t>_SME_</w:t>
      </w:r>
      <w:r w:rsidR="0062022D">
        <w:t>5</w:t>
      </w:r>
      <w:r>
        <w:t>&gt;</w:t>
      </w:r>
    </w:p>
    <w:p w14:paraId="6D20960D" w14:textId="77777777" w:rsidR="002E1760" w:rsidRDefault="002E1760" w:rsidP="002E1760"/>
    <w:p w14:paraId="16295B80" w14:textId="77777777"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4BA7EAD5" w14:textId="77777777" w:rsidR="0062022D" w:rsidRDefault="0062022D" w:rsidP="0062022D">
      <w:r>
        <w:t>&lt;ESMA_QUESTION_CP</w:t>
      </w:r>
      <w:r w:rsidR="00D72869">
        <w:t>_SME_</w:t>
      </w:r>
      <w:r w:rsidR="00A263DF">
        <w:t>6</w:t>
      </w:r>
      <w:r>
        <w:t>&gt;</w:t>
      </w:r>
    </w:p>
    <w:p w14:paraId="03E8C31A" w14:textId="37F180ED" w:rsidR="0062022D" w:rsidRDefault="00E00C72" w:rsidP="0062022D">
      <w:permStart w:id="1492729038" w:edGrp="everyone"/>
      <w:r w:rsidRPr="00E00C72">
        <w:t>After the extension of the scope of MAR to MTFs</w:t>
      </w:r>
      <w:r w:rsidR="00A27D94">
        <w:t>,</w:t>
      </w:r>
      <w:r w:rsidRPr="00E00C72">
        <w:t xml:space="preserve"> issuers on SME GM were already faced by a huge additional regulatory burden. In view of the high costs associated with IFRS, the option provided by many market operators to use national GAAP must be retained in any case. Accounting according to GAAP is justified especially for those issuers addressing domestic investors, which are the vast majority. The “GAAP-option” should still be possible in any case. IFRS as proposed above should not be compulsory.</w:t>
      </w:r>
      <w:permEnd w:id="1492729038"/>
    </w:p>
    <w:p w14:paraId="13916822" w14:textId="77777777" w:rsidR="0062022D" w:rsidRDefault="0062022D" w:rsidP="0062022D">
      <w:r>
        <w:t>&lt;ESMA_QUESTION_CP</w:t>
      </w:r>
      <w:r w:rsidR="00D72869">
        <w:t>_SME_</w:t>
      </w:r>
      <w:r w:rsidR="00A263DF">
        <w:t>6</w:t>
      </w:r>
      <w:r>
        <w:t>&gt;</w:t>
      </w:r>
    </w:p>
    <w:p w14:paraId="4C548FDB" w14:textId="77777777"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631FA48A" w14:textId="77777777" w:rsidR="00A263DF" w:rsidRDefault="00A263DF" w:rsidP="00A263DF">
      <w:r>
        <w:t>&lt;ESMA_QUESTION_CP</w:t>
      </w:r>
      <w:r w:rsidR="00D72869">
        <w:t>_SME_</w:t>
      </w:r>
      <w:r>
        <w:t>7&gt;</w:t>
      </w:r>
    </w:p>
    <w:p w14:paraId="4FF8361F" w14:textId="77777777" w:rsidR="00A263DF" w:rsidRDefault="00A263DF" w:rsidP="00A263DF">
      <w:permStart w:id="2119174817" w:edGrp="everyone"/>
      <w:r>
        <w:t>TYPE YOUR TEXT HERE</w:t>
      </w:r>
      <w:permEnd w:id="2119174817"/>
    </w:p>
    <w:p w14:paraId="00412400" w14:textId="77777777" w:rsidR="00A263DF" w:rsidRDefault="00A263DF" w:rsidP="00A263DF">
      <w:r>
        <w:t>&lt;ESMA_QUESTION_CP</w:t>
      </w:r>
      <w:r w:rsidR="00D72869">
        <w:t>_SME_</w:t>
      </w:r>
      <w:r>
        <w:t>7&gt;</w:t>
      </w:r>
    </w:p>
    <w:p w14:paraId="5E0EB438" w14:textId="77777777" w:rsidR="00C228C1" w:rsidRDefault="00C228C1" w:rsidP="00A263DF"/>
    <w:p w14:paraId="7524A63A" w14:textId="77777777"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1A09FE27" w14:textId="77777777" w:rsidR="00A263DF" w:rsidRDefault="00A263DF" w:rsidP="00A263DF">
      <w:r>
        <w:t>&lt;ESMA_QUESTION_CP</w:t>
      </w:r>
      <w:r w:rsidR="00D72869">
        <w:t>_SME_</w:t>
      </w:r>
      <w:r w:rsidR="00C228C1">
        <w:t>8</w:t>
      </w:r>
      <w:r>
        <w:t>&gt;</w:t>
      </w:r>
    </w:p>
    <w:p w14:paraId="5BDCCB82" w14:textId="0313CCD2" w:rsidR="00FA6DBD" w:rsidRPr="00140204" w:rsidRDefault="00011489" w:rsidP="00A263DF">
      <w:permStart w:id="754060032" w:edGrp="everyone"/>
      <w:r w:rsidRPr="00140204">
        <w:t>T</w:t>
      </w:r>
      <w:r w:rsidR="00FA6DBD" w:rsidRPr="00140204">
        <w:t xml:space="preserve">here should not be </w:t>
      </w:r>
      <w:r w:rsidR="00A007C0" w:rsidRPr="00140204">
        <w:t xml:space="preserve">an </w:t>
      </w:r>
      <w:r w:rsidR="00FA6DBD" w:rsidRPr="00140204">
        <w:t>amendment requiring an MTF registering as SME GM to make publicly available financial reports concerning the issuers admitted to trading on the SME GM up to one year before registration</w:t>
      </w:r>
      <w:r w:rsidR="00A007C0" w:rsidRPr="00140204">
        <w:t>.</w:t>
      </w:r>
    </w:p>
    <w:p w14:paraId="3DFAFF8F" w14:textId="4A95F8E3" w:rsidR="00A263DF" w:rsidRDefault="00A007C0" w:rsidP="00A263DF">
      <w:r w:rsidRPr="00140204">
        <w:t>For most of the SME GMs, the provision of historical financial data is already included in the listing requirements, the prospectus or the Registration document.</w:t>
      </w:r>
      <w:r>
        <w:t xml:space="preserve"> </w:t>
      </w:r>
      <w:r w:rsidR="0035188D" w:rsidRPr="00140204">
        <w:t xml:space="preserve">The ESMA proposal would </w:t>
      </w:r>
      <w:r w:rsidR="008B498B" w:rsidRPr="00140204">
        <w:t xml:space="preserve">thus </w:t>
      </w:r>
      <w:r w:rsidR="0035188D" w:rsidRPr="00140204">
        <w:t>create double reporting.</w:t>
      </w:r>
      <w:permEnd w:id="754060032"/>
    </w:p>
    <w:p w14:paraId="063E747B" w14:textId="77777777" w:rsidR="00A263DF" w:rsidRDefault="00A263DF" w:rsidP="00A263DF">
      <w:r>
        <w:t>&lt;ESMA_QUESTION_CP</w:t>
      </w:r>
      <w:r w:rsidR="00D72869">
        <w:t>_SME_</w:t>
      </w:r>
      <w:r w:rsidR="00C228C1">
        <w:t>8</w:t>
      </w:r>
      <w:r>
        <w:t>&gt;</w:t>
      </w:r>
    </w:p>
    <w:p w14:paraId="250734EE" w14:textId="77777777" w:rsidR="00C228C1" w:rsidRDefault="00C228C1" w:rsidP="00A263DF"/>
    <w:p w14:paraId="20864250" w14:textId="7777777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59AAC536" w14:textId="77777777" w:rsidR="002E1760" w:rsidRDefault="002E1760" w:rsidP="002E1760">
      <w:r>
        <w:lastRenderedPageBreak/>
        <w:t>&lt;ESMA_QUESTION_</w:t>
      </w:r>
      <w:r w:rsidR="00227C1A">
        <w:t>CP</w:t>
      </w:r>
      <w:r w:rsidR="00D72869">
        <w:t>_SME_</w:t>
      </w:r>
      <w:r>
        <w:t>9&gt;</w:t>
      </w:r>
    </w:p>
    <w:p w14:paraId="170FB03C" w14:textId="268B76B1" w:rsidR="00C3489E" w:rsidRPr="00ED7A1E" w:rsidRDefault="00FA4C7D" w:rsidP="00ED7A1E">
      <w:permStart w:id="1326973032" w:edGrp="everyone"/>
      <w:r w:rsidRPr="00ED7A1E">
        <w:t>Having</w:t>
      </w:r>
      <w:r w:rsidR="00EC4A59" w:rsidRPr="00ED7A1E">
        <w:t xml:space="preserve"> to make periodic financial information available in a more</w:t>
      </w:r>
      <w:r w:rsidR="00C3489E" w:rsidRPr="00ED7A1E">
        <w:t xml:space="preserve"> sta</w:t>
      </w:r>
      <w:r w:rsidR="00EC4A59" w:rsidRPr="00ED7A1E">
        <w:t>ndardized format could significantly</w:t>
      </w:r>
      <w:r w:rsidR="00C3489E" w:rsidRPr="00ED7A1E">
        <w:t xml:space="preserve"> reduce attractiveness for SMEs to list. Especially for smaller SMEs, complying with specific standardized format requirements is likely to be burdensome. In general, transparency requirements should not be more wide-ranging for issuers on SME GMs than for issuers on regulated markets.</w:t>
      </w:r>
    </w:p>
    <w:p w14:paraId="30C51F56" w14:textId="77777777" w:rsidR="00C3489E" w:rsidRPr="00ED7A1E" w:rsidRDefault="00C3489E" w:rsidP="00ED7A1E"/>
    <w:p w14:paraId="7002B046" w14:textId="56FB5548" w:rsidR="00B700FE" w:rsidRPr="00ED7A1E" w:rsidRDefault="00B700FE" w:rsidP="002E1760">
      <w:r w:rsidRPr="00ED7A1E">
        <w:t xml:space="preserve">In order to give companies more visibility, we encourage any measures facilitating </w:t>
      </w:r>
      <w:r w:rsidR="0093626E" w:rsidRPr="00ED7A1E">
        <w:t xml:space="preserve">sharing of company information and </w:t>
      </w:r>
      <w:r w:rsidRPr="00ED7A1E">
        <w:t>provision of information to investors</w:t>
      </w:r>
      <w:r w:rsidR="0093626E" w:rsidRPr="00ED7A1E">
        <w:t>. To boost cross-border investment, access to company information in other Member states should be facilitated.</w:t>
      </w:r>
    </w:p>
    <w:p w14:paraId="48DB2E1E" w14:textId="77275809" w:rsidR="002E1760" w:rsidRDefault="00C3489E" w:rsidP="002E1760">
      <w:r w:rsidRPr="00ED7A1E">
        <w:t>With respect to recent policy proposals on the potential creation of a European harmonised data repository for company reporting, a so-called EU Single Access Point</w:t>
      </w:r>
      <w:r w:rsidR="00EC4A59" w:rsidRPr="00ED7A1E">
        <w:t>, w</w:t>
      </w:r>
      <w:r w:rsidRPr="00ED7A1E">
        <w:t>e suggest that information disclosed by companies listed on Regulated Markets as well as SME Growth Markets should be accessible through such access point. This could enhance the SMEs’ visibility and therefore reduce barriers to access capital</w:t>
      </w:r>
      <w:r w:rsidR="00EC4A59" w:rsidRPr="00ED7A1E">
        <w:t>, overall improving their competitiveness.</w:t>
      </w:r>
      <w:r w:rsidR="00FA4C7D" w:rsidRPr="00ED7A1E">
        <w:t xml:space="preserve"> Furthermore, a European database for SME-research could easily build on a Single Access Point.</w:t>
      </w:r>
      <w:permEnd w:id="1326973032"/>
    </w:p>
    <w:p w14:paraId="059D964E" w14:textId="77777777" w:rsidR="002E1760" w:rsidRDefault="002E1760" w:rsidP="002E1760">
      <w:r>
        <w:t>&lt;ESMA_QUESTION_</w:t>
      </w:r>
      <w:r w:rsidR="00227C1A">
        <w:t>CP</w:t>
      </w:r>
      <w:r w:rsidR="00D72869">
        <w:t>_SME_</w:t>
      </w:r>
      <w:r>
        <w:t>9&gt;</w:t>
      </w:r>
    </w:p>
    <w:p w14:paraId="099BE87C" w14:textId="77777777" w:rsidR="00C228C1" w:rsidRDefault="00C228C1" w:rsidP="002E1760"/>
    <w:p w14:paraId="3D328EBA" w14:textId="7777777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579A3974" w14:textId="77777777" w:rsidR="008418E3" w:rsidRDefault="008418E3" w:rsidP="008418E3">
      <w:r>
        <w:t>&lt;ESMA_QUESTION_CP</w:t>
      </w:r>
      <w:r w:rsidR="00D72869">
        <w:t>_SME_</w:t>
      </w:r>
      <w:r>
        <w:t>10&gt;</w:t>
      </w:r>
    </w:p>
    <w:p w14:paraId="529B06B5" w14:textId="77777777" w:rsidR="008418E3" w:rsidRDefault="008418E3" w:rsidP="008418E3">
      <w:permStart w:id="1429144077" w:edGrp="everyone"/>
      <w:r>
        <w:t xml:space="preserve">TYPE YOUR </w:t>
      </w:r>
      <w:r w:rsidRPr="00A27D94">
        <w:t>TEXT</w:t>
      </w:r>
      <w:r>
        <w:t xml:space="preserve"> HERE</w:t>
      </w:r>
      <w:permEnd w:id="1429144077"/>
    </w:p>
    <w:p w14:paraId="205D395A" w14:textId="77777777" w:rsidR="008418E3" w:rsidRDefault="008418E3" w:rsidP="008418E3">
      <w:r>
        <w:t>&lt;ESMA_QUESTION_CP</w:t>
      </w:r>
      <w:r w:rsidR="00D72869">
        <w:t>_SME_</w:t>
      </w:r>
      <w:r>
        <w:t>10&gt;</w:t>
      </w:r>
    </w:p>
    <w:p w14:paraId="336E053E" w14:textId="77777777" w:rsidR="00C228C1" w:rsidRDefault="00C228C1" w:rsidP="008418E3"/>
    <w:p w14:paraId="1ECBE34F" w14:textId="77777777"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0EDC01A1" w14:textId="77777777" w:rsidR="00F469F8" w:rsidRDefault="00F469F8" w:rsidP="00F469F8">
      <w:r>
        <w:t>&lt;ESMA_QUESTION_CP</w:t>
      </w:r>
      <w:r w:rsidR="00D72869">
        <w:t>_SME_</w:t>
      </w:r>
      <w:r>
        <w:t>11&gt;</w:t>
      </w:r>
    </w:p>
    <w:p w14:paraId="29372C3F" w14:textId="470C69CA" w:rsidR="00F469F8" w:rsidRDefault="00A27D94" w:rsidP="00F469F8">
      <w:permStart w:id="1437156374" w:edGrp="everyone"/>
      <w:r>
        <w:t xml:space="preserve">TYPE YOUR </w:t>
      </w:r>
      <w:r w:rsidRPr="00A27D94">
        <w:t>TEXT</w:t>
      </w:r>
      <w:r>
        <w:t xml:space="preserve"> HERE</w:t>
      </w:r>
      <w:permEnd w:id="1437156374"/>
    </w:p>
    <w:p w14:paraId="44A92D8D" w14:textId="77777777" w:rsidR="00F469F8" w:rsidRDefault="00F469F8" w:rsidP="00F469F8">
      <w:r>
        <w:t>&lt;ESMA_QUESTION_CP</w:t>
      </w:r>
      <w:r w:rsidR="00D72869">
        <w:t>_SME_</w:t>
      </w:r>
      <w:r>
        <w:t>11&gt;</w:t>
      </w:r>
    </w:p>
    <w:p w14:paraId="29454AB3" w14:textId="77777777" w:rsidR="00C228C1" w:rsidRDefault="00C228C1" w:rsidP="00F469F8"/>
    <w:p w14:paraId="624F6BA6" w14:textId="77777777"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1BE1A91B" w14:textId="77777777" w:rsidR="00F469F8" w:rsidRDefault="00F469F8" w:rsidP="00F469F8">
      <w:r>
        <w:t>&lt;ESMA_QUESTION_CP</w:t>
      </w:r>
      <w:r w:rsidR="00D72869">
        <w:t>_SME_</w:t>
      </w:r>
      <w:r>
        <w:t>1</w:t>
      </w:r>
      <w:r w:rsidR="002868FC">
        <w:t>2</w:t>
      </w:r>
      <w:r>
        <w:t>&gt;</w:t>
      </w:r>
    </w:p>
    <w:p w14:paraId="6EA17F5B" w14:textId="1497A75C" w:rsidR="00F469F8" w:rsidRDefault="007A539B" w:rsidP="00F469F8">
      <w:permStart w:id="1276997227" w:edGrp="everyone"/>
      <w:r w:rsidRPr="005A731F">
        <w:t>We do not support the proposal to extend the ‘issuer non-objection requirement for admission to trading’ of SMEs to Regulated Markets and MTFs. Share trading would be further fragmented, and the issuer would not have any influence on the inclusion.</w:t>
      </w:r>
      <w:permEnd w:id="1276997227"/>
    </w:p>
    <w:p w14:paraId="043736A4" w14:textId="77777777" w:rsidR="00F469F8" w:rsidRDefault="00F469F8" w:rsidP="00F469F8">
      <w:r>
        <w:t>&lt;ESMA_QUESTION_CP</w:t>
      </w:r>
      <w:r w:rsidR="00D72869">
        <w:t>_SME_</w:t>
      </w:r>
      <w:r>
        <w:t>1</w:t>
      </w:r>
      <w:r w:rsidR="002868FC">
        <w:t>2</w:t>
      </w:r>
      <w:r>
        <w:t>&gt;</w:t>
      </w:r>
    </w:p>
    <w:p w14:paraId="5537DC83" w14:textId="77777777" w:rsidR="009003B8" w:rsidRDefault="009003B8" w:rsidP="002E1760"/>
    <w:p w14:paraId="5B136A80" w14:textId="77777777" w:rsidR="00646C30" w:rsidRDefault="00EC5B27" w:rsidP="00646C30">
      <w:pPr>
        <w:pStyle w:val="CPQuestions"/>
      </w:pPr>
      <w:r w:rsidRPr="00EC5B27">
        <w:lastRenderedPageBreak/>
        <w:t>Do you think that it should be specified that obligations relating to corporate governance or initial, ongoing or ad hoc disclosure should still hold in case of admission to trading in multiple jurisdiction</w:t>
      </w:r>
      <w:r w:rsidR="00C228C1">
        <w:t>?</w:t>
      </w:r>
    </w:p>
    <w:p w14:paraId="12E99355" w14:textId="77777777" w:rsidR="00646C30" w:rsidRDefault="00646C30" w:rsidP="00646C30">
      <w:r>
        <w:t>&lt;ESMA_QUESTION_CP</w:t>
      </w:r>
      <w:r w:rsidR="00D72869">
        <w:t>_SME_</w:t>
      </w:r>
      <w:r>
        <w:t>1</w:t>
      </w:r>
      <w:r w:rsidR="00101BF1">
        <w:t>3</w:t>
      </w:r>
      <w:r>
        <w:t>&gt;</w:t>
      </w:r>
    </w:p>
    <w:p w14:paraId="25C5EDC3" w14:textId="77777777" w:rsidR="00646C30" w:rsidRDefault="00646C30" w:rsidP="00646C30">
      <w:permStart w:id="1502103228" w:edGrp="everyone"/>
      <w:r>
        <w:t>TYPE YOUR TEXT HERE</w:t>
      </w:r>
      <w:permEnd w:id="1502103228"/>
    </w:p>
    <w:p w14:paraId="353F0910" w14:textId="77777777" w:rsidR="00646C30" w:rsidRDefault="00646C30" w:rsidP="00646C30">
      <w:r>
        <w:t>&lt;ESMA_QUESTION_CP</w:t>
      </w:r>
      <w:r w:rsidR="00D72869">
        <w:t>_SME_</w:t>
      </w:r>
      <w:r>
        <w:t>1</w:t>
      </w:r>
      <w:r w:rsidR="002F1683">
        <w:t>3</w:t>
      </w:r>
      <w:r>
        <w:t>&gt;</w:t>
      </w:r>
    </w:p>
    <w:p w14:paraId="4E4B7FA1" w14:textId="77777777" w:rsidR="002868FC" w:rsidRDefault="002868FC" w:rsidP="002E1760"/>
    <w:p w14:paraId="416C3501" w14:textId="77777777" w:rsidR="00646C30" w:rsidRDefault="00EC5B27" w:rsidP="00646C30">
      <w:pPr>
        <w:pStyle w:val="CPQuestions"/>
      </w:pPr>
      <w:r w:rsidRPr="00EC5B27">
        <w:t>How do you think the availability of research on SMEs could be increased</w:t>
      </w:r>
      <w:r w:rsidR="00C228C1">
        <w:t>?</w:t>
      </w:r>
    </w:p>
    <w:p w14:paraId="6F3A4851" w14:textId="77777777" w:rsidR="00646C30" w:rsidRDefault="00646C30" w:rsidP="00646C30">
      <w:r>
        <w:t>&lt;ESMA_QUESTION_CP</w:t>
      </w:r>
      <w:r w:rsidR="00D72869">
        <w:t>_SME_</w:t>
      </w:r>
      <w:r>
        <w:t>1</w:t>
      </w:r>
      <w:r w:rsidR="00101BF1">
        <w:t>4</w:t>
      </w:r>
      <w:r>
        <w:t>&gt;</w:t>
      </w:r>
    </w:p>
    <w:p w14:paraId="29F54D47" w14:textId="77777777" w:rsidR="00E00C72" w:rsidRDefault="00E00C72" w:rsidP="00E00C72">
      <w:permStart w:id="1117456001" w:edGrp="everyone"/>
      <w:r>
        <w:t>The problem of research availability closely relates to the introduction of the unbundling rules under MiFID II, which increased the cost pressure among brokers followed by a significant staff reduction. Inevitably, the quantity of research declined. This is especially a problem for SMEs. Today, after the introduction of the unbundling rules, SMEs have much more difficulties to obtain broker-coverage than before. Compared to larger stock-listed companies, where research is provided by brokers and thus largely available, many SMEs have to purchase research, a trend, which is significantly reinforced by the unbundling rules.</w:t>
      </w:r>
    </w:p>
    <w:p w14:paraId="42A26E64" w14:textId="77777777" w:rsidR="00E00C72" w:rsidRDefault="00E00C72" w:rsidP="00E00C72"/>
    <w:p w14:paraId="6C71C4BF" w14:textId="77777777" w:rsidR="00646C30" w:rsidRDefault="00E00C72" w:rsidP="00646C30">
      <w:r>
        <w:t>The introduction of an exemption of SMEs from the unbundling requirements should help the respective companies to extend their coverage on a “pre-MiFID-level”. We propose to define a SME (or Small Cap) being a company having a market capitalization up to 1 bn. Euro. Obviously, these companies are most affected by the unbundling rules.</w:t>
      </w:r>
      <w:permEnd w:id="1117456001"/>
    </w:p>
    <w:p w14:paraId="6395CC18" w14:textId="77777777" w:rsidR="00646C30" w:rsidRDefault="00646C30" w:rsidP="00646C30">
      <w:r>
        <w:t>&lt;ESMA_QUESTION_CP</w:t>
      </w:r>
      <w:r w:rsidR="00D72869">
        <w:t>_SME_</w:t>
      </w:r>
      <w:r>
        <w:t>1</w:t>
      </w:r>
      <w:r w:rsidR="00101BF1">
        <w:t>4</w:t>
      </w:r>
      <w:r>
        <w:t>&gt;</w:t>
      </w:r>
    </w:p>
    <w:p w14:paraId="04C3A68A" w14:textId="77777777" w:rsidR="002868FC" w:rsidRDefault="002868FC" w:rsidP="002E1760"/>
    <w:p w14:paraId="60D8AC3C" w14:textId="77777777" w:rsidR="00646C30" w:rsidRDefault="00EC5B27" w:rsidP="00646C30">
      <w:pPr>
        <w:pStyle w:val="CPQuestions"/>
      </w:pPr>
      <w:r w:rsidRPr="00EC5B27">
        <w:t>Do you agree with the proposed limits on resources or would you propose different ones? If so, please provide a justification</w:t>
      </w:r>
      <w:r w:rsidR="00292E82">
        <w:t>.</w:t>
      </w:r>
    </w:p>
    <w:p w14:paraId="73546B29" w14:textId="77777777" w:rsidR="00646C30" w:rsidRDefault="00646C30" w:rsidP="00646C30">
      <w:r>
        <w:t>&lt;ESMA_QUESTION_CP</w:t>
      </w:r>
      <w:r w:rsidR="00D72869">
        <w:t>_SME_</w:t>
      </w:r>
      <w:r>
        <w:t>1</w:t>
      </w:r>
      <w:r w:rsidR="00101BF1">
        <w:t>5</w:t>
      </w:r>
      <w:r>
        <w:t>&gt;</w:t>
      </w:r>
    </w:p>
    <w:p w14:paraId="089FFD48" w14:textId="77777777" w:rsidR="00646C30" w:rsidRDefault="00646C30" w:rsidP="00646C30">
      <w:permStart w:id="1455188490" w:edGrp="everyone"/>
      <w:r>
        <w:t>TYPE YOUR TEXT HERE</w:t>
      </w:r>
      <w:permEnd w:id="1455188490"/>
    </w:p>
    <w:p w14:paraId="7CC47085" w14:textId="77777777" w:rsidR="00646C30" w:rsidRDefault="00646C30" w:rsidP="00646C30">
      <w:r>
        <w:t>&lt;ESMA_QUESTION_CP</w:t>
      </w:r>
      <w:r w:rsidR="00D72869">
        <w:t>_SME_</w:t>
      </w:r>
      <w:r>
        <w:t>1</w:t>
      </w:r>
      <w:r w:rsidR="00101BF1">
        <w:t>5</w:t>
      </w:r>
      <w:r>
        <w:t>&gt;</w:t>
      </w:r>
    </w:p>
    <w:p w14:paraId="171D9575" w14:textId="77777777" w:rsidR="002868FC" w:rsidRDefault="002868FC" w:rsidP="002E1760"/>
    <w:p w14:paraId="64FB55C9" w14:textId="77777777"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1916E746" w14:textId="77777777" w:rsidR="00646C30" w:rsidRDefault="00646C30" w:rsidP="00646C30">
      <w:r>
        <w:t>&lt;ESMA_QUESTION_CP</w:t>
      </w:r>
      <w:r w:rsidR="00D72869">
        <w:t>_SME_</w:t>
      </w:r>
      <w:r>
        <w:t>1</w:t>
      </w:r>
      <w:r w:rsidR="00101BF1">
        <w:t>6</w:t>
      </w:r>
      <w:r>
        <w:t>&gt;</w:t>
      </w:r>
    </w:p>
    <w:p w14:paraId="1EB32772" w14:textId="56774272" w:rsidR="00646C30" w:rsidRDefault="00641A78" w:rsidP="00646C30">
      <w:permStart w:id="1195715047" w:edGrp="everyone"/>
      <w:r w:rsidRPr="00ED7A1E">
        <w:t xml:space="preserve">Yes, we agree with the </w:t>
      </w:r>
      <w:r w:rsidR="00D60408">
        <w:t>proposed limits</w:t>
      </w:r>
      <w:r>
        <w:t>.</w:t>
      </w:r>
      <w:r w:rsidR="00050C6C" w:rsidRPr="0052234B">
        <w:t>]</w:t>
      </w:r>
      <w:permEnd w:id="1195715047"/>
    </w:p>
    <w:p w14:paraId="59FD1109" w14:textId="77777777" w:rsidR="00646C30" w:rsidRDefault="00646C30" w:rsidP="00646C30">
      <w:r>
        <w:t>&lt;ESMA_QUESTION_CP</w:t>
      </w:r>
      <w:r w:rsidR="00D72869">
        <w:t>_SME_</w:t>
      </w:r>
      <w:r>
        <w:t>1</w:t>
      </w:r>
      <w:r w:rsidR="00101BF1">
        <w:t>6</w:t>
      </w:r>
      <w:r>
        <w:t>&gt;</w:t>
      </w:r>
    </w:p>
    <w:p w14:paraId="5C837131" w14:textId="77777777" w:rsidR="002868FC" w:rsidRDefault="002868FC" w:rsidP="002E1760"/>
    <w:p w14:paraId="399A465C" w14:textId="77777777"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6E89FDED" w14:textId="77777777" w:rsidR="00646C30" w:rsidRDefault="00646C30" w:rsidP="00646C30">
      <w:r>
        <w:t>&lt;ESMA_QUESTION_CP</w:t>
      </w:r>
      <w:r w:rsidR="00D72869">
        <w:t>_SME_</w:t>
      </w:r>
      <w:r>
        <w:t>1</w:t>
      </w:r>
      <w:r w:rsidR="00101BF1">
        <w:t>7</w:t>
      </w:r>
      <w:r>
        <w:t>&gt;</w:t>
      </w:r>
    </w:p>
    <w:p w14:paraId="3EDF6A61" w14:textId="77777777" w:rsidR="00646C30" w:rsidRDefault="00646C30" w:rsidP="00646C30">
      <w:permStart w:id="390031580" w:edGrp="everyone"/>
      <w:r>
        <w:t>TYPE YOUR TEXT HERE</w:t>
      </w:r>
      <w:permEnd w:id="390031580"/>
    </w:p>
    <w:p w14:paraId="1C00D9B1" w14:textId="77777777" w:rsidR="00646C30" w:rsidRDefault="00646C30" w:rsidP="00646C30">
      <w:r>
        <w:t>&lt;ESMA_QUESTION_CP</w:t>
      </w:r>
      <w:r w:rsidR="00D72869">
        <w:t>_SME_</w:t>
      </w:r>
      <w:r>
        <w:t>1</w:t>
      </w:r>
      <w:r w:rsidR="00101BF1">
        <w:t>7</w:t>
      </w:r>
      <w:r>
        <w:t>&gt;</w:t>
      </w:r>
    </w:p>
    <w:p w14:paraId="67AC1598" w14:textId="77777777" w:rsidR="00646C30" w:rsidRDefault="00EC5B27" w:rsidP="00646C30">
      <w:pPr>
        <w:pStyle w:val="CPQuestions"/>
      </w:pPr>
      <w:r w:rsidRPr="00EC5B27">
        <w:lastRenderedPageBreak/>
        <w:t>Do you agree with ESMA’s view that the liquidity contract may cover large orders only in limited circumstances as described in paragraph 118</w:t>
      </w:r>
      <w:r>
        <w:t>?</w:t>
      </w:r>
    </w:p>
    <w:p w14:paraId="4FC54E32" w14:textId="77777777" w:rsidR="00646C30" w:rsidRDefault="00646C30" w:rsidP="00646C30">
      <w:r>
        <w:t>&lt;ESMA_QUESTION_CP</w:t>
      </w:r>
      <w:r w:rsidR="00D72869">
        <w:t>_SME_</w:t>
      </w:r>
      <w:r>
        <w:t>1</w:t>
      </w:r>
      <w:r w:rsidR="00101BF1">
        <w:t>8</w:t>
      </w:r>
      <w:r>
        <w:t>&gt;</w:t>
      </w:r>
    </w:p>
    <w:p w14:paraId="5F55B62B" w14:textId="77777777" w:rsidR="00646C30" w:rsidRDefault="00646C30" w:rsidP="00646C30">
      <w:permStart w:id="655716049" w:edGrp="everyone"/>
      <w:r>
        <w:t>TYPE YOUR TEXT HERE</w:t>
      </w:r>
      <w:permEnd w:id="655716049"/>
    </w:p>
    <w:p w14:paraId="763A7FF0" w14:textId="77777777" w:rsidR="00646C30" w:rsidRDefault="00646C30" w:rsidP="00646C30">
      <w:r>
        <w:t>&lt;ESMA_QUESTION_CP</w:t>
      </w:r>
      <w:r w:rsidR="00D72869">
        <w:t>_SME_</w:t>
      </w:r>
      <w:r>
        <w:t>1</w:t>
      </w:r>
      <w:r w:rsidR="00101BF1">
        <w:t>8</w:t>
      </w:r>
      <w:r>
        <w:t>&gt;</w:t>
      </w:r>
    </w:p>
    <w:p w14:paraId="3D4AFEBE" w14:textId="77777777" w:rsidR="002868FC" w:rsidRDefault="002868FC" w:rsidP="002E1760"/>
    <w:p w14:paraId="011B8FE0" w14:textId="7777777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96B377B" w14:textId="77777777" w:rsidR="00646C30" w:rsidRDefault="00646C30" w:rsidP="00646C30">
      <w:r>
        <w:t>&lt;ESMA_QUESTION_CP</w:t>
      </w:r>
      <w:r w:rsidR="00D72869">
        <w:t>_SME_</w:t>
      </w:r>
      <w:r>
        <w:t>1</w:t>
      </w:r>
      <w:r w:rsidR="00101BF1">
        <w:t>9</w:t>
      </w:r>
      <w:r>
        <w:t>&gt;</w:t>
      </w:r>
    </w:p>
    <w:p w14:paraId="39855316" w14:textId="5CFB5291" w:rsidR="00085103" w:rsidRDefault="00085103" w:rsidP="00646C30">
      <w:permStart w:id="1416368317" w:edGrp="everyone"/>
      <w:r>
        <w:t xml:space="preserve">First of all </w:t>
      </w:r>
      <w:r w:rsidR="00E00C72">
        <w:t>ESMA</w:t>
      </w:r>
      <w:r>
        <w:t xml:space="preserve">’s </w:t>
      </w:r>
      <w:r w:rsidR="00E00C72">
        <w:t>analysis</w:t>
      </w:r>
      <w:r>
        <w:t xml:space="preserve"> shows that the regime on the provision of insider lists on EU Growth markets is complex. Though</w:t>
      </w:r>
      <w:r w:rsidR="00127931">
        <w:t xml:space="preserve"> by the start of the year 2021</w:t>
      </w:r>
      <w:r>
        <w:t xml:space="preserve"> issuers on growth markets </w:t>
      </w:r>
      <w:r w:rsidR="00127931">
        <w:t xml:space="preserve">will </w:t>
      </w:r>
      <w:r>
        <w:t>basically</w:t>
      </w:r>
      <w:r w:rsidR="00127931">
        <w:t xml:space="preserve"> be</w:t>
      </w:r>
      <w:r>
        <w:t xml:space="preserve"> allowed to provide only a list of insider </w:t>
      </w:r>
      <w:r w:rsidRPr="00085103">
        <w:t>only those persons who, due to the nature of their function or position within the issuer, have regular access to inside information</w:t>
      </w:r>
      <w:r>
        <w:t xml:space="preserve">, member states may opt for stricter requirements. If opted in that way, the </w:t>
      </w:r>
      <w:r w:rsidR="00E00C72">
        <w:t>data to be provided</w:t>
      </w:r>
      <w:r>
        <w:t xml:space="preserve"> should nevertheless be less burdensome for issuers on Growth markets than for </w:t>
      </w:r>
      <w:r w:rsidR="00127931">
        <w:t xml:space="preserve">any </w:t>
      </w:r>
      <w:r>
        <w:t>other issuers</w:t>
      </w:r>
      <w:r w:rsidR="00127931">
        <w:t xml:space="preserve"> in scope of MAR</w:t>
      </w:r>
      <w:r>
        <w:t>.</w:t>
      </w:r>
    </w:p>
    <w:p w14:paraId="309B5D9E" w14:textId="77777777" w:rsidR="005A731F" w:rsidRDefault="005A731F" w:rsidP="00646C30"/>
    <w:p w14:paraId="4AD14DF4" w14:textId="77777777" w:rsidR="00646C30" w:rsidRDefault="00127931" w:rsidP="00646C30">
      <w:r>
        <w:t>ESMA’s</w:t>
      </w:r>
      <w:r w:rsidR="00085103">
        <w:t xml:space="preserve"> proposal </w:t>
      </w:r>
      <w:r>
        <w:t xml:space="preserve">for amending the respective ITS </w:t>
      </w:r>
      <w:r w:rsidR="00085103">
        <w:t xml:space="preserve">only partially reduces the burden and, thus, should go further. </w:t>
      </w:r>
      <w:r w:rsidR="00E00C72">
        <w:t>It appears disproportionate and an unjustified intrusion into the privacy of the individuals entered into the insider list to require by default the entry of the private phone numbers. This information is simply not necessary to identify the relevant individuals. In the case of an actual suspicion, NCAs may easily ask for more specific data</w:t>
      </w:r>
      <w:r w:rsidR="00085103">
        <w:t xml:space="preserve"> in case of an examination</w:t>
      </w:r>
      <w:r w:rsidR="00E00C72">
        <w:t>.</w:t>
      </w:r>
      <w:permEnd w:id="1416368317"/>
    </w:p>
    <w:p w14:paraId="5AA8771C" w14:textId="77777777" w:rsidR="00646C30" w:rsidRDefault="00646C30" w:rsidP="00646C30">
      <w:r>
        <w:t>&lt;ESMA_QUESTION_CP</w:t>
      </w:r>
      <w:r w:rsidR="00D72869">
        <w:t>_SME_</w:t>
      </w:r>
      <w:r>
        <w:t>1</w:t>
      </w:r>
      <w:r w:rsidR="00101BF1">
        <w:t>9</w:t>
      </w:r>
      <w:r>
        <w:t>&gt;</w:t>
      </w:r>
    </w:p>
    <w:p w14:paraId="0BEE557A" w14:textId="77777777" w:rsidR="002868FC" w:rsidRDefault="002868FC" w:rsidP="002E1760"/>
    <w:p w14:paraId="5151D6CD" w14:textId="77777777" w:rsidR="006D4E38" w:rsidRDefault="006D4E38" w:rsidP="006D4E38">
      <w:pPr>
        <w:pStyle w:val="CPQuestions"/>
      </w:pPr>
      <w:r>
        <w:t xml:space="preserve">CBA: </w:t>
      </w:r>
      <w:r w:rsidRPr="006D4E38">
        <w:t>Can you identify any other costs and benefits? Please elaborate</w:t>
      </w:r>
      <w:r>
        <w:t>.</w:t>
      </w:r>
    </w:p>
    <w:p w14:paraId="4BAA5A20" w14:textId="77777777" w:rsidR="006D4E38" w:rsidRDefault="006D4E38" w:rsidP="006D4E38">
      <w:r>
        <w:t>&lt;ESMA_QUESTION_CP_SME_</w:t>
      </w:r>
      <w:r w:rsidR="00FB1F11">
        <w:t>20</w:t>
      </w:r>
      <w:r>
        <w:t>&gt;</w:t>
      </w:r>
    </w:p>
    <w:p w14:paraId="61506DCA" w14:textId="77777777" w:rsidR="006D4E38" w:rsidRDefault="006D4E38" w:rsidP="006D4E38">
      <w:permStart w:id="1407781540" w:edGrp="everyone"/>
      <w:r>
        <w:t>TYPE YOUR TEXT HERE</w:t>
      </w:r>
      <w:permEnd w:id="1407781540"/>
    </w:p>
    <w:p w14:paraId="6590DB5C" w14:textId="77777777" w:rsidR="006D4E38" w:rsidRDefault="006D4E38" w:rsidP="006D4E38">
      <w:r>
        <w:t>&lt;ESMA_QUESTION_CP_SME_</w:t>
      </w:r>
      <w:r w:rsidR="00FB1F11">
        <w:t>20</w:t>
      </w:r>
      <w:r>
        <w:t>&gt;</w:t>
      </w:r>
    </w:p>
    <w:p w14:paraId="013C57BB"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3FEF" w14:textId="77777777" w:rsidR="00CA6FAB" w:rsidRDefault="00CA6FAB">
      <w:r>
        <w:separator/>
      </w:r>
    </w:p>
    <w:p w14:paraId="25606F65" w14:textId="77777777" w:rsidR="00CA6FAB" w:rsidRDefault="00CA6FAB"/>
  </w:endnote>
  <w:endnote w:type="continuationSeparator" w:id="0">
    <w:p w14:paraId="73F12D85" w14:textId="77777777" w:rsidR="00CA6FAB" w:rsidRDefault="00CA6FAB">
      <w:r>
        <w:continuationSeparator/>
      </w:r>
    </w:p>
    <w:p w14:paraId="066C3E15" w14:textId="77777777" w:rsidR="00CA6FAB" w:rsidRDefault="00CA6FAB"/>
  </w:endnote>
  <w:endnote w:type="continuationNotice" w:id="1">
    <w:p w14:paraId="003BA6F3" w14:textId="77777777" w:rsidR="00CA6FAB" w:rsidRDefault="00CA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1002BBE4" w14:textId="77777777" w:rsidTr="00315E96">
      <w:trPr>
        <w:trHeight w:val="284"/>
      </w:trPr>
      <w:tc>
        <w:tcPr>
          <w:tcW w:w="8460" w:type="dxa"/>
        </w:tcPr>
        <w:p w14:paraId="2A949AD1" w14:textId="77777777" w:rsidR="00F107EF" w:rsidRPr="00315E96" w:rsidRDefault="00F107EF" w:rsidP="00315E96">
          <w:pPr>
            <w:pStyle w:val="00Footer"/>
            <w:rPr>
              <w:lang w:val="fr-FR"/>
            </w:rPr>
          </w:pPr>
        </w:p>
      </w:tc>
      <w:tc>
        <w:tcPr>
          <w:tcW w:w="952" w:type="dxa"/>
        </w:tcPr>
        <w:p w14:paraId="22040A10" w14:textId="5C691AEE"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77A93">
            <w:rPr>
              <w:rFonts w:cs="Arial"/>
              <w:noProof/>
              <w:sz w:val="22"/>
              <w:szCs w:val="22"/>
            </w:rPr>
            <w:t>9</w:t>
          </w:r>
          <w:r w:rsidRPr="00616B9B">
            <w:rPr>
              <w:rFonts w:cs="Arial"/>
              <w:noProof/>
              <w:sz w:val="22"/>
              <w:szCs w:val="22"/>
            </w:rPr>
            <w:fldChar w:fldCharType="end"/>
          </w:r>
        </w:p>
      </w:tc>
    </w:tr>
  </w:tbl>
  <w:p w14:paraId="53EED685"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C7C4"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3E49F"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60A8" w14:textId="77777777" w:rsidR="00CA6FAB" w:rsidRDefault="00CA6FAB">
      <w:r>
        <w:separator/>
      </w:r>
    </w:p>
    <w:p w14:paraId="51C1E991" w14:textId="77777777" w:rsidR="00CA6FAB" w:rsidRDefault="00CA6FAB"/>
  </w:footnote>
  <w:footnote w:type="continuationSeparator" w:id="0">
    <w:p w14:paraId="4BCD5907" w14:textId="77777777" w:rsidR="00CA6FAB" w:rsidRDefault="00CA6FAB">
      <w:r>
        <w:continuationSeparator/>
      </w:r>
    </w:p>
    <w:p w14:paraId="1FDD3D42" w14:textId="77777777" w:rsidR="00CA6FAB" w:rsidRDefault="00CA6FAB"/>
  </w:footnote>
  <w:footnote w:type="continuationNotice" w:id="1">
    <w:p w14:paraId="2C5DDE16" w14:textId="77777777" w:rsidR="00CA6FAB" w:rsidRDefault="00CA6F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2418" w14:textId="77777777" w:rsidR="00F107EF" w:rsidRDefault="00F107EF">
    <w:pPr>
      <w:pStyle w:val="Kopfzeile"/>
    </w:pPr>
    <w:r>
      <w:rPr>
        <w:noProof/>
        <w:lang w:val="de-DE"/>
      </w:rPr>
      <w:drawing>
        <wp:anchor distT="0" distB="0" distL="114300" distR="114300" simplePos="0" relativeHeight="251658240" behindDoc="0" locked="0" layoutInCell="1" allowOverlap="1" wp14:anchorId="1CF51A55" wp14:editId="01FFE4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50F4AAB8" wp14:editId="554647EF">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F0E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35AB" w14:textId="77777777" w:rsidR="00F107EF" w:rsidRDefault="00F107EF" w:rsidP="00013CCE">
    <w:pPr>
      <w:pStyle w:val="Kopfzeile"/>
      <w:jc w:val="right"/>
    </w:pPr>
    <w:r>
      <w:rPr>
        <w:noProof/>
        <w:lang w:val="de-DE"/>
      </w:rPr>
      <w:drawing>
        <wp:anchor distT="0" distB="0" distL="114300" distR="114300" simplePos="0" relativeHeight="251657216" behindDoc="0" locked="0" layoutInCell="1" allowOverlap="1" wp14:anchorId="04428CAC" wp14:editId="081B44B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19286DC9" wp14:editId="3F08862C">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879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053ED367" w14:textId="77777777" w:rsidTr="000C06C9">
      <w:trPr>
        <w:trHeight w:val="284"/>
      </w:trPr>
      <w:tc>
        <w:tcPr>
          <w:tcW w:w="8460" w:type="dxa"/>
        </w:tcPr>
        <w:p w14:paraId="41CCBC05" w14:textId="77777777" w:rsidR="00F107EF" w:rsidRPr="000C3B6D" w:rsidRDefault="00F107EF" w:rsidP="000C06C9">
          <w:pPr>
            <w:pStyle w:val="00Footer"/>
            <w:rPr>
              <w:lang w:val="fr-FR"/>
            </w:rPr>
          </w:pPr>
        </w:p>
      </w:tc>
      <w:tc>
        <w:tcPr>
          <w:tcW w:w="952" w:type="dxa"/>
        </w:tcPr>
        <w:p w14:paraId="6655D0F9" w14:textId="77777777" w:rsidR="00F107EF" w:rsidRPr="00146B34" w:rsidRDefault="00F107EF" w:rsidP="000C06C9">
          <w:pPr>
            <w:pStyle w:val="00aPagenumber"/>
            <w:rPr>
              <w:lang w:val="fr-FR"/>
            </w:rPr>
          </w:pPr>
        </w:p>
      </w:tc>
    </w:tr>
  </w:tbl>
  <w:p w14:paraId="5640BBF5" w14:textId="77777777" w:rsidR="00F107EF" w:rsidRPr="00DB46C3" w:rsidRDefault="00F107EF">
    <w:pPr>
      <w:rPr>
        <w:lang w:val="fr-FR"/>
      </w:rPr>
    </w:pPr>
  </w:p>
  <w:p w14:paraId="0C777FEC" w14:textId="77777777" w:rsidR="00F107EF" w:rsidRPr="002F4496" w:rsidRDefault="00F107EF">
    <w:pPr>
      <w:pStyle w:val="Kopfzeile"/>
      <w:rPr>
        <w:lang w:val="fr-FR"/>
      </w:rPr>
    </w:pPr>
  </w:p>
  <w:p w14:paraId="5F733302" w14:textId="77777777" w:rsidR="00F107EF" w:rsidRPr="002F4496" w:rsidRDefault="00F107EF" w:rsidP="000C06C9">
    <w:pPr>
      <w:pStyle w:val="Kopfzeile"/>
      <w:tabs>
        <w:tab w:val="clear" w:pos="4536"/>
        <w:tab w:val="clear" w:pos="9072"/>
        <w:tab w:val="left" w:pos="8227"/>
      </w:tabs>
      <w:rPr>
        <w:lang w:val="fr-FR"/>
      </w:rPr>
    </w:pPr>
  </w:p>
  <w:p w14:paraId="6178CF5B" w14:textId="77777777" w:rsidR="00F107EF" w:rsidRPr="002F4496" w:rsidRDefault="00F107EF" w:rsidP="00583885">
    <w:pPr>
      <w:pStyle w:val="Kopfzeile"/>
      <w:jc w:val="right"/>
      <w:rPr>
        <w:lang w:val="fr-FR"/>
      </w:rPr>
    </w:pPr>
  </w:p>
  <w:p w14:paraId="72B7CB05" w14:textId="77777777" w:rsidR="00F107EF" w:rsidRPr="002F4496" w:rsidRDefault="00F107EF">
    <w:pPr>
      <w:pStyle w:val="Kopfzeile"/>
      <w:rPr>
        <w:lang w:val="fr-FR"/>
      </w:rPr>
    </w:pPr>
  </w:p>
  <w:p w14:paraId="0FF46D6A" w14:textId="77777777" w:rsidR="00F107EF" w:rsidRPr="002F4496" w:rsidRDefault="00F107EF">
    <w:pPr>
      <w:pStyle w:val="Kopfzeile"/>
      <w:rPr>
        <w:lang w:val="fr-FR"/>
      </w:rPr>
    </w:pPr>
  </w:p>
  <w:p w14:paraId="2F1632E2" w14:textId="77777777" w:rsidR="00F107EF" w:rsidRPr="002F4496" w:rsidRDefault="00F107EF">
    <w:pPr>
      <w:pStyle w:val="Kopfzeile"/>
      <w:rPr>
        <w:lang w:val="fr-FR"/>
      </w:rPr>
    </w:pPr>
  </w:p>
  <w:p w14:paraId="01AAC47F" w14:textId="77777777" w:rsidR="00F107EF" w:rsidRPr="002F4496" w:rsidRDefault="00F107EF">
    <w:pPr>
      <w:pStyle w:val="Kopfzeile"/>
      <w:rPr>
        <w:highlight w:val="yellow"/>
        <w:lang w:val="fr-FR"/>
      </w:rPr>
    </w:pPr>
  </w:p>
  <w:p w14:paraId="0F40FF0D" w14:textId="77777777" w:rsidR="00F107EF" w:rsidRDefault="00F107EF">
    <w:pPr>
      <w:pStyle w:val="Kopfzeile"/>
    </w:pPr>
    <w:r>
      <w:rPr>
        <w:noProof/>
        <w:lang w:val="de-DE"/>
      </w:rPr>
      <mc:AlternateContent>
        <mc:Choice Requires="wps">
          <w:drawing>
            <wp:anchor distT="0" distB="0" distL="114299" distR="114299" simplePos="0" relativeHeight="251660288" behindDoc="0" locked="0" layoutInCell="1" allowOverlap="1" wp14:anchorId="45100AC5" wp14:editId="1379F7AB">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293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91F1544" wp14:editId="487FA9B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1F5F7D"/>
    <w:multiLevelType w:val="hybridMultilevel"/>
    <w:tmpl w:val="4EF46E98"/>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9"/>
    <w:lvlOverride w:ilvl="0">
      <w:startOverride w:val="1"/>
    </w:lvlOverride>
  </w:num>
  <w:num w:numId="38">
    <w:abstractNumId w:val="19"/>
  </w:num>
  <w:num w:numId="39">
    <w:abstractNumId w:val="10"/>
  </w:num>
  <w:num w:numId="40">
    <w:abstractNumId w:val="10"/>
  </w:num>
  <w:num w:numId="41">
    <w:abstractNumId w:val="10"/>
  </w:num>
  <w:num w:numId="42">
    <w:abstractNumId w:val="10"/>
  </w:num>
  <w:num w:numId="43">
    <w:abstractNumId w:val="10"/>
  </w:num>
  <w:num w:numId="44">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489"/>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105"/>
    <w:rsid w:val="000463A6"/>
    <w:rsid w:val="00046CC9"/>
    <w:rsid w:val="00046E91"/>
    <w:rsid w:val="000478C6"/>
    <w:rsid w:val="000502FE"/>
    <w:rsid w:val="00050C6C"/>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808"/>
    <w:rsid w:val="00072B54"/>
    <w:rsid w:val="0007463D"/>
    <w:rsid w:val="00074979"/>
    <w:rsid w:val="000749F0"/>
    <w:rsid w:val="0007609D"/>
    <w:rsid w:val="00077C67"/>
    <w:rsid w:val="00080976"/>
    <w:rsid w:val="00081CEB"/>
    <w:rsid w:val="00081E60"/>
    <w:rsid w:val="00082D8E"/>
    <w:rsid w:val="00082E31"/>
    <w:rsid w:val="00083AA3"/>
    <w:rsid w:val="0008510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27931"/>
    <w:rsid w:val="00130F41"/>
    <w:rsid w:val="00130FAF"/>
    <w:rsid w:val="00135F2B"/>
    <w:rsid w:val="001372DD"/>
    <w:rsid w:val="00140204"/>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5D1"/>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670EB"/>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7B3"/>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578"/>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88D"/>
    <w:rsid w:val="003522B2"/>
    <w:rsid w:val="0035455E"/>
    <w:rsid w:val="00354A6F"/>
    <w:rsid w:val="00354B48"/>
    <w:rsid w:val="00355789"/>
    <w:rsid w:val="003609B6"/>
    <w:rsid w:val="00361119"/>
    <w:rsid w:val="0036538D"/>
    <w:rsid w:val="00365D12"/>
    <w:rsid w:val="00366E20"/>
    <w:rsid w:val="0037018D"/>
    <w:rsid w:val="00372299"/>
    <w:rsid w:val="00372F02"/>
    <w:rsid w:val="003731D3"/>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768"/>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615C"/>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9AA"/>
    <w:rsid w:val="004934E9"/>
    <w:rsid w:val="00494737"/>
    <w:rsid w:val="00494D5C"/>
    <w:rsid w:val="00495A6A"/>
    <w:rsid w:val="004964F6"/>
    <w:rsid w:val="00496690"/>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C02"/>
    <w:rsid w:val="00530A8D"/>
    <w:rsid w:val="005314D4"/>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31F"/>
    <w:rsid w:val="005A767D"/>
    <w:rsid w:val="005B00F1"/>
    <w:rsid w:val="005B0CE7"/>
    <w:rsid w:val="005B10E2"/>
    <w:rsid w:val="005B1803"/>
    <w:rsid w:val="005B25ED"/>
    <w:rsid w:val="005B4079"/>
    <w:rsid w:val="005B428E"/>
    <w:rsid w:val="005B5B3C"/>
    <w:rsid w:val="005B5C66"/>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1584"/>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A78"/>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2F4B"/>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023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346E"/>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6DC"/>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39B"/>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076C"/>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1D4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98B"/>
    <w:rsid w:val="008B4C79"/>
    <w:rsid w:val="008B5D2D"/>
    <w:rsid w:val="008B6361"/>
    <w:rsid w:val="008C0320"/>
    <w:rsid w:val="008C2A81"/>
    <w:rsid w:val="008C3863"/>
    <w:rsid w:val="008C3B6B"/>
    <w:rsid w:val="008C48B0"/>
    <w:rsid w:val="008C4B07"/>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54B"/>
    <w:rsid w:val="0092751A"/>
    <w:rsid w:val="009305C4"/>
    <w:rsid w:val="00931FAF"/>
    <w:rsid w:val="00932478"/>
    <w:rsid w:val="009360F6"/>
    <w:rsid w:val="0093626E"/>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55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7C0"/>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27D94"/>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151"/>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C05"/>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00FE"/>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0A8"/>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B70"/>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89E"/>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1827"/>
    <w:rsid w:val="00C923B7"/>
    <w:rsid w:val="00C94D4C"/>
    <w:rsid w:val="00C96C1E"/>
    <w:rsid w:val="00C96CA4"/>
    <w:rsid w:val="00CA012C"/>
    <w:rsid w:val="00CA0AA6"/>
    <w:rsid w:val="00CA2897"/>
    <w:rsid w:val="00CA44F3"/>
    <w:rsid w:val="00CA582C"/>
    <w:rsid w:val="00CA6077"/>
    <w:rsid w:val="00CA6FAB"/>
    <w:rsid w:val="00CA715B"/>
    <w:rsid w:val="00CA7988"/>
    <w:rsid w:val="00CA7BA2"/>
    <w:rsid w:val="00CB0B78"/>
    <w:rsid w:val="00CB12A5"/>
    <w:rsid w:val="00CB17FA"/>
    <w:rsid w:val="00CB23D8"/>
    <w:rsid w:val="00CB2ED9"/>
    <w:rsid w:val="00CB3015"/>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58A1"/>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408"/>
    <w:rsid w:val="00D6081B"/>
    <w:rsid w:val="00D60960"/>
    <w:rsid w:val="00D6240A"/>
    <w:rsid w:val="00D63093"/>
    <w:rsid w:val="00D63599"/>
    <w:rsid w:val="00D63EBD"/>
    <w:rsid w:val="00D64498"/>
    <w:rsid w:val="00D67101"/>
    <w:rsid w:val="00D71B45"/>
    <w:rsid w:val="00D71F8A"/>
    <w:rsid w:val="00D72869"/>
    <w:rsid w:val="00D75603"/>
    <w:rsid w:val="00D75FEE"/>
    <w:rsid w:val="00D76933"/>
    <w:rsid w:val="00D76D88"/>
    <w:rsid w:val="00D77A93"/>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0C72"/>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57"/>
    <w:rsid w:val="00EA57E2"/>
    <w:rsid w:val="00EA7186"/>
    <w:rsid w:val="00EB018B"/>
    <w:rsid w:val="00EB1003"/>
    <w:rsid w:val="00EB167E"/>
    <w:rsid w:val="00EB24ED"/>
    <w:rsid w:val="00EB2A00"/>
    <w:rsid w:val="00EB309B"/>
    <w:rsid w:val="00EB3AA2"/>
    <w:rsid w:val="00EB4763"/>
    <w:rsid w:val="00EB645E"/>
    <w:rsid w:val="00EB6CB7"/>
    <w:rsid w:val="00EC078B"/>
    <w:rsid w:val="00EC07A0"/>
    <w:rsid w:val="00EC08E4"/>
    <w:rsid w:val="00EC2412"/>
    <w:rsid w:val="00EC3CB4"/>
    <w:rsid w:val="00EC443E"/>
    <w:rsid w:val="00EC4A59"/>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A1E"/>
    <w:rsid w:val="00ED7DA7"/>
    <w:rsid w:val="00EE0598"/>
    <w:rsid w:val="00EE311C"/>
    <w:rsid w:val="00EE56FF"/>
    <w:rsid w:val="00EE5886"/>
    <w:rsid w:val="00EE5FBF"/>
    <w:rsid w:val="00EE6472"/>
    <w:rsid w:val="00EE76F2"/>
    <w:rsid w:val="00EF0769"/>
    <w:rsid w:val="00EF0D7C"/>
    <w:rsid w:val="00EF314C"/>
    <w:rsid w:val="00EF320B"/>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0A26"/>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3FE"/>
    <w:rsid w:val="00F93CCF"/>
    <w:rsid w:val="00F94307"/>
    <w:rsid w:val="00F9580B"/>
    <w:rsid w:val="00F95F15"/>
    <w:rsid w:val="00F975CA"/>
    <w:rsid w:val="00FA0B60"/>
    <w:rsid w:val="00FA2528"/>
    <w:rsid w:val="00FA4C7D"/>
    <w:rsid w:val="00FA5524"/>
    <w:rsid w:val="00FA5535"/>
    <w:rsid w:val="00FA6DBD"/>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3CF"/>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0D2EEA2"/>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Untertitel">
    <w:name w:val="Subtitle"/>
    <w:basedOn w:val="Standard"/>
    <w:next w:val="Standard"/>
    <w:link w:val="UntertitelZchn"/>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5B77D2"/>
    <w:rPr>
      <w:rFonts w:asciiTheme="minorHAnsi" w:eastAsiaTheme="minorEastAsia" w:hAnsiTheme="minorHAnsi" w:cstheme="minorBidi"/>
      <w:color w:val="5A5A5A" w:themeColor="text1" w:themeTint="A5"/>
      <w:spacing w:val="15"/>
      <w:sz w:val="22"/>
      <w:szCs w:val="22"/>
      <w:lang w:eastAsia="de-DE"/>
    </w:rPr>
  </w:style>
  <w:style w:type="paragraph" w:customStyle="1" w:styleId="Bulletpoints">
    <w:name w:val="Bullet points"/>
    <w:basedOn w:val="Listenabsatz"/>
    <w:link w:val="BulletpointsChar"/>
    <w:qFormat/>
    <w:rsid w:val="00EB645E"/>
    <w:pPr>
      <w:numPr>
        <w:numId w:val="39"/>
      </w:numPr>
      <w:spacing w:after="80"/>
      <w:jc w:val="both"/>
      <w:outlineLvl w:val="0"/>
    </w:pPr>
    <w:rPr>
      <w:rFonts w:ascii="Trebuchet MS" w:eastAsiaTheme="minorHAnsi" w:hAnsi="Trebuchet MS" w:cstheme="minorBidi"/>
      <w:sz w:val="22"/>
      <w:szCs w:val="22"/>
      <w:lang w:eastAsia="en-US"/>
    </w:rPr>
  </w:style>
  <w:style w:type="character" w:customStyle="1" w:styleId="BulletpointsChar">
    <w:name w:val="Bullet points Char"/>
    <w:basedOn w:val="Absatz-Standardschriftart"/>
    <w:link w:val="Bulletpoints"/>
    <w:rsid w:val="00EB645E"/>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20fbe147-bbda-4e53-b6b1-7e8bbff3fe19"/>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BD484573-2641-4A80-A351-7B9C0E7032CC}">
  <ds:schemaRefs>
    <ds:schemaRef ds:uri="http://schemas.openxmlformats.org/officeDocument/2006/bibliography"/>
  </ds:schemaRefs>
</ds:datastoreItem>
</file>

<file path=customXml/itemProps6.xml><?xml version="1.0" encoding="utf-8"?>
<ds:datastoreItem xmlns:ds="http://schemas.openxmlformats.org/officeDocument/2006/customXml" ds:itemID="{F6E9BB92-EC4F-4281-B3FB-F15F0D59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2270</Words>
  <Characters>12931</Characters>
  <Application>Microsoft Office Word</Application>
  <DocSecurity>8</DocSecurity>
  <Lines>107</Lines>
  <Paragraphs>30</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15171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Dauber, Svenja</cp:lastModifiedBy>
  <cp:revision>4</cp:revision>
  <cp:lastPrinted>2015-02-18T11:01:00Z</cp:lastPrinted>
  <dcterms:created xsi:type="dcterms:W3CDTF">2020-07-15T07:16:00Z</dcterms:created>
  <dcterms:modified xsi:type="dcterms:W3CDTF">2020-07-15T09:21:00Z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