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6A3CB02C" w14:textId="77777777" w:rsidTr="00315E96">
        <w:trPr>
          <w:trHeight w:val="284"/>
        </w:trPr>
        <w:tc>
          <w:tcPr>
            <w:tcW w:w="9412" w:type="dxa"/>
          </w:tcPr>
          <w:p w14:paraId="6A3CB02B" w14:textId="4399AC00" w:rsidR="00C2094B" w:rsidRPr="004E49B0" w:rsidRDefault="007E58A7" w:rsidP="00337A3F">
            <w:pPr>
              <w:pStyle w:val="00bDBInfo"/>
              <w:rPr>
                <w:rFonts w:cs="Arial"/>
              </w:rPr>
            </w:pPr>
            <w:r>
              <w:rPr>
                <w:rFonts w:cs="Arial"/>
              </w:rPr>
              <w:t>2</w:t>
            </w:r>
            <w:r w:rsidR="00D8396F">
              <w:rPr>
                <w:rFonts w:cs="Arial"/>
              </w:rPr>
              <w:t>3</w:t>
            </w:r>
            <w:r w:rsidR="00197794">
              <w:rPr>
                <w:rFonts w:cs="Arial"/>
              </w:rPr>
              <w:t xml:space="preserve"> </w:t>
            </w:r>
            <w:r w:rsidR="006920C8">
              <w:rPr>
                <w:rFonts w:cs="Arial"/>
              </w:rPr>
              <w:t>April</w:t>
            </w:r>
            <w:r w:rsidR="00197794">
              <w:rPr>
                <w:rFonts w:cs="Arial"/>
              </w:rPr>
              <w:t xml:space="preserve"> </w:t>
            </w:r>
            <w:r w:rsidR="00EF5FB9">
              <w:rPr>
                <w:rFonts w:cs="Arial"/>
              </w:rPr>
              <w:t>20</w:t>
            </w:r>
            <w:r w:rsidR="006920C8">
              <w:rPr>
                <w:rFonts w:cs="Arial"/>
              </w:rPr>
              <w:t>20</w:t>
            </w:r>
          </w:p>
        </w:tc>
      </w:tr>
    </w:tbl>
    <w:p w14:paraId="6A3CB02D" w14:textId="77777777" w:rsidR="00FD7A8D" w:rsidRPr="00616B9B" w:rsidRDefault="00FD7A8D" w:rsidP="00FD7A8D">
      <w:pPr>
        <w:rPr>
          <w:rFonts w:cs="Arial"/>
          <w:vanish/>
        </w:rPr>
      </w:pPr>
    </w:p>
    <w:tbl>
      <w:tblPr>
        <w:tblpPr w:leftFromText="8505" w:vertAnchor="page" w:horzAnchor="margin" w:tblpY="3801"/>
        <w:tblW w:w="10051" w:type="dxa"/>
        <w:tblLayout w:type="fixed"/>
        <w:tblCellMar>
          <w:left w:w="0" w:type="dxa"/>
          <w:right w:w="0" w:type="dxa"/>
        </w:tblCellMar>
        <w:tblLook w:val="01E0" w:firstRow="1" w:lastRow="1" w:firstColumn="1" w:lastColumn="1" w:noHBand="0" w:noVBand="0"/>
      </w:tblPr>
      <w:tblGrid>
        <w:gridCol w:w="10051"/>
      </w:tblGrid>
      <w:tr w:rsidR="006F4535" w:rsidRPr="00616B9B" w14:paraId="6A3CB02F" w14:textId="77777777" w:rsidTr="00210E59">
        <w:trPr>
          <w:trHeight w:hRule="exact" w:val="1620"/>
        </w:trPr>
        <w:tc>
          <w:tcPr>
            <w:tcW w:w="10051" w:type="dxa"/>
            <w:vAlign w:val="bottom"/>
          </w:tcPr>
          <w:p w14:paraId="0967745D" w14:textId="19E9BAF1" w:rsidR="00EC1154" w:rsidRPr="00391CB0" w:rsidRDefault="006F4535" w:rsidP="00EC1154">
            <w:pPr>
              <w:pStyle w:val="01aDBTitle"/>
              <w:jc w:val="left"/>
              <w:rPr>
                <w:rFonts w:cs="Arial"/>
              </w:rPr>
            </w:pPr>
            <w:r w:rsidRPr="00EC1154">
              <w:rPr>
                <w:rFonts w:cs="Arial"/>
              </w:rPr>
              <w:t>Re</w:t>
            </w:r>
            <w:r w:rsidR="009A3017" w:rsidRPr="00EC1154">
              <w:rPr>
                <w:rFonts w:cs="Arial"/>
              </w:rPr>
              <w:t>sponse</w:t>
            </w:r>
            <w:r w:rsidRPr="00EC1154">
              <w:rPr>
                <w:rFonts w:cs="Arial"/>
              </w:rPr>
              <w:t xml:space="preserve"> form for </w:t>
            </w:r>
            <w:r w:rsidR="00AF38AF" w:rsidRPr="00EC1154">
              <w:rPr>
                <w:rFonts w:cs="Arial"/>
              </w:rPr>
              <w:t xml:space="preserve">the </w:t>
            </w:r>
            <w:r w:rsidR="00197794">
              <w:rPr>
                <w:rFonts w:cs="Arial"/>
              </w:rPr>
              <w:t xml:space="preserve">Joint </w:t>
            </w:r>
            <w:r w:rsidRPr="00EC1154">
              <w:rPr>
                <w:rFonts w:cs="Arial"/>
              </w:rPr>
              <w:t xml:space="preserve">Consultation Paper </w:t>
            </w:r>
            <w:r w:rsidR="00197794">
              <w:rPr>
                <w:rFonts w:cs="Arial"/>
              </w:rPr>
              <w:t>concer</w:t>
            </w:r>
            <w:r w:rsidR="00511299">
              <w:rPr>
                <w:rFonts w:cs="Arial"/>
              </w:rPr>
              <w:t>ning ESG disclosures</w:t>
            </w:r>
          </w:p>
          <w:p w14:paraId="6A3CB02E" w14:textId="368D9A61" w:rsidR="006F4535" w:rsidRPr="009A053D" w:rsidRDefault="006F4535" w:rsidP="00210E59">
            <w:pPr>
              <w:pStyle w:val="01aDBTitle"/>
              <w:jc w:val="left"/>
              <w:rPr>
                <w:rFonts w:cs="Arial"/>
                <w:sz w:val="32"/>
              </w:rPr>
            </w:pPr>
          </w:p>
        </w:tc>
      </w:tr>
      <w:tr w:rsidR="006F4535" w:rsidRPr="00616B9B" w14:paraId="6A3CB031" w14:textId="77777777" w:rsidTr="00210E59">
        <w:trPr>
          <w:trHeight w:hRule="exact" w:val="809"/>
        </w:trPr>
        <w:tc>
          <w:tcPr>
            <w:tcW w:w="10051" w:type="dxa"/>
            <w:tcMar>
              <w:top w:w="142" w:type="dxa"/>
            </w:tcMar>
          </w:tcPr>
          <w:p w14:paraId="6A3CB030"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A3CB032" w14:textId="77777777" w:rsidR="00620D7C" w:rsidRPr="00616B9B" w:rsidRDefault="00620D7C" w:rsidP="00C00012">
      <w:pPr>
        <w:pStyle w:val="05HeadlinenoIndex"/>
        <w:rPr>
          <w:rFonts w:cs="Arial"/>
        </w:rPr>
        <w:sectPr w:rsidR="00620D7C" w:rsidRPr="00616B9B" w:rsidSect="006E3C72">
          <w:headerReference w:type="even" r:id="rId14"/>
          <w:headerReference w:type="default" r:id="rId15"/>
          <w:footerReference w:type="even" r:id="rId16"/>
          <w:footerReference w:type="default" r:id="rId17"/>
          <w:headerReference w:type="first" r:id="rId18"/>
          <w:footerReference w:type="first" r:id="rId19"/>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6A3CB034" w14:textId="77777777" w:rsidTr="00315E96">
        <w:trPr>
          <w:trHeight w:hRule="exact" w:val="964"/>
        </w:trPr>
        <w:tc>
          <w:tcPr>
            <w:tcW w:w="2325" w:type="dxa"/>
          </w:tcPr>
          <w:p w14:paraId="53603EB0" w14:textId="2C0EC76C" w:rsidR="00620D7C" w:rsidRDefault="00620D7C" w:rsidP="00337A3F">
            <w:pPr>
              <w:pStyle w:val="02Date"/>
              <w:rPr>
                <w:rFonts w:cs="Arial"/>
                <w:shd w:val="clear" w:color="auto" w:fill="FFFFFF" w:themeFill="background1"/>
              </w:rPr>
            </w:pPr>
            <w:r w:rsidRPr="004E49B0">
              <w:rPr>
                <w:rFonts w:cs="Arial"/>
              </w:rPr>
              <w:lastRenderedPageBreak/>
              <w:t xml:space="preserve">Date: </w:t>
            </w:r>
            <w:r w:rsidR="00754AC4">
              <w:rPr>
                <w:rFonts w:cs="Arial"/>
              </w:rPr>
              <w:t>2</w:t>
            </w:r>
            <w:r w:rsidR="00D8396F">
              <w:rPr>
                <w:rFonts w:cs="Arial"/>
              </w:rPr>
              <w:t>3</w:t>
            </w:r>
            <w:r w:rsidR="00754AC4">
              <w:rPr>
                <w:rFonts w:cs="Arial"/>
              </w:rPr>
              <w:t xml:space="preserve"> April</w:t>
            </w:r>
            <w:r w:rsidR="003E573C">
              <w:rPr>
                <w:rFonts w:cs="Arial"/>
              </w:rPr>
              <w:t xml:space="preserve"> </w:t>
            </w:r>
            <w:r w:rsidR="002E4F86">
              <w:rPr>
                <w:rFonts w:cs="Arial"/>
                <w:shd w:val="clear" w:color="auto" w:fill="FFFFFF" w:themeFill="background1"/>
              </w:rPr>
              <w:t>20</w:t>
            </w:r>
            <w:r w:rsidR="00754AC4">
              <w:rPr>
                <w:rFonts w:cs="Arial"/>
                <w:shd w:val="clear" w:color="auto" w:fill="FFFFFF" w:themeFill="background1"/>
              </w:rPr>
              <w:t>2</w:t>
            </w:r>
            <w:r w:rsidR="001D12A2">
              <w:rPr>
                <w:rFonts w:cs="Arial"/>
                <w:shd w:val="clear" w:color="auto" w:fill="FFFFFF" w:themeFill="background1"/>
              </w:rPr>
              <w:t>0</w:t>
            </w:r>
          </w:p>
          <w:p w14:paraId="6A3CB033" w14:textId="6ADB7399" w:rsidR="00704EED" w:rsidRPr="004E49B0" w:rsidRDefault="00704EED" w:rsidP="00337A3F">
            <w:pPr>
              <w:pStyle w:val="02Date"/>
              <w:rPr>
                <w:rFonts w:cs="Arial"/>
              </w:rPr>
            </w:pPr>
            <w:r>
              <w:rPr>
                <w:rFonts w:cs="Arial"/>
                <w:shd w:val="clear" w:color="auto" w:fill="FFFFFF" w:themeFill="background1"/>
              </w:rPr>
              <w:t>ESMA 3</w:t>
            </w:r>
            <w:r w:rsidR="00D94EB7">
              <w:rPr>
                <w:rFonts w:cs="Arial"/>
                <w:shd w:val="clear" w:color="auto" w:fill="FFFFFF" w:themeFill="background1"/>
              </w:rPr>
              <w:t>4</w:t>
            </w:r>
            <w:r>
              <w:rPr>
                <w:rFonts w:cs="Arial"/>
                <w:shd w:val="clear" w:color="auto" w:fill="FFFFFF" w:themeFill="background1"/>
              </w:rPr>
              <w:t>-</w:t>
            </w:r>
            <w:r w:rsidR="00D94EB7">
              <w:rPr>
                <w:rFonts w:cs="Arial"/>
                <w:shd w:val="clear" w:color="auto" w:fill="FFFFFF" w:themeFill="background1"/>
              </w:rPr>
              <w:t>45</w:t>
            </w:r>
            <w:r>
              <w:rPr>
                <w:rFonts w:cs="Arial"/>
                <w:shd w:val="clear" w:color="auto" w:fill="FFFFFF" w:themeFill="background1"/>
              </w:rPr>
              <w:t>-</w:t>
            </w:r>
            <w:r w:rsidR="00D94EB7">
              <w:rPr>
                <w:rFonts w:cs="Arial"/>
                <w:shd w:val="clear" w:color="auto" w:fill="FFFFFF" w:themeFill="background1"/>
              </w:rPr>
              <w:t>904</w:t>
            </w:r>
          </w:p>
        </w:tc>
      </w:tr>
    </w:tbl>
    <w:p w14:paraId="6A3CB035"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4256666B" w14:textId="63E41319" w:rsidR="00754AC4" w:rsidRDefault="00754AC4" w:rsidP="00754AC4">
      <w:pPr>
        <w:spacing w:after="240"/>
        <w:jc w:val="both"/>
        <w:rPr>
          <w:rStyle w:val="nfasissutil"/>
          <w:b w:val="0"/>
          <w:bCs/>
          <w:sz w:val="22"/>
        </w:rPr>
      </w:pPr>
      <w:r w:rsidRPr="00754AC4">
        <w:rPr>
          <w:rStyle w:val="nfasissutil"/>
          <w:b w:val="0"/>
          <w:bCs/>
          <w:sz w:val="22"/>
        </w:rPr>
        <w:t>The European Supervisory Authorities (ESAs) invite comments on all matters in this consultation paper</w:t>
      </w:r>
      <w:r>
        <w:rPr>
          <w:rStyle w:val="nfasissutil"/>
          <w:b w:val="0"/>
          <w:bCs/>
          <w:sz w:val="22"/>
        </w:rPr>
        <w:t xml:space="preserve"> on ESG disclosures under Regulation (EU) 2019/2088</w:t>
      </w:r>
      <w:r w:rsidRPr="00754AC4">
        <w:rPr>
          <w:rStyle w:val="nfasissutil"/>
          <w:b w:val="0"/>
          <w:bCs/>
          <w:sz w:val="22"/>
        </w:rPr>
        <w:t xml:space="preserve"> </w:t>
      </w:r>
      <w:r>
        <w:rPr>
          <w:rStyle w:val="nfasissutil"/>
          <w:b w:val="0"/>
          <w:bCs/>
          <w:sz w:val="22"/>
        </w:rPr>
        <w:t xml:space="preserve">on sustainability-related </w:t>
      </w:r>
      <w:r w:rsidR="00BE7C87">
        <w:rPr>
          <w:rStyle w:val="nfasissutil"/>
          <w:b w:val="0"/>
          <w:bCs/>
          <w:sz w:val="22"/>
        </w:rPr>
        <w:t>discl</w:t>
      </w:r>
      <w:r w:rsidR="00BE7C87">
        <w:rPr>
          <w:rStyle w:val="nfasissutil"/>
          <w:b w:val="0"/>
          <w:bCs/>
          <w:sz w:val="22"/>
        </w:rPr>
        <w:t>o</w:t>
      </w:r>
      <w:r w:rsidR="00BE7C87">
        <w:rPr>
          <w:rStyle w:val="nfasissutil"/>
          <w:b w:val="0"/>
          <w:bCs/>
          <w:sz w:val="22"/>
        </w:rPr>
        <w:t>sures</w:t>
      </w:r>
      <w:r>
        <w:rPr>
          <w:rStyle w:val="nfasissutil"/>
          <w:b w:val="0"/>
          <w:bCs/>
          <w:sz w:val="22"/>
        </w:rPr>
        <w:t xml:space="preserve"> in the financial sector (hereinafter “SFDR”) </w:t>
      </w:r>
      <w:r w:rsidRPr="00754AC4">
        <w:rPr>
          <w:rStyle w:val="nfasissutil"/>
          <w:b w:val="0"/>
          <w:bCs/>
          <w:sz w:val="22"/>
        </w:rPr>
        <w:t xml:space="preserve">and in particular on the specific questions summarised in Section 3 of the consultation paper under “Questions to stakeholders”. </w:t>
      </w:r>
    </w:p>
    <w:p w14:paraId="55CA6450" w14:textId="43B99A04" w:rsidR="00754AC4" w:rsidRPr="00754AC4" w:rsidRDefault="00754AC4" w:rsidP="00754AC4">
      <w:pPr>
        <w:spacing w:after="240"/>
        <w:jc w:val="both"/>
        <w:rPr>
          <w:rStyle w:val="nfasissutil"/>
          <w:b w:val="0"/>
          <w:bCs/>
          <w:sz w:val="22"/>
        </w:rPr>
      </w:pPr>
      <w:r w:rsidRPr="00754AC4">
        <w:rPr>
          <w:rStyle w:val="nfasissutil"/>
          <w:b w:val="0"/>
          <w:bCs/>
          <w:sz w:val="22"/>
        </w:rPr>
        <w:t>Comments are most helpful if they:</w:t>
      </w:r>
    </w:p>
    <w:p w14:paraId="443F1C2C" w14:textId="77777777" w:rsidR="00754AC4" w:rsidRPr="00754AC4" w:rsidRDefault="00754AC4" w:rsidP="00754AC4">
      <w:pPr>
        <w:pStyle w:val="Prrafodelista"/>
        <w:numPr>
          <w:ilvl w:val="0"/>
          <w:numId w:val="44"/>
        </w:numPr>
        <w:spacing w:after="240"/>
        <w:jc w:val="both"/>
        <w:rPr>
          <w:rStyle w:val="nfasissutil"/>
          <w:b w:val="0"/>
          <w:bCs/>
          <w:sz w:val="22"/>
        </w:rPr>
      </w:pPr>
      <w:r w:rsidRPr="00754AC4">
        <w:rPr>
          <w:rStyle w:val="nfasissutil"/>
          <w:b w:val="0"/>
          <w:bCs/>
          <w:sz w:val="22"/>
        </w:rPr>
        <w:t>contain a clear rationale; and</w:t>
      </w:r>
    </w:p>
    <w:p w14:paraId="44288AF1" w14:textId="77777777" w:rsidR="00754AC4" w:rsidRPr="00754AC4" w:rsidRDefault="00754AC4" w:rsidP="00754AC4">
      <w:pPr>
        <w:pStyle w:val="Prrafodelista"/>
        <w:numPr>
          <w:ilvl w:val="0"/>
          <w:numId w:val="44"/>
        </w:numPr>
        <w:spacing w:after="240"/>
        <w:jc w:val="both"/>
        <w:rPr>
          <w:rStyle w:val="nfasissutil"/>
          <w:b w:val="0"/>
          <w:bCs/>
          <w:sz w:val="22"/>
        </w:rPr>
      </w:pPr>
      <w:r w:rsidRPr="00754AC4">
        <w:rPr>
          <w:rStyle w:val="nfasissutil"/>
          <w:b w:val="0"/>
          <w:bCs/>
          <w:sz w:val="22"/>
        </w:rPr>
        <w:t>describe any alternatives the ESAs should consider.</w:t>
      </w:r>
    </w:p>
    <w:p w14:paraId="122FDDB2" w14:textId="5647B0AF" w:rsidR="00C86E1C" w:rsidRDefault="00C86E1C" w:rsidP="00754AC4">
      <w:pPr>
        <w:spacing w:after="240"/>
        <w:jc w:val="both"/>
        <w:rPr>
          <w:rStyle w:val="nfasissutil"/>
          <w:b w:val="0"/>
          <w:bCs/>
          <w:sz w:val="22"/>
        </w:rPr>
      </w:pPr>
      <w:r>
        <w:rPr>
          <w:rStyle w:val="nfasissutil"/>
          <w:b w:val="0"/>
          <w:bCs/>
          <w:sz w:val="22"/>
        </w:rPr>
        <w:t>When describing alternative approaches the ESAs encourage stakeholders to consider how the approach would achieve the aims of SFDR.</w:t>
      </w:r>
    </w:p>
    <w:p w14:paraId="62803BA4" w14:textId="77777777" w:rsidR="00EC1154" w:rsidRDefault="00EC1154" w:rsidP="00AF38AF">
      <w:pPr>
        <w:rPr>
          <w:rStyle w:val="nfasissutil"/>
          <w:b w:val="0"/>
          <w:sz w:val="22"/>
        </w:rPr>
      </w:pPr>
    </w:p>
    <w:p w14:paraId="6A3CB03F" w14:textId="77777777" w:rsidR="009A3017" w:rsidRPr="00E40A5C" w:rsidRDefault="009A3017" w:rsidP="009A3017">
      <w:pPr>
        <w:spacing w:after="120"/>
        <w:jc w:val="both"/>
        <w:rPr>
          <w:rStyle w:val="nfasissutil"/>
          <w:sz w:val="22"/>
        </w:rPr>
      </w:pPr>
      <w:r w:rsidRPr="00E40A5C">
        <w:rPr>
          <w:rStyle w:val="nfasissutil"/>
          <w:sz w:val="22"/>
        </w:rPr>
        <w:t>Instructions</w:t>
      </w:r>
    </w:p>
    <w:p w14:paraId="6A3CB040" w14:textId="77777777" w:rsidR="009A3017" w:rsidRPr="00E40A5C" w:rsidRDefault="009A3017" w:rsidP="009A3017">
      <w:pPr>
        <w:spacing w:after="240"/>
        <w:jc w:val="both"/>
        <w:rPr>
          <w:rStyle w:val="nfasissutil"/>
          <w:b w:val="0"/>
          <w:sz w:val="22"/>
        </w:rPr>
      </w:pPr>
      <w:r w:rsidRPr="00E40A5C">
        <w:rPr>
          <w:rStyle w:val="nfasissutil"/>
          <w:b w:val="0"/>
          <w:sz w:val="22"/>
        </w:rPr>
        <w:t>In order to facilitate analysis of responses to the Consultation Paper, respondents are requested to follow the below steps when preparing and submitting their response:</w:t>
      </w:r>
    </w:p>
    <w:p w14:paraId="6A3CB041" w14:textId="77777777" w:rsidR="009A3017" w:rsidRPr="00E40A5C" w:rsidRDefault="009A3017" w:rsidP="00967674">
      <w:pPr>
        <w:pStyle w:val="Prrafodelista"/>
        <w:numPr>
          <w:ilvl w:val="0"/>
          <w:numId w:val="37"/>
        </w:numPr>
        <w:spacing w:after="240" w:line="276" w:lineRule="auto"/>
        <w:ind w:left="567" w:hanging="567"/>
        <w:contextualSpacing w:val="0"/>
        <w:jc w:val="both"/>
        <w:rPr>
          <w:rStyle w:val="nfasissutil"/>
          <w:b w:val="0"/>
          <w:sz w:val="22"/>
        </w:rPr>
      </w:pPr>
      <w:r w:rsidRPr="00E40A5C">
        <w:rPr>
          <w:rStyle w:val="nfasissutil"/>
          <w:b w:val="0"/>
          <w:sz w:val="22"/>
        </w:rPr>
        <w:t xml:space="preserve">Insert your responses to the questions in the Consultation Paper in </w:t>
      </w:r>
      <w:r w:rsidR="00963D60">
        <w:rPr>
          <w:rStyle w:val="nfasissutil"/>
          <w:b w:val="0"/>
          <w:sz w:val="22"/>
        </w:rPr>
        <w:t>the present</w:t>
      </w:r>
      <w:r w:rsidR="00963D60" w:rsidRPr="00E40A5C">
        <w:rPr>
          <w:rStyle w:val="nfasissutil"/>
          <w:b w:val="0"/>
          <w:sz w:val="22"/>
        </w:rPr>
        <w:t xml:space="preserve"> </w:t>
      </w:r>
      <w:r w:rsidR="00315895">
        <w:rPr>
          <w:rStyle w:val="nfasissutil"/>
          <w:b w:val="0"/>
          <w:sz w:val="22"/>
        </w:rPr>
        <w:t xml:space="preserve">response </w:t>
      </w:r>
      <w:r w:rsidRPr="00E40A5C">
        <w:rPr>
          <w:rStyle w:val="nfasissutil"/>
          <w:b w:val="0"/>
          <w:sz w:val="22"/>
        </w:rPr>
        <w:t>form</w:t>
      </w:r>
      <w:r w:rsidR="00963D60">
        <w:rPr>
          <w:rStyle w:val="nfasissutil"/>
          <w:b w:val="0"/>
          <w:sz w:val="22"/>
        </w:rPr>
        <w:t>.</w:t>
      </w:r>
      <w:r w:rsidRPr="00E40A5C">
        <w:rPr>
          <w:rStyle w:val="nfasissutil"/>
          <w:b w:val="0"/>
          <w:sz w:val="22"/>
        </w:rPr>
        <w:t xml:space="preserve"> </w:t>
      </w:r>
    </w:p>
    <w:p w14:paraId="6A3CB042" w14:textId="7681A708" w:rsidR="009A3017" w:rsidRPr="00E40A5C" w:rsidRDefault="009A3017" w:rsidP="00967674">
      <w:pPr>
        <w:pStyle w:val="Prrafodelista"/>
        <w:numPr>
          <w:ilvl w:val="0"/>
          <w:numId w:val="37"/>
        </w:numPr>
        <w:spacing w:after="240" w:line="276" w:lineRule="auto"/>
        <w:ind w:left="567" w:hanging="567"/>
        <w:contextualSpacing w:val="0"/>
        <w:jc w:val="both"/>
        <w:rPr>
          <w:rStyle w:val="nfasissutil"/>
          <w:b w:val="0"/>
          <w:sz w:val="22"/>
        </w:rPr>
      </w:pPr>
      <w:r w:rsidRPr="00E40A5C">
        <w:rPr>
          <w:rStyle w:val="nfasissutil"/>
          <w:b w:val="0"/>
          <w:sz w:val="22"/>
        </w:rPr>
        <w:t>Please do not remove tags of the type &lt;ESA_QUESTION_</w:t>
      </w:r>
      <w:r w:rsidR="00C86E1C">
        <w:rPr>
          <w:rStyle w:val="nfasissutil"/>
          <w:b w:val="0"/>
          <w:sz w:val="22"/>
        </w:rPr>
        <w:t>ESG</w:t>
      </w:r>
      <w:r w:rsidRPr="00E40A5C">
        <w:rPr>
          <w:rStyle w:val="nfasissutil"/>
          <w:b w:val="0"/>
          <w:sz w:val="22"/>
        </w:rPr>
        <w:t>_1&gt;. Your response to each question has to be framed by the two tags corresponding to the question.</w:t>
      </w:r>
    </w:p>
    <w:p w14:paraId="6A3CB043" w14:textId="77777777" w:rsidR="009A3017" w:rsidRPr="00E40A5C" w:rsidRDefault="009A3017" w:rsidP="00967674">
      <w:pPr>
        <w:pStyle w:val="Prrafodelista"/>
        <w:numPr>
          <w:ilvl w:val="0"/>
          <w:numId w:val="37"/>
        </w:numPr>
        <w:spacing w:after="240" w:line="276" w:lineRule="auto"/>
        <w:ind w:left="567" w:hanging="567"/>
        <w:contextualSpacing w:val="0"/>
        <w:jc w:val="both"/>
        <w:rPr>
          <w:rStyle w:val="nfasissutil"/>
          <w:b w:val="0"/>
          <w:sz w:val="22"/>
        </w:rPr>
      </w:pPr>
      <w:r w:rsidRPr="00E40A5C">
        <w:rPr>
          <w:rStyle w:val="nfasissutil"/>
          <w:b w:val="0"/>
          <w:sz w:val="22"/>
        </w:rPr>
        <w:t>If you do not wish to respond to a given question, please do not delete it but simply leave the text “TYPE YOUR TEXT HERE” between the tags.</w:t>
      </w:r>
    </w:p>
    <w:p w14:paraId="6A3CB044" w14:textId="04FB3B90" w:rsidR="009A3017" w:rsidRPr="00E40A5C" w:rsidRDefault="009A3017" w:rsidP="00967674">
      <w:pPr>
        <w:pStyle w:val="Prrafodelista"/>
        <w:numPr>
          <w:ilvl w:val="0"/>
          <w:numId w:val="37"/>
        </w:numPr>
        <w:spacing w:after="240" w:line="276" w:lineRule="auto"/>
        <w:ind w:left="567" w:hanging="567"/>
        <w:contextualSpacing w:val="0"/>
        <w:jc w:val="both"/>
        <w:rPr>
          <w:rStyle w:val="nfasissutil"/>
          <w:b w:val="0"/>
          <w:sz w:val="22"/>
        </w:rPr>
      </w:pPr>
      <w:r w:rsidRPr="00E40A5C">
        <w:rPr>
          <w:rStyle w:val="nfasissutil"/>
          <w:b w:val="0"/>
          <w:sz w:val="22"/>
        </w:rPr>
        <w:t>When you have drafted your response, name your response form according to the follo</w:t>
      </w:r>
      <w:r w:rsidRPr="00E40A5C">
        <w:rPr>
          <w:rStyle w:val="nfasissutil"/>
          <w:b w:val="0"/>
          <w:sz w:val="22"/>
        </w:rPr>
        <w:t>w</w:t>
      </w:r>
      <w:r w:rsidRPr="00E40A5C">
        <w:rPr>
          <w:rStyle w:val="nfasissutil"/>
          <w:b w:val="0"/>
          <w:sz w:val="22"/>
        </w:rPr>
        <w:t>ing convention: ESA_</w:t>
      </w:r>
      <w:r w:rsidR="00C86E1C">
        <w:rPr>
          <w:rStyle w:val="nfasissutil"/>
          <w:b w:val="0"/>
          <w:sz w:val="22"/>
        </w:rPr>
        <w:t>ESG</w:t>
      </w:r>
      <w:r w:rsidRPr="00E40A5C">
        <w:rPr>
          <w:rStyle w:val="nfasissutil"/>
          <w:b w:val="0"/>
          <w:sz w:val="22"/>
        </w:rPr>
        <w:t>_nameofrespondent_RESPONSEFORM. For example, for a r</w:t>
      </w:r>
      <w:r w:rsidRPr="00E40A5C">
        <w:rPr>
          <w:rStyle w:val="nfasissutil"/>
          <w:b w:val="0"/>
          <w:sz w:val="22"/>
        </w:rPr>
        <w:t>e</w:t>
      </w:r>
      <w:r w:rsidRPr="00E40A5C">
        <w:rPr>
          <w:rStyle w:val="nfasissutil"/>
          <w:b w:val="0"/>
          <w:sz w:val="22"/>
        </w:rPr>
        <w:t>spondent named ABCD, the response form would be entitled ESA_</w:t>
      </w:r>
      <w:r w:rsidR="00C86E1C">
        <w:rPr>
          <w:rStyle w:val="nfasissutil"/>
          <w:b w:val="0"/>
          <w:sz w:val="22"/>
        </w:rPr>
        <w:t>ESG</w:t>
      </w:r>
      <w:r w:rsidRPr="00E40A5C">
        <w:rPr>
          <w:rStyle w:val="nfasissutil"/>
          <w:b w:val="0"/>
          <w:sz w:val="22"/>
        </w:rPr>
        <w:t>_ABCD_RESPONSEFORM.</w:t>
      </w:r>
    </w:p>
    <w:p w14:paraId="180C2205" w14:textId="19B88CA2" w:rsidR="00197794" w:rsidRPr="00197794" w:rsidRDefault="00197794" w:rsidP="00197794">
      <w:pPr>
        <w:pStyle w:val="Prrafodelista"/>
        <w:numPr>
          <w:ilvl w:val="0"/>
          <w:numId w:val="37"/>
        </w:numPr>
        <w:spacing w:after="240" w:line="276" w:lineRule="auto"/>
        <w:ind w:left="567" w:hanging="567"/>
        <w:contextualSpacing w:val="0"/>
        <w:jc w:val="both"/>
        <w:rPr>
          <w:rStyle w:val="nfasissutil"/>
          <w:b w:val="0"/>
          <w:sz w:val="22"/>
        </w:rPr>
      </w:pPr>
      <w:r w:rsidRPr="00197794">
        <w:rPr>
          <w:rStyle w:val="nfasissutil"/>
          <w:b w:val="0"/>
          <w:sz w:val="22"/>
        </w:rPr>
        <w:t>The consultation paper is available on the websites of the three ESAs</w:t>
      </w:r>
      <w:r w:rsidR="00764042">
        <w:rPr>
          <w:rStyle w:val="nfasissutil"/>
          <w:b w:val="0"/>
          <w:sz w:val="22"/>
        </w:rPr>
        <w:t xml:space="preserve"> and the Joint Co</w:t>
      </w:r>
      <w:r w:rsidR="00764042">
        <w:rPr>
          <w:rStyle w:val="nfasissutil"/>
          <w:b w:val="0"/>
          <w:sz w:val="22"/>
        </w:rPr>
        <w:t>m</w:t>
      </w:r>
      <w:r w:rsidR="00764042">
        <w:rPr>
          <w:rStyle w:val="nfasissutil"/>
          <w:b w:val="0"/>
          <w:sz w:val="22"/>
        </w:rPr>
        <w:t>mittee</w:t>
      </w:r>
      <w:r w:rsidRPr="00197794">
        <w:rPr>
          <w:rStyle w:val="nfasissutil"/>
          <w:b w:val="0"/>
          <w:sz w:val="22"/>
        </w:rPr>
        <w:t xml:space="preserve">. Comments on this consultation paper can be sent using the response form, via the </w:t>
      </w:r>
      <w:hyperlink r:id="rId20" w:history="1">
        <w:r w:rsidRPr="00197794">
          <w:rPr>
            <w:rStyle w:val="Hipervnculo"/>
            <w:rFonts w:cs="Arial"/>
            <w:sz w:val="22"/>
          </w:rPr>
          <w:t>ESMA website</w:t>
        </w:r>
      </w:hyperlink>
      <w:r w:rsidRPr="00197794">
        <w:rPr>
          <w:rStyle w:val="nfasissutil"/>
          <w:b w:val="0"/>
          <w:sz w:val="24"/>
        </w:rPr>
        <w:t xml:space="preserve"> </w:t>
      </w:r>
      <w:r w:rsidRPr="00197794">
        <w:rPr>
          <w:rStyle w:val="nfasissutil"/>
          <w:b w:val="0"/>
          <w:sz w:val="22"/>
        </w:rPr>
        <w:t xml:space="preserve">under the heading ‘Your input - Consultations’ </w:t>
      </w:r>
      <w:r w:rsidRPr="001C240F">
        <w:rPr>
          <w:rStyle w:val="nfasissutil"/>
          <w:b w:val="0"/>
          <w:sz w:val="22"/>
        </w:rPr>
        <w:t xml:space="preserve">by </w:t>
      </w:r>
      <w:r w:rsidR="00D5594A" w:rsidRPr="001C240F">
        <w:rPr>
          <w:rStyle w:val="nfasissutil"/>
          <w:sz w:val="22"/>
        </w:rPr>
        <w:t>1 September</w:t>
      </w:r>
      <w:r w:rsidRPr="001C240F">
        <w:rPr>
          <w:rStyle w:val="nfasissutil"/>
          <w:sz w:val="22"/>
        </w:rPr>
        <w:t xml:space="preserve"> 2020</w:t>
      </w:r>
      <w:r w:rsidRPr="00197794">
        <w:rPr>
          <w:rStyle w:val="nfasissutil"/>
          <w:b w:val="0"/>
          <w:sz w:val="22"/>
        </w:rPr>
        <w:t>.</w:t>
      </w:r>
    </w:p>
    <w:p w14:paraId="2481E1E6" w14:textId="67CDDA3F" w:rsidR="00197794" w:rsidRDefault="00197794" w:rsidP="00197794">
      <w:pPr>
        <w:pStyle w:val="Prrafodelista"/>
        <w:numPr>
          <w:ilvl w:val="0"/>
          <w:numId w:val="37"/>
        </w:numPr>
        <w:spacing w:after="240" w:line="276" w:lineRule="auto"/>
        <w:ind w:left="567" w:hanging="567"/>
        <w:contextualSpacing w:val="0"/>
        <w:jc w:val="both"/>
        <w:rPr>
          <w:rStyle w:val="nfasissutil"/>
          <w:b w:val="0"/>
          <w:sz w:val="22"/>
        </w:rPr>
      </w:pPr>
      <w:r w:rsidRPr="00197794">
        <w:rPr>
          <w:rStyle w:val="nfasissutil"/>
          <w:b w:val="0"/>
          <w:sz w:val="22"/>
        </w:rPr>
        <w:t>Contributions not provided in the template for comments, or after the deadline will not be processed.</w:t>
      </w:r>
    </w:p>
    <w:p w14:paraId="5F3A7F1F" w14:textId="57F7F592" w:rsidR="00197794" w:rsidRDefault="00197794" w:rsidP="00197794">
      <w:pPr>
        <w:spacing w:after="240" w:line="276" w:lineRule="auto"/>
        <w:jc w:val="both"/>
        <w:rPr>
          <w:rStyle w:val="nfasissutil"/>
          <w:b w:val="0"/>
          <w:sz w:val="22"/>
        </w:rPr>
      </w:pPr>
    </w:p>
    <w:p w14:paraId="5E94D042" w14:textId="77777777" w:rsidR="00D5594A" w:rsidRPr="00197794" w:rsidRDefault="00D5594A" w:rsidP="00197794">
      <w:pPr>
        <w:spacing w:after="240" w:line="276" w:lineRule="auto"/>
        <w:jc w:val="both"/>
        <w:rPr>
          <w:rStyle w:val="nfasissutil"/>
          <w:b w:val="0"/>
          <w:sz w:val="22"/>
        </w:rPr>
      </w:pPr>
    </w:p>
    <w:p w14:paraId="6A3CB046" w14:textId="77777777" w:rsidR="00210E59" w:rsidRPr="00210E59" w:rsidRDefault="00210E59" w:rsidP="00210E59">
      <w:pPr>
        <w:spacing w:after="120"/>
        <w:jc w:val="both"/>
        <w:rPr>
          <w:rStyle w:val="nfasissutil"/>
          <w:sz w:val="22"/>
        </w:rPr>
      </w:pPr>
      <w:r w:rsidRPr="00210E59">
        <w:rPr>
          <w:rStyle w:val="nfasissutil"/>
          <w:sz w:val="22"/>
        </w:rPr>
        <w:lastRenderedPageBreak/>
        <w:t>Publication of responses</w:t>
      </w:r>
    </w:p>
    <w:p w14:paraId="0B308639" w14:textId="77777777" w:rsidR="00197794" w:rsidRPr="00197794" w:rsidRDefault="00197794" w:rsidP="00197794">
      <w:pPr>
        <w:rPr>
          <w:sz w:val="22"/>
          <w:szCs w:val="22"/>
        </w:rPr>
      </w:pPr>
      <w:r w:rsidRPr="00197794">
        <w:rPr>
          <w:sz w:val="22"/>
          <w:szCs w:val="22"/>
        </w:rPr>
        <w:t>All contributions received will be published following the close of the consultation, unless you request otherwise in the respective field in the template for comments. A standard confidentiality statement in an email message will not be treated as a request for non-disclosure. A confidential response may be requested from us in accordance with ESAs rules on public access to doc</w:t>
      </w:r>
      <w:r w:rsidRPr="00197794">
        <w:rPr>
          <w:sz w:val="22"/>
          <w:szCs w:val="22"/>
        </w:rPr>
        <w:t>u</w:t>
      </w:r>
      <w:r w:rsidRPr="00197794">
        <w:rPr>
          <w:sz w:val="22"/>
          <w:szCs w:val="22"/>
        </w:rPr>
        <w:t>ments. We may consult you if we receive such a request. Any decision we make not to disclose the response is reviewable by ESAs Board of Appeal and the European Ombudsman.</w:t>
      </w:r>
    </w:p>
    <w:p w14:paraId="0D1FEFE7" w14:textId="77777777" w:rsidR="00197794" w:rsidRDefault="00197794" w:rsidP="004E6AE4">
      <w:pPr>
        <w:rPr>
          <w:rStyle w:val="nfasissutil"/>
          <w:sz w:val="22"/>
          <w:lang w:eastAsia="en-GB"/>
        </w:rPr>
      </w:pPr>
    </w:p>
    <w:p w14:paraId="3561D6A6" w14:textId="77777777" w:rsidR="00197794" w:rsidRDefault="00197794" w:rsidP="004E6AE4">
      <w:pPr>
        <w:rPr>
          <w:rStyle w:val="nfasissutil"/>
          <w:sz w:val="22"/>
          <w:lang w:eastAsia="en-GB"/>
        </w:rPr>
      </w:pPr>
    </w:p>
    <w:p w14:paraId="6A3CB048" w14:textId="1D432EA9" w:rsidR="009A3017" w:rsidRPr="00E40A5C" w:rsidRDefault="009A3017" w:rsidP="004E6AE4">
      <w:pPr>
        <w:rPr>
          <w:rStyle w:val="nfasissutil"/>
          <w:sz w:val="22"/>
          <w:lang w:eastAsia="en-GB"/>
        </w:rPr>
      </w:pPr>
      <w:r w:rsidRPr="00E40A5C">
        <w:rPr>
          <w:rStyle w:val="nfasissutil"/>
          <w:sz w:val="22"/>
          <w:lang w:eastAsia="en-GB"/>
        </w:rPr>
        <w:t>Data protection</w:t>
      </w:r>
    </w:p>
    <w:p w14:paraId="56AA910E" w14:textId="77777777" w:rsidR="00197794" w:rsidRDefault="00197794" w:rsidP="00210E59">
      <w:pPr>
        <w:rPr>
          <w:sz w:val="22"/>
        </w:rPr>
      </w:pPr>
    </w:p>
    <w:p w14:paraId="5054EF54" w14:textId="656E48F9" w:rsidR="00197794" w:rsidRPr="00197794" w:rsidRDefault="00197794" w:rsidP="00210E59">
      <w:pPr>
        <w:rPr>
          <w:rFonts w:cs="Arial"/>
          <w:sz w:val="24"/>
        </w:rPr>
      </w:pPr>
      <w:r w:rsidRPr="00197794">
        <w:rPr>
          <w:rFonts w:cs="Arial"/>
          <w:sz w:val="22"/>
        </w:rPr>
        <w:t>The protection of individuals with regard to the processing of personal data by the ESAs is based on Regulation (EU) 2018/1725</w:t>
      </w:r>
      <w:r w:rsidRPr="00197794">
        <w:rPr>
          <w:rStyle w:val="Refdenotaalpie"/>
          <w:rFonts w:cs="Arial"/>
          <w:sz w:val="22"/>
        </w:rPr>
        <w:footnoteReference w:id="2"/>
      </w:r>
      <w:r w:rsidRPr="00197794">
        <w:rPr>
          <w:rFonts w:cs="Arial"/>
          <w:sz w:val="22"/>
        </w:rPr>
        <w:t xml:space="preserve">. Further information on data protection can be found under the </w:t>
      </w:r>
      <w:hyperlink r:id="rId21" w:history="1">
        <w:r w:rsidRPr="00197794">
          <w:rPr>
            <w:rStyle w:val="Hipervnculo"/>
            <w:rFonts w:cs="Arial"/>
            <w:sz w:val="22"/>
          </w:rPr>
          <w:t>Legal notice</w:t>
        </w:r>
      </w:hyperlink>
      <w:r w:rsidRPr="00197794">
        <w:rPr>
          <w:rFonts w:cs="Arial"/>
          <w:sz w:val="22"/>
        </w:rPr>
        <w:t xml:space="preserve"> section of the EBA website and under the </w:t>
      </w:r>
      <w:hyperlink r:id="rId22" w:history="1">
        <w:r w:rsidRPr="00197794">
          <w:rPr>
            <w:rStyle w:val="Hipervnculo"/>
            <w:rFonts w:cs="Arial"/>
            <w:sz w:val="22"/>
          </w:rPr>
          <w:t>Legal notice</w:t>
        </w:r>
      </w:hyperlink>
      <w:r w:rsidRPr="00197794">
        <w:rPr>
          <w:rFonts w:cs="Arial"/>
          <w:sz w:val="22"/>
        </w:rPr>
        <w:t xml:space="preserve"> section of the EIOPA website and under the </w:t>
      </w:r>
      <w:hyperlink r:id="rId23" w:history="1">
        <w:r w:rsidRPr="00197794">
          <w:rPr>
            <w:rStyle w:val="Hipervnculo"/>
            <w:rFonts w:cs="Arial"/>
            <w:sz w:val="22"/>
          </w:rPr>
          <w:t>Legal notice</w:t>
        </w:r>
      </w:hyperlink>
      <w:r w:rsidRPr="00197794">
        <w:rPr>
          <w:rFonts w:cs="Arial"/>
          <w:sz w:val="22"/>
        </w:rPr>
        <w:t xml:space="preserve"> section of the ESMA website.</w:t>
      </w:r>
    </w:p>
    <w:p w14:paraId="6A3CB04A" w14:textId="77777777" w:rsidR="00210E59" w:rsidRDefault="00210E59" w:rsidP="009A3017">
      <w:pPr>
        <w:spacing w:after="120"/>
        <w:jc w:val="both"/>
        <w:rPr>
          <w:rStyle w:val="nfasissutil"/>
          <w:sz w:val="22"/>
          <w:lang w:eastAsia="en-GB"/>
        </w:rPr>
      </w:pPr>
    </w:p>
    <w:bookmarkEnd w:id="0"/>
    <w:p w14:paraId="04AFE464" w14:textId="77777777" w:rsidR="002E4F86" w:rsidRPr="00EC1154" w:rsidRDefault="002E4F86" w:rsidP="00EC1154">
      <w:pPr>
        <w:rPr>
          <w:sz w:val="22"/>
        </w:rPr>
      </w:pPr>
    </w:p>
    <w:p w14:paraId="6A3CB04D" w14:textId="77777777" w:rsidR="00332304" w:rsidRDefault="00332304" w:rsidP="004E6AE4">
      <w:pPr>
        <w:rPr>
          <w:rFonts w:cs="Arial"/>
          <w:b/>
          <w:bCs/>
          <w:kern w:val="32"/>
          <w:sz w:val="24"/>
          <w:szCs w:val="32"/>
        </w:rPr>
      </w:pPr>
      <w:r>
        <w:br w:type="page"/>
      </w:r>
    </w:p>
    <w:p w14:paraId="6A3CB04E" w14:textId="77777777" w:rsidR="00B327E9" w:rsidRPr="00AB6D88" w:rsidRDefault="00B327E9" w:rsidP="00B327E9">
      <w:pPr>
        <w:pStyle w:val="Ttulo1"/>
        <w:numPr>
          <w:ilvl w:val="0"/>
          <w:numId w:val="0"/>
        </w:numPr>
      </w:pPr>
      <w:r w:rsidRPr="00AB6D88">
        <w:lastRenderedPageBreak/>
        <w:t>General information about respondent</w:t>
      </w:r>
    </w:p>
    <w:p w14:paraId="6A3CB04F"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6A3CB052" w14:textId="77777777" w:rsidTr="00F136AD">
        <w:tc>
          <w:tcPr>
            <w:tcW w:w="3929" w:type="dxa"/>
            <w:shd w:val="clear" w:color="auto" w:fill="auto"/>
          </w:tcPr>
          <w:p w14:paraId="6A3CB050" w14:textId="77777777" w:rsidR="00B327E9" w:rsidRPr="00E40A5C" w:rsidRDefault="00B327E9" w:rsidP="00F136AD">
            <w:pPr>
              <w:rPr>
                <w:rFonts w:cs="Arial"/>
                <w:sz w:val="22"/>
              </w:rPr>
            </w:pPr>
            <w:permStart w:id="233722365" w:edGrp="everyone" w:colFirst="1" w:colLast="1"/>
            <w:r w:rsidRPr="00E40A5C">
              <w:rPr>
                <w:rFonts w:cs="Arial"/>
                <w:sz w:val="22"/>
              </w:rPr>
              <w:t>Name of the company / organisation</w:t>
            </w:r>
          </w:p>
        </w:tc>
        <w:sdt>
          <w:sdtPr>
            <w:rPr>
              <w:rFonts w:cs="Arial"/>
              <w:szCs w:val="20"/>
              <w:lang w:val="en-US"/>
            </w:rPr>
            <w:id w:val="-1905066999"/>
            <w:text/>
          </w:sdtPr>
          <w:sdtContent>
            <w:tc>
              <w:tcPr>
                <w:tcW w:w="5595" w:type="dxa"/>
                <w:shd w:val="clear" w:color="auto" w:fill="auto"/>
              </w:tcPr>
              <w:p w14:paraId="6A3CB051" w14:textId="0CC399DB" w:rsidR="00B327E9" w:rsidRPr="00AB6D88" w:rsidRDefault="00C32D40" w:rsidP="00C32D40">
                <w:pPr>
                  <w:rPr>
                    <w:rStyle w:val="Textodelmarcadordeposicin"/>
                    <w:rFonts w:cs="Arial"/>
                  </w:rPr>
                </w:pPr>
                <w:r w:rsidRPr="00C32D40">
                  <w:rPr>
                    <w:rFonts w:cs="Arial"/>
                    <w:szCs w:val="20"/>
                    <w:lang w:val="en-US"/>
                  </w:rPr>
                  <w:t xml:space="preserve">Advisory Committee of the Spanish National Securities Market Commission </w:t>
                </w:r>
                <w:r>
                  <w:rPr>
                    <w:rFonts w:cs="Arial"/>
                    <w:szCs w:val="20"/>
                    <w:lang w:val="en-US"/>
                  </w:rPr>
                  <w:t>(</w:t>
                </w:r>
                <w:r w:rsidRPr="00C32D40">
                  <w:rPr>
                    <w:rFonts w:cs="Arial"/>
                    <w:szCs w:val="20"/>
                    <w:lang w:val="en-US"/>
                  </w:rPr>
                  <w:t>CNMV</w:t>
                </w:r>
                <w:r>
                  <w:rPr>
                    <w:rFonts w:cs="Arial"/>
                    <w:szCs w:val="20"/>
                    <w:lang w:val="en-US"/>
                  </w:rPr>
                  <w:t>)</w:t>
                </w:r>
              </w:p>
            </w:tc>
          </w:sdtContent>
        </w:sdt>
      </w:tr>
      <w:tr w:rsidR="00B327E9" w:rsidRPr="00AB6D88" w14:paraId="6A3CB055" w14:textId="77777777" w:rsidTr="00F136AD">
        <w:tc>
          <w:tcPr>
            <w:tcW w:w="3929" w:type="dxa"/>
            <w:shd w:val="clear" w:color="auto" w:fill="auto"/>
          </w:tcPr>
          <w:p w14:paraId="6A3CB053" w14:textId="77777777" w:rsidR="00B327E9" w:rsidRPr="00E40A5C" w:rsidRDefault="00B327E9" w:rsidP="00F136AD">
            <w:pPr>
              <w:rPr>
                <w:rFonts w:cs="Arial"/>
                <w:sz w:val="22"/>
              </w:rPr>
            </w:pPr>
            <w:permStart w:id="804592539" w:edGrp="everyone" w:colFirst="1" w:colLast="1"/>
            <w:permEnd w:id="233722365"/>
            <w:r w:rsidRPr="00E40A5C">
              <w:rPr>
                <w:rFonts w:cs="Arial"/>
                <w:sz w:val="22"/>
              </w:rPr>
              <w:t>Activity</w:t>
            </w:r>
          </w:p>
        </w:tc>
        <w:tc>
          <w:tcPr>
            <w:tcW w:w="5595" w:type="dxa"/>
            <w:shd w:val="clear" w:color="auto" w:fill="auto"/>
          </w:tcPr>
          <w:p w14:paraId="6A3CB054" w14:textId="0271C568" w:rsidR="00B327E9" w:rsidRPr="00AB6D88" w:rsidRDefault="00C32D40"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Pr>
                    <w:rFonts w:cs="Arial"/>
                  </w:rPr>
                  <w:t>Government, Regulatory and Enforcement</w:t>
                </w:r>
              </w:sdtContent>
            </w:sdt>
          </w:p>
        </w:tc>
      </w:tr>
      <w:tr w:rsidR="00B327E9" w:rsidRPr="00AB6D88" w14:paraId="6A3CB058" w14:textId="77777777" w:rsidTr="00F136AD">
        <w:tc>
          <w:tcPr>
            <w:tcW w:w="3929" w:type="dxa"/>
            <w:shd w:val="clear" w:color="auto" w:fill="auto"/>
          </w:tcPr>
          <w:p w14:paraId="6A3CB056" w14:textId="77777777" w:rsidR="00B327E9" w:rsidRPr="00E40A5C" w:rsidRDefault="00B327E9" w:rsidP="00F136AD">
            <w:pPr>
              <w:rPr>
                <w:rFonts w:cs="Arial"/>
                <w:sz w:val="22"/>
              </w:rPr>
            </w:pPr>
            <w:permStart w:id="925831249" w:edGrp="everyone" w:colFirst="1" w:colLast="1"/>
            <w:permEnd w:id="804592539"/>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6A3CB057" w14:textId="092F04FC" w:rsidR="00B327E9" w:rsidRPr="00AB6D88" w:rsidRDefault="00C32D40" w:rsidP="00F136AD">
                <w:pPr>
                  <w:rPr>
                    <w:rFonts w:cs="Arial"/>
                  </w:rPr>
                </w:pPr>
                <w:r>
                  <w:rPr>
                    <w:rFonts w:ascii="MS Gothic" w:eastAsia="MS Gothic" w:hAnsi="MS Gothic" w:cs="Arial" w:hint="eastAsia"/>
                  </w:rPr>
                  <w:t>☒</w:t>
                </w:r>
              </w:p>
            </w:tc>
          </w:sdtContent>
        </w:sdt>
      </w:tr>
      <w:tr w:rsidR="00B327E9" w:rsidRPr="00AB6D88" w14:paraId="6A3CB05B" w14:textId="77777777" w:rsidTr="00F136AD">
        <w:tc>
          <w:tcPr>
            <w:tcW w:w="3929" w:type="dxa"/>
            <w:shd w:val="clear" w:color="auto" w:fill="auto"/>
          </w:tcPr>
          <w:p w14:paraId="6A3CB059" w14:textId="77777777" w:rsidR="00B327E9" w:rsidRPr="00E40A5C" w:rsidRDefault="00B327E9" w:rsidP="00F136AD">
            <w:pPr>
              <w:rPr>
                <w:rFonts w:cs="Arial"/>
                <w:sz w:val="22"/>
              </w:rPr>
            </w:pPr>
            <w:permStart w:id="1842894382" w:edGrp="everyone" w:colFirst="1" w:colLast="1"/>
            <w:permEnd w:id="925831249"/>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6A3CB05A" w14:textId="1978CA0E" w:rsidR="00B327E9" w:rsidRPr="00AB6D88" w:rsidRDefault="00C12BFD" w:rsidP="00F136AD">
                <w:pPr>
                  <w:rPr>
                    <w:rFonts w:cs="Arial"/>
                  </w:rPr>
                </w:pPr>
                <w:r>
                  <w:rPr>
                    <w:rFonts w:cs="Arial"/>
                  </w:rPr>
                  <w:t>Spain</w:t>
                </w:r>
              </w:p>
            </w:tc>
          </w:sdtContent>
        </w:sdt>
      </w:tr>
      <w:permEnd w:id="1842894382"/>
    </w:tbl>
    <w:p w14:paraId="6A3CB05C" w14:textId="77777777" w:rsidR="00B327E9" w:rsidRDefault="00B327E9" w:rsidP="00B327E9">
      <w:pPr>
        <w:spacing w:after="120" w:line="264" w:lineRule="auto"/>
      </w:pPr>
    </w:p>
    <w:p w14:paraId="6A3CB05D" w14:textId="77777777" w:rsidR="00B327E9" w:rsidRDefault="00B327E9" w:rsidP="00B327E9">
      <w:pPr>
        <w:pStyle w:val="Ttulo1"/>
        <w:numPr>
          <w:ilvl w:val="0"/>
          <w:numId w:val="0"/>
        </w:numPr>
        <w:ind w:left="431" w:hanging="431"/>
      </w:pPr>
      <w:r>
        <w:t>Introduction</w:t>
      </w:r>
    </w:p>
    <w:p w14:paraId="6A3CB05E" w14:textId="77777777" w:rsidR="00B327E9" w:rsidRPr="00E40A5C" w:rsidRDefault="00B327E9" w:rsidP="00B327E9">
      <w:pPr>
        <w:rPr>
          <w:rStyle w:val="nfasisintenso"/>
          <w:sz w:val="22"/>
        </w:rPr>
      </w:pPr>
      <w:r w:rsidRPr="00E40A5C">
        <w:rPr>
          <w:rStyle w:val="nfasisintenso"/>
          <w:sz w:val="22"/>
        </w:rPr>
        <w:t>Please make your introductory comments below, if any:</w:t>
      </w:r>
    </w:p>
    <w:p w14:paraId="6A3CB05F" w14:textId="77777777" w:rsidR="00B327E9" w:rsidRPr="00BF28DA" w:rsidRDefault="00B327E9" w:rsidP="00B327E9"/>
    <w:p w14:paraId="6A3CB060" w14:textId="7504F70A" w:rsidR="00B327E9" w:rsidRPr="006F4535" w:rsidRDefault="00B327E9" w:rsidP="00B327E9">
      <w:r w:rsidRPr="006F4535">
        <w:t>&lt;ESA_COMMENT_</w:t>
      </w:r>
      <w:r w:rsidR="00C86E1C">
        <w:rPr>
          <w:rStyle w:val="nfasissutil"/>
          <w:b w:val="0"/>
          <w:sz w:val="22"/>
        </w:rPr>
        <w:t>ESG</w:t>
      </w:r>
      <w:r w:rsidRPr="006F4535">
        <w:t>_1&gt;</w:t>
      </w:r>
    </w:p>
    <w:p w14:paraId="01949F28" w14:textId="3C0BCD6A" w:rsidR="00C32D40" w:rsidRPr="00C32D40" w:rsidRDefault="00C32D40" w:rsidP="00C32D40">
      <w:pPr>
        <w:spacing w:line="276" w:lineRule="auto"/>
        <w:jc w:val="both"/>
        <w:rPr>
          <w:rFonts w:cs="Arial"/>
          <w:szCs w:val="20"/>
          <w:lang w:val="en-US"/>
        </w:rPr>
      </w:pPr>
      <w:permStart w:id="411981036" w:edGrp="everyone"/>
      <w:r w:rsidRPr="00C32D40">
        <w:rPr>
          <w:rFonts w:cs="Arial"/>
          <w:szCs w:val="20"/>
          <w:lang w:val="en-US"/>
        </w:rPr>
        <w:t xml:space="preserve">The Advisory Committee of the CNMV </w:t>
      </w:r>
      <w:r>
        <w:rPr>
          <w:rFonts w:cs="Arial"/>
          <w:szCs w:val="20"/>
          <w:lang w:val="en-US"/>
        </w:rPr>
        <w:t xml:space="preserve">(Spanish </w:t>
      </w:r>
      <w:r w:rsidRPr="00C32D40">
        <w:rPr>
          <w:rFonts w:cs="Arial"/>
          <w:szCs w:val="20"/>
          <w:lang w:val="en-US"/>
        </w:rPr>
        <w:t>National Securities Market Commission</w:t>
      </w:r>
      <w:r w:rsidRPr="00C32D40">
        <w:rPr>
          <w:rFonts w:cs="Arial"/>
          <w:szCs w:val="20"/>
          <w:lang w:val="en-US"/>
        </w:rPr>
        <w:t>)</w:t>
      </w:r>
      <w:r>
        <w:rPr>
          <w:rFonts w:ascii="montserratlight" w:hAnsi="montserratlight" w:cs="Arial"/>
          <w:color w:val="333333"/>
          <w:sz w:val="21"/>
          <w:szCs w:val="21"/>
        </w:rPr>
        <w:t xml:space="preserve"> </w:t>
      </w:r>
      <w:r w:rsidRPr="00C32D40">
        <w:rPr>
          <w:rFonts w:cs="Arial"/>
          <w:szCs w:val="20"/>
          <w:lang w:val="en-US"/>
        </w:rPr>
        <w:t>has been esta</w:t>
      </w:r>
      <w:r w:rsidRPr="00C32D40">
        <w:rPr>
          <w:rFonts w:cs="Arial"/>
          <w:szCs w:val="20"/>
          <w:lang w:val="en-US"/>
        </w:rPr>
        <w:t>b</w:t>
      </w:r>
      <w:r w:rsidRPr="00C32D40">
        <w:rPr>
          <w:rFonts w:cs="Arial"/>
          <w:szCs w:val="20"/>
          <w:lang w:val="en-US"/>
        </w:rPr>
        <w:t>lished by the Spanish Securities Market Act as the consultative body of the CNMV. This Committee is composed by market participants (members of secondary markets, issuers, retail investors, intermedia</w:t>
      </w:r>
      <w:r w:rsidRPr="00C32D40">
        <w:rPr>
          <w:rFonts w:cs="Arial"/>
          <w:szCs w:val="20"/>
          <w:lang w:val="en-US"/>
        </w:rPr>
        <w:t>r</w:t>
      </w:r>
      <w:r w:rsidRPr="00C32D40">
        <w:rPr>
          <w:rFonts w:cs="Arial"/>
          <w:szCs w:val="20"/>
          <w:lang w:val="en-US"/>
        </w:rPr>
        <w:t xml:space="preserve">ies, the collective investment industry, etc.) and its opinions are independent from those of the CNMV. </w:t>
      </w:r>
    </w:p>
    <w:p w14:paraId="00957ACC" w14:textId="77777777" w:rsidR="00C32D40" w:rsidRPr="00C32D40" w:rsidRDefault="00C32D40" w:rsidP="00B645B5">
      <w:pPr>
        <w:spacing w:line="276" w:lineRule="auto"/>
        <w:jc w:val="both"/>
        <w:rPr>
          <w:rFonts w:cs="Arial"/>
          <w:szCs w:val="20"/>
        </w:rPr>
      </w:pPr>
    </w:p>
    <w:p w14:paraId="1DE43008" w14:textId="741EFE3F" w:rsidR="00B645B5" w:rsidRPr="0098090A" w:rsidRDefault="00B645B5" w:rsidP="00B645B5">
      <w:pPr>
        <w:spacing w:line="276" w:lineRule="auto"/>
        <w:jc w:val="both"/>
        <w:rPr>
          <w:rFonts w:cs="Arial"/>
          <w:b/>
          <w:bCs/>
          <w:szCs w:val="20"/>
          <w:lang w:val="en-US" w:eastAsia="en-US"/>
        </w:rPr>
      </w:pPr>
      <w:r w:rsidRPr="0098090A">
        <w:rPr>
          <w:rFonts w:cs="Arial"/>
          <w:szCs w:val="20"/>
          <w:lang w:val="en-US"/>
        </w:rPr>
        <w:t>The publication of these RTSs for the</w:t>
      </w:r>
      <w:r w:rsidR="007942A9">
        <w:rPr>
          <w:rFonts w:cs="Arial"/>
          <w:szCs w:val="20"/>
          <w:lang w:val="en-US"/>
        </w:rPr>
        <w:t xml:space="preserve"> development and </w:t>
      </w:r>
      <w:r w:rsidRPr="0098090A">
        <w:rPr>
          <w:rFonts w:cs="Arial"/>
          <w:szCs w:val="20"/>
          <w:lang w:val="en-US"/>
        </w:rPr>
        <w:t xml:space="preserve">harmonization of </w:t>
      </w:r>
      <w:r w:rsidR="007942A9">
        <w:rPr>
          <w:rFonts w:cs="Arial"/>
          <w:szCs w:val="20"/>
          <w:lang w:val="en-US"/>
        </w:rPr>
        <w:t xml:space="preserve">ESG disclosure, as a part of </w:t>
      </w:r>
      <w:r w:rsidRPr="0098090A">
        <w:rPr>
          <w:rFonts w:cs="Arial"/>
          <w:szCs w:val="20"/>
          <w:lang w:val="en-US"/>
        </w:rPr>
        <w:t>sustainable financ</w:t>
      </w:r>
      <w:r w:rsidR="007942A9">
        <w:rPr>
          <w:rFonts w:cs="Arial"/>
          <w:szCs w:val="20"/>
          <w:lang w:val="en-US"/>
        </w:rPr>
        <w:t>es</w:t>
      </w:r>
      <w:r w:rsidRPr="0098090A">
        <w:rPr>
          <w:rFonts w:cs="Arial"/>
          <w:szCs w:val="20"/>
          <w:lang w:val="en-US"/>
        </w:rPr>
        <w:t xml:space="preserve"> plan within the European Union is very welcome</w:t>
      </w:r>
      <w:r w:rsidR="007942A9">
        <w:rPr>
          <w:rFonts w:cs="Arial"/>
          <w:szCs w:val="20"/>
          <w:lang w:val="en-US"/>
        </w:rPr>
        <w:t xml:space="preserve">. Likewise </w:t>
      </w:r>
      <w:r w:rsidRPr="0098090A">
        <w:rPr>
          <w:rFonts w:cs="Arial"/>
          <w:szCs w:val="20"/>
          <w:lang w:val="en-US"/>
        </w:rPr>
        <w:t xml:space="preserve">the strategic importance of sustainable financing and the role played </w:t>
      </w:r>
      <w:r w:rsidR="007942A9">
        <w:rPr>
          <w:rFonts w:cs="Arial"/>
          <w:szCs w:val="20"/>
          <w:lang w:val="en-US"/>
        </w:rPr>
        <w:t>o</w:t>
      </w:r>
      <w:r w:rsidRPr="0098090A">
        <w:rPr>
          <w:rFonts w:cs="Arial"/>
          <w:szCs w:val="20"/>
          <w:lang w:val="en-US"/>
        </w:rPr>
        <w:t xml:space="preserve">n it by the various economic actors and stakeholders is fully recognized. </w:t>
      </w:r>
      <w:r w:rsidRPr="0098090A">
        <w:rPr>
          <w:rFonts w:cs="Arial"/>
          <w:b/>
          <w:bCs/>
          <w:szCs w:val="20"/>
          <w:lang w:val="en-US"/>
        </w:rPr>
        <w:t>The financial sector is fully aware of the strategic importance of the ESG action plan and wants to be a driving force behind it.</w:t>
      </w:r>
    </w:p>
    <w:p w14:paraId="56136AC3" w14:textId="77777777" w:rsidR="00B645B5" w:rsidRPr="0098090A" w:rsidRDefault="00B645B5" w:rsidP="00B645B5">
      <w:pPr>
        <w:spacing w:line="276" w:lineRule="auto"/>
        <w:jc w:val="both"/>
        <w:rPr>
          <w:rFonts w:cs="Arial"/>
          <w:szCs w:val="20"/>
          <w:lang w:val="en-US"/>
        </w:rPr>
      </w:pPr>
    </w:p>
    <w:p w14:paraId="41F39C19" w14:textId="5FC2911B" w:rsidR="00B645B5" w:rsidRPr="0098090A" w:rsidRDefault="00B645B5" w:rsidP="00B645B5">
      <w:pPr>
        <w:spacing w:line="276" w:lineRule="auto"/>
        <w:jc w:val="both"/>
        <w:rPr>
          <w:rFonts w:cs="Arial"/>
          <w:b/>
          <w:bCs/>
          <w:szCs w:val="20"/>
          <w:lang w:val="en-US"/>
        </w:rPr>
      </w:pPr>
      <w:r w:rsidRPr="0098090A">
        <w:rPr>
          <w:rFonts w:cs="Arial"/>
          <w:szCs w:val="20"/>
          <w:lang w:val="en-US"/>
        </w:rPr>
        <w:t xml:space="preserve">In that context, the </w:t>
      </w:r>
      <w:r w:rsidR="007942A9">
        <w:rPr>
          <w:rFonts w:cs="Arial"/>
          <w:szCs w:val="20"/>
          <w:lang w:val="en-US"/>
        </w:rPr>
        <w:t>goal</w:t>
      </w:r>
      <w:r w:rsidRPr="0098090A">
        <w:rPr>
          <w:rFonts w:cs="Arial"/>
          <w:szCs w:val="20"/>
          <w:lang w:val="en-US"/>
        </w:rPr>
        <w:t xml:space="preserve"> of assessing the impact of investment in sustainable factors and making it tran</w:t>
      </w:r>
      <w:r w:rsidRPr="0098090A">
        <w:rPr>
          <w:rFonts w:cs="Arial"/>
          <w:szCs w:val="20"/>
          <w:lang w:val="en-US"/>
        </w:rPr>
        <w:t>s</w:t>
      </w:r>
      <w:r w:rsidRPr="0098090A">
        <w:rPr>
          <w:rFonts w:cs="Arial"/>
          <w:szCs w:val="20"/>
          <w:lang w:val="en-US"/>
        </w:rPr>
        <w:t xml:space="preserve">parent is shared. However, </w:t>
      </w:r>
      <w:r w:rsidRPr="0098090A">
        <w:rPr>
          <w:rFonts w:cs="Arial"/>
          <w:b/>
          <w:bCs/>
          <w:szCs w:val="20"/>
          <w:lang w:val="en-US"/>
        </w:rPr>
        <w:t>the lack of common definitions, methodologies and guidelines on how to reflect the impact of investment on sustainability factors, in the current regulatory context, makes it difficult to examine and evaluate these factors and therefore to disclose them.</w:t>
      </w:r>
    </w:p>
    <w:p w14:paraId="39B83C15" w14:textId="77777777" w:rsidR="00B645B5" w:rsidRPr="0098090A" w:rsidRDefault="00B645B5" w:rsidP="00B645B5">
      <w:pPr>
        <w:spacing w:line="276" w:lineRule="auto"/>
        <w:jc w:val="both"/>
        <w:rPr>
          <w:rFonts w:cs="Arial"/>
          <w:b/>
          <w:bCs/>
          <w:szCs w:val="20"/>
          <w:lang w:val="en-US"/>
        </w:rPr>
      </w:pPr>
    </w:p>
    <w:p w14:paraId="6BE5B2AA" w14:textId="77A459B8" w:rsidR="00B645B5" w:rsidRPr="0098090A" w:rsidRDefault="00B645B5" w:rsidP="00B645B5">
      <w:pPr>
        <w:spacing w:line="276" w:lineRule="auto"/>
        <w:jc w:val="both"/>
        <w:rPr>
          <w:rFonts w:eastAsia="MS PGothic" w:cs="Arial"/>
          <w:b/>
          <w:szCs w:val="20"/>
          <w:lang w:val="en-US"/>
        </w:rPr>
      </w:pPr>
      <w:r w:rsidRPr="0098090A">
        <w:rPr>
          <w:rFonts w:cs="Arial"/>
          <w:szCs w:val="20"/>
          <w:lang w:val="en-US"/>
        </w:rPr>
        <w:t xml:space="preserve">The following highlights a number of areas for improvement in sustainable financing regulations and, in particular, the </w:t>
      </w:r>
      <w:r w:rsidR="007942A9">
        <w:rPr>
          <w:rFonts w:cs="Arial"/>
          <w:szCs w:val="20"/>
          <w:lang w:val="en-US"/>
        </w:rPr>
        <w:t>draft RTS</w:t>
      </w:r>
      <w:r w:rsidRPr="0098090A">
        <w:rPr>
          <w:rFonts w:cs="Arial"/>
          <w:szCs w:val="20"/>
          <w:lang w:val="en-US"/>
        </w:rPr>
        <w:t xml:space="preserve"> subject </w:t>
      </w:r>
      <w:r w:rsidR="007942A9">
        <w:rPr>
          <w:rFonts w:cs="Arial"/>
          <w:szCs w:val="20"/>
          <w:lang w:val="en-US"/>
        </w:rPr>
        <w:t>to</w:t>
      </w:r>
      <w:r w:rsidRPr="0098090A">
        <w:rPr>
          <w:rFonts w:cs="Arial"/>
          <w:szCs w:val="20"/>
          <w:lang w:val="en-US"/>
        </w:rPr>
        <w:t xml:space="preserve"> this public consultation:</w:t>
      </w:r>
    </w:p>
    <w:p w14:paraId="66041712" w14:textId="77777777" w:rsidR="00B645B5" w:rsidRPr="0098090A" w:rsidRDefault="00B645B5" w:rsidP="00B645B5">
      <w:pPr>
        <w:spacing w:line="276" w:lineRule="auto"/>
        <w:ind w:left="284"/>
        <w:jc w:val="both"/>
        <w:rPr>
          <w:rFonts w:eastAsia="MS PGothic" w:cs="Arial"/>
          <w:b/>
          <w:szCs w:val="20"/>
          <w:lang w:val="en-US"/>
        </w:rPr>
      </w:pPr>
    </w:p>
    <w:p w14:paraId="45F5FC5C" w14:textId="77777777" w:rsidR="00B645B5" w:rsidRPr="0098090A" w:rsidRDefault="00B645B5" w:rsidP="00B645B5">
      <w:pPr>
        <w:pStyle w:val="Prrafodelista"/>
        <w:numPr>
          <w:ilvl w:val="0"/>
          <w:numId w:val="47"/>
        </w:numPr>
        <w:spacing w:line="276" w:lineRule="auto"/>
        <w:ind w:left="284" w:hanging="284"/>
        <w:jc w:val="both"/>
        <w:rPr>
          <w:rFonts w:cs="Arial"/>
          <w:b/>
          <w:iCs/>
          <w:szCs w:val="20"/>
        </w:rPr>
      </w:pPr>
      <w:r w:rsidRPr="0098090A">
        <w:rPr>
          <w:rFonts w:cs="Arial"/>
          <w:b/>
          <w:iCs/>
          <w:szCs w:val="20"/>
        </w:rPr>
        <w:t>Highly demanding timetable</w:t>
      </w:r>
    </w:p>
    <w:p w14:paraId="405FF554" w14:textId="77777777" w:rsidR="00B645B5" w:rsidRPr="0098090A" w:rsidRDefault="00B645B5" w:rsidP="00B645B5">
      <w:pPr>
        <w:pStyle w:val="Prrafodelista"/>
        <w:spacing w:line="276" w:lineRule="auto"/>
        <w:ind w:left="284"/>
        <w:jc w:val="both"/>
        <w:rPr>
          <w:rFonts w:cs="Arial"/>
          <w:iCs/>
          <w:szCs w:val="20"/>
          <w:lang w:val="en-US"/>
        </w:rPr>
      </w:pPr>
    </w:p>
    <w:p w14:paraId="08DF21B4" w14:textId="7F2A6D85" w:rsidR="00B645B5" w:rsidRPr="0098090A" w:rsidRDefault="00B645B5" w:rsidP="00B645B5">
      <w:pPr>
        <w:pStyle w:val="Prrafodelista"/>
        <w:spacing w:line="276" w:lineRule="auto"/>
        <w:ind w:left="284"/>
        <w:jc w:val="both"/>
        <w:rPr>
          <w:rFonts w:cs="Arial"/>
          <w:iCs/>
          <w:szCs w:val="20"/>
          <w:lang w:val="en-US"/>
        </w:rPr>
      </w:pPr>
      <w:r w:rsidRPr="0098090A">
        <w:rPr>
          <w:rFonts w:cs="Arial"/>
          <w:iCs/>
          <w:szCs w:val="20"/>
          <w:lang w:val="en-US"/>
        </w:rPr>
        <w:t>According to the SFDR, ESAs shall submit draft RTS to specify the content, methodologies and repor</w:t>
      </w:r>
      <w:r w:rsidRPr="0098090A">
        <w:rPr>
          <w:rFonts w:cs="Arial"/>
          <w:iCs/>
          <w:szCs w:val="20"/>
          <w:lang w:val="en-US"/>
        </w:rPr>
        <w:t>t</w:t>
      </w:r>
      <w:r w:rsidRPr="0098090A">
        <w:rPr>
          <w:rFonts w:cs="Arial"/>
          <w:iCs/>
          <w:szCs w:val="20"/>
          <w:lang w:val="en-US"/>
        </w:rPr>
        <w:t xml:space="preserve">ing set out in Articles 2, 4, 8, 9, 10 and 11 of the SFDR, </w:t>
      </w:r>
      <w:r w:rsidRPr="0098090A">
        <w:rPr>
          <w:rFonts w:cs="Arial"/>
          <w:b/>
          <w:bCs/>
          <w:iCs/>
          <w:szCs w:val="20"/>
          <w:lang w:val="en-US"/>
        </w:rPr>
        <w:t>before 30 December 2020.</w:t>
      </w:r>
      <w:r w:rsidRPr="0098090A">
        <w:rPr>
          <w:rFonts w:cs="Arial"/>
          <w:iCs/>
          <w:szCs w:val="20"/>
          <w:lang w:val="en-US"/>
        </w:rPr>
        <w:t xml:space="preserve"> </w:t>
      </w:r>
    </w:p>
    <w:p w14:paraId="731CA66B" w14:textId="77777777" w:rsidR="00B645B5" w:rsidRPr="0098090A" w:rsidRDefault="00B645B5" w:rsidP="00B645B5">
      <w:pPr>
        <w:pStyle w:val="Prrafodelista"/>
        <w:spacing w:line="276" w:lineRule="auto"/>
        <w:ind w:left="284"/>
        <w:jc w:val="both"/>
        <w:rPr>
          <w:rFonts w:cs="Arial"/>
          <w:iCs/>
          <w:szCs w:val="20"/>
          <w:lang w:val="en-US"/>
        </w:rPr>
      </w:pPr>
    </w:p>
    <w:p w14:paraId="2D294145" w14:textId="2912807E" w:rsidR="00B645B5" w:rsidRPr="0098090A" w:rsidRDefault="00B645B5" w:rsidP="00B645B5">
      <w:pPr>
        <w:pStyle w:val="Prrafodelista"/>
        <w:spacing w:line="276" w:lineRule="auto"/>
        <w:ind w:left="284"/>
        <w:jc w:val="both"/>
        <w:rPr>
          <w:rFonts w:cs="Arial"/>
          <w:iCs/>
          <w:szCs w:val="20"/>
          <w:u w:val="single"/>
          <w:lang w:val="en-US"/>
        </w:rPr>
      </w:pPr>
      <w:r w:rsidRPr="0098090A">
        <w:rPr>
          <w:rFonts w:cs="Arial"/>
          <w:iCs/>
          <w:szCs w:val="20"/>
          <w:lang w:val="en-US"/>
        </w:rPr>
        <w:t xml:space="preserve">Given that most of the information obligations set forth in the SFDR will be applicable as of March 10, 2021, </w:t>
      </w:r>
      <w:r w:rsidRPr="0098090A">
        <w:rPr>
          <w:rFonts w:cs="Arial"/>
          <w:iCs/>
          <w:szCs w:val="20"/>
          <w:u w:val="single"/>
          <w:lang w:val="en-US"/>
        </w:rPr>
        <w:t xml:space="preserve">the 3-month implementation period granted to the </w:t>
      </w:r>
      <w:r w:rsidR="007942A9">
        <w:rPr>
          <w:rFonts w:cs="Arial"/>
          <w:iCs/>
          <w:szCs w:val="20"/>
          <w:u w:val="single"/>
          <w:lang w:val="en-US"/>
        </w:rPr>
        <w:t>e</w:t>
      </w:r>
      <w:r w:rsidRPr="0098090A">
        <w:rPr>
          <w:rFonts w:cs="Arial"/>
          <w:iCs/>
          <w:szCs w:val="20"/>
          <w:u w:val="single"/>
          <w:lang w:val="en-US"/>
        </w:rPr>
        <w:t>ntities to adapt to these new disclosure r</w:t>
      </w:r>
      <w:r w:rsidRPr="0098090A">
        <w:rPr>
          <w:rFonts w:cs="Arial"/>
          <w:iCs/>
          <w:szCs w:val="20"/>
          <w:u w:val="single"/>
          <w:lang w:val="en-US"/>
        </w:rPr>
        <w:t>e</w:t>
      </w:r>
      <w:r w:rsidRPr="0098090A">
        <w:rPr>
          <w:rFonts w:cs="Arial"/>
          <w:iCs/>
          <w:szCs w:val="20"/>
          <w:u w:val="single"/>
          <w:lang w:val="en-US"/>
        </w:rPr>
        <w:t>quirements is considered insufficient.</w:t>
      </w:r>
    </w:p>
    <w:p w14:paraId="0E32843C" w14:textId="77777777" w:rsidR="007942A9" w:rsidRDefault="007942A9" w:rsidP="00B645B5">
      <w:pPr>
        <w:pStyle w:val="Prrafodelista"/>
        <w:spacing w:line="276" w:lineRule="auto"/>
        <w:ind w:left="284"/>
        <w:jc w:val="both"/>
        <w:rPr>
          <w:rFonts w:cs="Arial"/>
          <w:iCs/>
          <w:szCs w:val="20"/>
          <w:lang w:val="en-US"/>
        </w:rPr>
      </w:pPr>
    </w:p>
    <w:p w14:paraId="22B9CB36" w14:textId="1FBA59A6" w:rsidR="00B645B5" w:rsidRPr="0098090A" w:rsidRDefault="00B645B5" w:rsidP="00B645B5">
      <w:pPr>
        <w:pStyle w:val="Prrafodelista"/>
        <w:spacing w:line="276" w:lineRule="auto"/>
        <w:ind w:left="284"/>
        <w:jc w:val="both"/>
        <w:rPr>
          <w:rFonts w:cs="Arial"/>
          <w:b/>
          <w:iCs/>
          <w:szCs w:val="20"/>
          <w:lang w:val="en-US"/>
        </w:rPr>
      </w:pPr>
      <w:r w:rsidRPr="0098090A">
        <w:rPr>
          <w:rFonts w:cs="Arial"/>
          <w:iCs/>
          <w:szCs w:val="20"/>
          <w:lang w:val="en-US"/>
        </w:rPr>
        <w:t xml:space="preserve">If, in addition, </w:t>
      </w:r>
      <w:r w:rsidRPr="0098090A">
        <w:rPr>
          <w:rFonts w:cs="Arial"/>
          <w:iCs/>
          <w:szCs w:val="20"/>
          <w:u w:val="single"/>
          <w:lang w:val="en-US"/>
        </w:rPr>
        <w:t>the communication from the President of the ESAs to the European Commission</w:t>
      </w:r>
      <w:r w:rsidRPr="0098090A">
        <w:rPr>
          <w:rFonts w:cs="Arial"/>
          <w:iCs/>
          <w:szCs w:val="20"/>
          <w:lang w:val="en-US"/>
        </w:rPr>
        <w:t xml:space="preserve"> is </w:t>
      </w:r>
      <w:r w:rsidR="007942A9">
        <w:rPr>
          <w:rFonts w:cs="Arial"/>
          <w:iCs/>
          <w:szCs w:val="20"/>
          <w:lang w:val="en-US"/>
        </w:rPr>
        <w:t>co</w:t>
      </w:r>
      <w:r w:rsidR="007942A9">
        <w:rPr>
          <w:rFonts w:cs="Arial"/>
          <w:iCs/>
          <w:szCs w:val="20"/>
          <w:lang w:val="en-US"/>
        </w:rPr>
        <w:t>n</w:t>
      </w:r>
      <w:r w:rsidR="007942A9">
        <w:rPr>
          <w:rFonts w:cs="Arial"/>
          <w:iCs/>
          <w:szCs w:val="20"/>
          <w:lang w:val="en-US"/>
        </w:rPr>
        <w:t>sidered</w:t>
      </w:r>
      <w:r w:rsidRPr="0098090A">
        <w:rPr>
          <w:rFonts w:cs="Arial"/>
          <w:iCs/>
          <w:szCs w:val="20"/>
          <w:lang w:val="en-US"/>
        </w:rPr>
        <w:t>, this circumstance should be taken into account and the date of application of these obligations should be deferred in order to facilitate a phased adaptation within reasonable deadlines</w:t>
      </w:r>
      <w:r w:rsidRPr="0098090A">
        <w:rPr>
          <w:rStyle w:val="Refdenotaalpie"/>
          <w:rFonts w:cs="Arial"/>
          <w:color w:val="000000" w:themeColor="text1"/>
          <w:szCs w:val="20"/>
        </w:rPr>
        <w:footnoteReference w:id="3"/>
      </w:r>
      <w:r w:rsidRPr="0098090A">
        <w:rPr>
          <w:rFonts w:cs="Arial"/>
          <w:iCs/>
          <w:szCs w:val="20"/>
          <w:lang w:val="en-US"/>
        </w:rPr>
        <w:t>.</w:t>
      </w:r>
    </w:p>
    <w:p w14:paraId="4CB5939C" w14:textId="77777777" w:rsidR="00B645B5" w:rsidRPr="0098090A" w:rsidRDefault="00B645B5" w:rsidP="00B645B5">
      <w:pPr>
        <w:pStyle w:val="Prrafodelista"/>
        <w:spacing w:line="276" w:lineRule="auto"/>
        <w:ind w:left="360"/>
        <w:jc w:val="both"/>
        <w:rPr>
          <w:rFonts w:cs="Arial"/>
          <w:b/>
          <w:iCs/>
          <w:szCs w:val="20"/>
          <w:lang w:val="en-US"/>
        </w:rPr>
      </w:pPr>
    </w:p>
    <w:p w14:paraId="6CEC9BF7" w14:textId="77777777" w:rsidR="00B645B5" w:rsidRPr="0098090A" w:rsidRDefault="00B645B5" w:rsidP="007942A9">
      <w:pPr>
        <w:pStyle w:val="Prrafodelista"/>
        <w:spacing w:line="276" w:lineRule="auto"/>
        <w:ind w:left="284"/>
        <w:jc w:val="both"/>
        <w:rPr>
          <w:rFonts w:cs="Arial"/>
          <w:b/>
          <w:iCs/>
          <w:szCs w:val="20"/>
          <w:u w:val="single"/>
          <w:lang w:val="en-US"/>
        </w:rPr>
      </w:pPr>
      <w:r w:rsidRPr="0098090A">
        <w:rPr>
          <w:rFonts w:cs="Arial"/>
          <w:bCs/>
          <w:iCs/>
          <w:szCs w:val="20"/>
          <w:lang w:val="en-US"/>
        </w:rPr>
        <w:t xml:space="preserve">Given the strategic importance and objectives of the ESG Plan, </w:t>
      </w:r>
      <w:r w:rsidRPr="0098090A">
        <w:rPr>
          <w:rFonts w:cs="Arial"/>
          <w:bCs/>
          <w:iCs/>
          <w:szCs w:val="20"/>
          <w:u w:val="single"/>
          <w:lang w:val="en-US"/>
        </w:rPr>
        <w:t>a reasonable implementation schedule with previously approved definitions, methodologies and guidelines is more than justified.</w:t>
      </w:r>
    </w:p>
    <w:p w14:paraId="4C2839D5" w14:textId="77777777" w:rsidR="00B645B5" w:rsidRPr="0098090A" w:rsidRDefault="00B645B5" w:rsidP="00B645B5">
      <w:pPr>
        <w:pStyle w:val="Prrafodelista"/>
        <w:spacing w:line="276" w:lineRule="auto"/>
        <w:ind w:left="360"/>
        <w:jc w:val="both"/>
        <w:rPr>
          <w:rFonts w:cs="Arial"/>
          <w:b/>
          <w:iCs/>
          <w:szCs w:val="20"/>
          <w:lang w:val="en-US"/>
        </w:rPr>
      </w:pPr>
    </w:p>
    <w:p w14:paraId="74651BC0" w14:textId="77777777" w:rsidR="007942A9" w:rsidRDefault="007942A9">
      <w:pPr>
        <w:rPr>
          <w:rFonts w:cs="Arial"/>
          <w:b/>
          <w:iCs/>
          <w:szCs w:val="20"/>
          <w:lang w:val="en-US"/>
        </w:rPr>
      </w:pPr>
      <w:r>
        <w:rPr>
          <w:rFonts w:cs="Arial"/>
          <w:b/>
          <w:iCs/>
          <w:szCs w:val="20"/>
          <w:lang w:val="en-US"/>
        </w:rPr>
        <w:br w:type="page"/>
      </w:r>
    </w:p>
    <w:p w14:paraId="3E3F77D2" w14:textId="4B0E0866" w:rsidR="00B645B5" w:rsidRPr="0098090A" w:rsidRDefault="00B645B5" w:rsidP="00B645B5">
      <w:pPr>
        <w:pStyle w:val="Prrafodelista"/>
        <w:numPr>
          <w:ilvl w:val="0"/>
          <w:numId w:val="47"/>
        </w:numPr>
        <w:spacing w:line="276" w:lineRule="auto"/>
        <w:ind w:left="284" w:hanging="284"/>
        <w:jc w:val="both"/>
        <w:rPr>
          <w:rFonts w:cs="Arial"/>
          <w:b/>
          <w:iCs/>
          <w:szCs w:val="20"/>
          <w:lang w:val="en-US"/>
        </w:rPr>
      </w:pPr>
      <w:r w:rsidRPr="0098090A">
        <w:rPr>
          <w:rFonts w:cs="Arial"/>
          <w:b/>
          <w:iCs/>
          <w:szCs w:val="20"/>
          <w:lang w:val="en-US"/>
        </w:rPr>
        <w:lastRenderedPageBreak/>
        <w:t>Difficulty in obtaining the required information</w:t>
      </w:r>
    </w:p>
    <w:p w14:paraId="57F33D26" w14:textId="77777777" w:rsidR="007942A9" w:rsidRDefault="007942A9" w:rsidP="00B645B5">
      <w:pPr>
        <w:spacing w:line="276" w:lineRule="auto"/>
        <w:ind w:left="284"/>
        <w:jc w:val="both"/>
        <w:rPr>
          <w:rFonts w:cs="Arial"/>
          <w:iCs/>
          <w:szCs w:val="20"/>
          <w:lang w:val="en-US"/>
        </w:rPr>
      </w:pPr>
    </w:p>
    <w:p w14:paraId="23E48C28" w14:textId="65E687C3" w:rsidR="00B645B5" w:rsidRPr="0098090A" w:rsidRDefault="00B645B5" w:rsidP="00B645B5">
      <w:pPr>
        <w:spacing w:line="276" w:lineRule="auto"/>
        <w:ind w:left="284"/>
        <w:jc w:val="both"/>
        <w:rPr>
          <w:rFonts w:cs="Arial"/>
          <w:szCs w:val="20"/>
          <w:lang w:val="en-US"/>
        </w:rPr>
      </w:pPr>
      <w:r w:rsidRPr="0098090A">
        <w:rPr>
          <w:rFonts w:cs="Arial"/>
          <w:iCs/>
          <w:szCs w:val="20"/>
          <w:lang w:val="en-US"/>
        </w:rPr>
        <w:t xml:space="preserve">At present, </w:t>
      </w:r>
      <w:r w:rsidRPr="0098090A">
        <w:rPr>
          <w:rFonts w:cs="Arial"/>
          <w:iCs/>
          <w:szCs w:val="20"/>
          <w:u w:val="single"/>
          <w:lang w:val="en-US"/>
        </w:rPr>
        <w:t>data related to ESG factors are not easily accessible, which will mean that</w:t>
      </w:r>
      <w:r w:rsidRPr="0098090A">
        <w:rPr>
          <w:rFonts w:cs="Arial"/>
          <w:iCs/>
          <w:szCs w:val="20"/>
          <w:lang w:val="en-US"/>
        </w:rPr>
        <w:t xml:space="preserve">, in most cases, Entities will have </w:t>
      </w:r>
      <w:r w:rsidRPr="0098090A">
        <w:rPr>
          <w:rFonts w:cs="Arial"/>
          <w:iCs/>
          <w:szCs w:val="20"/>
          <w:u w:val="single"/>
          <w:lang w:val="en-US"/>
        </w:rPr>
        <w:t>to resort to external providers</w:t>
      </w:r>
      <w:r w:rsidRPr="0098090A">
        <w:rPr>
          <w:rFonts w:cs="Arial"/>
          <w:iCs/>
          <w:szCs w:val="20"/>
          <w:lang w:val="en-US"/>
        </w:rPr>
        <w:t xml:space="preserve"> in order to comply with the disclosure obligations pr</w:t>
      </w:r>
      <w:r w:rsidRPr="0098090A">
        <w:rPr>
          <w:rFonts w:cs="Arial"/>
          <w:iCs/>
          <w:szCs w:val="20"/>
          <w:lang w:val="en-US"/>
        </w:rPr>
        <w:t>o</w:t>
      </w:r>
      <w:r w:rsidRPr="0098090A">
        <w:rPr>
          <w:rFonts w:cs="Arial"/>
          <w:iCs/>
          <w:szCs w:val="20"/>
          <w:lang w:val="en-US"/>
        </w:rPr>
        <w:t>posed in the draft STR, which is not the desirable situation.</w:t>
      </w:r>
      <w:r w:rsidRPr="0098090A">
        <w:rPr>
          <w:rFonts w:cs="Arial"/>
          <w:szCs w:val="20"/>
          <w:lang w:val="en-US"/>
        </w:rPr>
        <w:t xml:space="preserve"> </w:t>
      </w:r>
    </w:p>
    <w:p w14:paraId="11E19E58" w14:textId="77777777" w:rsidR="00B645B5" w:rsidRPr="0098090A" w:rsidRDefault="00B645B5" w:rsidP="00B645B5">
      <w:pPr>
        <w:spacing w:line="276" w:lineRule="auto"/>
        <w:ind w:left="284"/>
        <w:jc w:val="both"/>
        <w:rPr>
          <w:rFonts w:cs="Arial"/>
          <w:szCs w:val="20"/>
          <w:lang w:val="en-US"/>
        </w:rPr>
      </w:pPr>
    </w:p>
    <w:p w14:paraId="17845835" w14:textId="16A86678" w:rsidR="00B645B5" w:rsidRPr="0098090A" w:rsidRDefault="00B645B5" w:rsidP="00B645B5">
      <w:pPr>
        <w:spacing w:line="276" w:lineRule="auto"/>
        <w:ind w:left="284"/>
        <w:jc w:val="both"/>
        <w:rPr>
          <w:rFonts w:cs="Arial"/>
          <w:szCs w:val="20"/>
          <w:lang w:val="en-US"/>
        </w:rPr>
      </w:pPr>
      <w:r w:rsidRPr="0098090A">
        <w:rPr>
          <w:rFonts w:cs="Arial"/>
          <w:szCs w:val="20"/>
          <w:lang w:val="en-US"/>
        </w:rPr>
        <w:t xml:space="preserve">The need to "buy" data from external providers may result in </w:t>
      </w:r>
      <w:r w:rsidRPr="0098090A">
        <w:rPr>
          <w:rFonts w:cs="Arial"/>
          <w:szCs w:val="20"/>
          <w:u w:val="single"/>
          <w:lang w:val="en-US"/>
        </w:rPr>
        <w:t>competitive disadvantages</w:t>
      </w:r>
      <w:r w:rsidRPr="0098090A">
        <w:rPr>
          <w:rFonts w:cs="Arial"/>
          <w:szCs w:val="20"/>
          <w:lang w:val="en-US"/>
        </w:rPr>
        <w:t xml:space="preserve"> </w:t>
      </w:r>
      <w:proofErr w:type="spellStart"/>
      <w:r w:rsidRPr="0098090A">
        <w:rPr>
          <w:rFonts w:cs="Arial"/>
          <w:szCs w:val="20"/>
          <w:lang w:val="en-US"/>
        </w:rPr>
        <w:t>favouring</w:t>
      </w:r>
      <w:proofErr w:type="spellEnd"/>
      <w:r w:rsidRPr="0098090A">
        <w:rPr>
          <w:rFonts w:cs="Arial"/>
          <w:szCs w:val="20"/>
          <w:lang w:val="en-US"/>
        </w:rPr>
        <w:t xml:space="preserve"> the </w:t>
      </w:r>
      <w:r w:rsidR="002759B3" w:rsidRPr="0098090A">
        <w:rPr>
          <w:rFonts w:cs="Arial"/>
          <w:szCs w:val="20"/>
          <w:lang w:val="en-US"/>
        </w:rPr>
        <w:t>biggest players</w:t>
      </w:r>
      <w:r w:rsidRPr="0098090A">
        <w:rPr>
          <w:rFonts w:cs="Arial"/>
          <w:szCs w:val="20"/>
          <w:lang w:val="en-US"/>
        </w:rPr>
        <w:t xml:space="preserve">, which would not comply with the principle of proportionality. In any case, the high data requirement that </w:t>
      </w:r>
      <w:r w:rsidR="007942A9">
        <w:rPr>
          <w:rFonts w:cs="Arial"/>
          <w:szCs w:val="20"/>
          <w:lang w:val="en-US"/>
        </w:rPr>
        <w:t>implies</w:t>
      </w:r>
      <w:r w:rsidRPr="0098090A">
        <w:rPr>
          <w:rFonts w:cs="Arial"/>
          <w:szCs w:val="20"/>
          <w:lang w:val="en-US"/>
        </w:rPr>
        <w:t xml:space="preserve"> the use of adverse </w:t>
      </w:r>
      <w:r w:rsidR="002759B3" w:rsidRPr="0098090A">
        <w:rPr>
          <w:rFonts w:cs="Arial"/>
          <w:szCs w:val="20"/>
          <w:lang w:val="en-US"/>
        </w:rPr>
        <w:t>impact</w:t>
      </w:r>
      <w:r w:rsidRPr="0098090A">
        <w:rPr>
          <w:rFonts w:cs="Arial"/>
          <w:szCs w:val="20"/>
          <w:lang w:val="en-US"/>
        </w:rPr>
        <w:t xml:space="preserve"> indicators and their reporting could lead to pro</w:t>
      </w:r>
      <w:r w:rsidRPr="0098090A">
        <w:rPr>
          <w:rFonts w:cs="Arial"/>
          <w:szCs w:val="20"/>
          <w:lang w:val="en-US"/>
        </w:rPr>
        <w:t>b</w:t>
      </w:r>
      <w:r w:rsidRPr="0098090A">
        <w:rPr>
          <w:rFonts w:cs="Arial"/>
          <w:szCs w:val="20"/>
          <w:lang w:val="en-US"/>
        </w:rPr>
        <w:t xml:space="preserve">lems of availability and coverage of data on </w:t>
      </w:r>
      <w:r w:rsidRPr="0098090A">
        <w:rPr>
          <w:rFonts w:cs="Arial"/>
          <w:szCs w:val="20"/>
          <w:u w:val="single"/>
          <w:lang w:val="en-US"/>
        </w:rPr>
        <w:t>non-EU companies</w:t>
      </w:r>
      <w:r w:rsidRPr="0098090A">
        <w:rPr>
          <w:rFonts w:cs="Arial"/>
          <w:szCs w:val="20"/>
          <w:lang w:val="en-US"/>
        </w:rPr>
        <w:t xml:space="preserve"> (the Non-Financial Reporting Directive (NFRD), obliges only EU companies).</w:t>
      </w:r>
    </w:p>
    <w:p w14:paraId="4B38B29C" w14:textId="77777777" w:rsidR="00B645B5" w:rsidRPr="0098090A" w:rsidRDefault="00B645B5" w:rsidP="00B645B5">
      <w:pPr>
        <w:spacing w:line="276" w:lineRule="auto"/>
        <w:ind w:left="284"/>
        <w:jc w:val="both"/>
        <w:rPr>
          <w:rFonts w:cs="Arial"/>
          <w:szCs w:val="20"/>
          <w:lang w:val="en-US"/>
        </w:rPr>
      </w:pPr>
    </w:p>
    <w:p w14:paraId="5928DDD7" w14:textId="0493C800" w:rsidR="00B645B5" w:rsidRPr="0098090A" w:rsidRDefault="00B645B5" w:rsidP="00B645B5">
      <w:pPr>
        <w:spacing w:line="276" w:lineRule="auto"/>
        <w:ind w:left="284"/>
        <w:jc w:val="both"/>
        <w:rPr>
          <w:rFonts w:cs="Arial"/>
          <w:szCs w:val="20"/>
          <w:lang w:val="en-US"/>
        </w:rPr>
      </w:pPr>
      <w:r w:rsidRPr="0098090A">
        <w:rPr>
          <w:rFonts w:cs="Arial"/>
          <w:szCs w:val="20"/>
          <w:lang w:val="en-US"/>
        </w:rPr>
        <w:t xml:space="preserve">Also, </w:t>
      </w:r>
      <w:r w:rsidRPr="0098090A">
        <w:rPr>
          <w:rFonts w:cs="Arial"/>
          <w:szCs w:val="20"/>
          <w:u w:val="single"/>
          <w:lang w:val="en-US"/>
        </w:rPr>
        <w:t>many of the indicators to which STRs refer do not have a single form of measurement.</w:t>
      </w:r>
      <w:r w:rsidRPr="0098090A">
        <w:rPr>
          <w:rFonts w:cs="Arial"/>
          <w:szCs w:val="20"/>
          <w:lang w:val="en-US"/>
        </w:rPr>
        <w:t xml:space="preserve"> In fact, according to </w:t>
      </w:r>
      <w:r w:rsidR="002759B3" w:rsidRPr="0098090A">
        <w:rPr>
          <w:rFonts w:cs="Arial"/>
          <w:szCs w:val="20"/>
          <w:lang w:val="en-US"/>
        </w:rPr>
        <w:t>a</w:t>
      </w:r>
      <w:r w:rsidRPr="0098090A">
        <w:rPr>
          <w:rFonts w:cs="Arial"/>
          <w:szCs w:val="20"/>
          <w:lang w:val="en-US"/>
        </w:rPr>
        <w:t xml:space="preserve"> recent </w:t>
      </w:r>
      <w:r w:rsidR="002759B3" w:rsidRPr="0098090A">
        <w:rPr>
          <w:rFonts w:cs="Arial"/>
          <w:szCs w:val="20"/>
          <w:lang w:val="en-US"/>
        </w:rPr>
        <w:t>survey</w:t>
      </w:r>
      <w:r w:rsidRPr="0098090A">
        <w:rPr>
          <w:rStyle w:val="Refdenotaalpie"/>
          <w:rFonts w:eastAsia="Calibri" w:cs="Arial"/>
          <w:szCs w:val="20"/>
        </w:rPr>
        <w:footnoteReference w:id="4"/>
      </w:r>
      <w:r w:rsidR="002759B3" w:rsidRPr="0098090A">
        <w:rPr>
          <w:rFonts w:cs="Arial"/>
          <w:szCs w:val="20"/>
          <w:lang w:val="en-US"/>
        </w:rPr>
        <w:t xml:space="preserve"> on </w:t>
      </w:r>
      <w:proofErr w:type="spellStart"/>
      <w:r w:rsidR="002759B3" w:rsidRPr="0098090A">
        <w:rPr>
          <w:rFonts w:cs="Arial"/>
          <w:szCs w:val="20"/>
          <w:lang w:val="en-US"/>
        </w:rPr>
        <w:t>non financial</w:t>
      </w:r>
      <w:proofErr w:type="spellEnd"/>
      <w:r w:rsidR="002759B3" w:rsidRPr="0098090A">
        <w:rPr>
          <w:rFonts w:cs="Arial"/>
          <w:szCs w:val="20"/>
          <w:lang w:val="en-US"/>
        </w:rPr>
        <w:t xml:space="preserve"> information of IBEX-35 companies</w:t>
      </w:r>
      <w:r w:rsidRPr="0098090A">
        <w:rPr>
          <w:rFonts w:cs="Arial"/>
          <w:szCs w:val="20"/>
          <w:lang w:val="en-US"/>
        </w:rPr>
        <w:t>, 98 per cent of qua</w:t>
      </w:r>
      <w:r w:rsidRPr="0098090A">
        <w:rPr>
          <w:rFonts w:cs="Arial"/>
          <w:szCs w:val="20"/>
          <w:lang w:val="en-US"/>
        </w:rPr>
        <w:t>n</w:t>
      </w:r>
      <w:r w:rsidRPr="0098090A">
        <w:rPr>
          <w:rFonts w:cs="Arial"/>
          <w:szCs w:val="20"/>
          <w:lang w:val="en-US"/>
        </w:rPr>
        <w:t xml:space="preserve">titative indicators have more than one way of being measured and some, such as energy consumption (indicators 5-8 in Table 1) or </w:t>
      </w:r>
      <w:r w:rsidR="002759B3" w:rsidRPr="0098090A">
        <w:rPr>
          <w:rFonts w:cs="Arial"/>
          <w:szCs w:val="20"/>
          <w:lang w:val="en-US"/>
        </w:rPr>
        <w:t>gender pay gap</w:t>
      </w:r>
      <w:r w:rsidRPr="0098090A">
        <w:rPr>
          <w:rFonts w:cs="Arial"/>
          <w:szCs w:val="20"/>
          <w:lang w:val="en-US"/>
        </w:rPr>
        <w:t xml:space="preserve"> (indicator 18 in Table 1) have, in practice, up to 10 and 9 different metrics, respectively.</w:t>
      </w:r>
    </w:p>
    <w:p w14:paraId="0FD372C6" w14:textId="77777777" w:rsidR="00B645B5" w:rsidRPr="0098090A" w:rsidRDefault="00B645B5" w:rsidP="00B645B5">
      <w:pPr>
        <w:spacing w:line="276" w:lineRule="auto"/>
        <w:ind w:left="284"/>
        <w:jc w:val="both"/>
        <w:rPr>
          <w:rFonts w:cs="Arial"/>
          <w:color w:val="000000" w:themeColor="text1"/>
          <w:szCs w:val="20"/>
          <w:lang w:val="en-US"/>
        </w:rPr>
      </w:pPr>
    </w:p>
    <w:p w14:paraId="3DE6DE76" w14:textId="423B149E" w:rsidR="00B645B5" w:rsidRPr="0098090A" w:rsidRDefault="002759B3" w:rsidP="00B645B5">
      <w:pPr>
        <w:pStyle w:val="Prrafodelista"/>
        <w:spacing w:line="276" w:lineRule="auto"/>
        <w:ind w:left="284"/>
        <w:jc w:val="both"/>
        <w:rPr>
          <w:rFonts w:cs="Arial"/>
          <w:szCs w:val="20"/>
          <w:lang w:val="en-US"/>
        </w:rPr>
      </w:pPr>
      <w:r w:rsidRPr="0098090A">
        <w:rPr>
          <w:rFonts w:cs="Arial"/>
          <w:szCs w:val="20"/>
          <w:lang w:val="en-US"/>
        </w:rPr>
        <w:t xml:space="preserve">Although </w:t>
      </w:r>
      <w:r w:rsidR="00B645B5" w:rsidRPr="0098090A">
        <w:rPr>
          <w:rFonts w:cs="Arial"/>
          <w:szCs w:val="20"/>
          <w:u w:val="single"/>
          <w:lang w:val="en-US"/>
        </w:rPr>
        <w:t>Non-Financial Reporting Directive (NFRD) is being revised to extend the scope of companies that must provide information</w:t>
      </w:r>
      <w:proofErr w:type="gramStart"/>
      <w:r w:rsidRPr="0098090A">
        <w:rPr>
          <w:rFonts w:cs="Arial"/>
          <w:szCs w:val="20"/>
          <w:u w:val="single"/>
          <w:lang w:val="en-US"/>
        </w:rPr>
        <w:t xml:space="preserve">, </w:t>
      </w:r>
      <w:r w:rsidR="00B645B5" w:rsidRPr="0098090A">
        <w:rPr>
          <w:rFonts w:cs="Arial"/>
          <w:szCs w:val="20"/>
          <w:lang w:val="en-US"/>
        </w:rPr>
        <w:t xml:space="preserve"> it</w:t>
      </w:r>
      <w:proofErr w:type="gramEnd"/>
      <w:r w:rsidR="00B645B5" w:rsidRPr="0098090A">
        <w:rPr>
          <w:rFonts w:cs="Arial"/>
          <w:szCs w:val="20"/>
          <w:lang w:val="en-US"/>
        </w:rPr>
        <w:t xml:space="preserve"> is likely that at least two or three years will pass before reliable and comparable company data </w:t>
      </w:r>
      <w:r w:rsidRPr="0098090A">
        <w:rPr>
          <w:rFonts w:cs="Arial"/>
          <w:szCs w:val="20"/>
          <w:lang w:val="en-US"/>
        </w:rPr>
        <w:t>are available</w:t>
      </w:r>
      <w:r w:rsidR="00B645B5" w:rsidRPr="0098090A">
        <w:rPr>
          <w:rFonts w:cs="Arial"/>
          <w:szCs w:val="20"/>
          <w:lang w:val="en-US"/>
        </w:rPr>
        <w:t xml:space="preserve">. </w:t>
      </w:r>
      <w:r w:rsidR="00B645B5" w:rsidRPr="0098090A">
        <w:rPr>
          <w:rFonts w:cs="Arial"/>
          <w:szCs w:val="20"/>
          <w:u w:val="single"/>
          <w:lang w:val="en-US"/>
        </w:rPr>
        <w:t>Until that time, much of the data from external suppliers will be based on estimates</w:t>
      </w:r>
      <w:r w:rsidR="00B645B5" w:rsidRPr="0098090A">
        <w:rPr>
          <w:rFonts w:cs="Arial"/>
          <w:szCs w:val="20"/>
          <w:lang w:val="en-US"/>
        </w:rPr>
        <w:t xml:space="preserve"> and therefore have limited reliability.</w:t>
      </w:r>
    </w:p>
    <w:p w14:paraId="5CF1281C" w14:textId="77777777" w:rsidR="00B645B5" w:rsidRPr="0098090A" w:rsidRDefault="00B645B5" w:rsidP="00B645B5">
      <w:pPr>
        <w:pStyle w:val="Prrafodelista"/>
        <w:spacing w:line="276" w:lineRule="auto"/>
        <w:ind w:left="284"/>
        <w:jc w:val="both"/>
        <w:rPr>
          <w:rFonts w:cs="Arial"/>
          <w:iCs/>
          <w:szCs w:val="20"/>
          <w:lang w:val="en-US"/>
        </w:rPr>
      </w:pPr>
    </w:p>
    <w:p w14:paraId="2A9CB2CF" w14:textId="78E3B3DE" w:rsidR="00B645B5" w:rsidRPr="0098090A" w:rsidRDefault="00B645B5" w:rsidP="00B645B5">
      <w:pPr>
        <w:pStyle w:val="Prrafodelista"/>
        <w:spacing w:line="276" w:lineRule="auto"/>
        <w:ind w:left="360"/>
        <w:jc w:val="both"/>
        <w:rPr>
          <w:rFonts w:cs="Arial"/>
          <w:iCs/>
          <w:color w:val="000000"/>
          <w:szCs w:val="20"/>
          <w:lang w:val="en-US" w:eastAsia="en-US"/>
        </w:rPr>
      </w:pPr>
      <w:r w:rsidRPr="0098090A">
        <w:rPr>
          <w:rFonts w:cs="Arial"/>
          <w:iCs/>
          <w:szCs w:val="20"/>
          <w:lang w:val="en-US"/>
        </w:rPr>
        <w:t xml:space="preserve">A proposal has recently emerged from different European financial federations for the creation of a </w:t>
      </w:r>
      <w:r w:rsidRPr="0098090A">
        <w:rPr>
          <w:rFonts w:cs="Arial"/>
          <w:iCs/>
          <w:szCs w:val="20"/>
          <w:u w:val="single"/>
          <w:lang w:val="en-US"/>
        </w:rPr>
        <w:t>centrali</w:t>
      </w:r>
      <w:r w:rsidR="002759B3" w:rsidRPr="0098090A">
        <w:rPr>
          <w:rFonts w:cs="Arial"/>
          <w:iCs/>
          <w:szCs w:val="20"/>
          <w:u w:val="single"/>
          <w:lang w:val="en-US"/>
        </w:rPr>
        <w:t>z</w:t>
      </w:r>
      <w:r w:rsidRPr="0098090A">
        <w:rPr>
          <w:rFonts w:cs="Arial"/>
          <w:iCs/>
          <w:szCs w:val="20"/>
          <w:u w:val="single"/>
          <w:lang w:val="en-US"/>
        </w:rPr>
        <w:t>ed European register of ESG data</w:t>
      </w:r>
      <w:r w:rsidRPr="0098090A">
        <w:rPr>
          <w:rFonts w:cs="Arial"/>
          <w:iCs/>
          <w:szCs w:val="20"/>
          <w:lang w:val="en-US"/>
        </w:rPr>
        <w:t>, in order to be able to comply, among other regulatory d</w:t>
      </w:r>
      <w:r w:rsidRPr="0098090A">
        <w:rPr>
          <w:rFonts w:cs="Arial"/>
          <w:iCs/>
          <w:szCs w:val="20"/>
          <w:lang w:val="en-US"/>
        </w:rPr>
        <w:t>e</w:t>
      </w:r>
      <w:r w:rsidRPr="0098090A">
        <w:rPr>
          <w:rFonts w:cs="Arial"/>
          <w:iCs/>
          <w:szCs w:val="20"/>
          <w:lang w:val="en-US"/>
        </w:rPr>
        <w:t>velopments, with the provisions of the SFDR. Such a register, in addition to presenting more harm</w:t>
      </w:r>
      <w:r w:rsidRPr="0098090A">
        <w:rPr>
          <w:rFonts w:cs="Arial"/>
          <w:iCs/>
          <w:szCs w:val="20"/>
          <w:lang w:val="en-US"/>
        </w:rPr>
        <w:t>o</w:t>
      </w:r>
      <w:r w:rsidRPr="0098090A">
        <w:rPr>
          <w:rFonts w:cs="Arial"/>
          <w:iCs/>
          <w:szCs w:val="20"/>
          <w:lang w:val="en-US"/>
        </w:rPr>
        <w:t>ni</w:t>
      </w:r>
      <w:r w:rsidR="002759B3" w:rsidRPr="0098090A">
        <w:rPr>
          <w:rFonts w:cs="Arial"/>
          <w:iCs/>
          <w:szCs w:val="20"/>
          <w:lang w:val="en-US"/>
        </w:rPr>
        <w:t>z</w:t>
      </w:r>
      <w:r w:rsidRPr="0098090A">
        <w:rPr>
          <w:rFonts w:cs="Arial"/>
          <w:iCs/>
          <w:szCs w:val="20"/>
          <w:lang w:val="en-US"/>
        </w:rPr>
        <w:t xml:space="preserve">ed and comparable information, would </w:t>
      </w:r>
      <w:r w:rsidR="002759B3" w:rsidRPr="0098090A">
        <w:rPr>
          <w:rFonts w:cs="Arial"/>
          <w:iCs/>
          <w:szCs w:val="20"/>
          <w:lang w:val="en-US"/>
        </w:rPr>
        <w:t xml:space="preserve">be very much welcome as it would </w:t>
      </w:r>
      <w:r w:rsidRPr="0098090A">
        <w:rPr>
          <w:rFonts w:cs="Arial"/>
          <w:iCs/>
          <w:szCs w:val="20"/>
          <w:lang w:val="en-US"/>
        </w:rPr>
        <w:t>facilitate access and mi</w:t>
      </w:r>
      <w:r w:rsidRPr="0098090A">
        <w:rPr>
          <w:rFonts w:cs="Arial"/>
          <w:iCs/>
          <w:szCs w:val="20"/>
          <w:lang w:val="en-US"/>
        </w:rPr>
        <w:t>n</w:t>
      </w:r>
      <w:r w:rsidRPr="0098090A">
        <w:rPr>
          <w:rFonts w:cs="Arial"/>
          <w:iCs/>
          <w:szCs w:val="20"/>
          <w:lang w:val="en-US"/>
        </w:rPr>
        <w:t>imi</w:t>
      </w:r>
      <w:r w:rsidR="002759B3" w:rsidRPr="0098090A">
        <w:rPr>
          <w:rFonts w:cs="Arial"/>
          <w:iCs/>
          <w:szCs w:val="20"/>
          <w:lang w:val="en-US"/>
        </w:rPr>
        <w:t>z</w:t>
      </w:r>
      <w:r w:rsidRPr="0098090A">
        <w:rPr>
          <w:rFonts w:cs="Arial"/>
          <w:iCs/>
          <w:szCs w:val="20"/>
          <w:lang w:val="en-US"/>
        </w:rPr>
        <w:t>e the cost of implementation for financial market participants.</w:t>
      </w:r>
    </w:p>
    <w:p w14:paraId="5884739C" w14:textId="77777777" w:rsidR="00B645B5" w:rsidRPr="0098090A" w:rsidRDefault="00B645B5" w:rsidP="00B645B5">
      <w:pPr>
        <w:pStyle w:val="Prrafodelista"/>
        <w:spacing w:line="276" w:lineRule="auto"/>
        <w:ind w:left="360"/>
        <w:jc w:val="both"/>
        <w:rPr>
          <w:rFonts w:cs="Arial"/>
          <w:iCs/>
          <w:color w:val="000000"/>
          <w:szCs w:val="20"/>
          <w:lang w:val="en-US" w:eastAsia="en-US"/>
        </w:rPr>
      </w:pPr>
      <w:r w:rsidRPr="0098090A">
        <w:rPr>
          <w:rFonts w:cs="Arial"/>
          <w:iCs/>
          <w:color w:val="000000"/>
          <w:szCs w:val="20"/>
          <w:lang w:val="en-US" w:eastAsia="en-US"/>
        </w:rPr>
        <w:t xml:space="preserve"> </w:t>
      </w:r>
    </w:p>
    <w:p w14:paraId="6C53FB4A" w14:textId="556FC1B7" w:rsidR="00B645B5" w:rsidRDefault="00B645B5" w:rsidP="00B645B5">
      <w:pPr>
        <w:pStyle w:val="Prrafodelista"/>
        <w:numPr>
          <w:ilvl w:val="0"/>
          <w:numId w:val="47"/>
        </w:numPr>
        <w:spacing w:line="276" w:lineRule="auto"/>
        <w:ind w:left="284" w:hanging="284"/>
        <w:jc w:val="both"/>
        <w:rPr>
          <w:rFonts w:cs="Arial"/>
          <w:b/>
          <w:iCs/>
          <w:szCs w:val="20"/>
        </w:rPr>
      </w:pPr>
      <w:r w:rsidRPr="0098090A">
        <w:rPr>
          <w:rFonts w:cs="Arial"/>
          <w:b/>
          <w:iCs/>
          <w:szCs w:val="20"/>
        </w:rPr>
        <w:t>Coherence with other standards</w:t>
      </w:r>
    </w:p>
    <w:p w14:paraId="3B676531" w14:textId="77777777" w:rsidR="007942A9" w:rsidRPr="0098090A" w:rsidRDefault="007942A9" w:rsidP="007942A9">
      <w:pPr>
        <w:pStyle w:val="Prrafodelista"/>
        <w:spacing w:line="276" w:lineRule="auto"/>
        <w:ind w:left="284"/>
        <w:jc w:val="both"/>
        <w:rPr>
          <w:rFonts w:cs="Arial"/>
          <w:b/>
          <w:iCs/>
          <w:szCs w:val="20"/>
        </w:rPr>
      </w:pPr>
    </w:p>
    <w:p w14:paraId="6CDC3AFE" w14:textId="77E63613" w:rsidR="00B645B5" w:rsidRPr="0098090A" w:rsidRDefault="00B645B5" w:rsidP="00B645B5">
      <w:pPr>
        <w:spacing w:line="276" w:lineRule="auto"/>
        <w:ind w:left="284"/>
        <w:jc w:val="both"/>
        <w:rPr>
          <w:rFonts w:cs="Arial"/>
          <w:iCs/>
          <w:szCs w:val="20"/>
          <w:lang w:val="en-US"/>
        </w:rPr>
      </w:pPr>
      <w:r w:rsidRPr="0098090A">
        <w:rPr>
          <w:rFonts w:cs="Arial"/>
          <w:iCs/>
          <w:szCs w:val="20"/>
          <w:lang w:val="en-US"/>
        </w:rPr>
        <w:t>There is a need to ensure convergence between sustainability disclosure obligations arising from di</w:t>
      </w:r>
      <w:r w:rsidRPr="0098090A">
        <w:rPr>
          <w:rFonts w:cs="Arial"/>
          <w:iCs/>
          <w:szCs w:val="20"/>
          <w:lang w:val="en-US"/>
        </w:rPr>
        <w:t>f</w:t>
      </w:r>
      <w:r w:rsidRPr="0098090A">
        <w:rPr>
          <w:rFonts w:cs="Arial"/>
          <w:iCs/>
          <w:szCs w:val="20"/>
          <w:lang w:val="en-US"/>
        </w:rPr>
        <w:t>ferent regulatory developments. This convergence would certainly help all users of this information (be they investors, institutions, credit rating agencies, consumers, academics</w:t>
      </w:r>
      <w:r w:rsidR="002759B3" w:rsidRPr="0098090A">
        <w:rPr>
          <w:rFonts w:cs="Arial"/>
          <w:iCs/>
          <w:szCs w:val="20"/>
          <w:lang w:val="en-US"/>
        </w:rPr>
        <w:t xml:space="preserve"> or any other stakeholders</w:t>
      </w:r>
      <w:r w:rsidRPr="0098090A">
        <w:rPr>
          <w:rFonts w:cs="Arial"/>
          <w:iCs/>
          <w:szCs w:val="20"/>
          <w:lang w:val="en-US"/>
        </w:rPr>
        <w:t>) to better understand it. Likewise, from a pure data point of view, it would be more efficient and effective to use the same indicators, regardless of the standard from which they come.</w:t>
      </w:r>
    </w:p>
    <w:p w14:paraId="57D01EE1" w14:textId="77777777" w:rsidR="00B645B5" w:rsidRPr="0098090A" w:rsidRDefault="00B645B5" w:rsidP="00B645B5">
      <w:pPr>
        <w:spacing w:line="276" w:lineRule="auto"/>
        <w:ind w:left="284"/>
        <w:jc w:val="both"/>
        <w:rPr>
          <w:rFonts w:cs="Arial"/>
          <w:iCs/>
          <w:szCs w:val="20"/>
          <w:lang w:val="en-US"/>
        </w:rPr>
      </w:pPr>
    </w:p>
    <w:p w14:paraId="663D7A46" w14:textId="5B0877ED" w:rsidR="00B645B5" w:rsidRDefault="00B645B5" w:rsidP="00B645B5">
      <w:pPr>
        <w:suppressAutoHyphens/>
        <w:spacing w:line="276" w:lineRule="auto"/>
        <w:ind w:firstLine="284"/>
        <w:jc w:val="both"/>
        <w:rPr>
          <w:rFonts w:cs="Arial"/>
          <w:szCs w:val="20"/>
          <w:lang w:val="en-US"/>
        </w:rPr>
      </w:pPr>
      <w:r w:rsidRPr="0098090A">
        <w:rPr>
          <w:rFonts w:cs="Arial"/>
          <w:szCs w:val="20"/>
          <w:lang w:val="en-US"/>
        </w:rPr>
        <w:t>Therefore, inconsistencies with the following standards are observed:</w:t>
      </w:r>
    </w:p>
    <w:p w14:paraId="6EEDB22F" w14:textId="77777777" w:rsidR="007942A9" w:rsidRPr="0098090A" w:rsidRDefault="007942A9" w:rsidP="00B645B5">
      <w:pPr>
        <w:suppressAutoHyphens/>
        <w:spacing w:line="276" w:lineRule="auto"/>
        <w:ind w:firstLine="284"/>
        <w:jc w:val="both"/>
        <w:rPr>
          <w:rFonts w:cs="Arial"/>
          <w:szCs w:val="20"/>
          <w:lang w:val="en-US"/>
        </w:rPr>
      </w:pPr>
    </w:p>
    <w:p w14:paraId="5F88B5C8" w14:textId="77777777" w:rsidR="00B645B5" w:rsidRPr="0098090A" w:rsidRDefault="00B645B5" w:rsidP="00B645B5">
      <w:pPr>
        <w:pStyle w:val="Prrafodelista"/>
        <w:numPr>
          <w:ilvl w:val="0"/>
          <w:numId w:val="43"/>
        </w:numPr>
        <w:suppressAutoHyphens/>
        <w:spacing w:line="276" w:lineRule="auto"/>
        <w:jc w:val="both"/>
        <w:rPr>
          <w:rFonts w:cs="Arial"/>
          <w:szCs w:val="20"/>
          <w:lang w:val="en-US"/>
        </w:rPr>
      </w:pPr>
      <w:r w:rsidRPr="0098090A">
        <w:rPr>
          <w:rFonts w:cs="Arial"/>
          <w:b/>
          <w:bCs/>
          <w:szCs w:val="20"/>
          <w:lang w:val="en-US"/>
        </w:rPr>
        <w:t>Taxonomy:</w:t>
      </w:r>
      <w:r w:rsidRPr="0098090A">
        <w:rPr>
          <w:rFonts w:cs="Arial"/>
          <w:szCs w:val="20"/>
          <w:lang w:val="en-US"/>
        </w:rPr>
        <w:t xml:space="preserve"> It would be logical to first have a Taxonomy, not only environmental but also social, to make the entire regulatory framework more consistent, avoiding the need for entities to make critical changes to their systems and processes to comply with the requirements of the SFDR and a few months later with the Taxonomy Regulation, which would mean duplicating efforts in a very short time. </w:t>
      </w:r>
    </w:p>
    <w:p w14:paraId="1AB29825" w14:textId="77777777" w:rsidR="00B645B5" w:rsidRPr="0098090A" w:rsidRDefault="00B645B5" w:rsidP="00B645B5">
      <w:pPr>
        <w:suppressAutoHyphens/>
        <w:spacing w:line="276" w:lineRule="auto"/>
        <w:ind w:left="207"/>
        <w:jc w:val="both"/>
        <w:rPr>
          <w:rFonts w:cs="Arial"/>
          <w:szCs w:val="20"/>
          <w:lang w:val="en-US"/>
        </w:rPr>
      </w:pPr>
    </w:p>
    <w:p w14:paraId="508378CA" w14:textId="204BE783" w:rsidR="00B645B5" w:rsidRPr="0098090A" w:rsidRDefault="00B645B5" w:rsidP="00B645B5">
      <w:pPr>
        <w:suppressAutoHyphens/>
        <w:spacing w:line="276" w:lineRule="auto"/>
        <w:ind w:left="927"/>
        <w:jc w:val="both"/>
        <w:rPr>
          <w:rFonts w:cs="Arial"/>
          <w:szCs w:val="20"/>
          <w:lang w:val="en-US"/>
        </w:rPr>
      </w:pPr>
      <w:r w:rsidRPr="0098090A">
        <w:rPr>
          <w:rFonts w:cs="Arial"/>
          <w:szCs w:val="20"/>
          <w:lang w:val="en-US"/>
        </w:rPr>
        <w:lastRenderedPageBreak/>
        <w:t xml:space="preserve">It is also essential to clarify how the </w:t>
      </w:r>
      <w:r w:rsidRPr="0098090A">
        <w:rPr>
          <w:rFonts w:cs="Arial"/>
          <w:i/>
          <w:iCs/>
          <w:szCs w:val="20"/>
          <w:lang w:val="en-US"/>
        </w:rPr>
        <w:t>"Do not significantly harm"</w:t>
      </w:r>
      <w:r w:rsidRPr="0098090A">
        <w:rPr>
          <w:rFonts w:cs="Arial"/>
          <w:szCs w:val="20"/>
          <w:lang w:val="en-US"/>
        </w:rPr>
        <w:t xml:space="preserve"> (DNSH) principle in the Taxonomy regulations, which appears to apply to sustainable products, interacts with the same DNSH principle under the </w:t>
      </w:r>
      <w:r w:rsidR="002759B3" w:rsidRPr="0098090A">
        <w:rPr>
          <w:rFonts w:cs="Arial"/>
          <w:szCs w:val="20"/>
          <w:lang w:val="en-US"/>
        </w:rPr>
        <w:t>RTS</w:t>
      </w:r>
      <w:r w:rsidRPr="0098090A">
        <w:rPr>
          <w:rFonts w:cs="Arial"/>
          <w:szCs w:val="20"/>
          <w:lang w:val="en-US"/>
        </w:rPr>
        <w:t xml:space="preserve"> of SFDR that applies to entities</w:t>
      </w:r>
      <w:r w:rsidR="002759B3" w:rsidRPr="0098090A">
        <w:rPr>
          <w:rFonts w:cs="Arial"/>
          <w:szCs w:val="20"/>
          <w:lang w:val="en-US"/>
        </w:rPr>
        <w:t>.</w:t>
      </w:r>
      <w:r w:rsidRPr="0098090A">
        <w:rPr>
          <w:rFonts w:cs="Arial"/>
          <w:szCs w:val="20"/>
          <w:lang w:val="en-US"/>
        </w:rPr>
        <w:t xml:space="preserve"> </w:t>
      </w:r>
    </w:p>
    <w:p w14:paraId="5EBDC3CF" w14:textId="77777777" w:rsidR="00B645B5" w:rsidRPr="0098090A" w:rsidRDefault="00B645B5" w:rsidP="00B645B5">
      <w:pPr>
        <w:suppressAutoHyphens/>
        <w:spacing w:line="276" w:lineRule="auto"/>
        <w:ind w:left="927"/>
        <w:jc w:val="both"/>
        <w:rPr>
          <w:rFonts w:cs="Arial"/>
          <w:szCs w:val="20"/>
          <w:lang w:val="en-US"/>
        </w:rPr>
      </w:pPr>
    </w:p>
    <w:p w14:paraId="310DC1A7" w14:textId="2924D927" w:rsidR="00B645B5" w:rsidRPr="0098090A" w:rsidRDefault="00B645B5" w:rsidP="00B645B5">
      <w:pPr>
        <w:pStyle w:val="Prrafodelista"/>
        <w:numPr>
          <w:ilvl w:val="0"/>
          <w:numId w:val="43"/>
        </w:numPr>
        <w:suppressAutoHyphens/>
        <w:spacing w:line="276" w:lineRule="auto"/>
        <w:jc w:val="both"/>
        <w:rPr>
          <w:rFonts w:cs="Arial"/>
          <w:szCs w:val="20"/>
          <w:lang w:val="en-US"/>
        </w:rPr>
      </w:pPr>
      <w:r w:rsidRPr="0098090A">
        <w:rPr>
          <w:rFonts w:cs="Arial"/>
          <w:b/>
          <w:bCs/>
          <w:szCs w:val="20"/>
          <w:lang w:val="en-US"/>
        </w:rPr>
        <w:t xml:space="preserve">UCITS and </w:t>
      </w:r>
      <w:r w:rsidR="00EF0697" w:rsidRPr="0098090A">
        <w:rPr>
          <w:rFonts w:cs="Arial"/>
          <w:b/>
          <w:bCs/>
          <w:szCs w:val="20"/>
          <w:lang w:val="en-US"/>
        </w:rPr>
        <w:t>AIFMD</w:t>
      </w:r>
      <w:r w:rsidRPr="0098090A">
        <w:rPr>
          <w:rFonts w:cs="Arial"/>
          <w:b/>
          <w:bCs/>
          <w:szCs w:val="20"/>
          <w:lang w:val="en-US"/>
        </w:rPr>
        <w:t xml:space="preserve"> Level 2 Regulations</w:t>
      </w:r>
      <w:r w:rsidRPr="0098090A">
        <w:rPr>
          <w:rStyle w:val="Refdenotaalpie"/>
          <w:rFonts w:cs="Arial"/>
          <w:b/>
          <w:bCs/>
          <w:szCs w:val="20"/>
          <w:lang w:val="en-US"/>
        </w:rPr>
        <w:t xml:space="preserve"> </w:t>
      </w:r>
      <w:r w:rsidRPr="0098090A">
        <w:rPr>
          <w:rStyle w:val="Refdenotaalpie"/>
          <w:rFonts w:cs="Arial"/>
          <w:color w:val="000000" w:themeColor="text1"/>
          <w:szCs w:val="20"/>
        </w:rPr>
        <w:footnoteReference w:id="5"/>
      </w:r>
      <w:r w:rsidRPr="0098090A">
        <w:rPr>
          <w:rFonts w:cs="Arial"/>
          <w:b/>
          <w:bCs/>
          <w:szCs w:val="20"/>
          <w:lang w:val="en-US"/>
        </w:rPr>
        <w:t xml:space="preserve">: </w:t>
      </w:r>
      <w:r w:rsidRPr="0098090A">
        <w:rPr>
          <w:rFonts w:cs="Arial"/>
          <w:szCs w:val="20"/>
          <w:lang w:val="en-US"/>
        </w:rPr>
        <w:t xml:space="preserve">It does not seem logical that most of the reporting requirements set out in the SFDR on how </w:t>
      </w:r>
      <w:r w:rsidR="00EF0697" w:rsidRPr="0098090A">
        <w:rPr>
          <w:rFonts w:cs="Arial"/>
          <w:szCs w:val="20"/>
          <w:lang w:val="en-US"/>
        </w:rPr>
        <w:t>UCITS and AIF</w:t>
      </w:r>
      <w:r w:rsidRPr="0098090A">
        <w:rPr>
          <w:rFonts w:cs="Arial"/>
          <w:szCs w:val="20"/>
          <w:lang w:val="en-US"/>
        </w:rPr>
        <w:t xml:space="preserve"> Managers are complying with the integration of risks and sustainability factors in their organi</w:t>
      </w:r>
      <w:r w:rsidR="00EF0697" w:rsidRPr="0098090A">
        <w:rPr>
          <w:rFonts w:cs="Arial"/>
          <w:szCs w:val="20"/>
          <w:lang w:val="en-US"/>
        </w:rPr>
        <w:t>z</w:t>
      </w:r>
      <w:r w:rsidRPr="0098090A">
        <w:rPr>
          <w:rFonts w:cs="Arial"/>
          <w:szCs w:val="20"/>
          <w:lang w:val="en-US"/>
        </w:rPr>
        <w:t xml:space="preserve">ations are applicable from 10 March 2021 (and 30 June 2021 for major adverse </w:t>
      </w:r>
      <w:r w:rsidR="00EF0697" w:rsidRPr="0098090A">
        <w:rPr>
          <w:rFonts w:cs="Arial"/>
          <w:szCs w:val="20"/>
          <w:lang w:val="en-US"/>
        </w:rPr>
        <w:t>impacts</w:t>
      </w:r>
      <w:r w:rsidRPr="0098090A">
        <w:rPr>
          <w:rFonts w:cs="Arial"/>
          <w:szCs w:val="20"/>
          <w:lang w:val="en-US"/>
        </w:rPr>
        <w:t xml:space="preserve">), when such obligations on which </w:t>
      </w:r>
      <w:r w:rsidR="00EF0697" w:rsidRPr="0098090A">
        <w:rPr>
          <w:rFonts w:cs="Arial"/>
          <w:szCs w:val="20"/>
          <w:lang w:val="en-US"/>
        </w:rPr>
        <w:t>UCITS and AIFM</w:t>
      </w:r>
      <w:r w:rsidRPr="0098090A">
        <w:rPr>
          <w:rFonts w:cs="Arial"/>
          <w:szCs w:val="20"/>
          <w:lang w:val="en-US"/>
        </w:rPr>
        <w:t xml:space="preserve"> have to report are set out in an amendment to the UCITS and </w:t>
      </w:r>
      <w:r w:rsidR="00EF0697" w:rsidRPr="0098090A">
        <w:rPr>
          <w:rFonts w:cs="Arial"/>
          <w:szCs w:val="20"/>
          <w:lang w:val="en-US"/>
        </w:rPr>
        <w:t>AIFM</w:t>
      </w:r>
      <w:r w:rsidRPr="0098090A">
        <w:rPr>
          <w:rFonts w:cs="Arial"/>
          <w:szCs w:val="20"/>
          <w:lang w:val="en-US"/>
        </w:rPr>
        <w:t xml:space="preserve"> Level 2 implementing regulations which is not expected to come into force </w:t>
      </w:r>
      <w:r w:rsidRPr="0098090A">
        <w:rPr>
          <w:rFonts w:cs="Arial"/>
          <w:szCs w:val="20"/>
          <w:u w:val="single"/>
          <w:lang w:val="en-US"/>
        </w:rPr>
        <w:t>until the last quarter of 2021</w:t>
      </w:r>
      <w:r w:rsidRPr="0098090A">
        <w:rPr>
          <w:rFonts w:cs="Arial"/>
          <w:szCs w:val="20"/>
          <w:lang w:val="en-US"/>
        </w:rPr>
        <w:t>.</w:t>
      </w:r>
    </w:p>
    <w:p w14:paraId="77CAFB42" w14:textId="77777777" w:rsidR="00B645B5" w:rsidRPr="0098090A" w:rsidRDefault="00B645B5" w:rsidP="00B645B5">
      <w:pPr>
        <w:suppressAutoHyphens/>
        <w:spacing w:line="276" w:lineRule="auto"/>
        <w:ind w:left="207"/>
        <w:jc w:val="both"/>
        <w:rPr>
          <w:rFonts w:cs="Arial"/>
          <w:szCs w:val="20"/>
          <w:lang w:val="en-US"/>
        </w:rPr>
      </w:pPr>
    </w:p>
    <w:p w14:paraId="4115F9C7" w14:textId="134F3765" w:rsidR="00B645B5" w:rsidRPr="0098090A" w:rsidRDefault="00B645B5" w:rsidP="00B645B5">
      <w:pPr>
        <w:pStyle w:val="Prrafodelista"/>
        <w:numPr>
          <w:ilvl w:val="0"/>
          <w:numId w:val="43"/>
        </w:numPr>
        <w:suppressAutoHyphens/>
        <w:spacing w:line="276" w:lineRule="auto"/>
        <w:jc w:val="both"/>
        <w:rPr>
          <w:rFonts w:cs="Arial"/>
          <w:szCs w:val="20"/>
          <w:u w:val="single"/>
          <w:lang w:val="en-US"/>
        </w:rPr>
      </w:pPr>
      <w:r w:rsidRPr="0098090A">
        <w:rPr>
          <w:rFonts w:cs="Arial"/>
          <w:b/>
          <w:bCs/>
          <w:szCs w:val="20"/>
          <w:lang w:val="en-US"/>
        </w:rPr>
        <w:t>MiFID II Level 2 Regulations</w:t>
      </w:r>
      <w:r w:rsidRPr="0098090A">
        <w:rPr>
          <w:rStyle w:val="Refdenotaalpie"/>
          <w:rFonts w:cs="Arial"/>
          <w:b/>
          <w:bCs/>
          <w:szCs w:val="20"/>
          <w:lang w:val="en-US"/>
        </w:rPr>
        <w:t xml:space="preserve"> </w:t>
      </w:r>
      <w:r w:rsidRPr="0098090A">
        <w:rPr>
          <w:rStyle w:val="Refdenotaalpie"/>
          <w:rFonts w:cs="Arial"/>
          <w:color w:val="000000" w:themeColor="text1"/>
          <w:szCs w:val="20"/>
        </w:rPr>
        <w:footnoteReference w:id="6"/>
      </w:r>
      <w:r w:rsidRPr="0098090A">
        <w:rPr>
          <w:rFonts w:cs="Arial"/>
          <w:b/>
          <w:bCs/>
          <w:szCs w:val="20"/>
          <w:lang w:val="en-US"/>
        </w:rPr>
        <w:t>:</w:t>
      </w:r>
      <w:r w:rsidRPr="0098090A">
        <w:rPr>
          <w:rFonts w:cs="Arial"/>
          <w:szCs w:val="20"/>
          <w:lang w:val="en-US"/>
        </w:rPr>
        <w:t xml:space="preserve"> The same comment made in the previous </w:t>
      </w:r>
      <w:r w:rsidR="00EF0697" w:rsidRPr="0098090A">
        <w:rPr>
          <w:rFonts w:cs="Arial"/>
          <w:szCs w:val="20"/>
          <w:lang w:val="en-US"/>
        </w:rPr>
        <w:t xml:space="preserve">paragraph </w:t>
      </w:r>
      <w:r w:rsidRPr="0098090A">
        <w:rPr>
          <w:rFonts w:cs="Arial"/>
          <w:szCs w:val="20"/>
          <w:lang w:val="en-US"/>
        </w:rPr>
        <w:t xml:space="preserve">with respect to the </w:t>
      </w:r>
      <w:r w:rsidR="00EF0697" w:rsidRPr="0098090A">
        <w:rPr>
          <w:rFonts w:cs="Arial"/>
          <w:szCs w:val="20"/>
          <w:u w:val="single"/>
          <w:lang w:val="en-US"/>
        </w:rPr>
        <w:t>UCITS and AIF</w:t>
      </w:r>
      <w:r w:rsidRPr="0098090A">
        <w:rPr>
          <w:rFonts w:cs="Arial"/>
          <w:szCs w:val="20"/>
          <w:u w:val="single"/>
          <w:lang w:val="en-US"/>
        </w:rPr>
        <w:t xml:space="preserve"> </w:t>
      </w:r>
      <w:r w:rsidR="00EF0697" w:rsidRPr="0098090A">
        <w:rPr>
          <w:rFonts w:cs="Arial"/>
          <w:szCs w:val="20"/>
          <w:u w:val="single"/>
          <w:lang w:val="en-US"/>
        </w:rPr>
        <w:t>m</w:t>
      </w:r>
      <w:r w:rsidRPr="0098090A">
        <w:rPr>
          <w:rFonts w:cs="Arial"/>
          <w:szCs w:val="20"/>
          <w:u w:val="single"/>
          <w:lang w:val="en-US"/>
        </w:rPr>
        <w:t>anagers</w:t>
      </w:r>
      <w:r w:rsidR="00EF0697" w:rsidRPr="0098090A">
        <w:rPr>
          <w:rFonts w:cs="Arial"/>
          <w:szCs w:val="20"/>
          <w:u w:val="single"/>
          <w:lang w:val="en-US"/>
        </w:rPr>
        <w:t xml:space="preserve"> is applicable </w:t>
      </w:r>
      <w:r w:rsidRPr="0098090A">
        <w:rPr>
          <w:rFonts w:cs="Arial"/>
          <w:szCs w:val="20"/>
          <w:u w:val="single"/>
          <w:lang w:val="en-US"/>
        </w:rPr>
        <w:t>to financial advisors subject to MiFID II and IDD regulations. Furthermore, in both cases, with the aggravating circumstance</w:t>
      </w:r>
      <w:r w:rsidRPr="0098090A">
        <w:rPr>
          <w:rFonts w:cs="Arial"/>
          <w:szCs w:val="20"/>
          <w:lang w:val="en-US"/>
        </w:rPr>
        <w:t xml:space="preserve"> that, since the amendments to the MiFID II and IDD implementing regulations on </w:t>
      </w:r>
      <w:r w:rsidR="00F8559C" w:rsidRPr="0098090A">
        <w:rPr>
          <w:rFonts w:cs="Arial"/>
          <w:szCs w:val="20"/>
          <w:lang w:val="en-US"/>
        </w:rPr>
        <w:t xml:space="preserve">product </w:t>
      </w:r>
      <w:r w:rsidRPr="0098090A">
        <w:rPr>
          <w:rFonts w:cs="Arial"/>
          <w:szCs w:val="20"/>
          <w:lang w:val="en-US"/>
        </w:rPr>
        <w:t>governance and suitability (planned for the last quarter of 2021) would not have been approved,</w:t>
      </w:r>
      <w:r w:rsidR="00F8559C" w:rsidRPr="0098090A">
        <w:rPr>
          <w:rFonts w:cs="Arial"/>
          <w:szCs w:val="20"/>
          <w:lang w:val="en-US"/>
        </w:rPr>
        <w:t xml:space="preserve"> </w:t>
      </w:r>
      <w:r w:rsidRPr="0098090A">
        <w:rPr>
          <w:rFonts w:cs="Arial"/>
          <w:szCs w:val="20"/>
          <w:lang w:val="en-US"/>
        </w:rPr>
        <w:t>ESG preferences</w:t>
      </w:r>
      <w:r w:rsidR="00F8559C" w:rsidRPr="0098090A">
        <w:rPr>
          <w:rFonts w:cs="Arial"/>
          <w:szCs w:val="20"/>
          <w:lang w:val="en-US"/>
        </w:rPr>
        <w:t xml:space="preserve"> of the client</w:t>
      </w:r>
      <w:r w:rsidRPr="0098090A">
        <w:rPr>
          <w:rFonts w:cs="Arial"/>
          <w:szCs w:val="20"/>
          <w:lang w:val="en-US"/>
        </w:rPr>
        <w:t xml:space="preserve"> would not be </w:t>
      </w:r>
      <w:r w:rsidR="00F8559C" w:rsidRPr="0098090A">
        <w:rPr>
          <w:rFonts w:cs="Arial"/>
          <w:szCs w:val="20"/>
          <w:lang w:val="en-US"/>
        </w:rPr>
        <w:t>recorded and available in</w:t>
      </w:r>
      <w:r w:rsidRPr="0098090A">
        <w:rPr>
          <w:rFonts w:cs="Arial"/>
          <w:szCs w:val="20"/>
          <w:lang w:val="en-US"/>
        </w:rPr>
        <w:t xml:space="preserve"> March 2021, so </w:t>
      </w:r>
      <w:r w:rsidRPr="0098090A">
        <w:rPr>
          <w:rFonts w:cs="Arial"/>
          <w:szCs w:val="20"/>
          <w:u w:val="single"/>
          <w:lang w:val="en-US"/>
        </w:rPr>
        <w:t xml:space="preserve">it does not seem </w:t>
      </w:r>
      <w:r w:rsidR="00F8559C" w:rsidRPr="0098090A">
        <w:rPr>
          <w:rFonts w:cs="Arial"/>
          <w:szCs w:val="20"/>
          <w:u w:val="single"/>
          <w:lang w:val="en-US"/>
        </w:rPr>
        <w:t xml:space="preserve">reasonable </w:t>
      </w:r>
      <w:r w:rsidRPr="0098090A">
        <w:rPr>
          <w:rFonts w:cs="Arial"/>
          <w:szCs w:val="20"/>
          <w:u w:val="single"/>
          <w:lang w:val="en-US"/>
        </w:rPr>
        <w:t xml:space="preserve">that regular reporting should be made on how the financial product is achieving </w:t>
      </w:r>
      <w:r w:rsidR="00F8559C" w:rsidRPr="0098090A">
        <w:rPr>
          <w:rFonts w:cs="Arial"/>
          <w:szCs w:val="20"/>
          <w:u w:val="single"/>
          <w:lang w:val="en-US"/>
        </w:rPr>
        <w:t xml:space="preserve">client </w:t>
      </w:r>
      <w:r w:rsidRPr="0098090A">
        <w:rPr>
          <w:rFonts w:cs="Arial"/>
          <w:szCs w:val="20"/>
          <w:u w:val="single"/>
          <w:lang w:val="en-US"/>
        </w:rPr>
        <w:t xml:space="preserve">objectives (ESG), when these objectives are not yet known. </w:t>
      </w:r>
    </w:p>
    <w:p w14:paraId="031C293A" w14:textId="77777777" w:rsidR="00B645B5" w:rsidRPr="0098090A" w:rsidRDefault="00B645B5" w:rsidP="00B645B5">
      <w:pPr>
        <w:suppressAutoHyphens/>
        <w:spacing w:line="276" w:lineRule="auto"/>
        <w:jc w:val="both"/>
        <w:rPr>
          <w:rFonts w:cs="Arial"/>
          <w:szCs w:val="20"/>
          <w:lang w:val="en-US"/>
        </w:rPr>
      </w:pPr>
    </w:p>
    <w:p w14:paraId="6A66590E" w14:textId="77777777" w:rsidR="00B645B5" w:rsidRPr="0098090A" w:rsidRDefault="00B645B5" w:rsidP="00B645B5">
      <w:pPr>
        <w:suppressAutoHyphens/>
        <w:spacing w:line="276" w:lineRule="auto"/>
        <w:ind w:left="927"/>
        <w:jc w:val="both"/>
        <w:rPr>
          <w:rFonts w:cs="Arial"/>
          <w:szCs w:val="20"/>
          <w:lang w:val="en-US"/>
        </w:rPr>
      </w:pPr>
      <w:r w:rsidRPr="0098090A">
        <w:rPr>
          <w:rFonts w:cs="Arial"/>
          <w:szCs w:val="20"/>
          <w:lang w:val="en-US"/>
        </w:rPr>
        <w:t xml:space="preserve">It is also essential to clarify what implications </w:t>
      </w:r>
      <w:r w:rsidRPr="0098090A">
        <w:rPr>
          <w:rFonts w:cs="Arial"/>
          <w:szCs w:val="20"/>
          <w:u w:val="single"/>
          <w:lang w:val="en-US"/>
        </w:rPr>
        <w:t>the new definition has on the product promoting E and/or S</w:t>
      </w:r>
      <w:r w:rsidRPr="0098090A">
        <w:rPr>
          <w:rFonts w:cs="Arial"/>
          <w:szCs w:val="20"/>
          <w:lang w:val="en-US"/>
        </w:rPr>
        <w:t xml:space="preserve"> </w:t>
      </w:r>
      <w:r w:rsidRPr="0098090A">
        <w:rPr>
          <w:rStyle w:val="Refdenotaalpie"/>
          <w:rFonts w:eastAsia="Calibri" w:cs="Arial"/>
          <w:color w:val="000000" w:themeColor="text1"/>
          <w:szCs w:val="20"/>
        </w:rPr>
        <w:footnoteReference w:id="7"/>
      </w:r>
      <w:r w:rsidRPr="0098090A">
        <w:rPr>
          <w:rFonts w:cs="Arial"/>
          <w:szCs w:val="20"/>
          <w:lang w:val="en-US"/>
        </w:rPr>
        <w:t xml:space="preserve"> that the EC has included in the draft amendment to the MIFID II Level 2 implementing regulation, and which is </w:t>
      </w:r>
      <w:r w:rsidRPr="0098090A">
        <w:rPr>
          <w:rFonts w:cs="Arial"/>
          <w:szCs w:val="20"/>
          <w:u w:val="single"/>
          <w:lang w:val="en-US"/>
        </w:rPr>
        <w:t>different</w:t>
      </w:r>
      <w:r w:rsidRPr="0098090A">
        <w:rPr>
          <w:rFonts w:cs="Arial"/>
          <w:szCs w:val="20"/>
          <w:lang w:val="en-US"/>
        </w:rPr>
        <w:t xml:space="preserve"> from the interpretation (since there was no definition of this product in the standard) that could be drawn so far from the SFDR regulation. </w:t>
      </w:r>
    </w:p>
    <w:p w14:paraId="737356C3" w14:textId="77777777" w:rsidR="00B645B5" w:rsidRPr="0098090A" w:rsidRDefault="00B645B5" w:rsidP="00B645B5">
      <w:pPr>
        <w:suppressAutoHyphens/>
        <w:spacing w:line="276" w:lineRule="auto"/>
        <w:ind w:left="207"/>
        <w:jc w:val="both"/>
        <w:rPr>
          <w:rFonts w:cs="Arial"/>
          <w:szCs w:val="20"/>
          <w:lang w:val="en-US"/>
        </w:rPr>
      </w:pPr>
    </w:p>
    <w:p w14:paraId="2AD45E2B" w14:textId="226F8D86" w:rsidR="00B645B5" w:rsidRPr="0098090A" w:rsidRDefault="00B645B5" w:rsidP="00B645B5">
      <w:pPr>
        <w:pStyle w:val="Prrafodelista"/>
        <w:numPr>
          <w:ilvl w:val="0"/>
          <w:numId w:val="43"/>
        </w:numPr>
        <w:spacing w:line="276" w:lineRule="auto"/>
        <w:jc w:val="both"/>
        <w:rPr>
          <w:rFonts w:cs="Arial"/>
          <w:szCs w:val="20"/>
          <w:lang w:val="en-US"/>
        </w:rPr>
      </w:pPr>
      <w:r w:rsidRPr="0098090A">
        <w:rPr>
          <w:rFonts w:cs="Arial"/>
          <w:b/>
          <w:bCs/>
          <w:szCs w:val="20"/>
          <w:lang w:val="en-US"/>
        </w:rPr>
        <w:t>NFRD and SFDR Level 1:</w:t>
      </w:r>
      <w:r w:rsidRPr="0098090A">
        <w:rPr>
          <w:rFonts w:cs="Arial"/>
          <w:szCs w:val="20"/>
          <w:lang w:val="en-US"/>
        </w:rPr>
        <w:t xml:space="preserve"> It seems that the draft STR is not consistent with other European reporting standards such as the NFRD Directive, nor with SFDR Level 1, since </w:t>
      </w:r>
      <w:r w:rsidRPr="0098090A">
        <w:rPr>
          <w:rFonts w:cs="Arial"/>
          <w:szCs w:val="20"/>
          <w:u w:val="single"/>
          <w:lang w:val="en-US"/>
        </w:rPr>
        <w:t>it does not suff</w:t>
      </w:r>
      <w:r w:rsidRPr="0098090A">
        <w:rPr>
          <w:rFonts w:cs="Arial"/>
          <w:szCs w:val="20"/>
          <w:u w:val="single"/>
          <w:lang w:val="en-US"/>
        </w:rPr>
        <w:t>i</w:t>
      </w:r>
      <w:r w:rsidRPr="0098090A">
        <w:rPr>
          <w:rFonts w:cs="Arial"/>
          <w:szCs w:val="20"/>
          <w:u w:val="single"/>
          <w:lang w:val="en-US"/>
        </w:rPr>
        <w:t>ciently recogni</w:t>
      </w:r>
      <w:r w:rsidR="00F8559C" w:rsidRPr="0098090A">
        <w:rPr>
          <w:rFonts w:cs="Arial"/>
          <w:szCs w:val="20"/>
          <w:u w:val="single"/>
          <w:lang w:val="en-US"/>
        </w:rPr>
        <w:t>z</w:t>
      </w:r>
      <w:r w:rsidRPr="0098090A">
        <w:rPr>
          <w:rFonts w:cs="Arial"/>
          <w:szCs w:val="20"/>
          <w:u w:val="single"/>
          <w:lang w:val="en-US"/>
        </w:rPr>
        <w:t xml:space="preserve">e </w:t>
      </w:r>
      <w:proofErr w:type="spellStart"/>
      <w:r w:rsidR="00F8559C" w:rsidRPr="0098090A">
        <w:rPr>
          <w:rFonts w:cs="Arial"/>
          <w:szCs w:val="20"/>
          <w:u w:val="single"/>
          <w:lang w:val="en-US"/>
        </w:rPr>
        <w:t>neiher</w:t>
      </w:r>
      <w:proofErr w:type="spellEnd"/>
      <w:r w:rsidR="00F8559C" w:rsidRPr="0098090A">
        <w:rPr>
          <w:rFonts w:cs="Arial"/>
          <w:szCs w:val="20"/>
          <w:u w:val="single"/>
          <w:lang w:val="en-US"/>
        </w:rPr>
        <w:t xml:space="preserve"> </w:t>
      </w:r>
      <w:r w:rsidRPr="0098090A">
        <w:rPr>
          <w:rFonts w:cs="Arial"/>
          <w:szCs w:val="20"/>
          <w:u w:val="single"/>
          <w:lang w:val="en-US"/>
        </w:rPr>
        <w:t xml:space="preserve">the principle of "materiality" </w:t>
      </w:r>
      <w:r w:rsidR="00F8559C" w:rsidRPr="0098090A">
        <w:rPr>
          <w:rFonts w:cs="Arial"/>
          <w:szCs w:val="20"/>
          <w:u w:val="single"/>
          <w:lang w:val="en-US"/>
        </w:rPr>
        <w:t xml:space="preserve">not the principle of </w:t>
      </w:r>
      <w:r w:rsidRPr="0098090A">
        <w:rPr>
          <w:rFonts w:cs="Arial"/>
          <w:szCs w:val="20"/>
          <w:u w:val="single"/>
          <w:lang w:val="en-US"/>
        </w:rPr>
        <w:t>"proportionality"</w:t>
      </w:r>
      <w:r w:rsidRPr="0098090A">
        <w:rPr>
          <w:rFonts w:cs="Arial"/>
          <w:szCs w:val="20"/>
          <w:lang w:val="en-US"/>
        </w:rPr>
        <w:t xml:space="preserve">. </w:t>
      </w:r>
      <w:r w:rsidR="00F8559C" w:rsidRPr="0098090A">
        <w:rPr>
          <w:rFonts w:cs="Arial"/>
          <w:szCs w:val="20"/>
          <w:lang w:val="en-US"/>
        </w:rPr>
        <w:t xml:space="preserve">RTS </w:t>
      </w:r>
      <w:r w:rsidRPr="0098090A">
        <w:rPr>
          <w:rFonts w:cs="Arial"/>
          <w:szCs w:val="20"/>
          <w:lang w:val="en-US"/>
        </w:rPr>
        <w:t>seem to focus on a YES/NO assessment, with quantitative rather than qualitative indicators.</w:t>
      </w:r>
    </w:p>
    <w:p w14:paraId="302D5DAE" w14:textId="77777777" w:rsidR="00B645B5" w:rsidRPr="0098090A" w:rsidRDefault="00B645B5" w:rsidP="00B645B5">
      <w:pPr>
        <w:pStyle w:val="Prrafodelista"/>
        <w:spacing w:line="276" w:lineRule="auto"/>
        <w:ind w:left="927"/>
        <w:jc w:val="both"/>
        <w:rPr>
          <w:rFonts w:cs="Arial"/>
          <w:szCs w:val="20"/>
          <w:lang w:val="en-US"/>
        </w:rPr>
      </w:pPr>
    </w:p>
    <w:p w14:paraId="576FAFAE" w14:textId="77777777" w:rsidR="00B645B5" w:rsidRPr="0098090A" w:rsidRDefault="00B645B5" w:rsidP="00B645B5">
      <w:pPr>
        <w:pStyle w:val="Prrafodelista"/>
        <w:spacing w:line="276" w:lineRule="auto"/>
        <w:ind w:left="567"/>
        <w:jc w:val="both"/>
        <w:rPr>
          <w:rFonts w:cs="Arial"/>
          <w:b/>
          <w:bCs/>
          <w:iCs/>
          <w:szCs w:val="20"/>
          <w:lang w:val="en-US"/>
        </w:rPr>
      </w:pPr>
    </w:p>
    <w:p w14:paraId="72B38D62" w14:textId="77777777" w:rsidR="00B645B5" w:rsidRPr="0098090A" w:rsidRDefault="00B645B5" w:rsidP="00B645B5">
      <w:pPr>
        <w:pStyle w:val="Prrafodelista"/>
        <w:spacing w:line="276" w:lineRule="auto"/>
        <w:ind w:left="567"/>
        <w:jc w:val="both"/>
        <w:rPr>
          <w:rFonts w:cs="Arial"/>
          <w:b/>
          <w:bCs/>
          <w:iCs/>
          <w:szCs w:val="20"/>
          <w:lang w:val="en-US"/>
        </w:rPr>
      </w:pPr>
    </w:p>
    <w:p w14:paraId="6D43ED5F" w14:textId="77777777" w:rsidR="00B645B5" w:rsidRPr="0098090A" w:rsidRDefault="00B645B5" w:rsidP="00B645B5">
      <w:pPr>
        <w:pStyle w:val="Prrafodelista"/>
        <w:numPr>
          <w:ilvl w:val="0"/>
          <w:numId w:val="47"/>
        </w:numPr>
        <w:spacing w:line="276" w:lineRule="auto"/>
        <w:ind w:left="284" w:hanging="284"/>
        <w:jc w:val="both"/>
        <w:rPr>
          <w:rFonts w:cs="Arial"/>
          <w:szCs w:val="20"/>
          <w:lang w:val="en-US"/>
        </w:rPr>
      </w:pPr>
      <w:r w:rsidRPr="0098090A">
        <w:rPr>
          <w:rFonts w:cs="Arial"/>
          <w:b/>
          <w:bCs/>
          <w:szCs w:val="20"/>
          <w:lang w:val="en-US"/>
        </w:rPr>
        <w:t>Complexity in the interpretation of the rules</w:t>
      </w:r>
    </w:p>
    <w:p w14:paraId="61F6509E" w14:textId="06DC7383" w:rsidR="00B645B5" w:rsidRPr="0098090A" w:rsidRDefault="00F8559C" w:rsidP="00B645B5">
      <w:pPr>
        <w:pStyle w:val="Prrafodelista"/>
        <w:spacing w:line="276" w:lineRule="auto"/>
        <w:ind w:left="284"/>
        <w:jc w:val="both"/>
        <w:rPr>
          <w:rFonts w:cs="Arial"/>
          <w:szCs w:val="20"/>
          <w:lang w:val="en-US"/>
        </w:rPr>
      </w:pPr>
      <w:r w:rsidRPr="0098090A">
        <w:rPr>
          <w:rFonts w:cs="Arial"/>
          <w:szCs w:val="20"/>
          <w:u w:val="single"/>
          <w:lang w:val="en-US"/>
        </w:rPr>
        <w:t>In many aspects, the wording of the draft</w:t>
      </w:r>
      <w:r w:rsidR="00B645B5" w:rsidRPr="0098090A">
        <w:rPr>
          <w:rFonts w:cs="Arial"/>
          <w:szCs w:val="20"/>
          <w:u w:val="single"/>
          <w:lang w:val="en-US"/>
        </w:rPr>
        <w:t xml:space="preserve"> </w:t>
      </w:r>
      <w:r w:rsidRPr="0098090A">
        <w:rPr>
          <w:rFonts w:cs="Arial"/>
          <w:szCs w:val="20"/>
          <w:u w:val="single"/>
          <w:lang w:val="en-US"/>
        </w:rPr>
        <w:t>RTS is</w:t>
      </w:r>
      <w:r w:rsidR="00B645B5" w:rsidRPr="0098090A">
        <w:rPr>
          <w:rFonts w:cs="Arial"/>
          <w:szCs w:val="20"/>
          <w:u w:val="single"/>
          <w:lang w:val="en-US"/>
        </w:rPr>
        <w:t xml:space="preserve"> complex and subject to multiple interpretations. </w:t>
      </w:r>
      <w:r w:rsidR="00B645B5" w:rsidRPr="0098090A">
        <w:rPr>
          <w:rFonts w:cs="Arial"/>
          <w:szCs w:val="20"/>
          <w:lang w:val="en-US"/>
        </w:rPr>
        <w:t>From reading the text, very relevant doubts arise, such as: the categorization of a financial product under a</w:t>
      </w:r>
      <w:r w:rsidR="00B645B5" w:rsidRPr="0098090A">
        <w:rPr>
          <w:rFonts w:cs="Arial"/>
          <w:szCs w:val="20"/>
          <w:lang w:val="en-US"/>
        </w:rPr>
        <w:t>r</w:t>
      </w:r>
      <w:r w:rsidR="00B645B5" w:rsidRPr="0098090A">
        <w:rPr>
          <w:rFonts w:cs="Arial"/>
          <w:szCs w:val="20"/>
          <w:lang w:val="en-US"/>
        </w:rPr>
        <w:t xml:space="preserve">ticle 8 or under article 9, how the process of valuation or screening of adverse </w:t>
      </w:r>
      <w:r w:rsidRPr="0098090A">
        <w:rPr>
          <w:rFonts w:cs="Arial"/>
          <w:szCs w:val="20"/>
          <w:lang w:val="en-US"/>
        </w:rPr>
        <w:t>impact</w:t>
      </w:r>
      <w:r w:rsidR="00B645B5" w:rsidRPr="0098090A">
        <w:rPr>
          <w:rFonts w:cs="Arial"/>
          <w:szCs w:val="20"/>
          <w:lang w:val="en-US"/>
        </w:rPr>
        <w:t xml:space="preserve"> indicators should be carried out, or what interrelationship there is between the main adverse </w:t>
      </w:r>
      <w:r w:rsidRPr="0098090A">
        <w:rPr>
          <w:rFonts w:cs="Arial"/>
          <w:szCs w:val="20"/>
          <w:lang w:val="en-US"/>
        </w:rPr>
        <w:t>impacts</w:t>
      </w:r>
      <w:r w:rsidR="00B645B5" w:rsidRPr="0098090A">
        <w:rPr>
          <w:rFonts w:cs="Arial"/>
          <w:szCs w:val="20"/>
          <w:lang w:val="en-US"/>
        </w:rPr>
        <w:t xml:space="preserve"> and the </w:t>
      </w:r>
      <w:r w:rsidRPr="0098090A">
        <w:rPr>
          <w:rFonts w:cs="Arial"/>
          <w:szCs w:val="20"/>
          <w:lang w:val="en-US"/>
        </w:rPr>
        <w:t>DNSH</w:t>
      </w:r>
      <w:r w:rsidR="00B645B5" w:rsidRPr="0098090A">
        <w:rPr>
          <w:rFonts w:cs="Arial"/>
          <w:szCs w:val="20"/>
          <w:lang w:val="en-US"/>
        </w:rPr>
        <w:t xml:space="preserve"> principle</w:t>
      </w:r>
      <w:r w:rsidRPr="0098090A">
        <w:rPr>
          <w:rFonts w:cs="Arial"/>
          <w:szCs w:val="20"/>
          <w:lang w:val="en-US"/>
        </w:rPr>
        <w:t>.</w:t>
      </w:r>
    </w:p>
    <w:p w14:paraId="417FA806" w14:textId="77777777" w:rsidR="00B645B5" w:rsidRPr="0098090A" w:rsidRDefault="00B645B5" w:rsidP="00B645B5">
      <w:pPr>
        <w:spacing w:line="276" w:lineRule="auto"/>
        <w:ind w:left="284"/>
        <w:jc w:val="both"/>
        <w:rPr>
          <w:rFonts w:cs="Arial"/>
          <w:szCs w:val="20"/>
          <w:lang w:val="en-US"/>
        </w:rPr>
      </w:pPr>
    </w:p>
    <w:p w14:paraId="595DB3DD" w14:textId="2909CEFB" w:rsidR="00B645B5" w:rsidRPr="0098090A" w:rsidRDefault="00B645B5" w:rsidP="00B645B5">
      <w:pPr>
        <w:spacing w:line="276" w:lineRule="auto"/>
        <w:ind w:left="284"/>
        <w:jc w:val="both"/>
        <w:rPr>
          <w:rFonts w:cs="Arial"/>
          <w:szCs w:val="20"/>
          <w:lang w:val="en-US"/>
        </w:rPr>
      </w:pPr>
      <w:r w:rsidRPr="0098090A">
        <w:rPr>
          <w:rFonts w:cs="Arial"/>
          <w:szCs w:val="20"/>
          <w:lang w:val="en-US"/>
        </w:rPr>
        <w:lastRenderedPageBreak/>
        <w:t xml:space="preserve">In this sense, </w:t>
      </w:r>
      <w:r w:rsidRPr="0098090A">
        <w:rPr>
          <w:rFonts w:cs="Arial"/>
          <w:szCs w:val="20"/>
          <w:u w:val="single"/>
          <w:lang w:val="en-US"/>
        </w:rPr>
        <w:t>the ESAs themselves, in the document under consultation</w:t>
      </w:r>
      <w:r w:rsidRPr="0098090A">
        <w:rPr>
          <w:rStyle w:val="Refdenotaalpie"/>
          <w:rFonts w:eastAsia="Calibri" w:cs="Arial"/>
          <w:szCs w:val="20"/>
          <w:u w:val="single"/>
        </w:rPr>
        <w:footnoteReference w:id="8"/>
      </w:r>
      <w:r w:rsidRPr="0098090A">
        <w:rPr>
          <w:rFonts w:cs="Arial"/>
          <w:szCs w:val="20"/>
          <w:u w:val="single"/>
          <w:lang w:val="en-US"/>
        </w:rPr>
        <w:t xml:space="preserve"> highlight the need to define terms that are crucial for the implementation of Level I of SFDR, </w:t>
      </w:r>
      <w:r w:rsidRPr="0098090A">
        <w:rPr>
          <w:rFonts w:cs="Arial"/>
          <w:szCs w:val="20"/>
          <w:lang w:val="en-US"/>
        </w:rPr>
        <w:t xml:space="preserve">which are however not defined in this Regulation (expressly </w:t>
      </w:r>
      <w:r w:rsidR="002B0E11" w:rsidRPr="0098090A">
        <w:rPr>
          <w:rFonts w:cs="Arial"/>
          <w:szCs w:val="20"/>
          <w:lang w:val="en-US"/>
        </w:rPr>
        <w:t>mentioning</w:t>
      </w:r>
      <w:r w:rsidRPr="0098090A">
        <w:rPr>
          <w:rFonts w:cs="Arial"/>
          <w:szCs w:val="20"/>
          <w:lang w:val="en-US"/>
        </w:rPr>
        <w:t xml:space="preserve"> the terms "promotion of environmental or social characteristics" or "monitoring of good governance practices"), and then declare themselves not competent to define at Level 2 what is not defined at Level 1, and therefore prefer to limit themselves to "giving references in the recitals of the </w:t>
      </w:r>
      <w:r w:rsidR="002B0E11" w:rsidRPr="0098090A">
        <w:rPr>
          <w:rFonts w:cs="Arial"/>
          <w:szCs w:val="20"/>
          <w:lang w:val="en-US"/>
        </w:rPr>
        <w:t>RTS</w:t>
      </w:r>
      <w:r w:rsidRPr="0098090A">
        <w:rPr>
          <w:rFonts w:cs="Arial"/>
          <w:szCs w:val="20"/>
          <w:lang w:val="en-US"/>
        </w:rPr>
        <w:t xml:space="preserve">". </w:t>
      </w:r>
    </w:p>
    <w:p w14:paraId="7AC9FC46" w14:textId="77777777" w:rsidR="00B645B5" w:rsidRPr="0098090A" w:rsidRDefault="00B645B5" w:rsidP="00B645B5">
      <w:pPr>
        <w:spacing w:line="276" w:lineRule="auto"/>
        <w:ind w:left="284"/>
        <w:jc w:val="both"/>
        <w:rPr>
          <w:rFonts w:cs="Arial"/>
          <w:szCs w:val="20"/>
          <w:lang w:val="en-US"/>
        </w:rPr>
      </w:pPr>
    </w:p>
    <w:p w14:paraId="31E00536" w14:textId="77777777" w:rsidR="00B645B5" w:rsidRPr="0098090A" w:rsidRDefault="00B645B5" w:rsidP="00B645B5">
      <w:pPr>
        <w:spacing w:line="276" w:lineRule="auto"/>
        <w:ind w:left="284"/>
        <w:jc w:val="both"/>
        <w:rPr>
          <w:rFonts w:cs="Arial"/>
          <w:szCs w:val="20"/>
          <w:u w:val="single"/>
          <w:lang w:val="en-US"/>
        </w:rPr>
      </w:pPr>
      <w:r w:rsidRPr="0098090A">
        <w:rPr>
          <w:rFonts w:cs="Arial"/>
          <w:szCs w:val="20"/>
          <w:lang w:val="en-US"/>
        </w:rPr>
        <w:t xml:space="preserve">This preference is legitimate and understandable, </w:t>
      </w:r>
      <w:r w:rsidRPr="0098090A">
        <w:rPr>
          <w:rFonts w:cs="Arial"/>
          <w:szCs w:val="20"/>
          <w:u w:val="single"/>
          <w:lang w:val="en-US"/>
        </w:rPr>
        <w:t>but it has the damaging effect of creating treme</w:t>
      </w:r>
      <w:r w:rsidRPr="0098090A">
        <w:rPr>
          <w:rFonts w:cs="Arial"/>
          <w:szCs w:val="20"/>
          <w:u w:val="single"/>
          <w:lang w:val="en-US"/>
        </w:rPr>
        <w:t>n</w:t>
      </w:r>
      <w:r w:rsidRPr="0098090A">
        <w:rPr>
          <w:rFonts w:cs="Arial"/>
          <w:szCs w:val="20"/>
          <w:u w:val="single"/>
          <w:lang w:val="en-US"/>
        </w:rPr>
        <w:t>dous legal uncertainty, by leaving the addressees of the regulation without definitions of concepts that are considered key by the authorities responsible for their supervision</w:t>
      </w:r>
      <w:r w:rsidRPr="0098090A">
        <w:rPr>
          <w:rFonts w:cs="Arial"/>
          <w:szCs w:val="20"/>
          <w:lang w:val="en-US"/>
        </w:rPr>
        <w:t>.</w:t>
      </w:r>
    </w:p>
    <w:p w14:paraId="7A34C527" w14:textId="77777777" w:rsidR="00B645B5" w:rsidRPr="0098090A" w:rsidRDefault="00B645B5" w:rsidP="00B645B5">
      <w:pPr>
        <w:spacing w:line="276" w:lineRule="auto"/>
        <w:ind w:left="284"/>
        <w:jc w:val="both"/>
        <w:rPr>
          <w:rFonts w:cs="Arial"/>
          <w:szCs w:val="20"/>
          <w:lang w:val="en-US"/>
        </w:rPr>
      </w:pPr>
    </w:p>
    <w:p w14:paraId="557C4F85" w14:textId="46690791" w:rsidR="00B645B5" w:rsidRPr="0098090A" w:rsidRDefault="00B645B5" w:rsidP="00B645B5">
      <w:pPr>
        <w:spacing w:line="276" w:lineRule="auto"/>
        <w:ind w:left="284"/>
        <w:jc w:val="both"/>
        <w:rPr>
          <w:rFonts w:cs="Arial"/>
          <w:szCs w:val="20"/>
          <w:lang w:val="en-US"/>
        </w:rPr>
      </w:pPr>
      <w:r w:rsidRPr="0098090A">
        <w:rPr>
          <w:rFonts w:cs="Arial"/>
          <w:szCs w:val="20"/>
          <w:lang w:val="en-US"/>
        </w:rPr>
        <w:t xml:space="preserve">Along the same lines, </w:t>
      </w:r>
      <w:r w:rsidRPr="0098090A">
        <w:rPr>
          <w:rFonts w:cs="Arial"/>
          <w:szCs w:val="20"/>
          <w:u w:val="single"/>
          <w:lang w:val="en-US"/>
        </w:rPr>
        <w:t xml:space="preserve">in question 16 of the Public Consultation, the ESAs themselves ask whether the differences between the products of article 8 and article 9 </w:t>
      </w:r>
      <w:r w:rsidR="002B0E11" w:rsidRPr="0098090A">
        <w:rPr>
          <w:rFonts w:cs="Arial"/>
          <w:szCs w:val="20"/>
          <w:u w:val="single"/>
          <w:lang w:val="en-US"/>
        </w:rPr>
        <w:t xml:space="preserve">of SFDR </w:t>
      </w:r>
      <w:r w:rsidRPr="0098090A">
        <w:rPr>
          <w:rFonts w:cs="Arial"/>
          <w:szCs w:val="20"/>
          <w:u w:val="single"/>
          <w:lang w:val="en-US"/>
        </w:rPr>
        <w:t>are sufficiently well identified in the</w:t>
      </w:r>
      <w:r w:rsidR="002B0E11" w:rsidRPr="0098090A">
        <w:rPr>
          <w:rFonts w:cs="Arial"/>
          <w:szCs w:val="20"/>
          <w:u w:val="single"/>
          <w:lang w:val="en-US"/>
        </w:rPr>
        <w:t xml:space="preserve"> draft RTS</w:t>
      </w:r>
      <w:r w:rsidRPr="0098090A">
        <w:rPr>
          <w:rFonts w:cs="Arial"/>
          <w:szCs w:val="20"/>
          <w:lang w:val="en-US"/>
        </w:rPr>
        <w:t>, wh</w:t>
      </w:r>
      <w:r w:rsidR="002B0E11" w:rsidRPr="0098090A">
        <w:rPr>
          <w:rFonts w:cs="Arial"/>
          <w:szCs w:val="20"/>
          <w:lang w:val="en-US"/>
        </w:rPr>
        <w:t xml:space="preserve">en said draft </w:t>
      </w:r>
      <w:r w:rsidRPr="0098090A">
        <w:rPr>
          <w:rFonts w:cs="Arial"/>
          <w:szCs w:val="20"/>
          <w:lang w:val="en-US"/>
        </w:rPr>
        <w:t xml:space="preserve">only includes information requirements for each of these products, without there being a clear definition of both categories in all the regulations that would allow them to be clearly differentiated. </w:t>
      </w:r>
    </w:p>
    <w:p w14:paraId="1D037FF4" w14:textId="77777777" w:rsidR="00B645B5" w:rsidRPr="0098090A" w:rsidRDefault="00B645B5" w:rsidP="00B645B5">
      <w:pPr>
        <w:pStyle w:val="Prrafodelista"/>
        <w:spacing w:line="276" w:lineRule="auto"/>
        <w:ind w:left="567"/>
        <w:jc w:val="both"/>
        <w:rPr>
          <w:rFonts w:cs="Arial"/>
          <w:szCs w:val="20"/>
          <w:lang w:val="en-US"/>
        </w:rPr>
      </w:pPr>
    </w:p>
    <w:p w14:paraId="2A5076EE" w14:textId="77777777" w:rsidR="00B645B5" w:rsidRPr="0098090A" w:rsidRDefault="00B645B5" w:rsidP="00B645B5">
      <w:pPr>
        <w:pStyle w:val="Prrafodelista"/>
        <w:spacing w:line="276" w:lineRule="auto"/>
        <w:ind w:left="567"/>
        <w:jc w:val="both"/>
        <w:rPr>
          <w:rFonts w:cs="Arial"/>
          <w:szCs w:val="20"/>
          <w:lang w:val="en-US"/>
        </w:rPr>
      </w:pPr>
    </w:p>
    <w:p w14:paraId="6BEF4048" w14:textId="77777777" w:rsidR="00B645B5" w:rsidRPr="0098090A" w:rsidRDefault="00B645B5" w:rsidP="00B645B5">
      <w:pPr>
        <w:pStyle w:val="Prrafodelista"/>
        <w:numPr>
          <w:ilvl w:val="0"/>
          <w:numId w:val="47"/>
        </w:numPr>
        <w:spacing w:line="276" w:lineRule="auto"/>
        <w:ind w:left="284" w:hanging="284"/>
        <w:jc w:val="both"/>
        <w:rPr>
          <w:rFonts w:cs="Arial"/>
          <w:b/>
          <w:bCs/>
          <w:szCs w:val="20"/>
          <w:lang w:val="en-US"/>
        </w:rPr>
      </w:pPr>
      <w:r w:rsidRPr="0098090A">
        <w:rPr>
          <w:rFonts w:cs="Arial"/>
          <w:b/>
          <w:bCs/>
          <w:szCs w:val="20"/>
          <w:lang w:val="en-US"/>
        </w:rPr>
        <w:t>Doubts about the utility for the final investor</w:t>
      </w:r>
    </w:p>
    <w:p w14:paraId="5481F05C" w14:textId="77777777" w:rsidR="00B645B5" w:rsidRPr="0098090A" w:rsidRDefault="00B645B5" w:rsidP="00B645B5">
      <w:pPr>
        <w:spacing w:line="276" w:lineRule="auto"/>
        <w:ind w:left="284"/>
        <w:jc w:val="both"/>
        <w:rPr>
          <w:rFonts w:cs="Arial"/>
          <w:szCs w:val="20"/>
          <w:lang w:val="en-US"/>
        </w:rPr>
      </w:pPr>
      <w:r w:rsidRPr="0098090A">
        <w:rPr>
          <w:rFonts w:cs="Arial"/>
          <w:szCs w:val="20"/>
          <w:lang w:val="en-US"/>
        </w:rPr>
        <w:t xml:space="preserve">The completeness of the data required and the nature of such data </w:t>
      </w:r>
      <w:r w:rsidRPr="0098090A">
        <w:rPr>
          <w:rFonts w:cs="Arial"/>
          <w:szCs w:val="20"/>
          <w:u w:val="single"/>
          <w:lang w:val="en-US"/>
        </w:rPr>
        <w:t>seems to raise doubts as to whet</w:t>
      </w:r>
      <w:r w:rsidRPr="0098090A">
        <w:rPr>
          <w:rFonts w:cs="Arial"/>
          <w:szCs w:val="20"/>
          <w:u w:val="single"/>
          <w:lang w:val="en-US"/>
        </w:rPr>
        <w:t>h</w:t>
      </w:r>
      <w:r w:rsidRPr="0098090A">
        <w:rPr>
          <w:rFonts w:cs="Arial"/>
          <w:szCs w:val="20"/>
          <w:u w:val="single"/>
          <w:lang w:val="en-US"/>
        </w:rPr>
        <w:t>er such information will be understandable and useful to the end-investor</w:t>
      </w:r>
      <w:r w:rsidRPr="0098090A">
        <w:rPr>
          <w:rFonts w:cs="Arial"/>
          <w:szCs w:val="20"/>
          <w:lang w:val="en-US"/>
        </w:rPr>
        <w:t>. Most investors may feel overwhelmed by the amount of detailed information they would receive or may not see directly the benefits or sense of this information overload.</w:t>
      </w:r>
    </w:p>
    <w:p w14:paraId="17EEC9F9" w14:textId="77777777" w:rsidR="00B645B5" w:rsidRPr="0098090A" w:rsidRDefault="00B645B5" w:rsidP="00B645B5">
      <w:pPr>
        <w:spacing w:line="276" w:lineRule="auto"/>
        <w:ind w:left="284"/>
        <w:jc w:val="both"/>
        <w:rPr>
          <w:rFonts w:cs="Arial"/>
          <w:szCs w:val="20"/>
          <w:lang w:val="en-US"/>
        </w:rPr>
      </w:pPr>
    </w:p>
    <w:p w14:paraId="3EC7130C" w14:textId="77777777" w:rsidR="00B645B5" w:rsidRPr="0098090A" w:rsidRDefault="00B645B5" w:rsidP="00B645B5">
      <w:pPr>
        <w:spacing w:line="276" w:lineRule="auto"/>
        <w:ind w:left="284"/>
        <w:jc w:val="both"/>
        <w:rPr>
          <w:rFonts w:cs="Arial"/>
          <w:szCs w:val="20"/>
        </w:rPr>
      </w:pPr>
      <w:r w:rsidRPr="0098090A">
        <w:rPr>
          <w:rFonts w:cs="Arial"/>
          <w:szCs w:val="20"/>
          <w:lang w:val="en-US"/>
        </w:rPr>
        <w:t>Moreover, as far as indicators are concerned, it is observed that the measurement is made from diffe</w:t>
      </w:r>
      <w:r w:rsidRPr="0098090A">
        <w:rPr>
          <w:rFonts w:cs="Arial"/>
          <w:szCs w:val="20"/>
          <w:lang w:val="en-US"/>
        </w:rPr>
        <w:t>r</w:t>
      </w:r>
      <w:r w:rsidRPr="0098090A">
        <w:rPr>
          <w:rFonts w:cs="Arial"/>
          <w:szCs w:val="20"/>
          <w:lang w:val="en-US"/>
        </w:rPr>
        <w:t xml:space="preserve">ent angles depending on the specific indicator, which makes understanding very difficult. </w:t>
      </w:r>
      <w:r w:rsidRPr="0098090A">
        <w:rPr>
          <w:rFonts w:cs="Arial"/>
          <w:szCs w:val="20"/>
        </w:rPr>
        <w:t xml:space="preserve">By way of </w:t>
      </w:r>
      <w:r w:rsidRPr="0098090A">
        <w:rPr>
          <w:rFonts w:cs="Arial"/>
          <w:szCs w:val="20"/>
          <w:u w:val="single"/>
        </w:rPr>
        <w:t>e</w:t>
      </w:r>
      <w:r w:rsidRPr="0098090A">
        <w:rPr>
          <w:rFonts w:cs="Arial"/>
          <w:szCs w:val="20"/>
          <w:u w:val="single"/>
        </w:rPr>
        <w:t>x</w:t>
      </w:r>
      <w:r w:rsidRPr="0098090A">
        <w:rPr>
          <w:rFonts w:cs="Arial"/>
          <w:szCs w:val="20"/>
          <w:u w:val="single"/>
        </w:rPr>
        <w:t>ample</w:t>
      </w:r>
      <w:r w:rsidRPr="0098090A">
        <w:rPr>
          <w:rFonts w:cs="Arial"/>
          <w:szCs w:val="20"/>
        </w:rPr>
        <w:t>:</w:t>
      </w:r>
    </w:p>
    <w:p w14:paraId="76329909" w14:textId="77777777" w:rsidR="00B645B5" w:rsidRPr="0098090A" w:rsidRDefault="00B645B5" w:rsidP="00B645B5">
      <w:pPr>
        <w:spacing w:line="276" w:lineRule="auto"/>
        <w:ind w:left="284"/>
        <w:jc w:val="both"/>
        <w:rPr>
          <w:rFonts w:cs="Arial"/>
          <w:szCs w:val="20"/>
        </w:rPr>
      </w:pPr>
    </w:p>
    <w:p w14:paraId="0E25DAC5" w14:textId="1AE8C6D2" w:rsidR="00B645B5" w:rsidRPr="0098090A" w:rsidRDefault="00B645B5" w:rsidP="00B645B5">
      <w:pPr>
        <w:pStyle w:val="Prrafodelista"/>
        <w:numPr>
          <w:ilvl w:val="0"/>
          <w:numId w:val="42"/>
        </w:numPr>
        <w:spacing w:line="276" w:lineRule="auto"/>
        <w:ind w:left="709" w:hanging="283"/>
        <w:jc w:val="both"/>
        <w:rPr>
          <w:rFonts w:cs="Arial"/>
          <w:szCs w:val="20"/>
          <w:lang w:val="en-US"/>
        </w:rPr>
      </w:pPr>
      <w:r w:rsidRPr="0098090A">
        <w:rPr>
          <w:rFonts w:cs="Arial"/>
          <w:szCs w:val="20"/>
          <w:lang w:val="en-US"/>
        </w:rPr>
        <w:t>In indicator 1 of Table 1 (carbon emissions) the measurement is made from the investor's pe</w:t>
      </w:r>
      <w:r w:rsidRPr="0098090A">
        <w:rPr>
          <w:rFonts w:cs="Arial"/>
          <w:szCs w:val="20"/>
          <w:lang w:val="en-US"/>
        </w:rPr>
        <w:t>r</w:t>
      </w:r>
      <w:r w:rsidRPr="0098090A">
        <w:rPr>
          <w:rFonts w:cs="Arial"/>
          <w:szCs w:val="20"/>
          <w:lang w:val="en-US"/>
        </w:rPr>
        <w:t xml:space="preserve">spective, calculating the part of emissions made by the invested companies that the investor would "own", taking into account the percentage of </w:t>
      </w:r>
      <w:r w:rsidR="002B0E11" w:rsidRPr="0098090A">
        <w:rPr>
          <w:rFonts w:cs="Arial"/>
          <w:szCs w:val="20"/>
          <w:lang w:val="en-US"/>
        </w:rPr>
        <w:t>equity</w:t>
      </w:r>
      <w:r w:rsidRPr="0098090A">
        <w:rPr>
          <w:rFonts w:cs="Arial"/>
          <w:szCs w:val="20"/>
          <w:lang w:val="en-US"/>
        </w:rPr>
        <w:t xml:space="preserve"> held in those companies.</w:t>
      </w:r>
    </w:p>
    <w:p w14:paraId="5D466BA4" w14:textId="77777777" w:rsidR="00B645B5" w:rsidRPr="0098090A" w:rsidRDefault="00B645B5" w:rsidP="00B645B5">
      <w:pPr>
        <w:pStyle w:val="Prrafodelista"/>
        <w:spacing w:line="276" w:lineRule="auto"/>
        <w:ind w:left="709" w:hanging="283"/>
        <w:jc w:val="both"/>
        <w:rPr>
          <w:rFonts w:cs="Arial"/>
          <w:szCs w:val="20"/>
          <w:lang w:val="en-US"/>
        </w:rPr>
      </w:pPr>
    </w:p>
    <w:p w14:paraId="719C55A1" w14:textId="4E612E28" w:rsidR="00B645B5" w:rsidRPr="0098090A" w:rsidRDefault="00B645B5" w:rsidP="00B645B5">
      <w:pPr>
        <w:pStyle w:val="Prrafodelista"/>
        <w:numPr>
          <w:ilvl w:val="0"/>
          <w:numId w:val="42"/>
        </w:numPr>
        <w:spacing w:line="276" w:lineRule="auto"/>
        <w:ind w:left="709" w:hanging="283"/>
        <w:jc w:val="both"/>
        <w:rPr>
          <w:rFonts w:cs="Arial"/>
          <w:szCs w:val="20"/>
          <w:lang w:val="en-US"/>
        </w:rPr>
      </w:pPr>
      <w:r w:rsidRPr="0098090A">
        <w:rPr>
          <w:rFonts w:cs="Arial"/>
          <w:szCs w:val="20"/>
          <w:lang w:val="en-US"/>
        </w:rPr>
        <w:t xml:space="preserve">In indicator 1 of Table 3 (number/rate of accidents, injuries, </w:t>
      </w:r>
      <w:r w:rsidR="002B0E11" w:rsidRPr="0098090A">
        <w:rPr>
          <w:rFonts w:cs="Arial"/>
          <w:szCs w:val="20"/>
          <w:lang w:val="en-US"/>
        </w:rPr>
        <w:t>fatalities</w:t>
      </w:r>
      <w:r w:rsidRPr="0098090A">
        <w:rPr>
          <w:rFonts w:cs="Arial"/>
          <w:szCs w:val="20"/>
          <w:lang w:val="en-US"/>
        </w:rPr>
        <w:t xml:space="preserve"> and frequency), the mea</w:t>
      </w:r>
      <w:r w:rsidRPr="0098090A">
        <w:rPr>
          <w:rFonts w:cs="Arial"/>
          <w:szCs w:val="20"/>
          <w:lang w:val="en-US"/>
        </w:rPr>
        <w:t>s</w:t>
      </w:r>
      <w:r w:rsidRPr="0098090A">
        <w:rPr>
          <w:rFonts w:cs="Arial"/>
          <w:szCs w:val="20"/>
          <w:lang w:val="en-US"/>
        </w:rPr>
        <w:t xml:space="preserve">urement is made from the perspective of the invested company, that is, a mere aggregation of the number or rate of accidents of the invested companies is requested, which generates as a result a figure or percentage of little informative value. </w:t>
      </w:r>
    </w:p>
    <w:p w14:paraId="158E06A4" w14:textId="77777777" w:rsidR="00B645B5" w:rsidRPr="0098090A" w:rsidRDefault="00B645B5" w:rsidP="00B645B5">
      <w:pPr>
        <w:spacing w:line="276" w:lineRule="auto"/>
        <w:jc w:val="both"/>
        <w:rPr>
          <w:rFonts w:cs="Arial"/>
          <w:szCs w:val="20"/>
          <w:lang w:val="en-US"/>
        </w:rPr>
      </w:pPr>
    </w:p>
    <w:p w14:paraId="6A3CB061" w14:textId="2219D82A" w:rsidR="00B327E9" w:rsidRPr="0098090A" w:rsidRDefault="00B645B5" w:rsidP="00A17445">
      <w:pPr>
        <w:spacing w:before="120" w:after="120" w:line="276" w:lineRule="auto"/>
        <w:ind w:left="284"/>
        <w:jc w:val="both"/>
        <w:rPr>
          <w:rFonts w:cs="Arial"/>
          <w:bCs/>
          <w:szCs w:val="20"/>
          <w:u w:val="single"/>
          <w:lang w:val="en-US"/>
        </w:rPr>
      </w:pPr>
      <w:r w:rsidRPr="0098090A">
        <w:rPr>
          <w:rFonts w:cs="Arial"/>
          <w:szCs w:val="20"/>
          <w:u w:val="single"/>
          <w:lang w:val="en-US"/>
        </w:rPr>
        <w:t>The result will be a</w:t>
      </w:r>
      <w:r w:rsidR="00BC2106" w:rsidRPr="0098090A">
        <w:rPr>
          <w:rFonts w:cs="Arial"/>
          <w:szCs w:val="20"/>
          <w:u w:val="single"/>
          <w:lang w:val="en-US"/>
        </w:rPr>
        <w:t xml:space="preserve"> long</w:t>
      </w:r>
      <w:r w:rsidRPr="0098090A">
        <w:rPr>
          <w:rFonts w:cs="Arial"/>
          <w:szCs w:val="20"/>
          <w:u w:val="single"/>
          <w:lang w:val="en-US"/>
        </w:rPr>
        <w:t xml:space="preserve">, heterogeneous and disjointed </w:t>
      </w:r>
      <w:r w:rsidR="00BC2106" w:rsidRPr="0098090A">
        <w:rPr>
          <w:rFonts w:cs="Arial"/>
          <w:szCs w:val="20"/>
          <w:u w:val="single"/>
          <w:lang w:val="en-US"/>
        </w:rPr>
        <w:t>information</w:t>
      </w:r>
      <w:r w:rsidRPr="0098090A">
        <w:rPr>
          <w:rFonts w:cs="Arial"/>
          <w:szCs w:val="20"/>
          <w:u w:val="single"/>
          <w:lang w:val="en-US"/>
        </w:rPr>
        <w:t>, with very diverse metrics and pe</w:t>
      </w:r>
      <w:r w:rsidRPr="0098090A">
        <w:rPr>
          <w:rFonts w:cs="Arial"/>
          <w:szCs w:val="20"/>
          <w:u w:val="single"/>
          <w:lang w:val="en-US"/>
        </w:rPr>
        <w:t>r</w:t>
      </w:r>
      <w:r w:rsidRPr="0098090A">
        <w:rPr>
          <w:rFonts w:cs="Arial"/>
          <w:szCs w:val="20"/>
          <w:u w:val="single"/>
          <w:lang w:val="en-US"/>
        </w:rPr>
        <w:t>spectives, difficult for investors to understand</w:t>
      </w:r>
      <w:r w:rsidR="00BC2106" w:rsidRPr="0098090A">
        <w:rPr>
          <w:rFonts w:cs="Arial"/>
          <w:szCs w:val="20"/>
          <w:u w:val="single"/>
          <w:lang w:val="en-US"/>
        </w:rPr>
        <w:t xml:space="preserve">, outcome which contrasts with </w:t>
      </w:r>
      <w:r w:rsidR="00BC2106" w:rsidRPr="0098090A">
        <w:rPr>
          <w:rFonts w:cs="Arial"/>
          <w:szCs w:val="20"/>
          <w:lang w:val="en-US"/>
        </w:rPr>
        <w:t xml:space="preserve">the goal of the </w:t>
      </w:r>
      <w:r w:rsidRPr="0098090A">
        <w:rPr>
          <w:rFonts w:cs="Arial"/>
          <w:szCs w:val="20"/>
          <w:lang w:val="en-US"/>
        </w:rPr>
        <w:t>entire reg</w:t>
      </w:r>
      <w:r w:rsidRPr="0098090A">
        <w:rPr>
          <w:rFonts w:cs="Arial"/>
          <w:szCs w:val="20"/>
          <w:lang w:val="en-US"/>
        </w:rPr>
        <w:t>u</w:t>
      </w:r>
      <w:r w:rsidRPr="0098090A">
        <w:rPr>
          <w:rFonts w:cs="Arial"/>
          <w:szCs w:val="20"/>
          <w:lang w:val="en-US"/>
        </w:rPr>
        <w:t>latory framework</w:t>
      </w:r>
      <w:r w:rsidR="00BC2106" w:rsidRPr="0098090A">
        <w:rPr>
          <w:rFonts w:cs="Arial"/>
          <w:szCs w:val="20"/>
          <w:lang w:val="en-US"/>
        </w:rPr>
        <w:t xml:space="preserve"> that </w:t>
      </w:r>
      <w:r w:rsidRPr="0098090A">
        <w:rPr>
          <w:rFonts w:cs="Arial"/>
          <w:szCs w:val="20"/>
          <w:lang w:val="en-US"/>
        </w:rPr>
        <w:t xml:space="preserve">is </w:t>
      </w:r>
      <w:r w:rsidRPr="0098090A">
        <w:rPr>
          <w:rFonts w:cs="Arial"/>
          <w:szCs w:val="20"/>
          <w:u w:val="single"/>
          <w:lang w:val="en-US"/>
        </w:rPr>
        <w:t>designed to assist the end investor in making investment decision</w:t>
      </w:r>
      <w:r w:rsidR="00BC2106" w:rsidRPr="0098090A">
        <w:rPr>
          <w:rFonts w:cs="Arial"/>
          <w:szCs w:val="20"/>
          <w:u w:val="single"/>
          <w:lang w:val="en-US"/>
        </w:rPr>
        <w:t>s</w:t>
      </w:r>
      <w:r w:rsidRPr="0098090A">
        <w:rPr>
          <w:rFonts w:cs="Arial"/>
          <w:szCs w:val="20"/>
          <w:u w:val="single"/>
          <w:lang w:val="en-US"/>
        </w:rPr>
        <w:t xml:space="preserve"> </w:t>
      </w:r>
      <w:r w:rsidR="00BC2106" w:rsidRPr="0098090A">
        <w:rPr>
          <w:rFonts w:cs="Arial"/>
          <w:szCs w:val="20"/>
          <w:u w:val="single"/>
          <w:lang w:val="en-US"/>
        </w:rPr>
        <w:t>through the provision of relevant, understandable and consistent information.</w:t>
      </w:r>
    </w:p>
    <w:permEnd w:id="411981036"/>
    <w:p w14:paraId="6A3CB062" w14:textId="67968787" w:rsidR="00B327E9" w:rsidRPr="00BF28DA" w:rsidRDefault="00B327E9" w:rsidP="00B327E9">
      <w:r w:rsidRPr="00BF28DA">
        <w:t>&lt;ESA_COMMENT_</w:t>
      </w:r>
      <w:r w:rsidR="00C86E1C">
        <w:rPr>
          <w:rStyle w:val="nfasissutil"/>
          <w:b w:val="0"/>
          <w:sz w:val="22"/>
        </w:rPr>
        <w:t>ESG</w:t>
      </w:r>
      <w:r w:rsidR="000A58BE">
        <w:t>_</w:t>
      </w:r>
      <w:r w:rsidRPr="00BF28DA">
        <w:t>1&gt;</w:t>
      </w:r>
    </w:p>
    <w:p w14:paraId="6A3CB063" w14:textId="77777777" w:rsidR="00F31E57" w:rsidRPr="00BF28DA" w:rsidRDefault="00F31E57" w:rsidP="00D34282"/>
    <w:p w14:paraId="741317CF" w14:textId="5D0A042A" w:rsidR="003E573C" w:rsidRDefault="00F31E57" w:rsidP="003E573C">
      <w:pPr>
        <w:pStyle w:val="Questionstyle"/>
        <w:numPr>
          <w:ilvl w:val="0"/>
          <w:numId w:val="39"/>
        </w:numPr>
      </w:pPr>
      <w:r w:rsidRPr="0075015C">
        <w:br w:type="page"/>
      </w:r>
      <w:r w:rsidR="003E573C">
        <w:lastRenderedPageBreak/>
        <w:t xml:space="preserve">: </w:t>
      </w:r>
      <w:r w:rsidR="00D5594A" w:rsidRPr="00D5594A">
        <w:t>Do you agree with the approach proposed in Chapter II and Annex I – where the indicators in Table 1 always lead to principal adverse impacts irrespective of the value of the metrics, r</w:t>
      </w:r>
      <w:r w:rsidR="00D5594A" w:rsidRPr="00D5594A">
        <w:t>e</w:t>
      </w:r>
      <w:r w:rsidR="00D5594A" w:rsidRPr="00D5594A">
        <w:t>quiring consistent disclosure, and the indicators in Table 2 and 3 are subject to an “opt-in” r</w:t>
      </w:r>
      <w:r w:rsidR="00D5594A" w:rsidRPr="00D5594A">
        <w:t>e</w:t>
      </w:r>
      <w:r w:rsidR="00D5594A" w:rsidRPr="00D5594A">
        <w:t>gime for disclosure?</w:t>
      </w:r>
      <w:r w:rsidR="003E573C" w:rsidRPr="00763760">
        <w:t>?</w:t>
      </w:r>
    </w:p>
    <w:p w14:paraId="1B855191" w14:textId="113C394D" w:rsidR="003E573C" w:rsidRDefault="003E573C" w:rsidP="003E573C">
      <w:pPr>
        <w:rPr>
          <w:rFonts w:cs="Arial"/>
        </w:rPr>
      </w:pPr>
      <w:r>
        <w:rPr>
          <w:rFonts w:cs="Arial"/>
        </w:rPr>
        <w:t>&lt;ESA_QUESTION_</w:t>
      </w:r>
      <w:r w:rsidR="00C86E1C">
        <w:rPr>
          <w:rFonts w:cs="Arial"/>
        </w:rPr>
        <w:t>ESG</w:t>
      </w:r>
      <w:r>
        <w:rPr>
          <w:rFonts w:cs="Arial"/>
        </w:rPr>
        <w:t>_1&gt;</w:t>
      </w:r>
    </w:p>
    <w:p w14:paraId="4E6BDE01" w14:textId="589A7223" w:rsidR="00C7759D" w:rsidRPr="00C7759D" w:rsidRDefault="00C7759D" w:rsidP="00C7759D">
      <w:pPr>
        <w:jc w:val="both"/>
        <w:rPr>
          <w:rFonts w:cs="Arial"/>
          <w:lang w:val="en-US"/>
        </w:rPr>
      </w:pPr>
      <w:permStart w:id="1221819945" w:edGrp="everyone"/>
      <w:r w:rsidRPr="00C7759D">
        <w:rPr>
          <w:rFonts w:cs="Arial"/>
          <w:lang w:val="en-US"/>
        </w:rPr>
        <w:t>No.</w:t>
      </w:r>
      <w:r w:rsidR="00176BB9">
        <w:rPr>
          <w:rFonts w:cs="Arial"/>
          <w:lang w:val="en-US"/>
        </w:rPr>
        <w:t xml:space="preserve"> </w:t>
      </w:r>
      <w:r w:rsidRPr="00C7759D">
        <w:rPr>
          <w:rFonts w:cs="Arial"/>
          <w:lang w:val="en-US"/>
        </w:rPr>
        <w:t>We value very highly the work done by ESAs in identifying indicators, and we recognize their usefu</w:t>
      </w:r>
      <w:r w:rsidRPr="00C7759D">
        <w:rPr>
          <w:rFonts w:cs="Arial"/>
          <w:lang w:val="en-US"/>
        </w:rPr>
        <w:t>l</w:t>
      </w:r>
      <w:r w:rsidRPr="00C7759D">
        <w:rPr>
          <w:rFonts w:cs="Arial"/>
          <w:lang w:val="en-US"/>
        </w:rPr>
        <w:t>ness. However, the mandatory reporting of all of them, in particular the 32 indicated in Table 1, whatever their value, should be reviewed.</w:t>
      </w:r>
    </w:p>
    <w:p w14:paraId="53B05747" w14:textId="0E72790C" w:rsidR="00C7759D" w:rsidRPr="00C7759D" w:rsidRDefault="00C7759D" w:rsidP="00176BB9">
      <w:pPr>
        <w:jc w:val="both"/>
        <w:rPr>
          <w:rFonts w:cs="Arial"/>
          <w:lang w:val="en-US"/>
        </w:rPr>
      </w:pPr>
      <w:r w:rsidRPr="00C7759D">
        <w:rPr>
          <w:rFonts w:cs="Arial"/>
          <w:lang w:val="en-US"/>
        </w:rPr>
        <w:t xml:space="preserve">In fact, we believe that only major adverse </w:t>
      </w:r>
      <w:r w:rsidR="00176BB9">
        <w:rPr>
          <w:rFonts w:cs="Arial"/>
          <w:lang w:val="en-US"/>
        </w:rPr>
        <w:t>impacts</w:t>
      </w:r>
      <w:r w:rsidRPr="00C7759D">
        <w:rPr>
          <w:rFonts w:cs="Arial"/>
          <w:lang w:val="en-US"/>
        </w:rPr>
        <w:t xml:space="preserve"> should be reported, and this should only be asserted when the indicator's metric reaches a certain relevance, in the opinion of the reporting entity. Only in this way can the principle</w:t>
      </w:r>
      <w:r w:rsidR="00176BB9">
        <w:rPr>
          <w:rFonts w:cs="Arial"/>
          <w:lang w:val="en-US"/>
        </w:rPr>
        <w:t>s</w:t>
      </w:r>
      <w:r w:rsidRPr="00C7759D">
        <w:rPr>
          <w:rFonts w:cs="Arial"/>
          <w:lang w:val="en-US"/>
        </w:rPr>
        <w:t xml:space="preserve"> of materiality and proportionality be applied</w:t>
      </w:r>
      <w:r w:rsidR="00176BB9">
        <w:rPr>
          <w:rFonts w:cs="Arial"/>
          <w:lang w:val="en-US"/>
        </w:rPr>
        <w:t>. A</w:t>
      </w:r>
      <w:r w:rsidRPr="00C7759D">
        <w:rPr>
          <w:rFonts w:cs="Arial"/>
          <w:lang w:val="en-US"/>
        </w:rPr>
        <w:t>lthough we are aware that this a</w:t>
      </w:r>
      <w:r w:rsidRPr="00C7759D">
        <w:rPr>
          <w:rFonts w:cs="Arial"/>
          <w:lang w:val="en-US"/>
        </w:rPr>
        <w:t>p</w:t>
      </w:r>
      <w:r w:rsidRPr="00C7759D">
        <w:rPr>
          <w:rFonts w:cs="Arial"/>
          <w:lang w:val="en-US"/>
        </w:rPr>
        <w:t xml:space="preserve">proach makes comparability </w:t>
      </w:r>
      <w:r w:rsidR="00176BB9">
        <w:rPr>
          <w:rFonts w:cs="Arial"/>
          <w:lang w:val="en-US"/>
        </w:rPr>
        <w:t xml:space="preserve">more </w:t>
      </w:r>
      <w:r w:rsidRPr="00C7759D">
        <w:rPr>
          <w:rFonts w:cs="Arial"/>
          <w:lang w:val="en-US"/>
        </w:rPr>
        <w:t>difficult, as it leaves the consideration of what should be understood as principal to the entity's judgement, this is a natural consequence derived from the complexity of this amb</w:t>
      </w:r>
      <w:r w:rsidRPr="00C7759D">
        <w:rPr>
          <w:rFonts w:cs="Arial"/>
          <w:lang w:val="en-US"/>
        </w:rPr>
        <w:t>i</w:t>
      </w:r>
      <w:r w:rsidRPr="00C7759D">
        <w:rPr>
          <w:rFonts w:cs="Arial"/>
          <w:lang w:val="en-US"/>
        </w:rPr>
        <w:t xml:space="preserve">tious and important regulatory package, which will be further </w:t>
      </w:r>
      <w:r w:rsidR="00176BB9">
        <w:rPr>
          <w:rFonts w:cs="Arial"/>
          <w:lang w:val="en-US"/>
        </w:rPr>
        <w:t>overcome</w:t>
      </w:r>
      <w:r w:rsidRPr="00C7759D">
        <w:rPr>
          <w:rFonts w:cs="Arial"/>
          <w:lang w:val="en-US"/>
        </w:rPr>
        <w:t xml:space="preserve"> as its implementation and applic</w:t>
      </w:r>
      <w:r w:rsidRPr="00C7759D">
        <w:rPr>
          <w:rFonts w:cs="Arial"/>
          <w:lang w:val="en-US"/>
        </w:rPr>
        <w:t>a</w:t>
      </w:r>
      <w:r w:rsidRPr="00C7759D">
        <w:rPr>
          <w:rFonts w:cs="Arial"/>
          <w:lang w:val="en-US"/>
        </w:rPr>
        <w:t>tion mature.</w:t>
      </w:r>
    </w:p>
    <w:permEnd w:id="1221819945"/>
    <w:p w14:paraId="0F1F4245" w14:textId="4FDA2231" w:rsidR="003E573C" w:rsidRDefault="003E573C" w:rsidP="003E573C">
      <w:pPr>
        <w:rPr>
          <w:rFonts w:cs="Arial"/>
        </w:rPr>
      </w:pPr>
      <w:r>
        <w:rPr>
          <w:rFonts w:cs="Arial"/>
        </w:rPr>
        <w:t>&lt;ESA_QUESTION_</w:t>
      </w:r>
      <w:r w:rsidR="00C86E1C">
        <w:rPr>
          <w:rFonts w:cs="Arial"/>
        </w:rPr>
        <w:t>ESG</w:t>
      </w:r>
      <w:r>
        <w:rPr>
          <w:rFonts w:cs="Arial"/>
        </w:rPr>
        <w:t>_1&gt;</w:t>
      </w:r>
    </w:p>
    <w:p w14:paraId="3D3DF75B" w14:textId="77777777" w:rsidR="003E573C" w:rsidRDefault="003E573C" w:rsidP="003E573C">
      <w:pPr>
        <w:rPr>
          <w:rFonts w:cs="Arial"/>
        </w:rPr>
      </w:pPr>
    </w:p>
    <w:p w14:paraId="0D4730EF" w14:textId="78AE0F9E" w:rsidR="003E573C" w:rsidRDefault="003E573C" w:rsidP="003E573C">
      <w:pPr>
        <w:pStyle w:val="Questionstyle"/>
        <w:numPr>
          <w:ilvl w:val="0"/>
          <w:numId w:val="39"/>
        </w:numPr>
      </w:pPr>
      <w:r>
        <w:t xml:space="preserve">: </w:t>
      </w:r>
      <w:r w:rsidR="00D5594A" w:rsidRPr="00D5594A">
        <w:t>Does the approach laid out in Chapter II and Annex I, take sufficiently into account the size, nature, and scale of financial market participants activities and the type of products they make available?</w:t>
      </w:r>
    </w:p>
    <w:p w14:paraId="7F2CF040" w14:textId="1F02EDCD" w:rsidR="003E573C" w:rsidRDefault="003E573C" w:rsidP="003E573C">
      <w:pPr>
        <w:rPr>
          <w:rFonts w:cs="Arial"/>
        </w:rPr>
      </w:pPr>
      <w:r>
        <w:rPr>
          <w:rFonts w:cs="Arial"/>
        </w:rPr>
        <w:t>&lt;ESA_QUESTION_</w:t>
      </w:r>
      <w:r w:rsidR="00C86E1C">
        <w:rPr>
          <w:rFonts w:cs="Arial"/>
        </w:rPr>
        <w:t>ESG</w:t>
      </w:r>
      <w:r>
        <w:rPr>
          <w:rFonts w:cs="Arial"/>
        </w:rPr>
        <w:t>_2&gt;</w:t>
      </w:r>
    </w:p>
    <w:p w14:paraId="056A4E36" w14:textId="77777777" w:rsidR="00176BB9" w:rsidRDefault="00C7759D" w:rsidP="00176BB9">
      <w:pPr>
        <w:jc w:val="both"/>
        <w:rPr>
          <w:rFonts w:cs="Arial"/>
        </w:rPr>
      </w:pPr>
      <w:permStart w:id="729947415" w:edGrp="everyone"/>
      <w:r w:rsidRPr="005130EA">
        <w:rPr>
          <w:rFonts w:cs="Arial"/>
        </w:rPr>
        <w:t>No. As indicated in the answer to the previous question, according to the proposal of the ESAs, any pos</w:t>
      </w:r>
      <w:r w:rsidRPr="005130EA">
        <w:rPr>
          <w:rFonts w:cs="Arial"/>
        </w:rPr>
        <w:t>i</w:t>
      </w:r>
      <w:r w:rsidRPr="005130EA">
        <w:rPr>
          <w:rFonts w:cs="Arial"/>
        </w:rPr>
        <w:t>tive value for any indicator</w:t>
      </w:r>
      <w:r w:rsidR="00176BB9">
        <w:rPr>
          <w:rFonts w:cs="Arial"/>
        </w:rPr>
        <w:t xml:space="preserve"> included in Table 1,2 or 3</w:t>
      </w:r>
      <w:r w:rsidRPr="005130EA">
        <w:rPr>
          <w:rFonts w:cs="Arial"/>
        </w:rPr>
        <w:t xml:space="preserve"> would automatically lead to a </w:t>
      </w:r>
      <w:r w:rsidR="00176BB9">
        <w:rPr>
          <w:rFonts w:cs="Arial"/>
        </w:rPr>
        <w:t>principal adverse impact</w:t>
      </w:r>
      <w:r w:rsidRPr="005130EA">
        <w:rPr>
          <w:rFonts w:cs="Arial"/>
        </w:rPr>
        <w:t>, which distorts and does not comply with the principle of materiality that the SFDR Level 1 regul</w:t>
      </w:r>
      <w:r w:rsidRPr="005130EA">
        <w:rPr>
          <w:rFonts w:cs="Arial"/>
        </w:rPr>
        <w:t>a</w:t>
      </w:r>
      <w:r w:rsidRPr="005130EA">
        <w:rPr>
          <w:rFonts w:cs="Arial"/>
        </w:rPr>
        <w:t>tions state with absolute clarity by referring only to "</w:t>
      </w:r>
      <w:r w:rsidR="00176BB9">
        <w:rPr>
          <w:rFonts w:cs="Arial"/>
        </w:rPr>
        <w:t>principal”</w:t>
      </w:r>
      <w:r w:rsidRPr="005130EA">
        <w:rPr>
          <w:rFonts w:cs="Arial"/>
        </w:rPr>
        <w:t xml:space="preserve"> adverse i</w:t>
      </w:r>
      <w:r w:rsidR="00176BB9">
        <w:rPr>
          <w:rFonts w:cs="Arial"/>
        </w:rPr>
        <w:t>mpacts</w:t>
      </w:r>
      <w:r w:rsidRPr="005130EA">
        <w:rPr>
          <w:rFonts w:cs="Arial"/>
        </w:rPr>
        <w:t>.</w:t>
      </w:r>
    </w:p>
    <w:permEnd w:id="729947415"/>
    <w:p w14:paraId="6415E03C" w14:textId="0AF573DB" w:rsidR="003E573C" w:rsidRDefault="003E573C" w:rsidP="003E573C">
      <w:pPr>
        <w:rPr>
          <w:rFonts w:cs="Arial"/>
        </w:rPr>
      </w:pPr>
      <w:r>
        <w:rPr>
          <w:rFonts w:cs="Arial"/>
        </w:rPr>
        <w:t>&lt;ESA_QUESTION_</w:t>
      </w:r>
      <w:r w:rsidR="00C86E1C">
        <w:rPr>
          <w:rFonts w:cs="Arial"/>
        </w:rPr>
        <w:t>ESG</w:t>
      </w:r>
      <w:r>
        <w:rPr>
          <w:rFonts w:cs="Arial"/>
        </w:rPr>
        <w:t>_2&gt;</w:t>
      </w:r>
    </w:p>
    <w:p w14:paraId="36483E3B" w14:textId="77777777" w:rsidR="003E573C" w:rsidRDefault="003E573C" w:rsidP="003E573C">
      <w:pPr>
        <w:rPr>
          <w:rFonts w:cs="Arial"/>
        </w:rPr>
      </w:pPr>
    </w:p>
    <w:p w14:paraId="0C882E82" w14:textId="69EC93BC" w:rsidR="003E573C" w:rsidRDefault="003E573C" w:rsidP="003E573C">
      <w:pPr>
        <w:pStyle w:val="Questionstyle"/>
        <w:numPr>
          <w:ilvl w:val="0"/>
          <w:numId w:val="39"/>
        </w:numPr>
      </w:pPr>
      <w:r>
        <w:t xml:space="preserve">: </w:t>
      </w:r>
      <w:r w:rsidR="00D5594A" w:rsidRPr="00D5594A">
        <w:t>If you do not agree with the approach in Chapter II and Annex I, is there another way to e</w:t>
      </w:r>
      <w:r w:rsidR="00D5594A" w:rsidRPr="00D5594A">
        <w:t>n</w:t>
      </w:r>
      <w:r w:rsidR="00D5594A" w:rsidRPr="00D5594A">
        <w:t>sure sufficiently comparable disclosure against key indicators?</w:t>
      </w:r>
      <w:r w:rsidRPr="00763760">
        <w:t xml:space="preserve"> </w:t>
      </w:r>
    </w:p>
    <w:p w14:paraId="5F6CF93B" w14:textId="11E86FB0" w:rsidR="003E573C" w:rsidRDefault="003E573C" w:rsidP="003E573C">
      <w:pPr>
        <w:rPr>
          <w:rFonts w:cs="Arial"/>
        </w:rPr>
      </w:pPr>
      <w:r>
        <w:rPr>
          <w:rFonts w:cs="Arial"/>
        </w:rPr>
        <w:t>&lt;ESA_QUESTION_</w:t>
      </w:r>
      <w:r w:rsidR="00C86E1C">
        <w:rPr>
          <w:rFonts w:cs="Arial"/>
        </w:rPr>
        <w:t>ESG</w:t>
      </w:r>
      <w:r>
        <w:rPr>
          <w:rFonts w:cs="Arial"/>
        </w:rPr>
        <w:t>_3&gt;</w:t>
      </w:r>
    </w:p>
    <w:p w14:paraId="71FFDAF1" w14:textId="77777777" w:rsidR="00C12BFD" w:rsidRDefault="00C7759D" w:rsidP="00C12BFD">
      <w:pPr>
        <w:jc w:val="both"/>
        <w:rPr>
          <w:rFonts w:cs="Arial"/>
        </w:rPr>
      </w:pPr>
      <w:permStart w:id="677205538" w:edGrp="everyone"/>
      <w:r w:rsidRPr="005130EA">
        <w:rPr>
          <w:rFonts w:cs="Arial"/>
        </w:rPr>
        <w:t xml:space="preserve">Yes. We believe that one option that would facilitate compliance by entities with their reporting obligations while allowing them to take advantage of the enormous usefulness of the indicators developed by the ESAS would be to apply the same "opt-in" approach already envisaged for the indicators in </w:t>
      </w:r>
      <w:r w:rsidR="00176BB9">
        <w:rPr>
          <w:rFonts w:cs="Arial"/>
        </w:rPr>
        <w:t>T</w:t>
      </w:r>
      <w:r w:rsidRPr="005130EA">
        <w:rPr>
          <w:rFonts w:cs="Arial"/>
        </w:rPr>
        <w:t>ables 2 and 3, so that on the basis of the 32 indicators proposed in the Joint Paper by the ESA</w:t>
      </w:r>
      <w:r w:rsidR="00176BB9">
        <w:rPr>
          <w:rFonts w:cs="Arial"/>
        </w:rPr>
        <w:t>s</w:t>
      </w:r>
      <w:r w:rsidRPr="005130EA">
        <w:rPr>
          <w:rFonts w:cs="Arial"/>
        </w:rPr>
        <w:t>, each entity can choose those on which it reports, always maintaining the principle that those it chooses should have continuity over time, unless there are good reasons for their exclusion or modification</w:t>
      </w:r>
      <w:r w:rsidR="00C12BFD">
        <w:rPr>
          <w:rFonts w:cs="Arial"/>
        </w:rPr>
        <w:t>.</w:t>
      </w:r>
    </w:p>
    <w:permEnd w:id="677205538"/>
    <w:p w14:paraId="54D6583E" w14:textId="232F8B4D" w:rsidR="003E573C" w:rsidRDefault="003E573C" w:rsidP="003E573C">
      <w:pPr>
        <w:rPr>
          <w:rFonts w:cs="Arial"/>
        </w:rPr>
      </w:pPr>
      <w:r>
        <w:rPr>
          <w:rFonts w:cs="Arial"/>
        </w:rPr>
        <w:t>&lt;ESA_QUESTION_</w:t>
      </w:r>
      <w:r w:rsidR="00C86E1C">
        <w:rPr>
          <w:rFonts w:cs="Arial"/>
        </w:rPr>
        <w:t>ESG</w:t>
      </w:r>
      <w:r>
        <w:rPr>
          <w:rFonts w:cs="Arial"/>
        </w:rPr>
        <w:t>_3&gt;</w:t>
      </w:r>
    </w:p>
    <w:p w14:paraId="3E042AC0" w14:textId="77777777" w:rsidR="003E573C" w:rsidRDefault="003E573C" w:rsidP="003E573C">
      <w:pPr>
        <w:rPr>
          <w:rFonts w:cs="Arial"/>
        </w:rPr>
      </w:pPr>
    </w:p>
    <w:p w14:paraId="40E8D4A0" w14:textId="415248A2" w:rsidR="003E573C" w:rsidRDefault="003E573C" w:rsidP="003E573C">
      <w:pPr>
        <w:pStyle w:val="Questionstyle"/>
        <w:numPr>
          <w:ilvl w:val="0"/>
          <w:numId w:val="39"/>
        </w:numPr>
      </w:pPr>
      <w:r>
        <w:t xml:space="preserve">: </w:t>
      </w:r>
      <w:r w:rsidR="00D5594A" w:rsidRPr="00D5594A">
        <w:t>Do you have any views on the reporting template provided in Table 1 of Annex I?</w:t>
      </w:r>
    </w:p>
    <w:p w14:paraId="3F31E5E7" w14:textId="3F49B1BC" w:rsidR="003E573C" w:rsidRDefault="003E573C" w:rsidP="003E573C">
      <w:pPr>
        <w:rPr>
          <w:rFonts w:cs="Arial"/>
        </w:rPr>
      </w:pPr>
      <w:r>
        <w:rPr>
          <w:rFonts w:cs="Arial"/>
        </w:rPr>
        <w:t>&lt;ESA_QUESTION_</w:t>
      </w:r>
      <w:r w:rsidR="00C86E1C">
        <w:rPr>
          <w:rFonts w:cs="Arial"/>
        </w:rPr>
        <w:t>ESG</w:t>
      </w:r>
      <w:r>
        <w:rPr>
          <w:rFonts w:cs="Arial"/>
        </w:rPr>
        <w:t>_4&gt;</w:t>
      </w:r>
    </w:p>
    <w:p w14:paraId="609CB6AA" w14:textId="473078CA" w:rsidR="00C7759D" w:rsidRPr="00C7759D" w:rsidRDefault="00C7759D" w:rsidP="00176BB9">
      <w:pPr>
        <w:jc w:val="both"/>
        <w:rPr>
          <w:rFonts w:cs="Arial"/>
        </w:rPr>
      </w:pPr>
      <w:permStart w:id="1220688604" w:edGrp="everyone"/>
      <w:r w:rsidRPr="005130EA">
        <w:rPr>
          <w:rFonts w:cs="Arial"/>
        </w:rPr>
        <w:t>In order to facilitate comparability and make it easier for investors to make decisions, we see utility in the template, although we understand that the appropriate approach for starting this regulation should be the "opt-in" approach proposed in the answer to question 3.</w:t>
      </w:r>
    </w:p>
    <w:permEnd w:id="1220688604"/>
    <w:p w14:paraId="53DA6878" w14:textId="2256C5A3" w:rsidR="003E573C" w:rsidRDefault="003E573C" w:rsidP="003E573C">
      <w:pPr>
        <w:rPr>
          <w:rFonts w:cs="Arial"/>
        </w:rPr>
      </w:pPr>
      <w:r>
        <w:rPr>
          <w:rFonts w:cs="Arial"/>
        </w:rPr>
        <w:t>&lt;ESA_QUESTION_</w:t>
      </w:r>
      <w:r w:rsidR="00C86E1C">
        <w:rPr>
          <w:rFonts w:cs="Arial"/>
        </w:rPr>
        <w:t>ESG</w:t>
      </w:r>
      <w:r>
        <w:rPr>
          <w:rFonts w:cs="Arial"/>
        </w:rPr>
        <w:t>_4&gt;</w:t>
      </w:r>
    </w:p>
    <w:p w14:paraId="7CE6B136" w14:textId="77777777" w:rsidR="003E573C" w:rsidRDefault="003E573C" w:rsidP="003E573C">
      <w:pPr>
        <w:rPr>
          <w:rFonts w:cs="Arial"/>
        </w:rPr>
      </w:pPr>
    </w:p>
    <w:p w14:paraId="39295ADB" w14:textId="41077C5A" w:rsidR="003E573C" w:rsidRDefault="003E573C" w:rsidP="003E573C">
      <w:pPr>
        <w:pStyle w:val="Questionstyle"/>
        <w:numPr>
          <w:ilvl w:val="0"/>
          <w:numId w:val="39"/>
        </w:numPr>
      </w:pPr>
      <w:r>
        <w:t xml:space="preserve">: </w:t>
      </w:r>
      <w:r w:rsidR="002A73F1" w:rsidRPr="002A73F1">
        <w:t>Do you agree with the indicators? Would you recommend any other indicators? Do you see merit in including forward-looking indicators such as emission reduction pathways, or scope 4 emissions (saving other companies´ GHG emissions)?</w:t>
      </w:r>
    </w:p>
    <w:p w14:paraId="028F4F51" w14:textId="6BF830DE" w:rsidR="003E573C" w:rsidRDefault="003E573C" w:rsidP="003E573C">
      <w:pPr>
        <w:rPr>
          <w:rFonts w:cs="Arial"/>
        </w:rPr>
      </w:pPr>
      <w:r>
        <w:rPr>
          <w:rFonts w:cs="Arial"/>
        </w:rPr>
        <w:lastRenderedPageBreak/>
        <w:t>&lt;ESA_QUESTION_</w:t>
      </w:r>
      <w:r w:rsidR="00C86E1C">
        <w:rPr>
          <w:rFonts w:cs="Arial"/>
        </w:rPr>
        <w:t>ESG</w:t>
      </w:r>
      <w:r>
        <w:rPr>
          <w:rFonts w:cs="Arial"/>
        </w:rPr>
        <w:t>_5&gt;</w:t>
      </w:r>
    </w:p>
    <w:p w14:paraId="08FF247E" w14:textId="4B879AC7" w:rsidR="00C7759D" w:rsidRPr="005130EA" w:rsidRDefault="00C7759D" w:rsidP="00C7759D">
      <w:pPr>
        <w:jc w:val="both"/>
        <w:rPr>
          <w:rFonts w:cs="Arial"/>
        </w:rPr>
      </w:pPr>
      <w:permStart w:id="209390932" w:edGrp="everyone"/>
      <w:r w:rsidRPr="005130EA">
        <w:rPr>
          <w:rFonts w:cs="Arial"/>
        </w:rPr>
        <w:t xml:space="preserve">We agree with most of the indicators, although we consider that their use should be done according to the opt-in approach mentioned above, which would also sometimes rule out the use of some indicators that may not be relevant, may not offer the appropriate guarantees and/or may lead to undesired results. </w:t>
      </w:r>
    </w:p>
    <w:p w14:paraId="114F0997" w14:textId="77777777" w:rsidR="00B526C9" w:rsidRDefault="00B526C9" w:rsidP="00C7759D">
      <w:pPr>
        <w:jc w:val="both"/>
        <w:rPr>
          <w:rFonts w:cs="Arial"/>
        </w:rPr>
      </w:pPr>
    </w:p>
    <w:p w14:paraId="3F27AE58" w14:textId="09027772" w:rsidR="00C7759D" w:rsidRPr="005130EA" w:rsidRDefault="00C7759D" w:rsidP="00C7759D">
      <w:pPr>
        <w:jc w:val="both"/>
        <w:rPr>
          <w:rFonts w:cs="Arial"/>
        </w:rPr>
      </w:pPr>
      <w:r w:rsidRPr="005130EA">
        <w:rPr>
          <w:rFonts w:cs="Arial"/>
        </w:rPr>
        <w:t xml:space="preserve">In this </w:t>
      </w:r>
      <w:r w:rsidR="00B526C9">
        <w:rPr>
          <w:rFonts w:cs="Arial"/>
        </w:rPr>
        <w:t xml:space="preserve">regard </w:t>
      </w:r>
      <w:r w:rsidRPr="005130EA">
        <w:rPr>
          <w:rFonts w:cs="Arial"/>
        </w:rPr>
        <w:t>we consider that:</w:t>
      </w:r>
    </w:p>
    <w:p w14:paraId="4E18051B" w14:textId="77777777" w:rsidR="00B526C9" w:rsidRDefault="00B526C9" w:rsidP="00B526C9">
      <w:pPr>
        <w:pStyle w:val="Prrafodelista"/>
        <w:ind w:left="1238"/>
        <w:jc w:val="both"/>
        <w:rPr>
          <w:rFonts w:cs="Arial"/>
        </w:rPr>
      </w:pPr>
    </w:p>
    <w:p w14:paraId="26A1C1DC" w14:textId="7E0AB6FD" w:rsidR="00B526C9" w:rsidRDefault="00C7759D" w:rsidP="00176BB9">
      <w:pPr>
        <w:pStyle w:val="Prrafodelista"/>
        <w:numPr>
          <w:ilvl w:val="0"/>
          <w:numId w:val="42"/>
        </w:numPr>
        <w:jc w:val="both"/>
        <w:rPr>
          <w:rFonts w:cs="Arial"/>
        </w:rPr>
      </w:pPr>
      <w:r w:rsidRPr="00B526C9">
        <w:rPr>
          <w:rFonts w:cs="Arial"/>
        </w:rPr>
        <w:t xml:space="preserve">The indicators cannot be applied to all companies in the same way as proposed by the </w:t>
      </w:r>
      <w:r w:rsidR="00B526C9">
        <w:rPr>
          <w:rFonts w:cs="Arial"/>
        </w:rPr>
        <w:t>draft RTS</w:t>
      </w:r>
      <w:r w:rsidRPr="00B526C9">
        <w:rPr>
          <w:rFonts w:cs="Arial"/>
        </w:rPr>
        <w:t>. For example, the absence of a certain policy may not automatically translate into an adverse impact. There are many factors (among them, the regulatory framework itself or the strength of the judicial system of the country where the invested company has its headqua</w:t>
      </w:r>
      <w:r w:rsidRPr="00B526C9">
        <w:rPr>
          <w:rFonts w:cs="Arial"/>
        </w:rPr>
        <w:t>r</w:t>
      </w:r>
      <w:r w:rsidRPr="00B526C9">
        <w:rPr>
          <w:rFonts w:cs="Arial"/>
        </w:rPr>
        <w:t>ters) that will condition whether a certain indicator will be relevant or not, what seems obv</w:t>
      </w:r>
      <w:r w:rsidRPr="00B526C9">
        <w:rPr>
          <w:rFonts w:cs="Arial"/>
        </w:rPr>
        <w:t>i</w:t>
      </w:r>
      <w:r w:rsidRPr="00B526C9">
        <w:rPr>
          <w:rFonts w:cs="Arial"/>
        </w:rPr>
        <w:t xml:space="preserve">ous is that not all companies can be measured in the same way. </w:t>
      </w:r>
    </w:p>
    <w:p w14:paraId="54AD16F5" w14:textId="77777777" w:rsidR="00B526C9" w:rsidRDefault="00B526C9" w:rsidP="00176BB9">
      <w:pPr>
        <w:pStyle w:val="Prrafodelista"/>
        <w:ind w:left="1238"/>
        <w:jc w:val="both"/>
        <w:rPr>
          <w:rFonts w:cs="Arial"/>
        </w:rPr>
      </w:pPr>
    </w:p>
    <w:p w14:paraId="259B464B" w14:textId="77777777" w:rsidR="00B526C9" w:rsidRDefault="00C7759D" w:rsidP="00176BB9">
      <w:pPr>
        <w:pStyle w:val="Prrafodelista"/>
        <w:numPr>
          <w:ilvl w:val="0"/>
          <w:numId w:val="42"/>
        </w:numPr>
        <w:jc w:val="both"/>
        <w:rPr>
          <w:rFonts w:cs="Arial"/>
        </w:rPr>
      </w:pPr>
      <w:r w:rsidRPr="00B526C9">
        <w:rPr>
          <w:rFonts w:cs="Arial"/>
        </w:rPr>
        <w:t xml:space="preserve">Some indicators are designed in such a way that they can produce a detrimental result that differs from the desired one. </w:t>
      </w:r>
    </w:p>
    <w:p w14:paraId="50E4811D" w14:textId="77777777" w:rsidR="00B526C9" w:rsidRPr="00B526C9" w:rsidRDefault="00B526C9" w:rsidP="00176BB9">
      <w:pPr>
        <w:pStyle w:val="Prrafodelista"/>
        <w:jc w:val="both"/>
        <w:rPr>
          <w:rFonts w:cs="Arial"/>
        </w:rPr>
      </w:pPr>
    </w:p>
    <w:p w14:paraId="0560D0B1" w14:textId="2D0EA34B" w:rsidR="00C7759D" w:rsidRPr="00B526C9" w:rsidRDefault="00C7759D" w:rsidP="00176BB9">
      <w:pPr>
        <w:pStyle w:val="Prrafodelista"/>
        <w:ind w:left="1238"/>
        <w:jc w:val="both"/>
        <w:rPr>
          <w:rFonts w:cs="Arial"/>
        </w:rPr>
      </w:pPr>
      <w:r w:rsidRPr="00B526C9">
        <w:rPr>
          <w:rFonts w:cs="Arial"/>
        </w:rPr>
        <w:t xml:space="preserve">For example, indicator 13 in Table 1 (Exposure to areas of high water stress), which is </w:t>
      </w:r>
      <w:r w:rsidR="00B526C9">
        <w:rPr>
          <w:rFonts w:cs="Arial"/>
        </w:rPr>
        <w:t>ma</w:t>
      </w:r>
      <w:r w:rsidR="00B526C9">
        <w:rPr>
          <w:rFonts w:cs="Arial"/>
        </w:rPr>
        <w:t>n</w:t>
      </w:r>
      <w:r w:rsidR="00B526C9">
        <w:rPr>
          <w:rFonts w:cs="Arial"/>
        </w:rPr>
        <w:t>datory</w:t>
      </w:r>
      <w:r w:rsidRPr="00B526C9">
        <w:rPr>
          <w:rFonts w:cs="Arial"/>
        </w:rPr>
        <w:t>, can discourage investment in certain geographical regions (without distinguishing productive activity), when the optimum would be that these regions, if due to their enviro</w:t>
      </w:r>
      <w:r w:rsidRPr="00B526C9">
        <w:rPr>
          <w:rFonts w:cs="Arial"/>
        </w:rPr>
        <w:t>n</w:t>
      </w:r>
      <w:r w:rsidRPr="00B526C9">
        <w:rPr>
          <w:rFonts w:cs="Arial"/>
        </w:rPr>
        <w:t xml:space="preserve">mental or economic circumstances </w:t>
      </w:r>
      <w:r w:rsidR="00B526C9">
        <w:rPr>
          <w:rFonts w:cs="Arial"/>
        </w:rPr>
        <w:t xml:space="preserve">cannot </w:t>
      </w:r>
      <w:r w:rsidRPr="00B526C9">
        <w:rPr>
          <w:rFonts w:cs="Arial"/>
        </w:rPr>
        <w:t>improve their water management, could redirect their productive activity towards activities that are not intensive in water consumption. Ho</w:t>
      </w:r>
      <w:r w:rsidRPr="00B526C9">
        <w:rPr>
          <w:rFonts w:cs="Arial"/>
        </w:rPr>
        <w:t>w</w:t>
      </w:r>
      <w:r w:rsidRPr="00B526C9">
        <w:rPr>
          <w:rFonts w:cs="Arial"/>
        </w:rPr>
        <w:t>ever, the indicator, as proposed, is of obligatory supply and is limited to quantifying the i</w:t>
      </w:r>
      <w:r w:rsidRPr="00B526C9">
        <w:rPr>
          <w:rFonts w:cs="Arial"/>
        </w:rPr>
        <w:t>n</w:t>
      </w:r>
      <w:r w:rsidRPr="00B526C9">
        <w:rPr>
          <w:rFonts w:cs="Arial"/>
        </w:rPr>
        <w:t>vestment in companies with locations in areas of high water stress, without taking into a</w:t>
      </w:r>
      <w:r w:rsidRPr="00B526C9">
        <w:rPr>
          <w:rFonts w:cs="Arial"/>
        </w:rPr>
        <w:t>c</w:t>
      </w:r>
      <w:r w:rsidRPr="00B526C9">
        <w:rPr>
          <w:rFonts w:cs="Arial"/>
        </w:rPr>
        <w:t xml:space="preserve">count the </w:t>
      </w:r>
      <w:r w:rsidR="00B526C9">
        <w:rPr>
          <w:rFonts w:cs="Arial"/>
        </w:rPr>
        <w:t>kind or sector of</w:t>
      </w:r>
      <w:r w:rsidRPr="00B526C9">
        <w:rPr>
          <w:rFonts w:cs="Arial"/>
        </w:rPr>
        <w:t xml:space="preserve"> activity that these companies carry out and their relationship with water consumption. </w:t>
      </w:r>
    </w:p>
    <w:p w14:paraId="5503C923" w14:textId="77777777" w:rsidR="00B526C9" w:rsidRDefault="00B526C9" w:rsidP="00176BB9">
      <w:pPr>
        <w:jc w:val="both"/>
        <w:rPr>
          <w:rFonts w:cs="Arial"/>
        </w:rPr>
      </w:pPr>
    </w:p>
    <w:p w14:paraId="6E32D7B6" w14:textId="5DB1690B" w:rsidR="00C7759D" w:rsidRDefault="00C7759D" w:rsidP="00176BB9">
      <w:pPr>
        <w:ind w:left="1238"/>
        <w:jc w:val="both"/>
        <w:rPr>
          <w:rFonts w:cs="Arial"/>
        </w:rPr>
      </w:pPr>
      <w:r w:rsidRPr="005130EA">
        <w:rPr>
          <w:rFonts w:cs="Arial"/>
        </w:rPr>
        <w:t xml:space="preserve">In addition, </w:t>
      </w:r>
      <w:r w:rsidR="00B526C9">
        <w:rPr>
          <w:rFonts w:cs="Arial"/>
        </w:rPr>
        <w:t xml:space="preserve">and following with this particular example, </w:t>
      </w:r>
      <w:r w:rsidRPr="005130EA">
        <w:rPr>
          <w:rFonts w:cs="Arial"/>
        </w:rPr>
        <w:t xml:space="preserve">for the purposes of information on this indicator, Annex 1, section 1, </w:t>
      </w:r>
      <w:r w:rsidR="00B526C9">
        <w:rPr>
          <w:rFonts w:cs="Arial"/>
        </w:rPr>
        <w:t>paragraph</w:t>
      </w:r>
      <w:r w:rsidRPr="005130EA">
        <w:rPr>
          <w:rFonts w:cs="Arial"/>
        </w:rPr>
        <w:t xml:space="preserve"> p) of the </w:t>
      </w:r>
      <w:r w:rsidR="00B526C9">
        <w:rPr>
          <w:rFonts w:cs="Arial"/>
        </w:rPr>
        <w:t>RTS</w:t>
      </w:r>
      <w:r w:rsidRPr="005130EA">
        <w:rPr>
          <w:rFonts w:cs="Arial"/>
        </w:rPr>
        <w:t xml:space="preserve"> defines "area of high water stress" as "'regions where the percentage of total water withdrawn is high (60%) or extremely high (80%) in the World Resources Institute's (WRI) Water Risk Atlas tool "Aqueduct", thus giving a</w:t>
      </w:r>
      <w:r w:rsidR="00B526C9">
        <w:rPr>
          <w:rFonts w:cs="Arial"/>
        </w:rPr>
        <w:t xml:space="preserve"> worrying</w:t>
      </w:r>
      <w:r w:rsidRPr="005130EA">
        <w:rPr>
          <w:rFonts w:cs="Arial"/>
        </w:rPr>
        <w:t xml:space="preserve"> regulatory character to the definition provided by an external private organization.</w:t>
      </w:r>
    </w:p>
    <w:p w14:paraId="2095280F" w14:textId="77777777" w:rsidR="00B526C9" w:rsidRDefault="00B526C9" w:rsidP="00176BB9">
      <w:pPr>
        <w:jc w:val="both"/>
        <w:rPr>
          <w:rFonts w:cs="Arial"/>
        </w:rPr>
      </w:pPr>
    </w:p>
    <w:p w14:paraId="2A291508" w14:textId="77777777" w:rsidR="00176BB9" w:rsidRDefault="00B526C9" w:rsidP="00176BB9">
      <w:pPr>
        <w:jc w:val="both"/>
        <w:rPr>
          <w:rFonts w:cs="Arial"/>
        </w:rPr>
      </w:pPr>
      <w:r w:rsidRPr="00B526C9">
        <w:rPr>
          <w:rFonts w:cs="Arial"/>
        </w:rPr>
        <w:t>This example highlights in o</w:t>
      </w:r>
      <w:r>
        <w:rPr>
          <w:rFonts w:cs="Arial"/>
        </w:rPr>
        <w:t>ur opinion, the need to include the “opt-in” approach exp</w:t>
      </w:r>
      <w:r w:rsidR="00176BB9">
        <w:rPr>
          <w:rFonts w:cs="Arial"/>
        </w:rPr>
        <w:t>lained in previous questions.</w:t>
      </w:r>
    </w:p>
    <w:permEnd w:id="209390932"/>
    <w:p w14:paraId="61BD6C84" w14:textId="7AEE7C72" w:rsidR="003E573C" w:rsidRDefault="003E573C" w:rsidP="003E573C">
      <w:pPr>
        <w:rPr>
          <w:rFonts w:cs="Arial"/>
        </w:rPr>
      </w:pPr>
      <w:r>
        <w:rPr>
          <w:rFonts w:cs="Arial"/>
        </w:rPr>
        <w:t>&lt;ESA_QUESTION_</w:t>
      </w:r>
      <w:r w:rsidR="00C86E1C">
        <w:rPr>
          <w:rFonts w:cs="Arial"/>
        </w:rPr>
        <w:t>ESG</w:t>
      </w:r>
      <w:r>
        <w:rPr>
          <w:rFonts w:cs="Arial"/>
        </w:rPr>
        <w:t>_5&gt;</w:t>
      </w:r>
    </w:p>
    <w:p w14:paraId="3AF8EF7A" w14:textId="77777777" w:rsidR="003E573C" w:rsidRDefault="003E573C" w:rsidP="003E573C">
      <w:pPr>
        <w:rPr>
          <w:rFonts w:cs="Arial"/>
        </w:rPr>
      </w:pPr>
    </w:p>
    <w:p w14:paraId="7B07E7E5" w14:textId="217A1EF0" w:rsidR="003E573C" w:rsidRDefault="003E573C" w:rsidP="003E573C">
      <w:pPr>
        <w:pStyle w:val="Questionstyle"/>
        <w:numPr>
          <w:ilvl w:val="0"/>
          <w:numId w:val="39"/>
        </w:numPr>
      </w:pPr>
      <w:r>
        <w:t xml:space="preserve">: </w:t>
      </w:r>
      <w:r w:rsidR="002A73F1" w:rsidRPr="002A73F1">
        <w:t>In addition to the proposed indicators on carbon emissions in Annex I, do you see merit in a</w:t>
      </w:r>
      <w:r w:rsidR="002A73F1" w:rsidRPr="002A73F1">
        <w:t>l</w:t>
      </w:r>
      <w:r w:rsidR="002A73F1" w:rsidRPr="002A73F1">
        <w:t>so requesting a) a relative measure of carbon emissions relative to the EU 2030 climate and energy framework target and b) a relative measure of carbon emissions relative to the prevai</w:t>
      </w:r>
      <w:r w:rsidR="002A73F1" w:rsidRPr="002A73F1">
        <w:t>l</w:t>
      </w:r>
      <w:r w:rsidR="002A73F1" w:rsidRPr="002A73F1">
        <w:t>ing carbon price?</w:t>
      </w:r>
    </w:p>
    <w:p w14:paraId="79582E74" w14:textId="6F09E1E7" w:rsidR="003E573C" w:rsidRDefault="003E573C" w:rsidP="003E573C">
      <w:pPr>
        <w:rPr>
          <w:rFonts w:cs="Arial"/>
        </w:rPr>
      </w:pPr>
      <w:r>
        <w:rPr>
          <w:rFonts w:cs="Arial"/>
        </w:rPr>
        <w:t>&lt;ESA_QUESTION_</w:t>
      </w:r>
      <w:r w:rsidR="00C86E1C">
        <w:rPr>
          <w:rFonts w:cs="Arial"/>
        </w:rPr>
        <w:t>ESG</w:t>
      </w:r>
      <w:r>
        <w:rPr>
          <w:rFonts w:cs="Arial"/>
        </w:rPr>
        <w:t>_6&gt;</w:t>
      </w:r>
    </w:p>
    <w:p w14:paraId="5F25B902" w14:textId="42E59B07" w:rsidR="004C33DB" w:rsidRDefault="004C33DB" w:rsidP="00C12BFD">
      <w:pPr>
        <w:jc w:val="both"/>
        <w:rPr>
          <w:rFonts w:cs="Arial"/>
          <w:lang w:val="en-US"/>
        </w:rPr>
      </w:pPr>
      <w:permStart w:id="418122716" w:edGrp="everyone"/>
      <w:r w:rsidRPr="004C33DB">
        <w:rPr>
          <w:rFonts w:cs="Arial"/>
          <w:lang w:val="en-US"/>
        </w:rPr>
        <w:t xml:space="preserve">Not at this </w:t>
      </w:r>
      <w:r w:rsidR="00AC3EBB">
        <w:rPr>
          <w:rFonts w:cs="Arial"/>
          <w:lang w:val="en-US"/>
        </w:rPr>
        <w:t xml:space="preserve">first </w:t>
      </w:r>
      <w:r w:rsidRPr="004C33DB">
        <w:rPr>
          <w:rFonts w:cs="Arial"/>
          <w:lang w:val="en-US"/>
        </w:rPr>
        <w:t>sta</w:t>
      </w:r>
      <w:r>
        <w:rPr>
          <w:rFonts w:cs="Arial"/>
          <w:lang w:val="en-US"/>
        </w:rPr>
        <w:t>ge, unless the “opt-in” approach proposed in previous answers is adopted, and said indicators, if available</w:t>
      </w:r>
      <w:r w:rsidR="003A1E71">
        <w:rPr>
          <w:rFonts w:cs="Arial"/>
          <w:lang w:val="en-US"/>
        </w:rPr>
        <w:t xml:space="preserve"> and relevant according to the market participant opinion</w:t>
      </w:r>
      <w:r>
        <w:rPr>
          <w:rFonts w:cs="Arial"/>
          <w:lang w:val="en-US"/>
        </w:rPr>
        <w:t>, may be provided in a voluntary basis</w:t>
      </w:r>
    </w:p>
    <w:permEnd w:id="418122716"/>
    <w:p w14:paraId="29E77975" w14:textId="561783BC" w:rsidR="003E573C" w:rsidRDefault="003E573C" w:rsidP="003E573C">
      <w:pPr>
        <w:rPr>
          <w:rFonts w:cs="Arial"/>
        </w:rPr>
      </w:pPr>
      <w:r>
        <w:rPr>
          <w:rFonts w:cs="Arial"/>
        </w:rPr>
        <w:t>&lt;ESA_QUESTION_</w:t>
      </w:r>
      <w:r w:rsidR="00C86E1C">
        <w:rPr>
          <w:rFonts w:cs="Arial"/>
        </w:rPr>
        <w:t>ESG</w:t>
      </w:r>
      <w:r>
        <w:rPr>
          <w:rFonts w:cs="Arial"/>
        </w:rPr>
        <w:t>_6&gt;</w:t>
      </w:r>
    </w:p>
    <w:p w14:paraId="302B559F" w14:textId="77777777" w:rsidR="003E573C" w:rsidRDefault="003E573C" w:rsidP="003E573C">
      <w:pPr>
        <w:rPr>
          <w:rFonts w:cs="Arial"/>
        </w:rPr>
      </w:pPr>
    </w:p>
    <w:p w14:paraId="09807F9E" w14:textId="403676DE" w:rsidR="003E573C" w:rsidRDefault="003E573C" w:rsidP="003E573C">
      <w:pPr>
        <w:pStyle w:val="Questionstyle"/>
        <w:numPr>
          <w:ilvl w:val="0"/>
          <w:numId w:val="39"/>
        </w:numPr>
      </w:pPr>
      <w:r>
        <w:t xml:space="preserve">: </w:t>
      </w:r>
      <w:r w:rsidR="002A73F1" w:rsidRPr="002A73F1">
        <w:t>The ESAs saw merit in requiring measurement of both (1) the share of the investments in companies without a particular issue required by the indicator and (2) the share of all comp</w:t>
      </w:r>
      <w:r w:rsidR="002A73F1" w:rsidRPr="002A73F1">
        <w:t>a</w:t>
      </w:r>
      <w:r w:rsidR="002A73F1" w:rsidRPr="002A73F1">
        <w:t>nies in the investments without that issue. Do you have any feedback on this proposal?</w:t>
      </w:r>
    </w:p>
    <w:p w14:paraId="21AC957C" w14:textId="7580C8F9" w:rsidR="003E573C" w:rsidRDefault="003E573C" w:rsidP="003E573C">
      <w:pPr>
        <w:rPr>
          <w:rFonts w:cs="Arial"/>
        </w:rPr>
      </w:pPr>
      <w:r>
        <w:rPr>
          <w:rFonts w:cs="Arial"/>
        </w:rPr>
        <w:t>&lt;ESA_QUESTION_</w:t>
      </w:r>
      <w:r w:rsidR="00C86E1C">
        <w:rPr>
          <w:rFonts w:cs="Arial"/>
        </w:rPr>
        <w:t>ESG</w:t>
      </w:r>
      <w:r>
        <w:rPr>
          <w:rFonts w:cs="Arial"/>
        </w:rPr>
        <w:t>_7&gt;</w:t>
      </w:r>
    </w:p>
    <w:p w14:paraId="74EF7BA7" w14:textId="56E3800D" w:rsidR="003E573C" w:rsidRDefault="003A1E71" w:rsidP="00C12BFD">
      <w:pPr>
        <w:jc w:val="both"/>
        <w:rPr>
          <w:rFonts w:cs="Arial"/>
        </w:rPr>
      </w:pPr>
      <w:permStart w:id="569465455" w:edGrp="everyone"/>
      <w:r>
        <w:rPr>
          <w:rFonts w:cs="Arial"/>
        </w:rPr>
        <w:t xml:space="preserve">Yes, provided </w:t>
      </w:r>
      <w:r>
        <w:rPr>
          <w:rFonts w:cs="Arial"/>
          <w:lang w:val="en-US"/>
        </w:rPr>
        <w:t>the “opt-in” approach proposed in previous answers is adopted, and said indicators with two metrics (</w:t>
      </w:r>
      <w:r w:rsidRPr="003A1E71">
        <w:rPr>
          <w:rFonts w:cs="Arial"/>
          <w:lang w:val="en-US"/>
        </w:rPr>
        <w:t>1</w:t>
      </w:r>
      <w:r>
        <w:rPr>
          <w:rFonts w:cs="Arial"/>
          <w:lang w:val="en-US"/>
        </w:rPr>
        <w:t>.</w:t>
      </w:r>
      <w:r w:rsidRPr="003A1E71">
        <w:rPr>
          <w:rFonts w:cs="Arial"/>
          <w:lang w:val="en-US"/>
        </w:rPr>
        <w:t xml:space="preserve"> the share of the investments in companies without a particular issue required by the indicator </w:t>
      </w:r>
      <w:r w:rsidRPr="003A1E71">
        <w:rPr>
          <w:rFonts w:cs="Arial"/>
          <w:lang w:val="en-US"/>
        </w:rPr>
        <w:lastRenderedPageBreak/>
        <w:t>and 2</w:t>
      </w:r>
      <w:r>
        <w:rPr>
          <w:rFonts w:cs="Arial"/>
          <w:lang w:val="en-US"/>
        </w:rPr>
        <w:t>.</w:t>
      </w:r>
      <w:r w:rsidRPr="003A1E71">
        <w:rPr>
          <w:rFonts w:cs="Arial"/>
          <w:lang w:val="en-US"/>
        </w:rPr>
        <w:t xml:space="preserve"> the share of all companies in the investments without that issue</w:t>
      </w:r>
      <w:r>
        <w:rPr>
          <w:rFonts w:cs="Arial"/>
          <w:lang w:val="en-US"/>
        </w:rPr>
        <w:t>), if available and relevant accor</w:t>
      </w:r>
      <w:r>
        <w:rPr>
          <w:rFonts w:cs="Arial"/>
          <w:lang w:val="en-US"/>
        </w:rPr>
        <w:t>d</w:t>
      </w:r>
      <w:r>
        <w:rPr>
          <w:rFonts w:cs="Arial"/>
          <w:lang w:val="en-US"/>
        </w:rPr>
        <w:t>ing to the market participant opinion, may be provided in a voluntary basis</w:t>
      </w:r>
      <w:r w:rsidR="00C12BFD">
        <w:rPr>
          <w:rFonts w:cs="Arial"/>
          <w:lang w:val="en-US"/>
        </w:rPr>
        <w:t>.</w:t>
      </w:r>
    </w:p>
    <w:permEnd w:id="569465455"/>
    <w:p w14:paraId="2267AC0F" w14:textId="00044BD1" w:rsidR="003E573C" w:rsidRDefault="003E573C" w:rsidP="003E573C">
      <w:pPr>
        <w:rPr>
          <w:rFonts w:cs="Arial"/>
        </w:rPr>
      </w:pPr>
      <w:r>
        <w:rPr>
          <w:rFonts w:cs="Arial"/>
        </w:rPr>
        <w:t>&lt;ESA_QUESTION_</w:t>
      </w:r>
      <w:r w:rsidR="00C86E1C">
        <w:rPr>
          <w:rFonts w:cs="Arial"/>
        </w:rPr>
        <w:t>ESG</w:t>
      </w:r>
      <w:r>
        <w:rPr>
          <w:rFonts w:cs="Arial"/>
        </w:rPr>
        <w:t>_7&gt;</w:t>
      </w:r>
    </w:p>
    <w:p w14:paraId="7E406E9F" w14:textId="77777777" w:rsidR="003E573C" w:rsidRDefault="003E573C" w:rsidP="003E573C">
      <w:pPr>
        <w:rPr>
          <w:rFonts w:cs="Arial"/>
        </w:rPr>
      </w:pPr>
    </w:p>
    <w:p w14:paraId="08E0CC4A" w14:textId="0B700084" w:rsidR="003E573C" w:rsidRDefault="003E573C" w:rsidP="002A73F1">
      <w:pPr>
        <w:pStyle w:val="Prrafodelista"/>
        <w:numPr>
          <w:ilvl w:val="0"/>
          <w:numId w:val="39"/>
        </w:numPr>
        <w:rPr>
          <w:rFonts w:asciiTheme="minorHAnsi" w:eastAsiaTheme="minorEastAsia" w:hAnsiTheme="minorHAnsi" w:cstheme="minorBidi"/>
          <w:b/>
          <w:sz w:val="22"/>
          <w:szCs w:val="20"/>
          <w:lang w:eastAsia="en-US"/>
        </w:rPr>
      </w:pPr>
      <w:r>
        <w:t xml:space="preserve">: </w:t>
      </w:r>
      <w:r w:rsidR="002A73F1" w:rsidRPr="002A73F1">
        <w:rPr>
          <w:rFonts w:asciiTheme="minorHAnsi" w:eastAsiaTheme="minorEastAsia" w:hAnsiTheme="minorHAnsi" w:cstheme="minorBidi"/>
          <w:b/>
          <w:sz w:val="22"/>
          <w:szCs w:val="20"/>
          <w:lang w:eastAsia="en-US"/>
        </w:rPr>
        <w:t>Would you see merit in including more advanced indicators or metrics to allow financial ma</w:t>
      </w:r>
      <w:r w:rsidR="002A73F1" w:rsidRPr="002A73F1">
        <w:rPr>
          <w:rFonts w:asciiTheme="minorHAnsi" w:eastAsiaTheme="minorEastAsia" w:hAnsiTheme="minorHAnsi" w:cstheme="minorBidi"/>
          <w:b/>
          <w:sz w:val="22"/>
          <w:szCs w:val="20"/>
          <w:lang w:eastAsia="en-US"/>
        </w:rPr>
        <w:t>r</w:t>
      </w:r>
      <w:r w:rsidR="002A73F1" w:rsidRPr="002A73F1">
        <w:rPr>
          <w:rFonts w:asciiTheme="minorHAnsi" w:eastAsiaTheme="minorEastAsia" w:hAnsiTheme="minorHAnsi" w:cstheme="minorBidi"/>
          <w:b/>
          <w:sz w:val="22"/>
          <w:szCs w:val="20"/>
          <w:lang w:eastAsia="en-US"/>
        </w:rPr>
        <w:t>ket participants to capture activities by investee companies to reduce GHG emissions? If yes, how would such advanced metrics capture adverse impacts?</w:t>
      </w:r>
    </w:p>
    <w:p w14:paraId="62D07B51" w14:textId="77777777" w:rsidR="002A73F1" w:rsidRPr="002A73F1" w:rsidRDefault="002A73F1" w:rsidP="002A73F1">
      <w:pPr>
        <w:pStyle w:val="Prrafodelista"/>
        <w:rPr>
          <w:rFonts w:asciiTheme="minorHAnsi" w:eastAsiaTheme="minorEastAsia" w:hAnsiTheme="minorHAnsi" w:cstheme="minorBidi"/>
          <w:b/>
          <w:sz w:val="22"/>
          <w:szCs w:val="20"/>
          <w:lang w:eastAsia="en-US"/>
        </w:rPr>
      </w:pPr>
    </w:p>
    <w:p w14:paraId="3309F68B" w14:textId="243D301F" w:rsidR="003E573C" w:rsidRDefault="003E573C" w:rsidP="003E573C">
      <w:pPr>
        <w:rPr>
          <w:rFonts w:cs="Arial"/>
        </w:rPr>
      </w:pPr>
      <w:r>
        <w:rPr>
          <w:rFonts w:cs="Arial"/>
        </w:rPr>
        <w:t>&lt;ESA_QUESTION_</w:t>
      </w:r>
      <w:r w:rsidR="00C86E1C">
        <w:rPr>
          <w:rFonts w:cs="Arial"/>
        </w:rPr>
        <w:t>ESG</w:t>
      </w:r>
      <w:r>
        <w:rPr>
          <w:rFonts w:cs="Arial"/>
        </w:rPr>
        <w:t>_8&gt;</w:t>
      </w:r>
    </w:p>
    <w:p w14:paraId="20440D29" w14:textId="7805DA11" w:rsidR="003E573C" w:rsidRDefault="00151465" w:rsidP="00C12BFD">
      <w:pPr>
        <w:jc w:val="both"/>
        <w:rPr>
          <w:rFonts w:cs="Arial"/>
        </w:rPr>
      </w:pPr>
      <w:permStart w:id="1713528049" w:edGrp="everyone"/>
      <w:r>
        <w:rPr>
          <w:rFonts w:cs="Arial"/>
        </w:rPr>
        <w:t>No</w:t>
      </w:r>
      <w:r w:rsidR="00AC3EBB">
        <w:rPr>
          <w:rFonts w:cs="Arial"/>
        </w:rPr>
        <w:t xml:space="preserve">, </w:t>
      </w:r>
      <w:r>
        <w:rPr>
          <w:rFonts w:cs="Arial"/>
        </w:rPr>
        <w:t>t</w:t>
      </w:r>
      <w:r w:rsidRPr="00151465">
        <w:rPr>
          <w:rFonts w:cs="Arial"/>
        </w:rPr>
        <w:t>he Committee considers that, based on the challenging timeline, the volume of information</w:t>
      </w:r>
      <w:r w:rsidR="00A569B1">
        <w:rPr>
          <w:rFonts w:cs="Arial"/>
        </w:rPr>
        <w:t xml:space="preserve"> already</w:t>
      </w:r>
      <w:r w:rsidRPr="00151465">
        <w:rPr>
          <w:rFonts w:cs="Arial"/>
        </w:rPr>
        <w:t xml:space="preserve"> required and the difficulties in obtaining it, </w:t>
      </w:r>
      <w:r w:rsidR="00A569B1">
        <w:rPr>
          <w:rFonts w:cs="Arial"/>
        </w:rPr>
        <w:t xml:space="preserve">no additional indicators should be included, but if so, it should  </w:t>
      </w:r>
      <w:r w:rsidR="00AC3EBB">
        <w:rPr>
          <w:rFonts w:cs="Arial"/>
        </w:rPr>
        <w:t>but in a voluntary basis and according to the “opt-in” approach explained in previous questions.</w:t>
      </w:r>
    </w:p>
    <w:permEnd w:id="1713528049"/>
    <w:p w14:paraId="6DB9AF7D" w14:textId="789B574E" w:rsidR="003E573C" w:rsidRDefault="003E573C" w:rsidP="003E573C">
      <w:pPr>
        <w:rPr>
          <w:rFonts w:cs="Arial"/>
        </w:rPr>
      </w:pPr>
      <w:r>
        <w:rPr>
          <w:rFonts w:cs="Arial"/>
        </w:rPr>
        <w:t>&lt;ESA_QUESTION_</w:t>
      </w:r>
      <w:r w:rsidR="00C86E1C">
        <w:rPr>
          <w:rFonts w:cs="Arial"/>
        </w:rPr>
        <w:t>ESG</w:t>
      </w:r>
      <w:r>
        <w:rPr>
          <w:rFonts w:cs="Arial"/>
        </w:rPr>
        <w:t>_8&gt;</w:t>
      </w:r>
    </w:p>
    <w:p w14:paraId="078E4733" w14:textId="77777777" w:rsidR="003E573C" w:rsidRDefault="003E573C" w:rsidP="003E573C">
      <w:pPr>
        <w:rPr>
          <w:rFonts w:cs="Arial"/>
        </w:rPr>
      </w:pPr>
    </w:p>
    <w:p w14:paraId="784E1B82" w14:textId="7C9C7281" w:rsidR="003E573C" w:rsidRDefault="003E573C" w:rsidP="003E573C">
      <w:pPr>
        <w:pStyle w:val="Questionstyle"/>
        <w:numPr>
          <w:ilvl w:val="0"/>
          <w:numId w:val="39"/>
        </w:numPr>
      </w:pPr>
      <w:r>
        <w:t xml:space="preserve">: </w:t>
      </w:r>
      <w:r w:rsidR="002A73F1" w:rsidRPr="002A73F1">
        <w:t>Do you agree with the goal of trying to deliver indicators for social and employee matters, r</w:t>
      </w:r>
      <w:r w:rsidR="002A73F1" w:rsidRPr="002A73F1">
        <w:t>e</w:t>
      </w:r>
      <w:r w:rsidR="002A73F1" w:rsidRPr="002A73F1">
        <w:t>spect for human rights, anti-corruption and anti-bribery matters at the same time as the env</w:t>
      </w:r>
      <w:r w:rsidR="002A73F1" w:rsidRPr="002A73F1">
        <w:t>i</w:t>
      </w:r>
      <w:r w:rsidR="002A73F1" w:rsidRPr="002A73F1">
        <w:t>ronmental indicators?</w:t>
      </w:r>
    </w:p>
    <w:p w14:paraId="67823BF7" w14:textId="671B4280" w:rsidR="003E573C" w:rsidRDefault="003E573C" w:rsidP="003E573C">
      <w:pPr>
        <w:rPr>
          <w:rFonts w:cs="Arial"/>
        </w:rPr>
      </w:pPr>
      <w:r>
        <w:rPr>
          <w:rFonts w:cs="Arial"/>
        </w:rPr>
        <w:t>&lt;ESA_QUESTION_</w:t>
      </w:r>
      <w:r w:rsidR="00C86E1C">
        <w:rPr>
          <w:rFonts w:cs="Arial"/>
        </w:rPr>
        <w:t>ESG</w:t>
      </w:r>
      <w:r>
        <w:rPr>
          <w:rFonts w:cs="Arial"/>
        </w:rPr>
        <w:t>_9&gt;</w:t>
      </w:r>
    </w:p>
    <w:p w14:paraId="55434B2F" w14:textId="77777777" w:rsidR="00C12BFD" w:rsidRDefault="00856551" w:rsidP="00C12BFD">
      <w:pPr>
        <w:jc w:val="both"/>
        <w:rPr>
          <w:rFonts w:cs="Arial"/>
        </w:rPr>
      </w:pPr>
      <w:permStart w:id="221670941" w:edGrp="everyone"/>
      <w:r>
        <w:rPr>
          <w:rFonts w:cs="Arial"/>
        </w:rPr>
        <w:t>With a different calendar, these indicators would be ver</w:t>
      </w:r>
      <w:r w:rsidR="007D4118">
        <w:rPr>
          <w:rFonts w:cs="Arial"/>
        </w:rPr>
        <w:t>y</w:t>
      </w:r>
      <w:r>
        <w:rPr>
          <w:rFonts w:cs="Arial"/>
        </w:rPr>
        <w:t xml:space="preserve"> much welcome. But the fact is that c</w:t>
      </w:r>
      <w:r w:rsidRPr="00856551">
        <w:rPr>
          <w:rFonts w:cs="Arial"/>
        </w:rPr>
        <w:t xml:space="preserve">ompliance timeline is extremely short, while data on investee companies is largely unavailable. </w:t>
      </w:r>
      <w:r>
        <w:rPr>
          <w:rFonts w:cs="Arial"/>
        </w:rPr>
        <w:t>Under these complex circumstances, provision of information on these matters should be delayed, in order to align the timelines of ESAs</w:t>
      </w:r>
      <w:r w:rsidR="007D4118">
        <w:rPr>
          <w:rFonts w:cs="Arial"/>
        </w:rPr>
        <w:t xml:space="preserve"> (</w:t>
      </w:r>
      <w:r>
        <w:rPr>
          <w:rFonts w:cs="Arial"/>
        </w:rPr>
        <w:t>to provide relevant indicat</w:t>
      </w:r>
      <w:r w:rsidR="007D4118">
        <w:rPr>
          <w:rFonts w:cs="Arial"/>
        </w:rPr>
        <w:t>o</w:t>
      </w:r>
      <w:r>
        <w:rPr>
          <w:rFonts w:cs="Arial"/>
        </w:rPr>
        <w:t>rs</w:t>
      </w:r>
      <w:r w:rsidR="007D4118">
        <w:rPr>
          <w:rFonts w:cs="Arial"/>
        </w:rPr>
        <w:t>)</w:t>
      </w:r>
      <w:r>
        <w:rPr>
          <w:rFonts w:cs="Arial"/>
        </w:rPr>
        <w:t>, of investee companies (to publish the</w:t>
      </w:r>
      <w:r w:rsidR="007D4118">
        <w:rPr>
          <w:rFonts w:cs="Arial"/>
        </w:rPr>
        <w:t xml:space="preserve"> information to calculate said </w:t>
      </w:r>
      <w:r>
        <w:rPr>
          <w:rFonts w:cs="Arial"/>
        </w:rPr>
        <w:t>indicat</w:t>
      </w:r>
      <w:r w:rsidR="007D4118">
        <w:rPr>
          <w:rFonts w:cs="Arial"/>
        </w:rPr>
        <w:t>o</w:t>
      </w:r>
      <w:r>
        <w:rPr>
          <w:rFonts w:cs="Arial"/>
        </w:rPr>
        <w:t xml:space="preserve">rs) and of market participants (to </w:t>
      </w:r>
      <w:r w:rsidR="007D4118">
        <w:rPr>
          <w:rFonts w:cs="Arial"/>
        </w:rPr>
        <w:t xml:space="preserve">calculate and </w:t>
      </w:r>
      <w:r>
        <w:rPr>
          <w:rFonts w:cs="Arial"/>
        </w:rPr>
        <w:t xml:space="preserve">report </w:t>
      </w:r>
      <w:r w:rsidR="007D4118">
        <w:rPr>
          <w:rFonts w:cs="Arial"/>
        </w:rPr>
        <w:t>the value of these indicators</w:t>
      </w:r>
      <w:r w:rsidR="00C12BFD">
        <w:rPr>
          <w:rFonts w:cs="Arial"/>
        </w:rPr>
        <w:t>.</w:t>
      </w:r>
    </w:p>
    <w:permEnd w:id="221670941"/>
    <w:p w14:paraId="57161E15" w14:textId="0E75B8E8" w:rsidR="003E573C" w:rsidRDefault="003E573C" w:rsidP="003E573C">
      <w:pPr>
        <w:rPr>
          <w:rFonts w:cs="Arial"/>
        </w:rPr>
      </w:pPr>
      <w:r>
        <w:rPr>
          <w:rFonts w:cs="Arial"/>
        </w:rPr>
        <w:t>&lt;ESA_QUESTION_</w:t>
      </w:r>
      <w:r w:rsidR="00C86E1C">
        <w:rPr>
          <w:rFonts w:cs="Arial"/>
        </w:rPr>
        <w:t>ESG</w:t>
      </w:r>
      <w:r>
        <w:rPr>
          <w:rFonts w:cs="Arial"/>
        </w:rPr>
        <w:t>_9&gt;</w:t>
      </w:r>
    </w:p>
    <w:p w14:paraId="068CFC66" w14:textId="77777777" w:rsidR="003E573C" w:rsidRDefault="003E573C" w:rsidP="003E573C">
      <w:pPr>
        <w:rPr>
          <w:rFonts w:cs="Arial"/>
        </w:rPr>
      </w:pPr>
    </w:p>
    <w:p w14:paraId="69BB96B1" w14:textId="6B69127A" w:rsidR="003E573C" w:rsidRDefault="003E573C" w:rsidP="003E573C">
      <w:pPr>
        <w:pStyle w:val="Questionstyle"/>
        <w:numPr>
          <w:ilvl w:val="0"/>
          <w:numId w:val="39"/>
        </w:numPr>
      </w:pPr>
      <w:bookmarkStart w:id="1" w:name="_Hlk18829484"/>
      <w:r>
        <w:t xml:space="preserve">: </w:t>
      </w:r>
      <w:r w:rsidR="002A73F1" w:rsidRPr="002A73F1">
        <w:t>Do you agree with the proposal that financial market participants should provide a historical comparison of principal adverse impact disclosures up to ten years? If not, what timespan would you suggest?</w:t>
      </w:r>
      <w:r w:rsidRPr="00763760">
        <w:t xml:space="preserve"> </w:t>
      </w:r>
      <w:bookmarkEnd w:id="1"/>
    </w:p>
    <w:p w14:paraId="5C90E2A2" w14:textId="6C4211F4" w:rsidR="003E573C" w:rsidRDefault="003E573C" w:rsidP="003E573C">
      <w:pPr>
        <w:rPr>
          <w:rFonts w:cs="Arial"/>
        </w:rPr>
      </w:pPr>
      <w:r>
        <w:rPr>
          <w:rFonts w:cs="Arial"/>
        </w:rPr>
        <w:t>&lt;ESA_QUESTION_</w:t>
      </w:r>
      <w:r w:rsidR="00C86E1C">
        <w:rPr>
          <w:rFonts w:cs="Arial"/>
        </w:rPr>
        <w:t>ESG</w:t>
      </w:r>
      <w:r>
        <w:rPr>
          <w:rFonts w:cs="Arial"/>
        </w:rPr>
        <w:t>_10&gt;</w:t>
      </w:r>
    </w:p>
    <w:p w14:paraId="446A1BA9" w14:textId="7F7F44CF" w:rsidR="00AA453A" w:rsidRPr="00AA453A" w:rsidRDefault="00AA453A" w:rsidP="00AA453A">
      <w:pPr>
        <w:jc w:val="both"/>
        <w:rPr>
          <w:rFonts w:cs="Arial"/>
        </w:rPr>
      </w:pPr>
      <w:permStart w:id="610013876" w:edGrp="everyone"/>
      <w:r w:rsidRPr="00AA453A">
        <w:rPr>
          <w:rFonts w:cs="Arial"/>
        </w:rPr>
        <w:t xml:space="preserve">The </w:t>
      </w:r>
      <w:r>
        <w:rPr>
          <w:rFonts w:cs="Arial"/>
        </w:rPr>
        <w:t xml:space="preserve">draft </w:t>
      </w:r>
      <w:r w:rsidRPr="00AA453A">
        <w:rPr>
          <w:rFonts w:cs="Arial"/>
        </w:rPr>
        <w:t>RTS require presenting a historical comparison of the</w:t>
      </w:r>
      <w:r>
        <w:rPr>
          <w:rFonts w:cs="Arial"/>
        </w:rPr>
        <w:t xml:space="preserve"> principal </w:t>
      </w:r>
      <w:r w:rsidRPr="00AA453A">
        <w:rPr>
          <w:rFonts w:cs="Arial"/>
        </w:rPr>
        <w:t>adverse i</w:t>
      </w:r>
      <w:r>
        <w:rPr>
          <w:rFonts w:cs="Arial"/>
        </w:rPr>
        <w:t xml:space="preserve">mpact </w:t>
      </w:r>
      <w:r w:rsidRPr="00AA453A">
        <w:rPr>
          <w:rFonts w:cs="Arial"/>
        </w:rPr>
        <w:t xml:space="preserve">indicators up to a maximum of 10 years. It should be noted that this </w:t>
      </w:r>
      <w:r>
        <w:rPr>
          <w:rFonts w:cs="Arial"/>
        </w:rPr>
        <w:t>provision</w:t>
      </w:r>
      <w:r w:rsidRPr="00AA453A">
        <w:rPr>
          <w:rFonts w:cs="Arial"/>
        </w:rPr>
        <w:t xml:space="preserve"> goes beyond </w:t>
      </w:r>
      <w:r>
        <w:rPr>
          <w:rFonts w:cs="Arial"/>
        </w:rPr>
        <w:t xml:space="preserve">the content of </w:t>
      </w:r>
      <w:r w:rsidRPr="00AA453A">
        <w:rPr>
          <w:rFonts w:cs="Arial"/>
        </w:rPr>
        <w:t>the SFDR Level 1 text, which makes no reference to providing a historical comparison.</w:t>
      </w:r>
    </w:p>
    <w:p w14:paraId="35B3EADA" w14:textId="77777777" w:rsidR="00AA453A" w:rsidRPr="00AA453A" w:rsidRDefault="00AA453A" w:rsidP="00AA453A">
      <w:pPr>
        <w:jc w:val="both"/>
        <w:rPr>
          <w:rFonts w:cs="Arial"/>
        </w:rPr>
      </w:pPr>
    </w:p>
    <w:p w14:paraId="52457979" w14:textId="5BF283EF" w:rsidR="00AA453A" w:rsidRPr="00AA453A" w:rsidRDefault="00AA453A" w:rsidP="00AA453A">
      <w:pPr>
        <w:jc w:val="both"/>
        <w:rPr>
          <w:rFonts w:cs="Arial"/>
        </w:rPr>
      </w:pPr>
      <w:r w:rsidRPr="00AA453A">
        <w:rPr>
          <w:rFonts w:cs="Arial"/>
        </w:rPr>
        <w:t xml:space="preserve">Furthermore, this Committee considers that </w:t>
      </w:r>
      <w:r>
        <w:rPr>
          <w:rFonts w:cs="Arial"/>
        </w:rPr>
        <w:t xml:space="preserve">certain </w:t>
      </w:r>
      <w:r w:rsidRPr="00AA453A">
        <w:rPr>
          <w:rFonts w:cs="Arial"/>
        </w:rPr>
        <w:t>historical figures do not provide any useful information to investors on the actual impact of investments. For example, if the carbon footprint of investments d</w:t>
      </w:r>
      <w:r w:rsidRPr="00AA453A">
        <w:rPr>
          <w:rFonts w:cs="Arial"/>
        </w:rPr>
        <w:t>e</w:t>
      </w:r>
      <w:r w:rsidRPr="00AA453A">
        <w:rPr>
          <w:rFonts w:cs="Arial"/>
        </w:rPr>
        <w:t>creases but assets under management increase, the reported impact will increase year after year.</w:t>
      </w:r>
    </w:p>
    <w:p w14:paraId="4E51ED59" w14:textId="77777777" w:rsidR="00AA453A" w:rsidRPr="00AA453A" w:rsidRDefault="00AA453A" w:rsidP="00AA453A">
      <w:pPr>
        <w:jc w:val="both"/>
        <w:rPr>
          <w:rFonts w:cs="Arial"/>
        </w:rPr>
      </w:pPr>
    </w:p>
    <w:p w14:paraId="40F05C94" w14:textId="1E4FBBF5" w:rsidR="003E573C" w:rsidRDefault="00AA453A" w:rsidP="003E573C">
      <w:pPr>
        <w:rPr>
          <w:rFonts w:cs="Arial"/>
        </w:rPr>
      </w:pPr>
      <w:r w:rsidRPr="00AA453A">
        <w:rPr>
          <w:rFonts w:cs="Arial"/>
        </w:rPr>
        <w:t>If the historical comparison is to be maintained, a reasonable period to consider would be 3 to 5 years and would better reflect the sustainability of invested companies, especially companies in transition.</w:t>
      </w:r>
      <w:r>
        <w:rPr>
          <w:rFonts w:cs="Arial"/>
        </w:rPr>
        <w:t xml:space="preserve"> </w:t>
      </w:r>
      <w:permEnd w:id="610013876"/>
      <w:r w:rsidR="003E573C">
        <w:rPr>
          <w:rFonts w:cs="Arial"/>
        </w:rPr>
        <w:t>&lt;ESA_QUESTION_</w:t>
      </w:r>
      <w:r w:rsidR="00C86E1C">
        <w:rPr>
          <w:rFonts w:cs="Arial"/>
        </w:rPr>
        <w:t>ESG</w:t>
      </w:r>
      <w:r w:rsidR="003E573C">
        <w:rPr>
          <w:rFonts w:cs="Arial"/>
        </w:rPr>
        <w:t>_10&gt;</w:t>
      </w:r>
    </w:p>
    <w:p w14:paraId="601C7E78" w14:textId="77777777" w:rsidR="003E573C" w:rsidRDefault="003E573C" w:rsidP="003E573C">
      <w:pPr>
        <w:rPr>
          <w:rFonts w:cs="Arial"/>
        </w:rPr>
      </w:pPr>
    </w:p>
    <w:p w14:paraId="402CA03A" w14:textId="74A6821D" w:rsidR="003E573C" w:rsidRDefault="003E573C" w:rsidP="003E573C">
      <w:pPr>
        <w:pStyle w:val="Questionstyle"/>
        <w:numPr>
          <w:ilvl w:val="0"/>
          <w:numId w:val="39"/>
        </w:numPr>
      </w:pPr>
      <w:r>
        <w:t xml:space="preserve">: </w:t>
      </w:r>
      <w:r w:rsidR="002A73F1" w:rsidRPr="002A73F1">
        <w:t>Are there any ways to discourage potential “window dressing” techniques in the principal a</w:t>
      </w:r>
      <w:r w:rsidR="002A73F1" w:rsidRPr="002A73F1">
        <w:t>d</w:t>
      </w:r>
      <w:r w:rsidR="002A73F1" w:rsidRPr="002A73F1">
        <w:t>verse impact reporting? Should the ESAs consider harmonising the methodology and timing of reporting across the reference period, e.g. on what dates the composition of investments must be taken into account? If not, what alternative would you suggest to curtail window dressing techniques?</w:t>
      </w:r>
    </w:p>
    <w:p w14:paraId="0B0BBAB9" w14:textId="4260C65C" w:rsidR="003E573C" w:rsidRDefault="003E573C" w:rsidP="003E573C">
      <w:pPr>
        <w:rPr>
          <w:rFonts w:cs="Arial"/>
        </w:rPr>
      </w:pPr>
      <w:r>
        <w:rPr>
          <w:rFonts w:cs="Arial"/>
        </w:rPr>
        <w:t>&lt;ESA_QUESTION_</w:t>
      </w:r>
      <w:r w:rsidR="00C86E1C">
        <w:rPr>
          <w:rFonts w:cs="Arial"/>
        </w:rPr>
        <w:t>ESG</w:t>
      </w:r>
      <w:r>
        <w:rPr>
          <w:rFonts w:cs="Arial"/>
        </w:rPr>
        <w:t>_11&gt;</w:t>
      </w:r>
    </w:p>
    <w:p w14:paraId="2C9CF173" w14:textId="497DC842" w:rsidR="00856551" w:rsidRDefault="00856551" w:rsidP="00B526C9">
      <w:pPr>
        <w:jc w:val="both"/>
        <w:rPr>
          <w:rFonts w:cs="Arial"/>
        </w:rPr>
      </w:pPr>
      <w:permStart w:id="790175202" w:edGrp="everyone"/>
      <w:r>
        <w:rPr>
          <w:rFonts w:cs="Arial"/>
        </w:rPr>
        <w:lastRenderedPageBreak/>
        <w:t>As explained in previous answers, w</w:t>
      </w:r>
      <w:r w:rsidRPr="00856551">
        <w:rPr>
          <w:rFonts w:cs="Arial"/>
        </w:rPr>
        <w:t>e</w:t>
      </w:r>
      <w:r>
        <w:rPr>
          <w:rFonts w:cs="Arial"/>
        </w:rPr>
        <w:t xml:space="preserve"> </w:t>
      </w:r>
      <w:r w:rsidRPr="00856551">
        <w:rPr>
          <w:rFonts w:cs="Arial"/>
        </w:rPr>
        <w:t>believe that the approach proposed by ESAs is already overly prescriptive and is not likely to result in meaningful and useful disclosures to end-investors. We</w:t>
      </w:r>
      <w:r>
        <w:rPr>
          <w:rFonts w:cs="Arial"/>
        </w:rPr>
        <w:t>’d</w:t>
      </w:r>
      <w:r w:rsidRPr="00856551">
        <w:rPr>
          <w:rFonts w:cs="Arial"/>
        </w:rPr>
        <w:t xml:space="preserve"> strongly su</w:t>
      </w:r>
      <w:r>
        <w:rPr>
          <w:rFonts w:cs="Arial"/>
        </w:rPr>
        <w:t xml:space="preserve">pport </w:t>
      </w:r>
      <w:r w:rsidRPr="00856551">
        <w:rPr>
          <w:rFonts w:cs="Arial"/>
        </w:rPr>
        <w:t>a more flexible approach.</w:t>
      </w:r>
    </w:p>
    <w:permEnd w:id="790175202"/>
    <w:p w14:paraId="140C09C0" w14:textId="3609AF75" w:rsidR="003E573C" w:rsidRDefault="003E573C" w:rsidP="003E573C">
      <w:pPr>
        <w:rPr>
          <w:rFonts w:cs="Arial"/>
        </w:rPr>
      </w:pPr>
      <w:r>
        <w:rPr>
          <w:rFonts w:cs="Arial"/>
        </w:rPr>
        <w:t>&lt;ESA_QUESTION_</w:t>
      </w:r>
      <w:r w:rsidR="00C86E1C">
        <w:rPr>
          <w:rFonts w:cs="Arial"/>
        </w:rPr>
        <w:t>ESG</w:t>
      </w:r>
      <w:r>
        <w:rPr>
          <w:rFonts w:cs="Arial"/>
        </w:rPr>
        <w:t>_11&gt;</w:t>
      </w:r>
    </w:p>
    <w:p w14:paraId="2CDEB4F0" w14:textId="77777777" w:rsidR="003E573C" w:rsidRDefault="003E573C" w:rsidP="003E573C">
      <w:pPr>
        <w:rPr>
          <w:rFonts w:cs="Arial"/>
        </w:rPr>
      </w:pPr>
    </w:p>
    <w:p w14:paraId="76D018C7" w14:textId="48A3259C" w:rsidR="003E573C" w:rsidRDefault="003E573C" w:rsidP="003E573C">
      <w:pPr>
        <w:pStyle w:val="Questionstyle"/>
        <w:numPr>
          <w:ilvl w:val="0"/>
          <w:numId w:val="39"/>
        </w:numPr>
      </w:pPr>
      <w:r>
        <w:t xml:space="preserve">: </w:t>
      </w:r>
      <w:r w:rsidR="002A73F1" w:rsidRPr="002A73F1">
        <w:t>Do you agree with the approach to have mandatory (1) pre-contractual and (2) periodic te</w:t>
      </w:r>
      <w:r w:rsidR="002A73F1" w:rsidRPr="002A73F1">
        <w:t>m</w:t>
      </w:r>
      <w:r w:rsidR="002A73F1" w:rsidRPr="002A73F1">
        <w:t>plates for financial products?</w:t>
      </w:r>
    </w:p>
    <w:p w14:paraId="28536FF9" w14:textId="23342845" w:rsidR="003E573C" w:rsidRDefault="003E573C" w:rsidP="003E573C">
      <w:pPr>
        <w:rPr>
          <w:rFonts w:cs="Arial"/>
        </w:rPr>
      </w:pPr>
      <w:r>
        <w:rPr>
          <w:rFonts w:cs="Arial"/>
        </w:rPr>
        <w:t>&lt;ESA_QUESTION_</w:t>
      </w:r>
      <w:r w:rsidR="00C86E1C">
        <w:rPr>
          <w:rFonts w:cs="Arial"/>
        </w:rPr>
        <w:t>ESG</w:t>
      </w:r>
      <w:r>
        <w:rPr>
          <w:rFonts w:cs="Arial"/>
        </w:rPr>
        <w:t>_12&gt;</w:t>
      </w:r>
    </w:p>
    <w:p w14:paraId="23FB69AB" w14:textId="4B8B8DB6" w:rsidR="003E573C" w:rsidRDefault="0098090A" w:rsidP="00B526C9">
      <w:pPr>
        <w:jc w:val="both"/>
        <w:rPr>
          <w:rFonts w:cs="Arial"/>
        </w:rPr>
      </w:pPr>
      <w:permStart w:id="800330460" w:edGrp="everyone"/>
      <w:r w:rsidRPr="0098090A">
        <w:rPr>
          <w:rFonts w:cs="Arial"/>
        </w:rPr>
        <w:t xml:space="preserve">We acknowledge the usefulness of the </w:t>
      </w:r>
      <w:r>
        <w:rPr>
          <w:rFonts w:cs="Arial"/>
        </w:rPr>
        <w:t>templates</w:t>
      </w:r>
      <w:r w:rsidRPr="0098090A">
        <w:rPr>
          <w:rFonts w:cs="Arial"/>
        </w:rPr>
        <w:t xml:space="preserve">, both in order to facilitate comparability and to allow a better understanding by the recipients of the expected </w:t>
      </w:r>
      <w:r>
        <w:rPr>
          <w:rFonts w:cs="Arial"/>
        </w:rPr>
        <w:t>outcome,</w:t>
      </w:r>
      <w:r w:rsidRPr="0098090A">
        <w:rPr>
          <w:rFonts w:cs="Arial"/>
        </w:rPr>
        <w:t xml:space="preserve"> although we believe that the most appr</w:t>
      </w:r>
      <w:r w:rsidRPr="0098090A">
        <w:rPr>
          <w:rFonts w:cs="Arial"/>
        </w:rPr>
        <w:t>o</w:t>
      </w:r>
      <w:r w:rsidRPr="0098090A">
        <w:rPr>
          <w:rFonts w:cs="Arial"/>
        </w:rPr>
        <w:t xml:space="preserve">priate approach should be that of their voluntary employment, </w:t>
      </w:r>
      <w:r>
        <w:rPr>
          <w:rFonts w:cs="Arial"/>
        </w:rPr>
        <w:t>at</w:t>
      </w:r>
      <w:r w:rsidRPr="0098090A">
        <w:rPr>
          <w:rFonts w:cs="Arial"/>
        </w:rPr>
        <w:t xml:space="preserve"> least in this first </w:t>
      </w:r>
      <w:r>
        <w:rPr>
          <w:rFonts w:cs="Arial"/>
        </w:rPr>
        <w:t>stage.</w:t>
      </w:r>
    </w:p>
    <w:permEnd w:id="800330460"/>
    <w:p w14:paraId="7F118029" w14:textId="5F06E72C" w:rsidR="003E573C" w:rsidRDefault="003E573C" w:rsidP="003E573C">
      <w:pPr>
        <w:rPr>
          <w:rFonts w:cs="Arial"/>
        </w:rPr>
      </w:pPr>
      <w:r>
        <w:rPr>
          <w:rFonts w:cs="Arial"/>
        </w:rPr>
        <w:t>&lt;ESA_QUESTION_</w:t>
      </w:r>
      <w:r w:rsidR="00C86E1C">
        <w:rPr>
          <w:rFonts w:cs="Arial"/>
        </w:rPr>
        <w:t>ESG</w:t>
      </w:r>
      <w:r>
        <w:rPr>
          <w:rFonts w:cs="Arial"/>
        </w:rPr>
        <w:t>_12&gt;</w:t>
      </w:r>
    </w:p>
    <w:p w14:paraId="5D6EAA31" w14:textId="77777777" w:rsidR="003E573C" w:rsidRDefault="003E573C" w:rsidP="003E573C">
      <w:pPr>
        <w:rPr>
          <w:rFonts w:cs="Arial"/>
        </w:rPr>
      </w:pPr>
    </w:p>
    <w:p w14:paraId="7983F908" w14:textId="50BC38BE" w:rsidR="003E573C" w:rsidRDefault="003E573C" w:rsidP="003E573C">
      <w:pPr>
        <w:pStyle w:val="Questionstyle"/>
        <w:numPr>
          <w:ilvl w:val="0"/>
          <w:numId w:val="39"/>
        </w:numPr>
      </w:pPr>
      <w:r>
        <w:t xml:space="preserve">: </w:t>
      </w:r>
      <w:r w:rsidR="002A73F1" w:rsidRPr="002A73F1">
        <w:t>If the ESAs develop such pre-contractual and periodic templates, what elements should the ESAs include and how should they be formatted?</w:t>
      </w:r>
    </w:p>
    <w:p w14:paraId="56F5A2F0" w14:textId="619A0097" w:rsidR="003E573C" w:rsidRDefault="003E573C" w:rsidP="003E573C">
      <w:pPr>
        <w:rPr>
          <w:rFonts w:cs="Arial"/>
        </w:rPr>
      </w:pPr>
      <w:r>
        <w:rPr>
          <w:rFonts w:cs="Arial"/>
        </w:rPr>
        <w:t>&lt;ESA_QUESTION_</w:t>
      </w:r>
      <w:r w:rsidR="00C86E1C">
        <w:rPr>
          <w:rFonts w:cs="Arial"/>
        </w:rPr>
        <w:t>ESG</w:t>
      </w:r>
      <w:r>
        <w:rPr>
          <w:rFonts w:cs="Arial"/>
        </w:rPr>
        <w:t>_13&gt;</w:t>
      </w:r>
    </w:p>
    <w:p w14:paraId="720785F5" w14:textId="1ABB88F5" w:rsidR="000F1D68" w:rsidRDefault="000F1D68" w:rsidP="00B526C9">
      <w:pPr>
        <w:jc w:val="both"/>
        <w:rPr>
          <w:rFonts w:cs="Arial"/>
        </w:rPr>
      </w:pPr>
      <w:permStart w:id="1179406826" w:edGrp="everyone"/>
      <w:r w:rsidRPr="000F1D68">
        <w:rPr>
          <w:rFonts w:cs="Arial"/>
        </w:rPr>
        <w:t xml:space="preserve">In our opinion, the content of the </w:t>
      </w:r>
      <w:r>
        <w:rPr>
          <w:rFonts w:cs="Arial"/>
        </w:rPr>
        <w:t>templates</w:t>
      </w:r>
      <w:r w:rsidRPr="000F1D68">
        <w:rPr>
          <w:rFonts w:cs="Arial"/>
        </w:rPr>
        <w:t xml:space="preserve"> can hardly be described in this answer</w:t>
      </w:r>
      <w:r>
        <w:rPr>
          <w:rFonts w:cs="Arial"/>
        </w:rPr>
        <w:t>. G</w:t>
      </w:r>
      <w:r w:rsidRPr="000F1D68">
        <w:rPr>
          <w:rFonts w:cs="Arial"/>
        </w:rPr>
        <w:t xml:space="preserve">iven the objective of facilitating the investor's understanding of the investment in terms of </w:t>
      </w:r>
      <w:r>
        <w:rPr>
          <w:rFonts w:cs="Arial"/>
        </w:rPr>
        <w:t>ESG considerations</w:t>
      </w:r>
      <w:r w:rsidRPr="000F1D68">
        <w:rPr>
          <w:rFonts w:cs="Arial"/>
        </w:rPr>
        <w:t>, before its real</w:t>
      </w:r>
      <w:r w:rsidRPr="000F1D68">
        <w:rPr>
          <w:rFonts w:cs="Arial"/>
        </w:rPr>
        <w:t>i</w:t>
      </w:r>
      <w:r w:rsidRPr="000F1D68">
        <w:rPr>
          <w:rFonts w:cs="Arial"/>
        </w:rPr>
        <w:t xml:space="preserve">zation and during its maintenance, we consider that the content of the </w:t>
      </w:r>
      <w:r>
        <w:rPr>
          <w:rFonts w:cs="Arial"/>
        </w:rPr>
        <w:t>templates</w:t>
      </w:r>
      <w:r w:rsidRPr="000F1D68">
        <w:rPr>
          <w:rFonts w:cs="Arial"/>
        </w:rPr>
        <w:t xml:space="preserve"> should be the result of an exhaustive analysis, based on a draft template on which the opinion of the recipients of the information</w:t>
      </w:r>
      <w:r>
        <w:rPr>
          <w:rFonts w:cs="Arial"/>
        </w:rPr>
        <w:t xml:space="preserve"> and of the market participants </w:t>
      </w:r>
      <w:r w:rsidRPr="000F1D68">
        <w:rPr>
          <w:rFonts w:cs="Arial"/>
        </w:rPr>
        <w:t>is collected.</w:t>
      </w:r>
    </w:p>
    <w:permEnd w:id="1179406826"/>
    <w:p w14:paraId="39C16C25" w14:textId="60F6AAE9" w:rsidR="003E573C" w:rsidRDefault="003E573C" w:rsidP="003E573C">
      <w:pPr>
        <w:rPr>
          <w:rFonts w:cs="Arial"/>
        </w:rPr>
      </w:pPr>
      <w:r>
        <w:rPr>
          <w:rFonts w:cs="Arial"/>
        </w:rPr>
        <w:t>&lt;ESA_QUESTION_</w:t>
      </w:r>
      <w:r w:rsidR="00C86E1C">
        <w:rPr>
          <w:rFonts w:cs="Arial"/>
        </w:rPr>
        <w:t>ESG</w:t>
      </w:r>
      <w:r>
        <w:rPr>
          <w:rFonts w:cs="Arial"/>
        </w:rPr>
        <w:t>_13&gt;</w:t>
      </w:r>
    </w:p>
    <w:p w14:paraId="4C5E99F0" w14:textId="77777777" w:rsidR="003E573C" w:rsidRDefault="003E573C" w:rsidP="003E573C">
      <w:pPr>
        <w:rPr>
          <w:rFonts w:cs="Arial"/>
        </w:rPr>
      </w:pPr>
    </w:p>
    <w:p w14:paraId="64446580" w14:textId="7F73C6BF" w:rsidR="003E573C" w:rsidRDefault="003E573C" w:rsidP="003E573C">
      <w:pPr>
        <w:pStyle w:val="Questionstyle"/>
        <w:numPr>
          <w:ilvl w:val="0"/>
          <w:numId w:val="39"/>
        </w:numPr>
      </w:pPr>
      <w:r>
        <w:t xml:space="preserve">: </w:t>
      </w:r>
      <w:r w:rsidR="002A73F1" w:rsidRPr="002A73F1">
        <w:t>If you do not agree with harmonised reporting templates for financial products, please su</w:t>
      </w:r>
      <w:r w:rsidR="002A73F1" w:rsidRPr="002A73F1">
        <w:t>g</w:t>
      </w:r>
      <w:r w:rsidR="002A73F1" w:rsidRPr="002A73F1">
        <w:t>gest what other approach you would propose that would ensure comparability between pro</w:t>
      </w:r>
      <w:r w:rsidR="002A73F1" w:rsidRPr="002A73F1">
        <w:t>d</w:t>
      </w:r>
      <w:r w:rsidR="002A73F1" w:rsidRPr="002A73F1">
        <w:t>ucts.</w:t>
      </w:r>
    </w:p>
    <w:p w14:paraId="2EF6CD1F" w14:textId="378E184E" w:rsidR="003E573C" w:rsidRDefault="003E573C" w:rsidP="003E573C">
      <w:pPr>
        <w:rPr>
          <w:rFonts w:cs="Arial"/>
        </w:rPr>
      </w:pPr>
      <w:r>
        <w:rPr>
          <w:rFonts w:cs="Arial"/>
        </w:rPr>
        <w:t>&lt;ESA_QUESTION_</w:t>
      </w:r>
      <w:r w:rsidR="00C86E1C">
        <w:rPr>
          <w:rFonts w:cs="Arial"/>
        </w:rPr>
        <w:t>ESG</w:t>
      </w:r>
      <w:r>
        <w:rPr>
          <w:rFonts w:cs="Arial"/>
        </w:rPr>
        <w:t>_14&gt;</w:t>
      </w:r>
    </w:p>
    <w:p w14:paraId="4D27EE23" w14:textId="193ACF70" w:rsidR="003E573C" w:rsidRPr="00E83293" w:rsidRDefault="00E83293" w:rsidP="003E573C">
      <w:pPr>
        <w:rPr>
          <w:rFonts w:cs="Arial"/>
          <w:lang w:val="es-ES"/>
        </w:rPr>
      </w:pPr>
      <w:permStart w:id="1646396141" w:edGrp="everyone"/>
      <w:r w:rsidRPr="00E83293">
        <w:rPr>
          <w:rFonts w:cs="Arial"/>
          <w:lang w:val="es-ES"/>
        </w:rPr>
        <w:t>N/A</w:t>
      </w:r>
    </w:p>
    <w:permEnd w:id="1646396141"/>
    <w:p w14:paraId="0FE78052" w14:textId="02AEED75" w:rsidR="003E573C" w:rsidRDefault="003E573C" w:rsidP="003E573C">
      <w:pPr>
        <w:rPr>
          <w:rFonts w:cs="Arial"/>
        </w:rPr>
      </w:pPr>
      <w:r>
        <w:rPr>
          <w:rFonts w:cs="Arial"/>
        </w:rPr>
        <w:t>&lt;ESA_QUESTION_</w:t>
      </w:r>
      <w:r w:rsidR="00C86E1C">
        <w:rPr>
          <w:rFonts w:cs="Arial"/>
        </w:rPr>
        <w:t>ESG</w:t>
      </w:r>
      <w:r>
        <w:rPr>
          <w:rFonts w:cs="Arial"/>
        </w:rPr>
        <w:t>_14&gt;</w:t>
      </w:r>
    </w:p>
    <w:p w14:paraId="3F3287D4" w14:textId="77777777" w:rsidR="003E573C" w:rsidRDefault="003E573C" w:rsidP="003E573C">
      <w:pPr>
        <w:rPr>
          <w:rFonts w:cs="Arial"/>
        </w:rPr>
      </w:pPr>
    </w:p>
    <w:p w14:paraId="1091B925" w14:textId="47FA8968" w:rsidR="003E573C" w:rsidRDefault="003E573C" w:rsidP="003E573C">
      <w:pPr>
        <w:pStyle w:val="Questionstyle"/>
        <w:numPr>
          <w:ilvl w:val="0"/>
          <w:numId w:val="39"/>
        </w:numPr>
      </w:pPr>
      <w:r>
        <w:t xml:space="preserve">: </w:t>
      </w:r>
      <w:r w:rsidR="002A73F1" w:rsidRPr="002A73F1">
        <w:t>Do you agree with the balance of information between pre-contractual and website info</w:t>
      </w:r>
      <w:r w:rsidR="002A73F1" w:rsidRPr="002A73F1">
        <w:t>r</w:t>
      </w:r>
      <w:r w:rsidR="002A73F1" w:rsidRPr="002A73F1">
        <w:t>mation requirements? Apart from the items listed under Questions 25 and 26, is there an</w:t>
      </w:r>
      <w:r w:rsidR="002A73F1" w:rsidRPr="002A73F1">
        <w:t>y</w:t>
      </w:r>
      <w:r w:rsidR="002A73F1" w:rsidRPr="002A73F1">
        <w:t>thing you would add or subtract from these proposals?</w:t>
      </w:r>
    </w:p>
    <w:p w14:paraId="41786DD9" w14:textId="07ADD6ED" w:rsidR="003E573C" w:rsidRDefault="003E573C" w:rsidP="003E573C">
      <w:pPr>
        <w:rPr>
          <w:rFonts w:cs="Arial"/>
        </w:rPr>
      </w:pPr>
      <w:r>
        <w:rPr>
          <w:rFonts w:cs="Arial"/>
        </w:rPr>
        <w:t>&lt;ESA_QUESTION_</w:t>
      </w:r>
      <w:r w:rsidR="00C86E1C">
        <w:rPr>
          <w:rFonts w:cs="Arial"/>
        </w:rPr>
        <w:t>ESG</w:t>
      </w:r>
      <w:r>
        <w:rPr>
          <w:rFonts w:cs="Arial"/>
        </w:rPr>
        <w:t>_15&gt;</w:t>
      </w:r>
    </w:p>
    <w:p w14:paraId="464C28A6" w14:textId="77777777" w:rsidR="00C12BFD" w:rsidRDefault="003826D3" w:rsidP="00C12BFD">
      <w:pPr>
        <w:jc w:val="both"/>
        <w:rPr>
          <w:rFonts w:cs="Arial"/>
        </w:rPr>
      </w:pPr>
      <w:permStart w:id="1271138379" w:edGrp="everyone"/>
      <w:r w:rsidRPr="003826D3">
        <w:rPr>
          <w:rFonts w:cs="Arial"/>
        </w:rPr>
        <w:t>We consider th</w:t>
      </w:r>
      <w:r>
        <w:rPr>
          <w:rFonts w:cs="Arial"/>
        </w:rPr>
        <w:t>at the amount of information required is excessive and goes beyond what is required at level 1. Said that, if this approach is to be maintained, the Committee prefers that the overload of info</w:t>
      </w:r>
      <w:r>
        <w:rPr>
          <w:rFonts w:cs="Arial"/>
        </w:rPr>
        <w:t>r</w:t>
      </w:r>
      <w:r>
        <w:rPr>
          <w:rFonts w:cs="Arial"/>
        </w:rPr>
        <w:t>mation affects to the website information rather than to the pre-contractual information</w:t>
      </w:r>
      <w:r w:rsidR="00C12BFD">
        <w:rPr>
          <w:rFonts w:cs="Arial"/>
        </w:rPr>
        <w:t>.</w:t>
      </w:r>
    </w:p>
    <w:permEnd w:id="1271138379"/>
    <w:p w14:paraId="5A098E3E" w14:textId="22843E06" w:rsidR="003E573C" w:rsidRDefault="003E573C" w:rsidP="003E573C">
      <w:pPr>
        <w:rPr>
          <w:rFonts w:cs="Arial"/>
        </w:rPr>
      </w:pPr>
      <w:r>
        <w:rPr>
          <w:rFonts w:cs="Arial"/>
        </w:rPr>
        <w:t>&lt;ESA_QUESTION_</w:t>
      </w:r>
      <w:r w:rsidR="00C86E1C">
        <w:rPr>
          <w:rFonts w:cs="Arial"/>
        </w:rPr>
        <w:t>ESG</w:t>
      </w:r>
      <w:r>
        <w:rPr>
          <w:rFonts w:cs="Arial"/>
        </w:rPr>
        <w:t>_15&gt;</w:t>
      </w:r>
    </w:p>
    <w:p w14:paraId="3BA2B6C4" w14:textId="77777777" w:rsidR="003E573C" w:rsidRDefault="003E573C" w:rsidP="003E573C">
      <w:pPr>
        <w:rPr>
          <w:rFonts w:cs="Arial"/>
        </w:rPr>
      </w:pPr>
    </w:p>
    <w:p w14:paraId="6C4A59AA" w14:textId="241CEA66" w:rsidR="003E573C" w:rsidRDefault="003E573C" w:rsidP="003E573C">
      <w:pPr>
        <w:pStyle w:val="Questionstyle"/>
        <w:numPr>
          <w:ilvl w:val="0"/>
          <w:numId w:val="39"/>
        </w:numPr>
      </w:pPr>
      <w:r>
        <w:t xml:space="preserve">: </w:t>
      </w:r>
      <w:r w:rsidR="002A73F1" w:rsidRPr="002A73F1">
        <w:t>Do you think the differences between Article 8 and Article 9 products are sufficiently well captured by the proposed provisions? If not, please suggest how the disclosures could be fu</w:t>
      </w:r>
      <w:r w:rsidR="002A73F1" w:rsidRPr="002A73F1">
        <w:t>r</w:t>
      </w:r>
      <w:r w:rsidR="002A73F1" w:rsidRPr="002A73F1">
        <w:t>ther distinguished.</w:t>
      </w:r>
    </w:p>
    <w:p w14:paraId="7B5EAE23" w14:textId="6B08695F" w:rsidR="003E573C" w:rsidRDefault="003E573C" w:rsidP="003E573C">
      <w:pPr>
        <w:rPr>
          <w:rFonts w:cs="Arial"/>
        </w:rPr>
      </w:pPr>
      <w:r>
        <w:rPr>
          <w:rFonts w:cs="Arial"/>
        </w:rPr>
        <w:t>&lt;ESA_QUESTION_</w:t>
      </w:r>
      <w:r w:rsidR="00C86E1C">
        <w:rPr>
          <w:rFonts w:cs="Arial"/>
        </w:rPr>
        <w:t>ESG</w:t>
      </w:r>
      <w:r>
        <w:rPr>
          <w:rFonts w:cs="Arial"/>
        </w:rPr>
        <w:t>_16&gt;</w:t>
      </w:r>
    </w:p>
    <w:p w14:paraId="7A4B7DC1" w14:textId="3878ED47" w:rsidR="003E573C" w:rsidRPr="00AC3EBB" w:rsidRDefault="00AC3EBB" w:rsidP="003E573C">
      <w:pPr>
        <w:rPr>
          <w:rFonts w:cs="Arial"/>
          <w:lang w:val="en-US"/>
        </w:rPr>
      </w:pPr>
      <w:permStart w:id="739535953" w:edGrp="everyone"/>
      <w:r w:rsidRPr="00AC3EBB">
        <w:rPr>
          <w:rFonts w:cs="Arial"/>
          <w:lang w:val="en-US"/>
        </w:rPr>
        <w:t>Differences between Article 8 and A</w:t>
      </w:r>
      <w:r>
        <w:rPr>
          <w:rFonts w:cs="Arial"/>
          <w:lang w:val="en-US"/>
        </w:rPr>
        <w:t xml:space="preserve">rticle 9 products are not clear from a conceptual point of view and, as consequence, not being clear the definitions, hardly could be </w:t>
      </w:r>
      <w:r w:rsidR="003826D3">
        <w:rPr>
          <w:rFonts w:cs="Arial"/>
          <w:lang w:val="en-US"/>
        </w:rPr>
        <w:t xml:space="preserve">clear </w:t>
      </w:r>
      <w:r>
        <w:rPr>
          <w:rFonts w:cs="Arial"/>
          <w:lang w:val="en-US"/>
        </w:rPr>
        <w:t xml:space="preserve">the </w:t>
      </w:r>
      <w:r w:rsidR="00E83293">
        <w:rPr>
          <w:rFonts w:cs="Arial"/>
          <w:lang w:val="en-US"/>
        </w:rPr>
        <w:t>i</w:t>
      </w:r>
      <w:r>
        <w:rPr>
          <w:rFonts w:cs="Arial"/>
          <w:lang w:val="en-US"/>
        </w:rPr>
        <w:t>nform</w:t>
      </w:r>
      <w:r w:rsidR="00E83293">
        <w:rPr>
          <w:rFonts w:cs="Arial"/>
          <w:lang w:val="en-US"/>
        </w:rPr>
        <w:t>a</w:t>
      </w:r>
      <w:r>
        <w:rPr>
          <w:rFonts w:cs="Arial"/>
          <w:lang w:val="en-US"/>
        </w:rPr>
        <w:t>tion to provide about them.</w:t>
      </w:r>
      <w:r w:rsidR="00E83293">
        <w:rPr>
          <w:rFonts w:cs="Arial"/>
          <w:lang w:val="en-US"/>
        </w:rPr>
        <w:t xml:space="preserve"> </w:t>
      </w:r>
      <w:r>
        <w:rPr>
          <w:rFonts w:cs="Arial"/>
          <w:lang w:val="en-US"/>
        </w:rPr>
        <w:t xml:space="preserve">In this sense, </w:t>
      </w:r>
      <w:r w:rsidR="003826D3">
        <w:rPr>
          <w:rFonts w:cs="Arial"/>
          <w:lang w:val="en-US"/>
        </w:rPr>
        <w:t>u</w:t>
      </w:r>
      <w:r w:rsidR="003826D3" w:rsidRPr="003826D3">
        <w:rPr>
          <w:rFonts w:cs="Arial"/>
          <w:lang w:val="en-US"/>
        </w:rPr>
        <w:t xml:space="preserve">nivocal definitions </w:t>
      </w:r>
      <w:r w:rsidR="003826D3">
        <w:rPr>
          <w:rFonts w:cs="Arial"/>
          <w:lang w:val="en-US"/>
        </w:rPr>
        <w:t xml:space="preserve">and full alignment among regulations </w:t>
      </w:r>
      <w:r w:rsidR="003826D3" w:rsidRPr="003826D3">
        <w:rPr>
          <w:rFonts w:cs="Arial"/>
          <w:lang w:val="en-US"/>
        </w:rPr>
        <w:t>are essential</w:t>
      </w:r>
    </w:p>
    <w:permEnd w:id="739535953"/>
    <w:p w14:paraId="3D245DDC" w14:textId="14A18067" w:rsidR="003E573C" w:rsidRDefault="003E573C" w:rsidP="003E573C">
      <w:pPr>
        <w:rPr>
          <w:rFonts w:cs="Arial"/>
        </w:rPr>
      </w:pPr>
      <w:r>
        <w:rPr>
          <w:rFonts w:cs="Arial"/>
        </w:rPr>
        <w:t>&lt;ESA_QUESTION_</w:t>
      </w:r>
      <w:r w:rsidR="00C86E1C">
        <w:rPr>
          <w:rFonts w:cs="Arial"/>
        </w:rPr>
        <w:t>ESG</w:t>
      </w:r>
      <w:r>
        <w:rPr>
          <w:rFonts w:cs="Arial"/>
        </w:rPr>
        <w:t>_16&gt;</w:t>
      </w:r>
    </w:p>
    <w:p w14:paraId="3731876E" w14:textId="77777777" w:rsidR="003E573C" w:rsidRDefault="003E573C" w:rsidP="003E573C">
      <w:pPr>
        <w:rPr>
          <w:rFonts w:cs="Arial"/>
        </w:rPr>
      </w:pPr>
    </w:p>
    <w:p w14:paraId="02255DE2" w14:textId="2A03C0E4" w:rsidR="003E573C" w:rsidRDefault="003E573C" w:rsidP="003E573C">
      <w:pPr>
        <w:pStyle w:val="Questionstyle"/>
        <w:numPr>
          <w:ilvl w:val="0"/>
          <w:numId w:val="39"/>
        </w:numPr>
      </w:pPr>
      <w:r>
        <w:t xml:space="preserve">: </w:t>
      </w:r>
      <w:r w:rsidR="002A73F1" w:rsidRPr="002A73F1">
        <w:t>Do the graphical and narrative descriptions of investment proportions capture indirect i</w:t>
      </w:r>
      <w:r w:rsidR="002A73F1" w:rsidRPr="002A73F1">
        <w:t>n</w:t>
      </w:r>
      <w:r w:rsidR="002A73F1" w:rsidRPr="002A73F1">
        <w:t>vestments sufficiently?</w:t>
      </w:r>
    </w:p>
    <w:p w14:paraId="6E8F4F30" w14:textId="126FFDF5" w:rsidR="003E573C" w:rsidRDefault="003E573C" w:rsidP="003E573C">
      <w:pPr>
        <w:rPr>
          <w:rFonts w:cs="Arial"/>
        </w:rPr>
      </w:pPr>
      <w:r>
        <w:rPr>
          <w:rFonts w:cs="Arial"/>
        </w:rPr>
        <w:t>&lt;ESA_QUESTION_</w:t>
      </w:r>
      <w:r w:rsidR="00C86E1C">
        <w:rPr>
          <w:rFonts w:cs="Arial"/>
        </w:rPr>
        <w:t>ESG</w:t>
      </w:r>
      <w:r>
        <w:rPr>
          <w:rFonts w:cs="Arial"/>
        </w:rPr>
        <w:t>_17&gt;</w:t>
      </w:r>
    </w:p>
    <w:p w14:paraId="0ADDC51A" w14:textId="7AE1DC3F" w:rsidR="003E573C" w:rsidRDefault="00C12BFD" w:rsidP="00C12BFD">
      <w:pPr>
        <w:jc w:val="both"/>
        <w:rPr>
          <w:rFonts w:cs="Arial"/>
        </w:rPr>
      </w:pPr>
      <w:permStart w:id="225396737" w:edGrp="everyone"/>
      <w:r>
        <w:rPr>
          <w:rFonts w:cs="Arial"/>
        </w:rPr>
        <w:t>This question cannot be assessed at this stage, due to the difficulty to clearly capture and distinguish direct investments, as stated in the answer to the next question</w:t>
      </w:r>
      <w:r w:rsidR="002615CC">
        <w:rPr>
          <w:rFonts w:cs="Arial"/>
        </w:rPr>
        <w:t>.</w:t>
      </w:r>
    </w:p>
    <w:permEnd w:id="225396737"/>
    <w:p w14:paraId="78DF26C5" w14:textId="3E543289" w:rsidR="003E573C" w:rsidRDefault="003E573C" w:rsidP="003E573C">
      <w:pPr>
        <w:rPr>
          <w:rFonts w:cs="Arial"/>
        </w:rPr>
      </w:pPr>
      <w:r>
        <w:rPr>
          <w:rFonts w:cs="Arial"/>
        </w:rPr>
        <w:t>&lt;ESA_QUESTION_</w:t>
      </w:r>
      <w:r w:rsidR="00C86E1C">
        <w:rPr>
          <w:rFonts w:cs="Arial"/>
        </w:rPr>
        <w:t>ESG</w:t>
      </w:r>
      <w:r>
        <w:rPr>
          <w:rFonts w:cs="Arial"/>
        </w:rPr>
        <w:t>_17&gt;</w:t>
      </w:r>
    </w:p>
    <w:p w14:paraId="23DF59D7" w14:textId="77777777" w:rsidR="003E573C" w:rsidRDefault="003E573C" w:rsidP="003E573C">
      <w:pPr>
        <w:rPr>
          <w:rFonts w:cs="Arial"/>
        </w:rPr>
      </w:pPr>
    </w:p>
    <w:p w14:paraId="4A8653C3" w14:textId="195D385D" w:rsidR="003E573C" w:rsidRDefault="003E573C" w:rsidP="003E573C">
      <w:pPr>
        <w:pStyle w:val="Questionstyle"/>
        <w:numPr>
          <w:ilvl w:val="0"/>
          <w:numId w:val="39"/>
        </w:numPr>
      </w:pPr>
      <w:r>
        <w:t xml:space="preserve">: </w:t>
      </w:r>
      <w:r w:rsidR="002A73F1" w:rsidRPr="002A73F1">
        <w:t>The draft RTS require in Article 15(2) that for Article 8 products graphical representations i</w:t>
      </w:r>
      <w:r w:rsidR="002A73F1" w:rsidRPr="002A73F1">
        <w:t>l</w:t>
      </w:r>
      <w:r w:rsidR="002A73F1" w:rsidRPr="002A73F1">
        <w:t>lustrate the proportion of investments screened against the environmental or social characte</w:t>
      </w:r>
      <w:r w:rsidR="002A73F1" w:rsidRPr="002A73F1">
        <w:t>r</w:t>
      </w:r>
      <w:r w:rsidR="002A73F1" w:rsidRPr="002A73F1">
        <w:t>istics of the financial product. However, as characteristics can widely vary from product to product do you think using the same graphical representation for very different types of pro</w:t>
      </w:r>
      <w:r w:rsidR="002A73F1" w:rsidRPr="002A73F1">
        <w:t>d</w:t>
      </w:r>
      <w:r w:rsidR="002A73F1" w:rsidRPr="002A73F1">
        <w:t>ucts could be misleading to end-investors? If yes, how should such graphic representation be adapted?</w:t>
      </w:r>
      <w:r w:rsidRPr="00763760">
        <w:t xml:space="preserve"> </w:t>
      </w:r>
    </w:p>
    <w:p w14:paraId="1E4844B2" w14:textId="4FEF4585" w:rsidR="003E573C" w:rsidRDefault="003E573C" w:rsidP="003E573C">
      <w:pPr>
        <w:rPr>
          <w:rFonts w:cs="Arial"/>
        </w:rPr>
      </w:pPr>
      <w:r>
        <w:rPr>
          <w:rFonts w:cs="Arial"/>
        </w:rPr>
        <w:t>&lt;ESA_QUESTION_</w:t>
      </w:r>
      <w:r w:rsidR="00C86E1C">
        <w:rPr>
          <w:rFonts w:cs="Arial"/>
        </w:rPr>
        <w:t>ESG</w:t>
      </w:r>
      <w:r>
        <w:rPr>
          <w:rFonts w:cs="Arial"/>
        </w:rPr>
        <w:t>_18&gt;</w:t>
      </w:r>
    </w:p>
    <w:p w14:paraId="558026DF" w14:textId="45CB669B" w:rsidR="003E573C" w:rsidRPr="00643140" w:rsidRDefault="00643140" w:rsidP="00643140">
      <w:pPr>
        <w:jc w:val="both"/>
        <w:rPr>
          <w:rFonts w:cs="Arial"/>
        </w:rPr>
      </w:pPr>
      <w:permStart w:id="1687822303" w:edGrp="everyone"/>
      <w:r w:rsidRPr="00643140">
        <w:rPr>
          <w:rFonts w:cs="Arial"/>
        </w:rPr>
        <w:t xml:space="preserve">At this </w:t>
      </w:r>
      <w:r>
        <w:rPr>
          <w:rFonts w:cs="Arial"/>
        </w:rPr>
        <w:t>time</w:t>
      </w:r>
      <w:r w:rsidRPr="00643140">
        <w:rPr>
          <w:rFonts w:cs="Arial"/>
        </w:rPr>
        <w:t>, the main concern</w:t>
      </w:r>
      <w:r>
        <w:rPr>
          <w:rFonts w:cs="Arial"/>
        </w:rPr>
        <w:t xml:space="preserve"> is not whether </w:t>
      </w:r>
      <w:r w:rsidRPr="002A73F1">
        <w:t xml:space="preserve">graphical representations </w:t>
      </w:r>
      <w:r>
        <w:t>foreseen in Article 15(2) can be extrapolated to all kind of Article 8 products, but whether it is possible to clearly differentiate the inves</w:t>
      </w:r>
      <w:r>
        <w:t>t</w:t>
      </w:r>
      <w:r>
        <w:t xml:space="preserve">ments of Article </w:t>
      </w:r>
      <w:r w:rsidR="00B05758" w:rsidRPr="00643140">
        <w:rPr>
          <w:rFonts w:cs="Arial"/>
        </w:rPr>
        <w:t>15</w:t>
      </w:r>
      <w:r>
        <w:rPr>
          <w:rFonts w:cs="Arial"/>
        </w:rPr>
        <w:t>.</w:t>
      </w:r>
      <w:r w:rsidR="00B05758" w:rsidRPr="00643140">
        <w:rPr>
          <w:rFonts w:cs="Arial"/>
        </w:rPr>
        <w:t>2</w:t>
      </w:r>
      <w:r>
        <w:rPr>
          <w:rFonts w:cs="Arial"/>
        </w:rPr>
        <w:t>(</w:t>
      </w:r>
      <w:proofErr w:type="spellStart"/>
      <w:r w:rsidR="00B05758" w:rsidRPr="00643140">
        <w:rPr>
          <w:rFonts w:cs="Arial"/>
        </w:rPr>
        <w:t>i</w:t>
      </w:r>
      <w:proofErr w:type="spellEnd"/>
      <w:r w:rsidR="00B05758" w:rsidRPr="00643140">
        <w:rPr>
          <w:rFonts w:cs="Arial"/>
        </w:rPr>
        <w:t xml:space="preserve">) </w:t>
      </w:r>
      <w:r>
        <w:rPr>
          <w:rFonts w:cs="Arial"/>
        </w:rPr>
        <w:t>(</w:t>
      </w:r>
      <w:r w:rsidR="00B05758" w:rsidRPr="00643140">
        <w:rPr>
          <w:rFonts w:cs="Arial"/>
        </w:rPr>
        <w:t>“the tota</w:t>
      </w:r>
      <w:r>
        <w:rPr>
          <w:rFonts w:cs="Arial"/>
        </w:rPr>
        <w:t>l</w:t>
      </w:r>
      <w:r w:rsidR="00B05758" w:rsidRPr="00643140">
        <w:rPr>
          <w:rFonts w:cs="Arial"/>
        </w:rPr>
        <w:t xml:space="preserve"> investments that are sustainable investments </w:t>
      </w:r>
      <w:r w:rsidRPr="00643140">
        <w:rPr>
          <w:rFonts w:cs="Arial"/>
        </w:rPr>
        <w:t>and, where relevant, the subdivision</w:t>
      </w:r>
      <w:r>
        <w:rPr>
          <w:rFonts w:cs="Arial"/>
        </w:rPr>
        <w:t xml:space="preserve"> </w:t>
      </w:r>
      <w:r w:rsidRPr="00643140">
        <w:rPr>
          <w:rFonts w:cs="Arial"/>
        </w:rPr>
        <w:t>of those sustain</w:t>
      </w:r>
      <w:r>
        <w:rPr>
          <w:rFonts w:cs="Arial"/>
        </w:rPr>
        <w:t>a</w:t>
      </w:r>
      <w:r w:rsidRPr="00643140">
        <w:rPr>
          <w:rFonts w:cs="Arial"/>
        </w:rPr>
        <w:t>ble inves</w:t>
      </w:r>
      <w:r>
        <w:rPr>
          <w:rFonts w:cs="Arial"/>
        </w:rPr>
        <w:t>t</w:t>
      </w:r>
      <w:r w:rsidRPr="00643140">
        <w:rPr>
          <w:rFonts w:cs="Arial"/>
        </w:rPr>
        <w:t>ment between environmen</w:t>
      </w:r>
      <w:r>
        <w:rPr>
          <w:rFonts w:cs="Arial"/>
        </w:rPr>
        <w:t>t</w:t>
      </w:r>
      <w:r w:rsidRPr="00643140">
        <w:rPr>
          <w:rFonts w:cs="Arial"/>
        </w:rPr>
        <w:t>al or social objectives”</w:t>
      </w:r>
      <w:r>
        <w:rPr>
          <w:rFonts w:cs="Arial"/>
        </w:rPr>
        <w:t>)</w:t>
      </w:r>
      <w:r w:rsidRPr="00643140">
        <w:rPr>
          <w:rFonts w:cs="Arial"/>
        </w:rPr>
        <w:t xml:space="preserve"> from those </w:t>
      </w:r>
      <w:r>
        <w:rPr>
          <w:rFonts w:cs="Arial"/>
        </w:rPr>
        <w:t xml:space="preserve">of </w:t>
      </w:r>
      <w:r w:rsidRPr="00643140">
        <w:rPr>
          <w:rFonts w:cs="Arial"/>
        </w:rPr>
        <w:t>Article 15</w:t>
      </w:r>
      <w:r>
        <w:rPr>
          <w:rFonts w:cs="Arial"/>
        </w:rPr>
        <w:t>.</w:t>
      </w:r>
      <w:r w:rsidRPr="00643140">
        <w:rPr>
          <w:rFonts w:cs="Arial"/>
        </w:rPr>
        <w:t>2</w:t>
      </w:r>
      <w:r>
        <w:rPr>
          <w:rFonts w:cs="Arial"/>
        </w:rPr>
        <w:t>(</w:t>
      </w:r>
      <w:r w:rsidRPr="00643140">
        <w:rPr>
          <w:rFonts w:cs="Arial"/>
        </w:rPr>
        <w:t xml:space="preserve">ii) </w:t>
      </w:r>
      <w:r>
        <w:rPr>
          <w:rFonts w:cs="Arial"/>
        </w:rPr>
        <w:t>(</w:t>
      </w:r>
      <w:r w:rsidRPr="00643140">
        <w:rPr>
          <w:rFonts w:cs="Arial"/>
        </w:rPr>
        <w:t>“the total investment</w:t>
      </w:r>
      <w:r>
        <w:rPr>
          <w:rFonts w:cs="Arial"/>
        </w:rPr>
        <w:t>s other than those in point (</w:t>
      </w:r>
      <w:proofErr w:type="spellStart"/>
      <w:r>
        <w:rPr>
          <w:rFonts w:cs="Arial"/>
        </w:rPr>
        <w:t>i</w:t>
      </w:r>
      <w:proofErr w:type="spellEnd"/>
      <w:r>
        <w:rPr>
          <w:rFonts w:cs="Arial"/>
        </w:rPr>
        <w:t>) that contributes to the attainment of the environmental or social characteristics promoted by the financial product and, where relevant, the subdiv</w:t>
      </w:r>
      <w:r>
        <w:rPr>
          <w:rFonts w:cs="Arial"/>
        </w:rPr>
        <w:t>i</w:t>
      </w:r>
      <w:r>
        <w:rPr>
          <w:rFonts w:cs="Arial"/>
        </w:rPr>
        <w:t xml:space="preserve">sion of those investments between environmental or social characteristics”). </w:t>
      </w:r>
      <w:r w:rsidRPr="00643140">
        <w:rPr>
          <w:rFonts w:cs="Arial"/>
        </w:rPr>
        <w:t>F</w:t>
      </w:r>
      <w:r>
        <w:rPr>
          <w:rFonts w:cs="Arial"/>
        </w:rPr>
        <w:t>u</w:t>
      </w:r>
      <w:r w:rsidRPr="00643140">
        <w:rPr>
          <w:rFonts w:cs="Arial"/>
        </w:rPr>
        <w:t>rther clarifications on this differe</w:t>
      </w:r>
      <w:r>
        <w:rPr>
          <w:rFonts w:cs="Arial"/>
        </w:rPr>
        <w:t>n</w:t>
      </w:r>
      <w:r w:rsidRPr="00643140">
        <w:rPr>
          <w:rFonts w:cs="Arial"/>
        </w:rPr>
        <w:t xml:space="preserve">tiation </w:t>
      </w:r>
      <w:r>
        <w:rPr>
          <w:rFonts w:cs="Arial"/>
        </w:rPr>
        <w:t>would be very much welcome</w:t>
      </w:r>
      <w:r w:rsidR="002615CC">
        <w:rPr>
          <w:rFonts w:cs="Arial"/>
        </w:rPr>
        <w:t>.</w:t>
      </w:r>
    </w:p>
    <w:permEnd w:id="1687822303"/>
    <w:p w14:paraId="30601A6B" w14:textId="3603F604" w:rsidR="003E573C" w:rsidRDefault="003E573C" w:rsidP="003E573C">
      <w:pPr>
        <w:rPr>
          <w:rFonts w:cs="Arial"/>
        </w:rPr>
      </w:pPr>
      <w:r>
        <w:rPr>
          <w:rFonts w:cs="Arial"/>
        </w:rPr>
        <w:t>&lt;ESA_QUESTION_</w:t>
      </w:r>
      <w:r w:rsidR="00C86E1C">
        <w:rPr>
          <w:rFonts w:cs="Arial"/>
        </w:rPr>
        <w:t>ESG</w:t>
      </w:r>
      <w:r>
        <w:rPr>
          <w:rFonts w:cs="Arial"/>
        </w:rPr>
        <w:t>_18&gt;</w:t>
      </w:r>
    </w:p>
    <w:p w14:paraId="71E259CD" w14:textId="77777777" w:rsidR="003E573C" w:rsidRDefault="003E573C" w:rsidP="003E573C">
      <w:pPr>
        <w:rPr>
          <w:rFonts w:cs="Arial"/>
        </w:rPr>
      </w:pPr>
    </w:p>
    <w:p w14:paraId="139C12FF" w14:textId="5DBA941B" w:rsidR="003E573C" w:rsidRDefault="003E573C" w:rsidP="003E573C">
      <w:pPr>
        <w:pStyle w:val="Questionstyle"/>
        <w:numPr>
          <w:ilvl w:val="0"/>
          <w:numId w:val="39"/>
        </w:numPr>
      </w:pPr>
      <w:r>
        <w:t xml:space="preserve">: </w:t>
      </w:r>
      <w:r w:rsidR="002A73F1" w:rsidRPr="002A73F1">
        <w:t>Do you agree with always disclosing exposure to solid fossil-fuel sectors? Are there other se</w:t>
      </w:r>
      <w:r w:rsidR="002A73F1" w:rsidRPr="002A73F1">
        <w:t>c</w:t>
      </w:r>
      <w:r w:rsidR="002A73F1" w:rsidRPr="002A73F1">
        <w:t>tors that should be captured in such a way, such as nuclear energy?</w:t>
      </w:r>
    </w:p>
    <w:p w14:paraId="65918E7C" w14:textId="4D81FF05" w:rsidR="003E573C" w:rsidRDefault="003E573C" w:rsidP="003E573C">
      <w:pPr>
        <w:rPr>
          <w:rFonts w:cs="Arial"/>
        </w:rPr>
      </w:pPr>
      <w:r>
        <w:rPr>
          <w:rFonts w:cs="Arial"/>
        </w:rPr>
        <w:t>&lt;ESA_QUESTION_</w:t>
      </w:r>
      <w:r w:rsidR="00C86E1C">
        <w:rPr>
          <w:rFonts w:cs="Arial"/>
        </w:rPr>
        <w:t>ESG</w:t>
      </w:r>
      <w:r>
        <w:rPr>
          <w:rFonts w:cs="Arial"/>
        </w:rPr>
        <w:t>_19&gt;</w:t>
      </w:r>
    </w:p>
    <w:p w14:paraId="1C1420B0" w14:textId="08DD1807" w:rsidR="003E573C" w:rsidRDefault="00A569B1" w:rsidP="003E573C">
      <w:pPr>
        <w:rPr>
          <w:rFonts w:cs="Arial"/>
        </w:rPr>
      </w:pPr>
      <w:permStart w:id="669663577" w:edGrp="everyone"/>
      <w:r w:rsidRPr="00A569B1">
        <w:rPr>
          <w:rFonts w:cs="Arial"/>
        </w:rPr>
        <w:t>This Committee is not in favo</w:t>
      </w:r>
      <w:r w:rsidR="00577F81">
        <w:rPr>
          <w:rFonts w:cs="Arial"/>
        </w:rPr>
        <w:t>u</w:t>
      </w:r>
      <w:r w:rsidRPr="00A569B1">
        <w:rPr>
          <w:rFonts w:cs="Arial"/>
        </w:rPr>
        <w:t xml:space="preserve">r of the mandatory </w:t>
      </w:r>
      <w:r w:rsidR="006371AC">
        <w:rPr>
          <w:rFonts w:cs="Arial"/>
        </w:rPr>
        <w:t>distinction</w:t>
      </w:r>
      <w:r w:rsidRPr="00A569B1">
        <w:rPr>
          <w:rFonts w:cs="Arial"/>
        </w:rPr>
        <w:t xml:space="preserve"> of specific sectors</w:t>
      </w:r>
      <w:r w:rsidR="003826D3">
        <w:rPr>
          <w:rFonts w:cs="Arial"/>
        </w:rPr>
        <w:t>.</w:t>
      </w:r>
    </w:p>
    <w:permEnd w:id="669663577"/>
    <w:p w14:paraId="4B36BA28" w14:textId="0C626534" w:rsidR="003E573C" w:rsidRDefault="003E573C" w:rsidP="003E573C">
      <w:pPr>
        <w:rPr>
          <w:rFonts w:cs="Arial"/>
        </w:rPr>
      </w:pPr>
      <w:r>
        <w:rPr>
          <w:rFonts w:cs="Arial"/>
        </w:rPr>
        <w:t>&lt;ESA_QUESTION_</w:t>
      </w:r>
      <w:r w:rsidR="00C86E1C">
        <w:rPr>
          <w:rFonts w:cs="Arial"/>
        </w:rPr>
        <w:t>ESG</w:t>
      </w:r>
      <w:r>
        <w:rPr>
          <w:rFonts w:cs="Arial"/>
        </w:rPr>
        <w:t>_19&gt;</w:t>
      </w:r>
    </w:p>
    <w:p w14:paraId="0D906F8B" w14:textId="77777777" w:rsidR="003E573C" w:rsidRDefault="003E573C" w:rsidP="003E573C">
      <w:pPr>
        <w:rPr>
          <w:rFonts w:cs="Arial"/>
        </w:rPr>
      </w:pPr>
    </w:p>
    <w:p w14:paraId="7913E742" w14:textId="76181CFC" w:rsidR="003E573C" w:rsidRDefault="003E573C" w:rsidP="003E573C">
      <w:pPr>
        <w:pStyle w:val="Questionstyle"/>
        <w:numPr>
          <w:ilvl w:val="0"/>
          <w:numId w:val="39"/>
        </w:numPr>
      </w:pPr>
      <w:r>
        <w:t xml:space="preserve">: </w:t>
      </w:r>
      <w:r w:rsidR="002A73F1" w:rsidRPr="002A73F1">
        <w:t>Do the product disclosure rules take sufficient account of the differences between products, such as multi-option products or portfolio management products?</w:t>
      </w:r>
    </w:p>
    <w:p w14:paraId="0B9BBEEC" w14:textId="342185AF" w:rsidR="003E573C" w:rsidRDefault="003E573C" w:rsidP="003E573C">
      <w:pPr>
        <w:rPr>
          <w:rFonts w:cs="Arial"/>
        </w:rPr>
      </w:pPr>
      <w:r>
        <w:rPr>
          <w:rFonts w:cs="Arial"/>
        </w:rPr>
        <w:t>&lt;ESA_QUESTION_</w:t>
      </w:r>
      <w:r w:rsidR="00C86E1C">
        <w:rPr>
          <w:rFonts w:cs="Arial"/>
        </w:rPr>
        <w:t>ESG</w:t>
      </w:r>
      <w:r>
        <w:rPr>
          <w:rFonts w:cs="Arial"/>
        </w:rPr>
        <w:t>_20&gt;</w:t>
      </w:r>
    </w:p>
    <w:p w14:paraId="105E0FA9" w14:textId="77777777" w:rsidR="00C12BFD" w:rsidRDefault="00C12BFD" w:rsidP="003E573C">
      <w:pPr>
        <w:rPr>
          <w:rFonts w:cs="Arial"/>
        </w:rPr>
      </w:pPr>
      <w:permStart w:id="806708611" w:edGrp="everyone"/>
      <w:r>
        <w:rPr>
          <w:rFonts w:cs="Arial"/>
        </w:rPr>
        <w:t>For the reasons explained in answer to question 17, this question cannot be assessed at this stage.</w:t>
      </w:r>
    </w:p>
    <w:permEnd w:id="806708611"/>
    <w:p w14:paraId="7AC72B75" w14:textId="05650ADA" w:rsidR="003E573C" w:rsidRDefault="003E573C" w:rsidP="003E573C">
      <w:pPr>
        <w:rPr>
          <w:rFonts w:cs="Arial"/>
        </w:rPr>
      </w:pPr>
      <w:r>
        <w:rPr>
          <w:rFonts w:cs="Arial"/>
        </w:rPr>
        <w:t>&lt;ESA_QUESTION_</w:t>
      </w:r>
      <w:r w:rsidR="00C86E1C">
        <w:rPr>
          <w:rFonts w:cs="Arial"/>
        </w:rPr>
        <w:t>ESG</w:t>
      </w:r>
      <w:r>
        <w:rPr>
          <w:rFonts w:cs="Arial"/>
        </w:rPr>
        <w:t>_20&gt;</w:t>
      </w:r>
    </w:p>
    <w:p w14:paraId="45DB0F6E" w14:textId="77777777" w:rsidR="003E573C" w:rsidRDefault="003E573C" w:rsidP="003E573C">
      <w:pPr>
        <w:rPr>
          <w:rFonts w:cs="Arial"/>
        </w:rPr>
      </w:pPr>
    </w:p>
    <w:p w14:paraId="7FEBC666" w14:textId="27612EC4" w:rsidR="003E573C" w:rsidRDefault="003E573C" w:rsidP="003E573C">
      <w:pPr>
        <w:pStyle w:val="Questionstyle"/>
        <w:numPr>
          <w:ilvl w:val="0"/>
          <w:numId w:val="39"/>
        </w:numPr>
      </w:pPr>
      <w:r>
        <w:t xml:space="preserve">: </w:t>
      </w:r>
      <w:r w:rsidR="002A73F1" w:rsidRPr="002A73F1">
        <w:t>While Article 8 SFDR suggests investee companies should have “good governance practices”, Article 2(17) SFDR includes specific details for good governance practices for sustainable i</w:t>
      </w:r>
      <w:r w:rsidR="002A73F1" w:rsidRPr="002A73F1">
        <w:t>n</w:t>
      </w:r>
      <w:r w:rsidR="002A73F1" w:rsidRPr="002A73F1">
        <w:t>vestment investee companies including “sound management structures, employee relations, remuneration of staff and tax compliance”. Should the requirements in the RTS for good go</w:t>
      </w:r>
      <w:r w:rsidR="002A73F1" w:rsidRPr="002A73F1">
        <w:t>v</w:t>
      </w:r>
      <w:r w:rsidR="002A73F1" w:rsidRPr="002A73F1">
        <w:t>ernance practices for Article 8 products also capture these elements, bearing in mind Article 8 products may not be undertaking sustainable investments?</w:t>
      </w:r>
    </w:p>
    <w:p w14:paraId="13273649" w14:textId="1D23E2E4" w:rsidR="003E573C" w:rsidRDefault="003E573C" w:rsidP="003E573C">
      <w:pPr>
        <w:rPr>
          <w:rFonts w:cs="Arial"/>
        </w:rPr>
      </w:pPr>
      <w:r>
        <w:rPr>
          <w:rFonts w:cs="Arial"/>
        </w:rPr>
        <w:t>&lt;ESA_QUESTION_</w:t>
      </w:r>
      <w:r w:rsidR="00C86E1C">
        <w:rPr>
          <w:rFonts w:cs="Arial"/>
        </w:rPr>
        <w:t>ESG</w:t>
      </w:r>
      <w:r>
        <w:rPr>
          <w:rFonts w:cs="Arial"/>
        </w:rPr>
        <w:t>_21&gt;</w:t>
      </w:r>
    </w:p>
    <w:p w14:paraId="625A527A" w14:textId="542C192A" w:rsidR="003E573C" w:rsidRPr="00151465" w:rsidRDefault="00151465" w:rsidP="00577F81">
      <w:pPr>
        <w:jc w:val="both"/>
        <w:rPr>
          <w:rFonts w:cs="Arial"/>
        </w:rPr>
      </w:pPr>
      <w:permStart w:id="2245015" w:edGrp="everyone"/>
      <w:r w:rsidRPr="00151465">
        <w:rPr>
          <w:rFonts w:cs="Arial"/>
        </w:rPr>
        <w:lastRenderedPageBreak/>
        <w:t xml:space="preserve">The Committee considers that, based on the </w:t>
      </w:r>
      <w:r>
        <w:rPr>
          <w:rFonts w:cs="Arial"/>
        </w:rPr>
        <w:t>challenging</w:t>
      </w:r>
      <w:r w:rsidRPr="00151465">
        <w:rPr>
          <w:rFonts w:cs="Arial"/>
        </w:rPr>
        <w:t xml:space="preserve"> </w:t>
      </w:r>
      <w:r>
        <w:rPr>
          <w:rFonts w:cs="Arial"/>
        </w:rPr>
        <w:t>timeline</w:t>
      </w:r>
      <w:r w:rsidRPr="00151465">
        <w:rPr>
          <w:rFonts w:cs="Arial"/>
        </w:rPr>
        <w:t>, the volume of information required and the difficulties in obtaining it, the RTS should adhere to the provisions of the SFDR, avoiding the incorp</w:t>
      </w:r>
      <w:r w:rsidRPr="00151465">
        <w:rPr>
          <w:rFonts w:cs="Arial"/>
        </w:rPr>
        <w:t>o</w:t>
      </w:r>
      <w:r w:rsidRPr="00151465">
        <w:rPr>
          <w:rFonts w:cs="Arial"/>
        </w:rPr>
        <w:t>ration of any other information whose supply is not clearly contemplated in level 1</w:t>
      </w:r>
      <w:r w:rsidR="00577F81">
        <w:rPr>
          <w:rFonts w:cs="Arial"/>
        </w:rPr>
        <w:t>.</w:t>
      </w:r>
    </w:p>
    <w:permEnd w:id="2245015"/>
    <w:p w14:paraId="3E1B08DB" w14:textId="6D981451" w:rsidR="003E573C" w:rsidRDefault="003E573C" w:rsidP="003E573C">
      <w:pPr>
        <w:rPr>
          <w:rFonts w:cs="Arial"/>
        </w:rPr>
      </w:pPr>
      <w:r>
        <w:rPr>
          <w:rFonts w:cs="Arial"/>
        </w:rPr>
        <w:t>&lt;ESA_QUESTION_</w:t>
      </w:r>
      <w:r w:rsidR="00C86E1C">
        <w:rPr>
          <w:rFonts w:cs="Arial"/>
        </w:rPr>
        <w:t>ESG</w:t>
      </w:r>
      <w:r>
        <w:rPr>
          <w:rFonts w:cs="Arial"/>
        </w:rPr>
        <w:t>_21&gt;</w:t>
      </w:r>
    </w:p>
    <w:p w14:paraId="2E2FA109" w14:textId="77777777" w:rsidR="003E573C" w:rsidRDefault="003E573C" w:rsidP="003E573C">
      <w:pPr>
        <w:rPr>
          <w:rFonts w:cs="Arial"/>
        </w:rPr>
      </w:pPr>
    </w:p>
    <w:p w14:paraId="7441AA30" w14:textId="4E4A50BF" w:rsidR="003E573C" w:rsidRDefault="003E573C" w:rsidP="003E573C">
      <w:pPr>
        <w:pStyle w:val="Questionstyle"/>
        <w:numPr>
          <w:ilvl w:val="0"/>
          <w:numId w:val="39"/>
        </w:numPr>
      </w:pPr>
      <w:r>
        <w:t xml:space="preserve">: </w:t>
      </w:r>
      <w:r w:rsidR="002A73F1" w:rsidRPr="002A73F1">
        <w:t>What are your views on the preliminary proposals on “do not significantly harm” principle disclosures in line with the new empowerment under the taxonomy regulation, which can be found in Recital (33), Articles 16(2), 25, 34(3), 35(3), 38 and 45 in the draft RTS?</w:t>
      </w:r>
    </w:p>
    <w:p w14:paraId="162ADE10" w14:textId="6965CE1E" w:rsidR="003E573C" w:rsidRDefault="003E573C" w:rsidP="003E573C">
      <w:pPr>
        <w:rPr>
          <w:rFonts w:cs="Arial"/>
        </w:rPr>
      </w:pPr>
      <w:r>
        <w:rPr>
          <w:rFonts w:cs="Arial"/>
        </w:rPr>
        <w:t>&lt;ESA_QUESTION_</w:t>
      </w:r>
      <w:r w:rsidR="00C86E1C">
        <w:rPr>
          <w:rFonts w:cs="Arial"/>
        </w:rPr>
        <w:t>ESG</w:t>
      </w:r>
      <w:r>
        <w:rPr>
          <w:rFonts w:cs="Arial"/>
        </w:rPr>
        <w:t>_22&gt;</w:t>
      </w:r>
    </w:p>
    <w:p w14:paraId="45952C7E" w14:textId="226AADCC" w:rsidR="007942A9" w:rsidRDefault="00A569B1" w:rsidP="00577F81">
      <w:pPr>
        <w:jc w:val="both"/>
        <w:rPr>
          <w:rFonts w:cs="Arial"/>
        </w:rPr>
      </w:pPr>
      <w:permStart w:id="1182486711" w:edGrp="everyone"/>
      <w:r w:rsidRPr="00A569B1">
        <w:rPr>
          <w:rFonts w:cs="Arial"/>
        </w:rPr>
        <w:t xml:space="preserve">The draft RTS </w:t>
      </w:r>
      <w:r>
        <w:rPr>
          <w:rFonts w:cs="Arial"/>
        </w:rPr>
        <w:t xml:space="preserve">detail </w:t>
      </w:r>
      <w:r w:rsidRPr="00A569B1">
        <w:rPr>
          <w:rFonts w:cs="Arial"/>
        </w:rPr>
        <w:t>the presentation and content of the information in relation to the principle of</w:t>
      </w:r>
      <w:r w:rsidR="00577F81">
        <w:rPr>
          <w:rFonts w:cs="Arial"/>
        </w:rPr>
        <w:t xml:space="preserve"> </w:t>
      </w:r>
      <w:r w:rsidRPr="00A569B1">
        <w:rPr>
          <w:rFonts w:cs="Arial"/>
        </w:rPr>
        <w:t>‘do not significantly harm’ as set out in Article 2(17) of the SFDR</w:t>
      </w:r>
      <w:r>
        <w:rPr>
          <w:rFonts w:cs="Arial"/>
        </w:rPr>
        <w:t>, that should be</w:t>
      </w:r>
      <w:r w:rsidRPr="00A569B1">
        <w:rPr>
          <w:rFonts w:cs="Arial"/>
        </w:rPr>
        <w:t xml:space="preserve"> consistent with the content,</w:t>
      </w:r>
      <w:r>
        <w:rPr>
          <w:rFonts w:cs="Arial"/>
        </w:rPr>
        <w:t xml:space="preserve"> </w:t>
      </w:r>
      <w:r w:rsidRPr="00A569B1">
        <w:rPr>
          <w:rFonts w:cs="Arial"/>
        </w:rPr>
        <w:t>methodologies, and presentation of indicators in relation to adverse impacts referred to in</w:t>
      </w:r>
      <w:r w:rsidR="00577F81">
        <w:rPr>
          <w:rFonts w:cs="Arial"/>
        </w:rPr>
        <w:t xml:space="preserve"> </w:t>
      </w:r>
      <w:r w:rsidRPr="00C7759D">
        <w:rPr>
          <w:rFonts w:cs="Arial"/>
          <w:lang w:val="en-US"/>
        </w:rPr>
        <w:t>Article 4(6) and (7) SFDR</w:t>
      </w:r>
      <w:r w:rsidR="003826D3" w:rsidRPr="00C7759D">
        <w:rPr>
          <w:rFonts w:cs="Arial"/>
          <w:lang w:val="en-US"/>
        </w:rPr>
        <w:t xml:space="preserve">. </w:t>
      </w:r>
      <w:r w:rsidR="003826D3" w:rsidRPr="003826D3">
        <w:rPr>
          <w:rFonts w:cs="Arial"/>
        </w:rPr>
        <w:t xml:space="preserve">Notwithstanding, </w:t>
      </w:r>
      <w:r w:rsidR="00053918">
        <w:rPr>
          <w:rFonts w:cs="Arial"/>
        </w:rPr>
        <w:t>w</w:t>
      </w:r>
      <w:r w:rsidR="00053918" w:rsidRPr="00053918">
        <w:rPr>
          <w:rFonts w:cs="Arial"/>
        </w:rPr>
        <w:t>e regret that the differences between the two concepts are not clear, which leaves room for different interpretations, to the detriment of the comparability of the information and its understanding by its recipients</w:t>
      </w:r>
      <w:r w:rsidRPr="003826D3">
        <w:rPr>
          <w:rFonts w:cs="Arial"/>
        </w:rPr>
        <w:t>.</w:t>
      </w:r>
    </w:p>
    <w:permEnd w:id="1182486711"/>
    <w:p w14:paraId="5F95ABFF" w14:textId="4E0C368A" w:rsidR="003E573C" w:rsidRDefault="003E573C" w:rsidP="003E573C">
      <w:pPr>
        <w:rPr>
          <w:rFonts w:cs="Arial"/>
        </w:rPr>
      </w:pPr>
      <w:r>
        <w:rPr>
          <w:rFonts w:cs="Arial"/>
        </w:rPr>
        <w:t>&lt;ESA_QUESTION_</w:t>
      </w:r>
      <w:r w:rsidR="00C86E1C">
        <w:rPr>
          <w:rFonts w:cs="Arial"/>
        </w:rPr>
        <w:t>ESG</w:t>
      </w:r>
      <w:r>
        <w:rPr>
          <w:rFonts w:cs="Arial"/>
        </w:rPr>
        <w:t>_22&gt;</w:t>
      </w:r>
    </w:p>
    <w:p w14:paraId="0BF44D4D" w14:textId="77777777" w:rsidR="003E573C" w:rsidRDefault="003E573C" w:rsidP="003E573C">
      <w:pPr>
        <w:rPr>
          <w:rFonts w:cs="Arial"/>
        </w:rPr>
      </w:pPr>
    </w:p>
    <w:p w14:paraId="36463985" w14:textId="2803403A" w:rsidR="003E573C" w:rsidRDefault="003E573C" w:rsidP="003E573C">
      <w:pPr>
        <w:pStyle w:val="Questionstyle"/>
        <w:numPr>
          <w:ilvl w:val="0"/>
          <w:numId w:val="39"/>
        </w:numPr>
      </w:pPr>
      <w:r>
        <w:t xml:space="preserve">: </w:t>
      </w:r>
      <w:r w:rsidR="002A73F1" w:rsidRPr="002A73F1">
        <w:t>Do you see merit in the ESAs defining widely used ESG investment strategies (such as best-in-class, best-in-universe, exclusions, etc.) and giving financial market participants an opportunity to disclose the use of such strategies, where relevant? If yes, how would you define such wid</w:t>
      </w:r>
      <w:r w:rsidR="002A73F1" w:rsidRPr="002A73F1">
        <w:t>e</w:t>
      </w:r>
      <w:r w:rsidR="002A73F1" w:rsidRPr="002A73F1">
        <w:t>ly used strategies?</w:t>
      </w:r>
    </w:p>
    <w:p w14:paraId="3F198626" w14:textId="4D42897E" w:rsidR="003E573C" w:rsidRDefault="003E573C" w:rsidP="003E573C">
      <w:pPr>
        <w:rPr>
          <w:rFonts w:cs="Arial"/>
        </w:rPr>
      </w:pPr>
      <w:r>
        <w:rPr>
          <w:rFonts w:cs="Arial"/>
        </w:rPr>
        <w:t>&lt;ESA_QUESTION_</w:t>
      </w:r>
      <w:r w:rsidR="00C86E1C">
        <w:rPr>
          <w:rFonts w:cs="Arial"/>
        </w:rPr>
        <w:t>ESG</w:t>
      </w:r>
      <w:r>
        <w:rPr>
          <w:rFonts w:cs="Arial"/>
        </w:rPr>
        <w:t>_23&gt;</w:t>
      </w:r>
    </w:p>
    <w:p w14:paraId="351D9262" w14:textId="77420EFF" w:rsidR="00C7759D" w:rsidRPr="00C7759D" w:rsidRDefault="00C7759D" w:rsidP="00151465">
      <w:pPr>
        <w:jc w:val="both"/>
        <w:rPr>
          <w:rFonts w:cs="Arial"/>
        </w:rPr>
      </w:pPr>
      <w:permStart w:id="1634935588" w:edGrp="everyone"/>
      <w:r w:rsidRPr="00F8364A">
        <w:rPr>
          <w:rFonts w:cs="Arial"/>
        </w:rPr>
        <w:t xml:space="preserve">The </w:t>
      </w:r>
      <w:r w:rsidR="007942A9">
        <w:rPr>
          <w:rFonts w:cs="Arial"/>
        </w:rPr>
        <w:t xml:space="preserve">draft RTS </w:t>
      </w:r>
      <w:r w:rsidRPr="00F8364A">
        <w:rPr>
          <w:rFonts w:cs="Arial"/>
        </w:rPr>
        <w:t xml:space="preserve">require information on the investment strategies used, based on categories or definitions that the </w:t>
      </w:r>
      <w:r w:rsidR="007942A9">
        <w:rPr>
          <w:rFonts w:cs="Arial"/>
        </w:rPr>
        <w:t>ESAs</w:t>
      </w:r>
      <w:r w:rsidRPr="00F8364A">
        <w:rPr>
          <w:rFonts w:cs="Arial"/>
        </w:rPr>
        <w:t xml:space="preserve"> themselves propose to undertake on the basis of the investment strategies generally used for sustainable investment (such as "best in class", exclusion, etc.). The Committee </w:t>
      </w:r>
      <w:r w:rsidR="00577F81">
        <w:rPr>
          <w:rFonts w:cs="Arial"/>
        </w:rPr>
        <w:t>welcomes this initi</w:t>
      </w:r>
      <w:r w:rsidR="00577F81">
        <w:rPr>
          <w:rFonts w:cs="Arial"/>
        </w:rPr>
        <w:t>a</w:t>
      </w:r>
      <w:r w:rsidR="00577F81">
        <w:rPr>
          <w:rFonts w:cs="Arial"/>
        </w:rPr>
        <w:t xml:space="preserve">tive and </w:t>
      </w:r>
      <w:r w:rsidRPr="00F8364A">
        <w:rPr>
          <w:rFonts w:cs="Arial"/>
        </w:rPr>
        <w:t>believes that such categorisation would be useful on the basis of international standards and the voluntary nature of their use. Any other measure, beyond what is indicated, could lead to market fragme</w:t>
      </w:r>
      <w:r w:rsidRPr="00F8364A">
        <w:rPr>
          <w:rFonts w:cs="Arial"/>
        </w:rPr>
        <w:t>n</w:t>
      </w:r>
      <w:r w:rsidRPr="00F8364A">
        <w:rPr>
          <w:rFonts w:cs="Arial"/>
        </w:rPr>
        <w:t>tation, as well as complicating the information to be provided</w:t>
      </w:r>
      <w:r w:rsidR="002615CC">
        <w:rPr>
          <w:rFonts w:cs="Arial"/>
        </w:rPr>
        <w:t>.</w:t>
      </w:r>
    </w:p>
    <w:permEnd w:id="1634935588"/>
    <w:p w14:paraId="0C17FC2A" w14:textId="2D9188FF" w:rsidR="003E573C" w:rsidRDefault="003E573C" w:rsidP="003E573C">
      <w:pPr>
        <w:rPr>
          <w:rFonts w:cs="Arial"/>
        </w:rPr>
      </w:pPr>
      <w:r>
        <w:rPr>
          <w:rFonts w:cs="Arial"/>
        </w:rPr>
        <w:t>&lt;ESA_QUESTION_</w:t>
      </w:r>
      <w:r w:rsidR="00C86E1C">
        <w:rPr>
          <w:rFonts w:cs="Arial"/>
        </w:rPr>
        <w:t>ESG</w:t>
      </w:r>
      <w:r>
        <w:rPr>
          <w:rFonts w:cs="Arial"/>
        </w:rPr>
        <w:t>_23&gt;</w:t>
      </w:r>
    </w:p>
    <w:p w14:paraId="0F3185B7" w14:textId="77777777" w:rsidR="003E573C" w:rsidRDefault="003E573C" w:rsidP="003E573C">
      <w:pPr>
        <w:rPr>
          <w:rFonts w:cs="Arial"/>
        </w:rPr>
      </w:pPr>
    </w:p>
    <w:p w14:paraId="79E388A1" w14:textId="3E4B0800" w:rsidR="003E573C" w:rsidRDefault="003E573C" w:rsidP="003E573C">
      <w:pPr>
        <w:pStyle w:val="Questionstyle"/>
        <w:numPr>
          <w:ilvl w:val="0"/>
          <w:numId w:val="39"/>
        </w:numPr>
      </w:pPr>
      <w:r>
        <w:t xml:space="preserve">: </w:t>
      </w:r>
      <w:r w:rsidR="006920C8" w:rsidRPr="006920C8">
        <w:t>Do you agree with the approach on the disclosure of financial products’ top investments in periodic disclosures as currently set out in Articles 39 and 46 of the draft RTS?</w:t>
      </w:r>
      <w:r w:rsidRPr="00763760">
        <w:t xml:space="preserve"> </w:t>
      </w:r>
    </w:p>
    <w:p w14:paraId="28FD8FCF" w14:textId="40088564" w:rsidR="003E573C" w:rsidRDefault="003E573C" w:rsidP="003E573C">
      <w:pPr>
        <w:rPr>
          <w:rFonts w:cs="Arial"/>
        </w:rPr>
      </w:pPr>
      <w:r>
        <w:rPr>
          <w:rFonts w:cs="Arial"/>
        </w:rPr>
        <w:t>&lt;ESA_QUESTION_</w:t>
      </w:r>
      <w:r w:rsidR="00C86E1C">
        <w:rPr>
          <w:rFonts w:cs="Arial"/>
        </w:rPr>
        <w:t>ESG</w:t>
      </w:r>
      <w:r>
        <w:rPr>
          <w:rFonts w:cs="Arial"/>
        </w:rPr>
        <w:t>_24&gt;</w:t>
      </w:r>
    </w:p>
    <w:p w14:paraId="5C3E5EDA" w14:textId="1EDFE58D" w:rsidR="00C7759D" w:rsidRPr="00C7759D" w:rsidRDefault="00C7759D" w:rsidP="00577F81">
      <w:pPr>
        <w:jc w:val="both"/>
        <w:rPr>
          <w:rFonts w:cs="Arial"/>
        </w:rPr>
      </w:pPr>
      <w:permStart w:id="872961277" w:edGrp="everyone"/>
      <w:r w:rsidRPr="00F8364A">
        <w:rPr>
          <w:rFonts w:cs="Arial"/>
        </w:rPr>
        <w:t xml:space="preserve">The </w:t>
      </w:r>
      <w:r w:rsidR="00577F81">
        <w:rPr>
          <w:rFonts w:cs="Arial"/>
        </w:rPr>
        <w:t xml:space="preserve">draft RTS </w:t>
      </w:r>
      <w:r w:rsidRPr="00F8364A">
        <w:rPr>
          <w:rFonts w:cs="Arial"/>
        </w:rPr>
        <w:t>require reporting of the top 25 investments in the portfolio, which seems excessive. The Committee considers that reporting on the top 10 investments would be more than sufficient to give visibi</w:t>
      </w:r>
      <w:r w:rsidRPr="00F8364A">
        <w:rPr>
          <w:rFonts w:cs="Arial"/>
        </w:rPr>
        <w:t>l</w:t>
      </w:r>
      <w:r w:rsidRPr="00F8364A">
        <w:rPr>
          <w:rFonts w:cs="Arial"/>
        </w:rPr>
        <w:t>ity to the portfolio, especially as some of them will be highly concentrated.</w:t>
      </w:r>
    </w:p>
    <w:permEnd w:id="872961277"/>
    <w:p w14:paraId="10059834" w14:textId="55753EFE" w:rsidR="003E573C" w:rsidRDefault="003E573C" w:rsidP="003E573C">
      <w:pPr>
        <w:rPr>
          <w:rFonts w:cs="Arial"/>
        </w:rPr>
      </w:pPr>
      <w:r>
        <w:rPr>
          <w:rFonts w:cs="Arial"/>
        </w:rPr>
        <w:t>&lt;ESA_QUESTION_</w:t>
      </w:r>
      <w:r w:rsidR="00C86E1C">
        <w:rPr>
          <w:rFonts w:cs="Arial"/>
        </w:rPr>
        <w:t>ESG</w:t>
      </w:r>
      <w:r>
        <w:rPr>
          <w:rFonts w:cs="Arial"/>
        </w:rPr>
        <w:t>_24&gt;</w:t>
      </w:r>
    </w:p>
    <w:p w14:paraId="41ACC61A" w14:textId="77777777" w:rsidR="003E573C" w:rsidRDefault="003E573C" w:rsidP="003E573C">
      <w:pPr>
        <w:rPr>
          <w:rFonts w:cs="Arial"/>
        </w:rPr>
      </w:pPr>
    </w:p>
    <w:p w14:paraId="6D616070" w14:textId="77777777" w:rsidR="006920C8" w:rsidRDefault="003E573C" w:rsidP="006920C8">
      <w:pPr>
        <w:pStyle w:val="Questionstyle"/>
        <w:numPr>
          <w:ilvl w:val="0"/>
          <w:numId w:val="39"/>
        </w:numPr>
      </w:pPr>
      <w:r>
        <w:t xml:space="preserve">: </w:t>
      </w:r>
      <w:r w:rsidR="006920C8">
        <w:t>For each of the following four elements, please indicate whether you believe it is better to i</w:t>
      </w:r>
      <w:r w:rsidR="006920C8">
        <w:t>n</w:t>
      </w:r>
      <w:r w:rsidR="006920C8">
        <w:t>clude the item in the pre-contractual or the website disclosures for financial products? Please explain your reasoning.</w:t>
      </w:r>
    </w:p>
    <w:p w14:paraId="4BBDAD76" w14:textId="77777777" w:rsidR="006920C8" w:rsidRDefault="006920C8" w:rsidP="006920C8">
      <w:pPr>
        <w:pStyle w:val="Questionstyle"/>
        <w:numPr>
          <w:ilvl w:val="0"/>
          <w:numId w:val="45"/>
        </w:numPr>
      </w:pPr>
      <w:r>
        <w:t>an indication of any commitment of a minimum reduction rate of the investments (sometimes referred to as the "investable universe") considered prior to the application of the investment strategy - in the draft RTS below it is in the pre-contractual disclosure Articles 17(b) and 26(b);</w:t>
      </w:r>
    </w:p>
    <w:p w14:paraId="46B45C9C" w14:textId="77777777" w:rsidR="006920C8" w:rsidRDefault="006920C8" w:rsidP="006920C8">
      <w:pPr>
        <w:pStyle w:val="Questionstyle"/>
        <w:numPr>
          <w:ilvl w:val="0"/>
          <w:numId w:val="45"/>
        </w:numPr>
      </w:pPr>
      <w:r>
        <w:t>a short description of the policy to assess good governance practices of the investee comp</w:t>
      </w:r>
      <w:r>
        <w:t>a</w:t>
      </w:r>
      <w:r>
        <w:t>nies - in the draft RTS below it is in pre-contractual disclosure Articles 17(c) and 26(c);</w:t>
      </w:r>
    </w:p>
    <w:p w14:paraId="1051B739" w14:textId="77777777" w:rsidR="006920C8" w:rsidRDefault="006920C8" w:rsidP="006920C8">
      <w:pPr>
        <w:pStyle w:val="Questionstyle"/>
        <w:numPr>
          <w:ilvl w:val="0"/>
          <w:numId w:val="45"/>
        </w:numPr>
      </w:pPr>
      <w:r>
        <w:lastRenderedPageBreak/>
        <w:t>a description of the limitations to (1) methodologies and (2) data sources and how such limit</w:t>
      </w:r>
      <w:r>
        <w:t>a</w:t>
      </w:r>
      <w:r>
        <w:t>tions do not affect the attainment of any environmental or social characteristics or sustainable investment objective of the financial product - in the draft RTS below it is in the website discl</w:t>
      </w:r>
      <w:r>
        <w:t>o</w:t>
      </w:r>
      <w:r>
        <w:t>sure under Article 34(1)(k) and Article 35(1)(k); and</w:t>
      </w:r>
    </w:p>
    <w:p w14:paraId="29EEC46C" w14:textId="77777777" w:rsidR="006920C8" w:rsidRDefault="006920C8" w:rsidP="006920C8">
      <w:pPr>
        <w:pStyle w:val="Questionstyle"/>
        <w:numPr>
          <w:ilvl w:val="0"/>
          <w:numId w:val="45"/>
        </w:numPr>
      </w:pPr>
      <w:r>
        <w:t>a reference to whether data sources are external or internal and in what proportions - not currently reflected in the draft RTS but could complement the pre-contractual disclosures u</w:t>
      </w:r>
      <w:r>
        <w:t>n</w:t>
      </w:r>
      <w:r>
        <w:t xml:space="preserve">der Article 17. </w:t>
      </w:r>
    </w:p>
    <w:p w14:paraId="1C38AAAA" w14:textId="584BC214" w:rsidR="003E573C" w:rsidRDefault="003E573C" w:rsidP="006920C8">
      <w:pPr>
        <w:pStyle w:val="Questionstyle"/>
        <w:ind w:left="720"/>
      </w:pPr>
      <w:r w:rsidRPr="00763760">
        <w:t xml:space="preserve"> </w:t>
      </w:r>
    </w:p>
    <w:p w14:paraId="44F7FFB8" w14:textId="2672E1FC" w:rsidR="003E573C" w:rsidRDefault="003E573C" w:rsidP="003E573C">
      <w:pPr>
        <w:rPr>
          <w:rFonts w:cs="Arial"/>
        </w:rPr>
      </w:pPr>
      <w:r>
        <w:rPr>
          <w:rFonts w:cs="Arial"/>
        </w:rPr>
        <w:t>&lt;ESA_QUESTION_</w:t>
      </w:r>
      <w:r w:rsidR="00C86E1C">
        <w:rPr>
          <w:rFonts w:cs="Arial"/>
        </w:rPr>
        <w:t>ESG</w:t>
      </w:r>
      <w:r>
        <w:rPr>
          <w:rFonts w:cs="Arial"/>
        </w:rPr>
        <w:t>_25&gt;</w:t>
      </w:r>
    </w:p>
    <w:p w14:paraId="5E748A31" w14:textId="77777777" w:rsidR="00C7759D" w:rsidRPr="00F8364A" w:rsidRDefault="00C7759D" w:rsidP="00C7759D">
      <w:pPr>
        <w:jc w:val="both"/>
        <w:rPr>
          <w:rFonts w:cs="Arial"/>
        </w:rPr>
      </w:pPr>
      <w:permStart w:id="374105505" w:edGrp="everyone"/>
      <w:r w:rsidRPr="00F8364A">
        <w:rPr>
          <w:rFonts w:cs="Arial"/>
        </w:rPr>
        <w:t>Considering that the four elements mentioned are not the core of ESG information, the best option is the provision of this information on the website, in order to keep pre-contractual disclosures as brief as poss</w:t>
      </w:r>
      <w:r w:rsidRPr="00F8364A">
        <w:rPr>
          <w:rFonts w:cs="Arial"/>
        </w:rPr>
        <w:t>i</w:t>
      </w:r>
      <w:r w:rsidRPr="00F8364A">
        <w:rPr>
          <w:rFonts w:cs="Arial"/>
        </w:rPr>
        <w:t>ble.</w:t>
      </w:r>
    </w:p>
    <w:p w14:paraId="40B86108" w14:textId="063DECEE" w:rsidR="00C7759D" w:rsidRPr="00C7759D" w:rsidRDefault="00C7759D" w:rsidP="00BD33CD">
      <w:pPr>
        <w:jc w:val="both"/>
        <w:rPr>
          <w:rFonts w:cs="Arial"/>
        </w:rPr>
      </w:pPr>
      <w:r w:rsidRPr="00F8364A">
        <w:rPr>
          <w:rFonts w:cs="Arial"/>
        </w:rPr>
        <w:t xml:space="preserve">With respect to the fourth item (a reference to whether data sources are external or internal and in what proportions), we consider that this information does not add value to the final investor.  There are many sources of information that could be used, most of which are neither uniform nor comparable. Disclosure of such information could </w:t>
      </w:r>
      <w:r w:rsidR="00577F81">
        <w:rPr>
          <w:rFonts w:cs="Arial"/>
        </w:rPr>
        <w:t xml:space="preserve">mislead </w:t>
      </w:r>
      <w:r w:rsidRPr="00F8364A">
        <w:rPr>
          <w:rFonts w:cs="Arial"/>
        </w:rPr>
        <w:t>the end-investor</w:t>
      </w:r>
      <w:r w:rsidR="00577F81">
        <w:rPr>
          <w:rFonts w:cs="Arial"/>
        </w:rPr>
        <w:t xml:space="preserve">, so we suggest </w:t>
      </w:r>
      <w:proofErr w:type="gramStart"/>
      <w:r w:rsidR="00577F81">
        <w:rPr>
          <w:rFonts w:cs="Arial"/>
        </w:rPr>
        <w:t>to keep</w:t>
      </w:r>
      <w:proofErr w:type="gramEnd"/>
      <w:r w:rsidR="00577F81">
        <w:rPr>
          <w:rFonts w:cs="Arial"/>
        </w:rPr>
        <w:t xml:space="preserve"> said information </w:t>
      </w:r>
      <w:r w:rsidR="006371AC">
        <w:rPr>
          <w:rFonts w:cs="Arial"/>
        </w:rPr>
        <w:t xml:space="preserve">as </w:t>
      </w:r>
      <w:r w:rsidRPr="00F8364A">
        <w:rPr>
          <w:rFonts w:cs="Arial"/>
        </w:rPr>
        <w:t xml:space="preserve">concise, clear and </w:t>
      </w:r>
      <w:r w:rsidR="006371AC">
        <w:rPr>
          <w:rFonts w:cs="Arial"/>
        </w:rPr>
        <w:t>easy</w:t>
      </w:r>
      <w:r w:rsidRPr="00F8364A">
        <w:rPr>
          <w:rFonts w:cs="Arial"/>
        </w:rPr>
        <w:t xml:space="preserve"> to understand</w:t>
      </w:r>
      <w:r w:rsidR="006371AC">
        <w:rPr>
          <w:rFonts w:cs="Arial"/>
        </w:rPr>
        <w:t xml:space="preserve"> as possible</w:t>
      </w:r>
      <w:r w:rsidRPr="00F8364A">
        <w:rPr>
          <w:rFonts w:cs="Arial"/>
        </w:rPr>
        <w:t>.</w:t>
      </w:r>
    </w:p>
    <w:permEnd w:id="374105505"/>
    <w:p w14:paraId="7665AEED" w14:textId="5E4D62F2" w:rsidR="003E573C" w:rsidRDefault="003E573C" w:rsidP="003E573C">
      <w:pPr>
        <w:rPr>
          <w:rFonts w:cs="Arial"/>
        </w:rPr>
      </w:pPr>
      <w:r>
        <w:rPr>
          <w:rFonts w:cs="Arial"/>
        </w:rPr>
        <w:t>&lt;ESA_QUESTION_</w:t>
      </w:r>
      <w:r w:rsidR="00C86E1C">
        <w:rPr>
          <w:rFonts w:cs="Arial"/>
        </w:rPr>
        <w:t>ESG</w:t>
      </w:r>
      <w:r>
        <w:rPr>
          <w:rFonts w:cs="Arial"/>
        </w:rPr>
        <w:t>_25&gt;</w:t>
      </w:r>
    </w:p>
    <w:p w14:paraId="35F4B475" w14:textId="77777777" w:rsidR="003E573C" w:rsidRDefault="003E573C" w:rsidP="003E573C">
      <w:pPr>
        <w:rPr>
          <w:rFonts w:cs="Arial"/>
        </w:rPr>
      </w:pPr>
    </w:p>
    <w:p w14:paraId="07BBB7D0" w14:textId="6512F9CE" w:rsidR="003E573C" w:rsidRDefault="003E573C" w:rsidP="003E573C">
      <w:pPr>
        <w:pStyle w:val="Questionstyle"/>
        <w:numPr>
          <w:ilvl w:val="0"/>
          <w:numId w:val="39"/>
        </w:numPr>
      </w:pPr>
      <w:r>
        <w:t xml:space="preserve">: </w:t>
      </w:r>
      <w:r w:rsidR="006920C8" w:rsidRPr="006920C8">
        <w:t>Is it better to include a separate section on information on how the use of derivatives meets each of the environmental or social characteristics or sustainable investment objectives pr</w:t>
      </w:r>
      <w:r w:rsidR="006920C8" w:rsidRPr="006920C8">
        <w:t>o</w:t>
      </w:r>
      <w:r w:rsidR="006920C8" w:rsidRPr="006920C8">
        <w:t>moted by the financial product, as in the below draft RTS under Article 19 and article 28, or would it be better to integrate this section with the graphical and narrative explanation of the investment proportions under Article 15(2) and 24(2)?</w:t>
      </w:r>
    </w:p>
    <w:p w14:paraId="478748BB" w14:textId="1492C8F0" w:rsidR="003E573C" w:rsidRDefault="003E573C" w:rsidP="003E573C">
      <w:pPr>
        <w:rPr>
          <w:rFonts w:cs="Arial"/>
        </w:rPr>
      </w:pPr>
      <w:r>
        <w:rPr>
          <w:rFonts w:cs="Arial"/>
        </w:rPr>
        <w:t>&lt;ESA_QUESTION_</w:t>
      </w:r>
      <w:r w:rsidR="00C86E1C">
        <w:rPr>
          <w:rFonts w:cs="Arial"/>
        </w:rPr>
        <w:t>ESG</w:t>
      </w:r>
      <w:r>
        <w:rPr>
          <w:rFonts w:cs="Arial"/>
        </w:rPr>
        <w:t>_26&gt;</w:t>
      </w:r>
    </w:p>
    <w:p w14:paraId="2BFE012E" w14:textId="7E28A88B" w:rsidR="003E573C" w:rsidRPr="00BD33CD" w:rsidRDefault="00BD33CD" w:rsidP="00BD33CD">
      <w:pPr>
        <w:jc w:val="both"/>
        <w:rPr>
          <w:rFonts w:cs="Arial"/>
          <w:lang w:val="en-US"/>
        </w:rPr>
      </w:pPr>
      <w:permStart w:id="624894902" w:edGrp="everyone"/>
      <w:r w:rsidRPr="00BD33CD">
        <w:rPr>
          <w:rFonts w:cs="Arial"/>
          <w:lang w:val="en-US"/>
        </w:rPr>
        <w:t>In our opini</w:t>
      </w:r>
      <w:r>
        <w:rPr>
          <w:rFonts w:cs="Arial"/>
          <w:lang w:val="en-US"/>
        </w:rPr>
        <w:t>o</w:t>
      </w:r>
      <w:r w:rsidRPr="00BD33CD">
        <w:rPr>
          <w:rFonts w:cs="Arial"/>
          <w:lang w:val="en-US"/>
        </w:rPr>
        <w:t xml:space="preserve">n, </w:t>
      </w:r>
      <w:r>
        <w:rPr>
          <w:rFonts w:cs="Arial"/>
          <w:lang w:val="en-US"/>
        </w:rPr>
        <w:t xml:space="preserve">and for the sake of clarity, </w:t>
      </w:r>
      <w:r w:rsidRPr="00BD33CD">
        <w:rPr>
          <w:rFonts w:cs="Arial"/>
          <w:lang w:val="en-US"/>
        </w:rPr>
        <w:t>i</w:t>
      </w:r>
      <w:r>
        <w:rPr>
          <w:rFonts w:cs="Arial"/>
          <w:lang w:val="en-US"/>
        </w:rPr>
        <w:t xml:space="preserve">t is better </w:t>
      </w:r>
      <w:r w:rsidR="006371AC">
        <w:rPr>
          <w:rFonts w:cs="Arial"/>
          <w:lang w:val="en-US"/>
        </w:rPr>
        <w:t>t</w:t>
      </w:r>
      <w:r w:rsidRPr="006920C8">
        <w:t>o include a separate section on information on how the use of derivatives meets each of the environmental or social characteristics or sustainable investment obj</w:t>
      </w:r>
      <w:r w:rsidR="003C0A92">
        <w:t>e</w:t>
      </w:r>
      <w:r w:rsidRPr="006920C8">
        <w:t xml:space="preserve">ctives promoted by the financial product, as </w:t>
      </w:r>
      <w:r>
        <w:t xml:space="preserve">it is already foreseen </w:t>
      </w:r>
      <w:r w:rsidRPr="006920C8">
        <w:t xml:space="preserve">in the draft RTS under Article 19 and </w:t>
      </w:r>
      <w:r w:rsidR="006371AC">
        <w:t>A</w:t>
      </w:r>
      <w:r w:rsidRPr="006920C8">
        <w:t>rticle 28</w:t>
      </w:r>
    </w:p>
    <w:permEnd w:id="624894902"/>
    <w:p w14:paraId="4A8013FB" w14:textId="735B8564" w:rsidR="003E573C" w:rsidRDefault="003E573C" w:rsidP="003E573C">
      <w:pPr>
        <w:rPr>
          <w:rFonts w:cs="Arial"/>
        </w:rPr>
      </w:pPr>
      <w:r>
        <w:rPr>
          <w:rFonts w:cs="Arial"/>
        </w:rPr>
        <w:t>&lt;ESA_QUESTION_</w:t>
      </w:r>
      <w:r w:rsidR="00C86E1C">
        <w:rPr>
          <w:rFonts w:cs="Arial"/>
        </w:rPr>
        <w:t>ESG</w:t>
      </w:r>
      <w:r>
        <w:rPr>
          <w:rFonts w:cs="Arial"/>
        </w:rPr>
        <w:t>_26&gt;</w:t>
      </w:r>
    </w:p>
    <w:p w14:paraId="2E8B6EF5" w14:textId="77777777" w:rsidR="003E573C" w:rsidRDefault="003E573C" w:rsidP="003E573C">
      <w:pPr>
        <w:rPr>
          <w:rFonts w:cs="Arial"/>
        </w:rPr>
      </w:pPr>
    </w:p>
    <w:p w14:paraId="362C80A0" w14:textId="45A589EB" w:rsidR="003E573C" w:rsidRDefault="003E573C" w:rsidP="003E573C">
      <w:pPr>
        <w:pStyle w:val="Questionstyle"/>
        <w:numPr>
          <w:ilvl w:val="0"/>
          <w:numId w:val="39"/>
        </w:numPr>
      </w:pPr>
      <w:r>
        <w:t xml:space="preserve">: </w:t>
      </w:r>
      <w:r w:rsidR="006920C8" w:rsidRPr="006920C8">
        <w:t>Do you have any views regarding the preliminary impact assessments? Can you provide more granular examples of costs associated with the policy options?</w:t>
      </w:r>
      <w:r w:rsidRPr="00763760">
        <w:t xml:space="preserve"> </w:t>
      </w:r>
    </w:p>
    <w:p w14:paraId="644F48DF" w14:textId="78D78223" w:rsidR="003E573C" w:rsidRDefault="003E573C" w:rsidP="003E573C">
      <w:pPr>
        <w:rPr>
          <w:rFonts w:cs="Arial"/>
        </w:rPr>
      </w:pPr>
      <w:r>
        <w:rPr>
          <w:rFonts w:cs="Arial"/>
        </w:rPr>
        <w:t>&lt;ESA_QUESTION_</w:t>
      </w:r>
      <w:r w:rsidR="00C86E1C">
        <w:rPr>
          <w:rFonts w:cs="Arial"/>
        </w:rPr>
        <w:t>ESG</w:t>
      </w:r>
      <w:r>
        <w:rPr>
          <w:rFonts w:cs="Arial"/>
        </w:rPr>
        <w:t>_27&gt;</w:t>
      </w:r>
    </w:p>
    <w:p w14:paraId="6C2A760D" w14:textId="77777777" w:rsidR="00C7759D" w:rsidRDefault="00C7759D" w:rsidP="00C7759D">
      <w:pPr>
        <w:rPr>
          <w:rFonts w:cs="Arial"/>
          <w:lang w:val="en-US"/>
        </w:rPr>
      </w:pPr>
      <w:permStart w:id="1007688109" w:edGrp="everyone"/>
      <w:r w:rsidRPr="00F8364A">
        <w:rPr>
          <w:rFonts w:cs="Arial"/>
        </w:rPr>
        <w:t>The ESAs document estimates the cost of integrating ESG considerations into the activities of financial institutions in the range of 80,000-200,000 euros.</w:t>
      </w:r>
      <w:r>
        <w:rPr>
          <w:rFonts w:cs="Arial"/>
        </w:rPr>
        <w:t xml:space="preserve"> </w:t>
      </w:r>
      <w:r w:rsidRPr="009E4F40">
        <w:rPr>
          <w:rFonts w:cs="Arial"/>
        </w:rPr>
        <w:t>It is very difficult to assess these costs, as</w:t>
      </w:r>
      <w:r>
        <w:rPr>
          <w:rFonts w:cs="Arial"/>
        </w:rPr>
        <w:t xml:space="preserve"> </w:t>
      </w:r>
      <w:r w:rsidRPr="003C0A92">
        <w:rPr>
          <w:rFonts w:cs="Arial"/>
          <w:lang w:val="en-US"/>
        </w:rPr>
        <w:t>at present, data related to ESG factors are not easily accessible</w:t>
      </w:r>
      <w:proofErr w:type="gramStart"/>
      <w:r w:rsidRPr="003C0A92">
        <w:rPr>
          <w:rFonts w:cs="Arial"/>
          <w:lang w:val="en-US"/>
        </w:rPr>
        <w:t>,  and</w:t>
      </w:r>
      <w:proofErr w:type="gramEnd"/>
      <w:r w:rsidRPr="003C0A92">
        <w:rPr>
          <w:rFonts w:cs="Arial"/>
          <w:lang w:val="en-US"/>
        </w:rPr>
        <w:t xml:space="preserve"> therefore compliance wit</w:t>
      </w:r>
      <w:r>
        <w:rPr>
          <w:rFonts w:cs="Arial"/>
          <w:lang w:val="en-US"/>
        </w:rPr>
        <w:t xml:space="preserve">h these obligations </w:t>
      </w:r>
      <w:r w:rsidRPr="003C0A92">
        <w:rPr>
          <w:rFonts w:cs="Arial"/>
          <w:lang w:val="en-US"/>
        </w:rPr>
        <w:t>extremely relies on external data</w:t>
      </w:r>
      <w:r>
        <w:rPr>
          <w:rFonts w:cs="Arial"/>
          <w:lang w:val="en-US"/>
        </w:rPr>
        <w:t>, with a</w:t>
      </w:r>
      <w:r w:rsidRPr="003C0A92">
        <w:rPr>
          <w:rFonts w:cs="Arial"/>
          <w:lang w:val="en-US"/>
        </w:rPr>
        <w:t xml:space="preserve"> cost </w:t>
      </w:r>
      <w:r>
        <w:rPr>
          <w:rFonts w:cs="Arial"/>
          <w:lang w:val="en-US"/>
        </w:rPr>
        <w:t xml:space="preserve">which </w:t>
      </w:r>
      <w:r w:rsidRPr="003C0A92">
        <w:rPr>
          <w:rFonts w:cs="Arial"/>
          <w:lang w:val="en-US"/>
        </w:rPr>
        <w:t>is frequently opaque</w:t>
      </w:r>
      <w:r>
        <w:rPr>
          <w:rFonts w:cs="Arial"/>
          <w:lang w:val="en-US"/>
        </w:rPr>
        <w:t>.</w:t>
      </w:r>
    </w:p>
    <w:p w14:paraId="33FFB2F4" w14:textId="77777777" w:rsidR="00C7759D" w:rsidRDefault="00C7759D" w:rsidP="00C7759D">
      <w:pPr>
        <w:rPr>
          <w:rFonts w:cs="Arial"/>
          <w:lang w:val="en-US"/>
        </w:rPr>
      </w:pPr>
    </w:p>
    <w:p w14:paraId="73811992" w14:textId="77777777" w:rsidR="00C7759D" w:rsidRPr="003C0A92" w:rsidRDefault="00C7759D" w:rsidP="00C7759D">
      <w:pPr>
        <w:jc w:val="both"/>
        <w:rPr>
          <w:rFonts w:cs="Arial"/>
          <w:lang w:val="en-US"/>
        </w:rPr>
      </w:pPr>
      <w:r>
        <w:rPr>
          <w:rFonts w:cs="Arial"/>
          <w:lang w:val="en-US"/>
        </w:rPr>
        <w:t>Despite the principle of proportionality, t</w:t>
      </w:r>
      <w:r w:rsidRPr="003C0A92">
        <w:rPr>
          <w:rFonts w:cs="Arial"/>
          <w:lang w:val="en-US"/>
        </w:rPr>
        <w:t>he need to "buy" data from external providers may result in co</w:t>
      </w:r>
      <w:r w:rsidRPr="003C0A92">
        <w:rPr>
          <w:rFonts w:cs="Arial"/>
          <w:lang w:val="en-US"/>
        </w:rPr>
        <w:t>m</w:t>
      </w:r>
      <w:r w:rsidRPr="003C0A92">
        <w:rPr>
          <w:rFonts w:cs="Arial"/>
          <w:lang w:val="en-US"/>
        </w:rPr>
        <w:t xml:space="preserve">petitive disadvantages </w:t>
      </w:r>
      <w:proofErr w:type="spellStart"/>
      <w:r w:rsidRPr="003C0A92">
        <w:rPr>
          <w:rFonts w:cs="Arial"/>
          <w:lang w:val="en-US"/>
        </w:rPr>
        <w:t>favouring</w:t>
      </w:r>
      <w:proofErr w:type="spellEnd"/>
      <w:r w:rsidRPr="003C0A92">
        <w:rPr>
          <w:rFonts w:cs="Arial"/>
          <w:lang w:val="en-US"/>
        </w:rPr>
        <w:t xml:space="preserve"> the biggest players, </w:t>
      </w:r>
      <w:r>
        <w:rPr>
          <w:rFonts w:cs="Arial"/>
          <w:lang w:val="en-US"/>
        </w:rPr>
        <w:t>to the detriment of the small and medium ones (please note that, for example in the sector of asset management, there are more than 4.500 Manag</w:t>
      </w:r>
      <w:r>
        <w:rPr>
          <w:rFonts w:cs="Arial"/>
          <w:lang w:val="en-US"/>
        </w:rPr>
        <w:t>e</w:t>
      </w:r>
      <w:r>
        <w:rPr>
          <w:rFonts w:cs="Arial"/>
          <w:lang w:val="en-US"/>
        </w:rPr>
        <w:t xml:space="preserve">ment Companies in the EU, most of them small or medium). </w:t>
      </w:r>
    </w:p>
    <w:p w14:paraId="3ABEFB90" w14:textId="77777777" w:rsidR="00C7759D" w:rsidRPr="003C0A92" w:rsidRDefault="00C7759D" w:rsidP="00C7759D">
      <w:pPr>
        <w:jc w:val="both"/>
        <w:rPr>
          <w:rFonts w:cs="Arial"/>
          <w:lang w:val="en-US"/>
        </w:rPr>
      </w:pPr>
    </w:p>
    <w:p w14:paraId="50AB8F8B" w14:textId="3CCE7AC2" w:rsidR="003E573C" w:rsidRPr="003C0A92" w:rsidRDefault="00C7759D" w:rsidP="00714EE8">
      <w:pPr>
        <w:jc w:val="both"/>
        <w:rPr>
          <w:rFonts w:cs="Arial"/>
          <w:lang w:val="en-US"/>
        </w:rPr>
      </w:pPr>
      <w:r>
        <w:rPr>
          <w:rFonts w:cs="Arial"/>
          <w:lang w:val="en-US"/>
        </w:rPr>
        <w:t xml:space="preserve">For this reason, we see merit in a </w:t>
      </w:r>
      <w:r w:rsidRPr="003C0A92">
        <w:rPr>
          <w:rFonts w:cs="Arial"/>
          <w:lang w:val="en-US"/>
        </w:rPr>
        <w:t xml:space="preserve">proposal </w:t>
      </w:r>
      <w:r>
        <w:rPr>
          <w:rFonts w:cs="Arial"/>
          <w:lang w:val="en-US"/>
        </w:rPr>
        <w:t xml:space="preserve">that </w:t>
      </w:r>
      <w:r w:rsidRPr="003C0A92">
        <w:rPr>
          <w:rFonts w:cs="Arial"/>
          <w:lang w:val="en-US"/>
        </w:rPr>
        <w:t>has recently emerged from different European financial federations for the creation of a centralized European register of ESG data, in order to be able to comply, among other regulatory developments, with the provisions of the SFDR. Such a register, in addition to presenting more harmonized and comparable information, would be very much welcome as it would facilitate access and minimize the cost of implementation for financial market participants</w:t>
      </w:r>
      <w:r w:rsidR="006371AC">
        <w:rPr>
          <w:rFonts w:cs="Arial"/>
          <w:lang w:val="en-US"/>
        </w:rPr>
        <w:t>.</w:t>
      </w:r>
    </w:p>
    <w:permEnd w:id="1007688109"/>
    <w:p w14:paraId="60AE9CFD" w14:textId="1CEF26AE" w:rsidR="003E573C" w:rsidRDefault="003E573C" w:rsidP="003E573C">
      <w:pPr>
        <w:rPr>
          <w:rFonts w:cs="Arial"/>
        </w:rPr>
      </w:pPr>
      <w:r>
        <w:rPr>
          <w:rFonts w:cs="Arial"/>
        </w:rPr>
        <w:lastRenderedPageBreak/>
        <w:t>&lt;ESA_QUESTION_</w:t>
      </w:r>
      <w:r w:rsidR="00C86E1C">
        <w:rPr>
          <w:rFonts w:cs="Arial"/>
        </w:rPr>
        <w:t>ESG</w:t>
      </w:r>
      <w:r>
        <w:rPr>
          <w:rFonts w:cs="Arial"/>
        </w:rPr>
        <w:t>_27&gt;</w:t>
      </w:r>
    </w:p>
    <w:p w14:paraId="25C9796B" w14:textId="77777777" w:rsidR="003E573C" w:rsidRDefault="003E573C" w:rsidP="003E573C">
      <w:pPr>
        <w:rPr>
          <w:rFonts w:cs="Arial"/>
        </w:rPr>
      </w:pPr>
    </w:p>
    <w:p w14:paraId="785904EE" w14:textId="77777777" w:rsidR="003E573C" w:rsidRPr="007B52B2" w:rsidRDefault="003E573C" w:rsidP="003E573C">
      <w:pPr>
        <w:rPr>
          <w:rFonts w:cs="Arial"/>
        </w:rPr>
      </w:pPr>
    </w:p>
    <w:p w14:paraId="6A3CB0E1" w14:textId="3A94EBE7" w:rsidR="00820CBA" w:rsidRPr="00820CBA" w:rsidRDefault="00820CBA" w:rsidP="003E573C">
      <w:pPr>
        <w:pStyle w:val="Questionstyle"/>
        <w:ind w:left="720"/>
      </w:pPr>
    </w:p>
    <w:sectPr w:rsidR="00820CBA" w:rsidRPr="00820CBA" w:rsidSect="00A8728B">
      <w:headerReference w:type="even" r:id="rId24"/>
      <w:headerReference w:type="first" r:id="rId25"/>
      <w:footerReference w:type="first" r:id="rId26"/>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5A99D3" w14:textId="77777777" w:rsidR="00387D2B" w:rsidRDefault="00387D2B">
      <w:r>
        <w:separator/>
      </w:r>
    </w:p>
    <w:p w14:paraId="44CBEB53" w14:textId="77777777" w:rsidR="00387D2B" w:rsidRDefault="00387D2B"/>
  </w:endnote>
  <w:endnote w:type="continuationSeparator" w:id="0">
    <w:p w14:paraId="19968CAA" w14:textId="77777777" w:rsidR="00387D2B" w:rsidRDefault="00387D2B">
      <w:r>
        <w:continuationSeparator/>
      </w:r>
    </w:p>
    <w:p w14:paraId="3F9F129A" w14:textId="77777777" w:rsidR="00387D2B" w:rsidRDefault="00387D2B"/>
  </w:endnote>
  <w:endnote w:type="continuationNotice" w:id="1">
    <w:p w14:paraId="1BA9CD52" w14:textId="77777777" w:rsidR="00387D2B" w:rsidRDefault="00387D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EUAlbertina">
    <w:altName w:val="Calibri"/>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20B0403030403020204"/>
    <w:charset w:val="00"/>
    <w:family w:val="swiss"/>
    <w:notTrueType/>
    <w:pitch w:val="variable"/>
    <w:sig w:usb0="A00002AF" w:usb1="50002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montserratlight">
    <w:altName w:val="Times New Roman"/>
    <w:charset w:val="00"/>
    <w:family w:val="auto"/>
    <w:pitch w:val="default"/>
  </w:font>
  <w:font w:name="MS PGothic">
    <w:panose1 w:val="020B0600070205080204"/>
    <w:charset w:val="80"/>
    <w:family w:val="swiss"/>
    <w:pitch w:val="variable"/>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80E59" w14:textId="77777777" w:rsidR="008F65D5" w:rsidRDefault="008F65D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6A3CB0EF" w14:textId="77777777" w:rsidTr="00315E96">
      <w:trPr>
        <w:trHeight w:val="284"/>
      </w:trPr>
      <w:tc>
        <w:tcPr>
          <w:tcW w:w="8460" w:type="dxa"/>
        </w:tcPr>
        <w:p w14:paraId="6A3CB0ED" w14:textId="77777777" w:rsidR="00811EDA" w:rsidRPr="00315E96" w:rsidRDefault="00811EDA" w:rsidP="00315E96">
          <w:pPr>
            <w:pStyle w:val="00Footer"/>
            <w:rPr>
              <w:lang w:val="fr-FR"/>
            </w:rPr>
          </w:pPr>
        </w:p>
      </w:tc>
      <w:tc>
        <w:tcPr>
          <w:tcW w:w="952" w:type="dxa"/>
        </w:tcPr>
        <w:p w14:paraId="6A3CB0EE" w14:textId="23180CB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C32D40">
            <w:rPr>
              <w:rFonts w:cs="Arial"/>
              <w:noProof/>
              <w:sz w:val="22"/>
              <w:szCs w:val="22"/>
            </w:rPr>
            <w:t>8</w:t>
          </w:r>
          <w:r w:rsidRPr="00616B9B">
            <w:rPr>
              <w:rFonts w:cs="Arial"/>
              <w:noProof/>
              <w:sz w:val="22"/>
              <w:szCs w:val="22"/>
            </w:rPr>
            <w:fldChar w:fldCharType="end"/>
          </w:r>
        </w:p>
      </w:tc>
    </w:tr>
  </w:tbl>
  <w:p w14:paraId="6A3CB0F0" w14:textId="77777777" w:rsidR="00811EDA" w:rsidRDefault="00811ED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AD7D7" w14:textId="77777777" w:rsidR="008F65D5" w:rsidRDefault="008F65D5">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CB100" w14:textId="77777777" w:rsidR="00811EDA" w:rsidRDefault="00811ED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5DDDED" w14:textId="77777777" w:rsidR="00387D2B" w:rsidRDefault="00387D2B">
      <w:r>
        <w:separator/>
      </w:r>
    </w:p>
    <w:p w14:paraId="79178EA8" w14:textId="77777777" w:rsidR="00387D2B" w:rsidRDefault="00387D2B"/>
  </w:footnote>
  <w:footnote w:type="continuationSeparator" w:id="0">
    <w:p w14:paraId="0B97CAE4" w14:textId="77777777" w:rsidR="00387D2B" w:rsidRDefault="00387D2B">
      <w:r>
        <w:continuationSeparator/>
      </w:r>
    </w:p>
    <w:p w14:paraId="594F3C55" w14:textId="77777777" w:rsidR="00387D2B" w:rsidRDefault="00387D2B"/>
  </w:footnote>
  <w:footnote w:type="continuationNotice" w:id="1">
    <w:p w14:paraId="2325B3EA" w14:textId="77777777" w:rsidR="00387D2B" w:rsidRDefault="00387D2B"/>
  </w:footnote>
  <w:footnote w:id="2">
    <w:p w14:paraId="52F26208" w14:textId="77777777" w:rsidR="00197794" w:rsidRDefault="00197794" w:rsidP="00197794">
      <w:pPr>
        <w:pStyle w:val="Textonotapie"/>
      </w:pPr>
      <w:r>
        <w:rPr>
          <w:rStyle w:val="Refdenotaalpie"/>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 w:id="3">
    <w:p w14:paraId="2C1BA355" w14:textId="1809ACB5" w:rsidR="00B645B5" w:rsidRPr="0097442B" w:rsidRDefault="00B645B5" w:rsidP="00B645B5">
      <w:pPr>
        <w:pStyle w:val="Default"/>
        <w:jc w:val="both"/>
        <w:rPr>
          <w:b/>
          <w:bCs/>
          <w:sz w:val="18"/>
          <w:szCs w:val="18"/>
          <w:lang w:val="en-US"/>
        </w:rPr>
      </w:pPr>
      <w:r>
        <w:rPr>
          <w:rStyle w:val="Refdenotaalpie"/>
          <w:rFonts w:ascii="Arial Narrow" w:eastAsia="Calibri" w:hAnsi="Arial Narrow"/>
          <w:b/>
          <w:bCs/>
          <w:color w:val="000000" w:themeColor="text1"/>
          <w:sz w:val="20"/>
          <w:szCs w:val="20"/>
        </w:rPr>
        <w:footnoteRef/>
      </w:r>
      <w:r w:rsidRPr="0097442B">
        <w:rPr>
          <w:rFonts w:ascii="Arial Narrow" w:hAnsi="Arial Narrow"/>
          <w:b/>
          <w:bCs/>
          <w:sz w:val="20"/>
          <w:szCs w:val="20"/>
          <w:lang w:val="en-US"/>
        </w:rPr>
        <w:t xml:space="preserve"> </w:t>
      </w:r>
      <w:r w:rsidRPr="0097442B">
        <w:rPr>
          <w:rFonts w:ascii="Arial Narrow" w:hAnsi="Arial Narrow"/>
          <w:sz w:val="18"/>
          <w:szCs w:val="18"/>
          <w:lang w:val="en-US"/>
        </w:rPr>
        <w:t xml:space="preserve">In this respect, </w:t>
      </w:r>
      <w:r w:rsidRPr="0097442B">
        <w:rPr>
          <w:rFonts w:ascii="Arial Narrow" w:hAnsi="Arial Narrow"/>
          <w:b/>
          <w:bCs/>
          <w:sz w:val="18"/>
          <w:szCs w:val="18"/>
          <w:lang w:val="en-US"/>
        </w:rPr>
        <w:t>the letter dated 20 April 2020 addressed by Jose Manuel Campa, President of the ESAs</w:t>
      </w:r>
      <w:r w:rsidR="002759B3">
        <w:rPr>
          <w:rFonts w:ascii="Arial Narrow" w:hAnsi="Arial Narrow"/>
          <w:b/>
          <w:bCs/>
          <w:sz w:val="18"/>
          <w:szCs w:val="18"/>
          <w:lang w:val="en-US"/>
        </w:rPr>
        <w:t xml:space="preserve"> Joint Committee</w:t>
      </w:r>
      <w:r w:rsidRPr="0097442B">
        <w:rPr>
          <w:rFonts w:ascii="Arial Narrow" w:hAnsi="Arial Narrow"/>
          <w:sz w:val="18"/>
          <w:szCs w:val="18"/>
          <w:lang w:val="en-US"/>
        </w:rPr>
        <w:t xml:space="preserve">, to John Barrigan, Director General of the Financial Stability, Financial Services and Single Capital Market Area, is extremely relevant, acknowledging the very tight deadlines for the application of the Disclosure rules and </w:t>
      </w:r>
      <w:r w:rsidRPr="0097442B">
        <w:rPr>
          <w:rFonts w:ascii="Arial Narrow" w:hAnsi="Arial Narrow"/>
          <w:b/>
          <w:bCs/>
          <w:sz w:val="18"/>
          <w:szCs w:val="18"/>
          <w:lang w:val="en-US"/>
        </w:rPr>
        <w:t>asking the EC to reconsider the entry into force of the rules in March 2021</w:t>
      </w:r>
      <w:r w:rsidRPr="0097442B">
        <w:rPr>
          <w:rFonts w:ascii="Arial Narrow" w:hAnsi="Arial Narrow"/>
          <w:sz w:val="18"/>
          <w:szCs w:val="18"/>
          <w:lang w:val="en-US"/>
        </w:rPr>
        <w:t>, allowing the Entities sufficient time to duly implement the</w:t>
      </w:r>
      <w:r w:rsidR="002759B3">
        <w:rPr>
          <w:rFonts w:ascii="Arial Narrow" w:hAnsi="Arial Narrow"/>
          <w:sz w:val="18"/>
          <w:szCs w:val="18"/>
          <w:lang w:val="en-US"/>
        </w:rPr>
        <w:t>m</w:t>
      </w:r>
      <w:r w:rsidRPr="0097442B">
        <w:rPr>
          <w:rFonts w:ascii="Arial Narrow" w:hAnsi="Arial Narrow"/>
          <w:sz w:val="18"/>
          <w:szCs w:val="18"/>
          <w:lang w:val="en-US"/>
        </w:rPr>
        <w:t>.</w:t>
      </w:r>
    </w:p>
  </w:footnote>
  <w:footnote w:id="4">
    <w:p w14:paraId="3B55BDC2" w14:textId="3F428441" w:rsidR="00B645B5" w:rsidRPr="0097442B" w:rsidRDefault="00B645B5" w:rsidP="00B645B5">
      <w:pPr>
        <w:pStyle w:val="Textonotapie"/>
        <w:rPr>
          <w:rFonts w:ascii="Arial Narrow" w:hAnsi="Arial Narrow"/>
          <w:sz w:val="18"/>
          <w:szCs w:val="18"/>
          <w:lang w:val="en-US"/>
        </w:rPr>
      </w:pPr>
      <w:r>
        <w:rPr>
          <w:rStyle w:val="Refdenotaalpie"/>
          <w:rFonts w:ascii="Arial Narrow" w:eastAsia="Calibri" w:hAnsi="Arial Narrow"/>
          <w:b/>
          <w:bCs/>
        </w:rPr>
        <w:footnoteRef/>
      </w:r>
      <w:r w:rsidRPr="0097442B">
        <w:rPr>
          <w:rFonts w:ascii="Arial Narrow" w:hAnsi="Arial Narrow"/>
          <w:b/>
          <w:bCs/>
          <w:lang w:val="en-US"/>
        </w:rPr>
        <w:t xml:space="preserve"> </w:t>
      </w:r>
      <w:r w:rsidRPr="0097442B">
        <w:rPr>
          <w:rFonts w:ascii="Arial Narrow" w:hAnsi="Arial Narrow"/>
          <w:sz w:val="18"/>
          <w:szCs w:val="18"/>
          <w:lang w:val="en-US"/>
        </w:rPr>
        <w:t xml:space="preserve">Rethinking Sustainability - Comparative </w:t>
      </w:r>
      <w:r w:rsidR="002759B3">
        <w:rPr>
          <w:rFonts w:ascii="Arial Narrow" w:hAnsi="Arial Narrow"/>
          <w:sz w:val="18"/>
          <w:szCs w:val="18"/>
          <w:lang w:val="en-US"/>
        </w:rPr>
        <w:t>survey</w:t>
      </w:r>
      <w:r w:rsidRPr="0097442B">
        <w:rPr>
          <w:rFonts w:ascii="Arial Narrow" w:hAnsi="Arial Narrow"/>
          <w:sz w:val="18"/>
          <w:szCs w:val="18"/>
          <w:lang w:val="en-US"/>
        </w:rPr>
        <w:t xml:space="preserve"> of IBEX 35 Non-Financial Information Statements for 2018, conducted by EY.</w:t>
      </w:r>
    </w:p>
  </w:footnote>
  <w:footnote w:id="5">
    <w:p w14:paraId="635D990F" w14:textId="77777777" w:rsidR="00B645B5" w:rsidRPr="0097442B" w:rsidRDefault="00B645B5" w:rsidP="00B645B5">
      <w:pPr>
        <w:widowControl w:val="0"/>
        <w:tabs>
          <w:tab w:val="left" w:pos="567"/>
        </w:tabs>
        <w:autoSpaceDE w:val="0"/>
        <w:autoSpaceDN w:val="0"/>
        <w:spacing w:before="1" w:line="276" w:lineRule="auto"/>
        <w:ind w:left="-61" w:right="227"/>
        <w:jc w:val="both"/>
        <w:rPr>
          <w:rFonts w:ascii="Arial Narrow" w:hAnsi="Arial Narrow"/>
          <w:i/>
          <w:iCs/>
          <w:sz w:val="18"/>
          <w:szCs w:val="18"/>
          <w:lang w:val="en-US"/>
        </w:rPr>
      </w:pPr>
      <w:r>
        <w:rPr>
          <w:rStyle w:val="Refdenotaalpie"/>
          <w:rFonts w:ascii="Arial Narrow" w:eastAsia="Calibri" w:hAnsi="Arial Narrow"/>
          <w:color w:val="000000" w:themeColor="text1"/>
          <w:sz w:val="19"/>
          <w:szCs w:val="19"/>
        </w:rPr>
        <w:footnoteRef/>
      </w:r>
      <w:r w:rsidRPr="0097442B">
        <w:rPr>
          <w:rFonts w:ascii="Arial Narrow" w:hAnsi="Arial Narrow"/>
          <w:sz w:val="18"/>
          <w:szCs w:val="18"/>
          <w:lang w:val="en-US"/>
        </w:rPr>
        <w:t xml:space="preserve"> The European Commission has published the draft of the Delegated Acts for the integration of sustainability factors under the UCITS, AIFMD, MiFID II and IDD regulations, which it has submitted to public consultation for 4 weeks ("Better Regulation") until 6 July 2020 and whose approval is not expected until the last quarter of 2020, which, taking into account the 12-month period foreseen in the regulations for the application of this new regulation, would mean its entry into force no earlier than the last quarter of 2021.</w:t>
      </w:r>
    </w:p>
    <w:p w14:paraId="18C5CFA2" w14:textId="77777777" w:rsidR="00B645B5" w:rsidRPr="0097442B" w:rsidRDefault="00B645B5" w:rsidP="00B645B5">
      <w:pPr>
        <w:jc w:val="both"/>
        <w:rPr>
          <w:b/>
          <w:bCs/>
          <w:sz w:val="18"/>
          <w:szCs w:val="18"/>
          <w:lang w:val="en-US"/>
        </w:rPr>
      </w:pPr>
      <w:r w:rsidRPr="0097442B">
        <w:rPr>
          <w:rFonts w:ascii="Arial Narrow" w:hAnsi="Arial Narrow"/>
          <w:i/>
          <w:sz w:val="18"/>
          <w:szCs w:val="18"/>
          <w:lang w:val="en-US"/>
        </w:rPr>
        <w:t xml:space="preserve"> </w:t>
      </w:r>
    </w:p>
  </w:footnote>
  <w:footnote w:id="6">
    <w:p w14:paraId="77BB4500" w14:textId="77777777" w:rsidR="00B645B5" w:rsidRPr="0097442B" w:rsidRDefault="00B645B5" w:rsidP="00B645B5">
      <w:pPr>
        <w:widowControl w:val="0"/>
        <w:tabs>
          <w:tab w:val="left" w:pos="567"/>
        </w:tabs>
        <w:autoSpaceDE w:val="0"/>
        <w:autoSpaceDN w:val="0"/>
        <w:spacing w:before="1" w:line="276" w:lineRule="auto"/>
        <w:ind w:left="-61" w:right="227"/>
        <w:jc w:val="both"/>
        <w:rPr>
          <w:rFonts w:ascii="Arial Narrow" w:hAnsi="Arial Narrow"/>
          <w:i/>
          <w:iCs/>
          <w:sz w:val="18"/>
          <w:szCs w:val="18"/>
          <w:lang w:val="en-US"/>
        </w:rPr>
      </w:pPr>
      <w:r>
        <w:rPr>
          <w:rStyle w:val="Refdenotaalpie"/>
          <w:rFonts w:ascii="Arial Narrow" w:eastAsia="Calibri" w:hAnsi="Arial Narrow"/>
          <w:b/>
          <w:bCs/>
          <w:color w:val="000000" w:themeColor="text1"/>
          <w:szCs w:val="20"/>
        </w:rPr>
        <w:footnoteRef/>
      </w:r>
      <w:r w:rsidRPr="0097442B">
        <w:rPr>
          <w:rFonts w:ascii="Arial Narrow" w:hAnsi="Arial Narrow"/>
          <w:b/>
          <w:bCs/>
          <w:szCs w:val="20"/>
          <w:lang w:val="en-US"/>
        </w:rPr>
        <w:t xml:space="preserve"> </w:t>
      </w:r>
      <w:r w:rsidRPr="0097442B">
        <w:rPr>
          <w:rFonts w:ascii="Arial Narrow" w:hAnsi="Arial Narrow"/>
          <w:sz w:val="18"/>
          <w:szCs w:val="18"/>
          <w:lang w:val="en-US"/>
        </w:rPr>
        <w:t>See note 15</w:t>
      </w:r>
    </w:p>
    <w:p w14:paraId="66531852" w14:textId="77777777" w:rsidR="00B645B5" w:rsidRPr="0097442B" w:rsidRDefault="00B645B5" w:rsidP="00B645B5">
      <w:pPr>
        <w:pStyle w:val="Ttulo3"/>
        <w:spacing w:before="0"/>
        <w:jc w:val="both"/>
        <w:rPr>
          <w:b w:val="0"/>
          <w:bCs w:val="0"/>
          <w:color w:val="auto"/>
          <w:sz w:val="18"/>
          <w:szCs w:val="18"/>
          <w:lang w:val="en-US"/>
        </w:rPr>
      </w:pPr>
    </w:p>
  </w:footnote>
  <w:footnote w:id="7">
    <w:p w14:paraId="1CD8DD6E" w14:textId="77777777" w:rsidR="00B645B5" w:rsidRPr="0097442B" w:rsidRDefault="00B645B5" w:rsidP="00B645B5">
      <w:pPr>
        <w:widowControl w:val="0"/>
        <w:tabs>
          <w:tab w:val="left" w:pos="567"/>
        </w:tabs>
        <w:autoSpaceDE w:val="0"/>
        <w:autoSpaceDN w:val="0"/>
        <w:spacing w:before="1" w:line="276" w:lineRule="auto"/>
        <w:ind w:left="-61" w:right="227"/>
        <w:jc w:val="both"/>
        <w:rPr>
          <w:rFonts w:ascii="Arial Narrow" w:hAnsi="Arial Narrow"/>
          <w:i/>
          <w:iCs/>
          <w:sz w:val="18"/>
          <w:szCs w:val="18"/>
          <w:lang w:val="en-US"/>
        </w:rPr>
      </w:pPr>
      <w:r>
        <w:rPr>
          <w:rStyle w:val="Refdenotaalpie"/>
          <w:rFonts w:ascii="Arial Narrow" w:eastAsia="Calibri" w:hAnsi="Arial Narrow"/>
          <w:b/>
          <w:bCs/>
          <w:color w:val="000000" w:themeColor="text1"/>
          <w:szCs w:val="20"/>
        </w:rPr>
        <w:footnoteRef/>
      </w:r>
      <w:r w:rsidRPr="0097442B">
        <w:rPr>
          <w:rFonts w:ascii="Arial Narrow" w:hAnsi="Arial Narrow"/>
          <w:b/>
          <w:bCs/>
          <w:szCs w:val="20"/>
          <w:lang w:val="en-US"/>
        </w:rPr>
        <w:t xml:space="preserve"> </w:t>
      </w:r>
      <w:r w:rsidRPr="0097442B">
        <w:rPr>
          <w:rFonts w:ascii="Arial Narrow" w:hAnsi="Arial Narrow"/>
          <w:sz w:val="18"/>
          <w:szCs w:val="18"/>
          <w:lang w:val="en-US"/>
        </w:rPr>
        <w:t>See note 9</w:t>
      </w:r>
    </w:p>
    <w:p w14:paraId="46B37E0E" w14:textId="77777777" w:rsidR="00B645B5" w:rsidRPr="0097442B" w:rsidRDefault="00B645B5" w:rsidP="00B645B5">
      <w:pPr>
        <w:jc w:val="both"/>
        <w:rPr>
          <w:b/>
          <w:bCs/>
          <w:sz w:val="18"/>
          <w:szCs w:val="18"/>
          <w:lang w:val="en-US"/>
        </w:rPr>
      </w:pPr>
      <w:r w:rsidRPr="0097442B">
        <w:rPr>
          <w:rFonts w:ascii="Arial Narrow" w:hAnsi="Arial Narrow"/>
          <w:i/>
          <w:sz w:val="18"/>
          <w:szCs w:val="18"/>
          <w:lang w:val="en-US"/>
        </w:rPr>
        <w:t xml:space="preserve"> </w:t>
      </w:r>
    </w:p>
  </w:footnote>
  <w:footnote w:id="8">
    <w:p w14:paraId="6EF7C8A8" w14:textId="77777777" w:rsidR="00B645B5" w:rsidRPr="0097442B" w:rsidRDefault="00B645B5" w:rsidP="00B645B5">
      <w:pPr>
        <w:pStyle w:val="Textonotapie"/>
        <w:rPr>
          <w:rFonts w:ascii="Arial Narrow" w:hAnsi="Arial Narrow"/>
          <w:sz w:val="18"/>
          <w:szCs w:val="18"/>
          <w:lang w:val="en-US"/>
        </w:rPr>
      </w:pPr>
      <w:r>
        <w:rPr>
          <w:rStyle w:val="Refdenotaalpie"/>
          <w:rFonts w:ascii="Arial Narrow" w:eastAsia="Calibri" w:hAnsi="Arial Narrow"/>
          <w:b/>
          <w:bCs/>
        </w:rPr>
        <w:footnoteRef/>
      </w:r>
      <w:r w:rsidRPr="0097442B">
        <w:rPr>
          <w:rFonts w:ascii="Arial Narrow" w:hAnsi="Arial Narrow"/>
          <w:b/>
          <w:bCs/>
          <w:lang w:val="en-US"/>
        </w:rPr>
        <w:t xml:space="preserve"> </w:t>
      </w:r>
      <w:r w:rsidRPr="0097442B">
        <w:rPr>
          <w:rFonts w:ascii="Arial Narrow" w:hAnsi="Arial Narrow"/>
          <w:sz w:val="18"/>
          <w:szCs w:val="18"/>
          <w:lang w:val="en-US"/>
        </w:rPr>
        <w:t>Paragraph 6, page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A5DCD1" w14:textId="77777777" w:rsidR="008F65D5" w:rsidRDefault="008F65D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CB0EC" w14:textId="0B1FCCA2" w:rsidR="00811EDA" w:rsidRDefault="008F65D5">
    <w:pPr>
      <w:pStyle w:val="Encabezado"/>
    </w:pPr>
    <w:r>
      <w:rPr>
        <w:noProof/>
        <w:lang w:val="es-ES" w:eastAsia="es-ES"/>
      </w:rPr>
      <w:drawing>
        <wp:inline distT="0" distB="0" distL="0" distR="0" wp14:anchorId="5DFA0AC9" wp14:editId="5C7CBA1A">
          <wp:extent cx="5575935" cy="5480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r w:rsidR="00DE66EB">
      <w:rPr>
        <w:noProof/>
        <w:lang w:val="es-ES" w:eastAsia="es-ES"/>
      </w:rPr>
      <mc:AlternateContent>
        <mc:Choice Requires="wps">
          <w:drawing>
            <wp:anchor distT="0" distB="0" distL="114295" distR="114295" simplePos="0" relativeHeight="251656192" behindDoc="0" locked="0" layoutInCell="1" allowOverlap="1" wp14:anchorId="6A3CB103" wp14:editId="50E5635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25E4F1"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CB0F1" w14:textId="57FA93C8" w:rsidR="00811EDA" w:rsidRDefault="008F65D5" w:rsidP="00013CCE">
    <w:pPr>
      <w:pStyle w:val="Encabezado"/>
      <w:jc w:val="right"/>
    </w:pPr>
    <w:r>
      <w:rPr>
        <w:noProof/>
        <w:lang w:val="es-ES" w:eastAsia="es-ES"/>
      </w:rPr>
      <w:drawing>
        <wp:inline distT="0" distB="0" distL="0" distR="0" wp14:anchorId="43043680" wp14:editId="13AB93FC">
          <wp:extent cx="5575935" cy="5480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r w:rsidR="00DE66EB">
      <w:rPr>
        <w:noProof/>
        <w:lang w:val="es-ES" w:eastAsia="es-ES"/>
      </w:rPr>
      <w:drawing>
        <wp:anchor distT="0" distB="0" distL="114300" distR="114300" simplePos="0" relativeHeight="251655168" behindDoc="1" locked="0" layoutInCell="1" allowOverlap="1" wp14:anchorId="6A3CB107" wp14:editId="1326F10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CB0F2" w14:textId="77777777" w:rsidR="00811EDA" w:rsidRDefault="00811ED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6A3CB0F5" w14:textId="77777777" w:rsidTr="000C06C9">
      <w:trPr>
        <w:trHeight w:val="284"/>
      </w:trPr>
      <w:tc>
        <w:tcPr>
          <w:tcW w:w="8460" w:type="dxa"/>
        </w:tcPr>
        <w:p w14:paraId="6A3CB0F3" w14:textId="77777777" w:rsidR="00811EDA" w:rsidRPr="000C3B6D" w:rsidRDefault="00811EDA" w:rsidP="000C06C9">
          <w:pPr>
            <w:pStyle w:val="00Footer"/>
            <w:rPr>
              <w:lang w:val="fr-FR"/>
            </w:rPr>
          </w:pPr>
        </w:p>
      </w:tc>
      <w:tc>
        <w:tcPr>
          <w:tcW w:w="952" w:type="dxa"/>
        </w:tcPr>
        <w:p w14:paraId="6A3CB0F4" w14:textId="77777777" w:rsidR="00811EDA" w:rsidRPr="00146B34" w:rsidRDefault="00811EDA" w:rsidP="000C06C9">
          <w:pPr>
            <w:pStyle w:val="00aPagenumber"/>
            <w:rPr>
              <w:lang w:val="fr-FR"/>
            </w:rPr>
          </w:pPr>
        </w:p>
      </w:tc>
    </w:tr>
  </w:tbl>
  <w:p w14:paraId="6A3CB0F6" w14:textId="77777777" w:rsidR="00811EDA" w:rsidRPr="00DB46C3" w:rsidRDefault="00811EDA">
    <w:pPr>
      <w:rPr>
        <w:lang w:val="fr-FR"/>
      </w:rPr>
    </w:pPr>
  </w:p>
  <w:p w14:paraId="6A3CB0F7" w14:textId="77777777" w:rsidR="00811EDA" w:rsidRPr="002F4496" w:rsidRDefault="00811EDA">
    <w:pPr>
      <w:pStyle w:val="Encabezado"/>
      <w:rPr>
        <w:lang w:val="fr-FR"/>
      </w:rPr>
    </w:pPr>
  </w:p>
  <w:p w14:paraId="6A3CB0F8" w14:textId="77777777" w:rsidR="00811EDA" w:rsidRPr="002F4496" w:rsidRDefault="00811EDA" w:rsidP="000C06C9">
    <w:pPr>
      <w:pStyle w:val="Encabezado"/>
      <w:tabs>
        <w:tab w:val="clear" w:pos="4536"/>
        <w:tab w:val="clear" w:pos="9072"/>
        <w:tab w:val="left" w:pos="8227"/>
      </w:tabs>
      <w:rPr>
        <w:lang w:val="fr-FR"/>
      </w:rPr>
    </w:pPr>
  </w:p>
  <w:p w14:paraId="6A3CB0F9" w14:textId="77777777" w:rsidR="00811EDA" w:rsidRPr="002F4496" w:rsidRDefault="00811EDA" w:rsidP="000C06C9">
    <w:pPr>
      <w:pStyle w:val="Encabezado"/>
      <w:tabs>
        <w:tab w:val="clear" w:pos="4536"/>
        <w:tab w:val="clear" w:pos="9072"/>
        <w:tab w:val="left" w:pos="8227"/>
      </w:tabs>
      <w:rPr>
        <w:lang w:val="fr-FR"/>
      </w:rPr>
    </w:pPr>
  </w:p>
  <w:p w14:paraId="6A3CB0FA" w14:textId="77777777" w:rsidR="00811EDA" w:rsidRPr="002F4496" w:rsidRDefault="00811EDA">
    <w:pPr>
      <w:pStyle w:val="Encabezado"/>
      <w:rPr>
        <w:lang w:val="fr-FR"/>
      </w:rPr>
    </w:pPr>
  </w:p>
  <w:p w14:paraId="6A3CB0FB" w14:textId="77777777" w:rsidR="00811EDA" w:rsidRPr="002F4496" w:rsidRDefault="00811EDA">
    <w:pPr>
      <w:pStyle w:val="Encabezado"/>
      <w:rPr>
        <w:lang w:val="fr-FR"/>
      </w:rPr>
    </w:pPr>
  </w:p>
  <w:p w14:paraId="6A3CB0FC" w14:textId="77777777" w:rsidR="00811EDA" w:rsidRPr="002F4496" w:rsidRDefault="00811EDA">
    <w:pPr>
      <w:pStyle w:val="Encabezado"/>
      <w:rPr>
        <w:lang w:val="fr-FR"/>
      </w:rPr>
    </w:pPr>
  </w:p>
  <w:p w14:paraId="6A3CB0FD" w14:textId="77777777" w:rsidR="00811EDA" w:rsidRPr="002F4496" w:rsidRDefault="00811EDA">
    <w:pPr>
      <w:pStyle w:val="Encabezado"/>
      <w:rPr>
        <w:lang w:val="fr-FR"/>
      </w:rPr>
    </w:pPr>
  </w:p>
  <w:p w14:paraId="6A3CB0FE" w14:textId="77777777" w:rsidR="00811EDA" w:rsidRPr="002F4496" w:rsidRDefault="00811EDA">
    <w:pPr>
      <w:pStyle w:val="Encabezado"/>
      <w:rPr>
        <w:highlight w:val="yellow"/>
        <w:lang w:val="fr-FR"/>
      </w:rPr>
    </w:pPr>
  </w:p>
  <w:p w14:paraId="6A3CB0FF" w14:textId="05D5FF53" w:rsidR="00811EDA" w:rsidRDefault="00DE66EB">
    <w:pPr>
      <w:pStyle w:val="Encabezado"/>
    </w:pPr>
    <w:r>
      <w:rPr>
        <w:noProof/>
        <w:lang w:val="es-ES" w:eastAsia="es-ES"/>
      </w:rPr>
      <mc:AlternateContent>
        <mc:Choice Requires="wps">
          <w:drawing>
            <wp:anchor distT="0" distB="0" distL="114299" distR="114299" simplePos="0" relativeHeight="251660288" behindDoc="0" locked="0" layoutInCell="1" allowOverlap="1" wp14:anchorId="6A3CB109" wp14:editId="6A3CB10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CD5E4B"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sidR="008F65D5">
      <w:rPr>
        <w:noProof/>
        <w:lang w:val="es-ES" w:eastAsia="es-ES"/>
      </w:rPr>
      <w:drawing>
        <wp:inline distT="0" distB="0" distL="0" distR="0" wp14:anchorId="7DB0CF77" wp14:editId="031410E7">
          <wp:extent cx="5575935" cy="548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aconvieta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nsid w:val="1D1E3DB9"/>
    <w:multiLevelType w:val="hybridMultilevel"/>
    <w:tmpl w:val="D0F03484"/>
    <w:lvl w:ilvl="0" w:tplc="419ECFE6">
      <w:start w:val="1"/>
      <w:numFmt w:val="bullet"/>
      <w:lvlText w:val="-"/>
      <w:lvlJc w:val="left"/>
      <w:pPr>
        <w:ind w:left="1238" w:hanging="360"/>
      </w:pPr>
      <w:rPr>
        <w:rFonts w:ascii="Calibri" w:eastAsiaTheme="minorHAnsi" w:hAnsi="Calibri" w:cstheme="minorBidi" w:hint="default"/>
        <w:sz w:val="19"/>
      </w:rPr>
    </w:lvl>
    <w:lvl w:ilvl="1" w:tplc="0C0A0003" w:tentative="1">
      <w:start w:val="1"/>
      <w:numFmt w:val="bullet"/>
      <w:lvlText w:val="o"/>
      <w:lvlJc w:val="left"/>
      <w:pPr>
        <w:ind w:left="1958" w:hanging="360"/>
      </w:pPr>
      <w:rPr>
        <w:rFonts w:ascii="Courier New" w:hAnsi="Courier New" w:cs="Courier New" w:hint="default"/>
      </w:rPr>
    </w:lvl>
    <w:lvl w:ilvl="2" w:tplc="0C0A0005" w:tentative="1">
      <w:start w:val="1"/>
      <w:numFmt w:val="bullet"/>
      <w:lvlText w:val=""/>
      <w:lvlJc w:val="left"/>
      <w:pPr>
        <w:ind w:left="2678" w:hanging="360"/>
      </w:pPr>
      <w:rPr>
        <w:rFonts w:ascii="Wingdings" w:hAnsi="Wingdings" w:hint="default"/>
      </w:rPr>
    </w:lvl>
    <w:lvl w:ilvl="3" w:tplc="0C0A0001" w:tentative="1">
      <w:start w:val="1"/>
      <w:numFmt w:val="bullet"/>
      <w:lvlText w:val=""/>
      <w:lvlJc w:val="left"/>
      <w:pPr>
        <w:ind w:left="3398" w:hanging="360"/>
      </w:pPr>
      <w:rPr>
        <w:rFonts w:ascii="Symbol" w:hAnsi="Symbol" w:hint="default"/>
      </w:rPr>
    </w:lvl>
    <w:lvl w:ilvl="4" w:tplc="0C0A0003" w:tentative="1">
      <w:start w:val="1"/>
      <w:numFmt w:val="bullet"/>
      <w:lvlText w:val="o"/>
      <w:lvlJc w:val="left"/>
      <w:pPr>
        <w:ind w:left="4118" w:hanging="360"/>
      </w:pPr>
      <w:rPr>
        <w:rFonts w:ascii="Courier New" w:hAnsi="Courier New" w:cs="Courier New" w:hint="default"/>
      </w:rPr>
    </w:lvl>
    <w:lvl w:ilvl="5" w:tplc="0C0A0005" w:tentative="1">
      <w:start w:val="1"/>
      <w:numFmt w:val="bullet"/>
      <w:lvlText w:val=""/>
      <w:lvlJc w:val="left"/>
      <w:pPr>
        <w:ind w:left="4838" w:hanging="360"/>
      </w:pPr>
      <w:rPr>
        <w:rFonts w:ascii="Wingdings" w:hAnsi="Wingdings" w:hint="default"/>
      </w:rPr>
    </w:lvl>
    <w:lvl w:ilvl="6" w:tplc="0C0A0001" w:tentative="1">
      <w:start w:val="1"/>
      <w:numFmt w:val="bullet"/>
      <w:lvlText w:val=""/>
      <w:lvlJc w:val="left"/>
      <w:pPr>
        <w:ind w:left="5558" w:hanging="360"/>
      </w:pPr>
      <w:rPr>
        <w:rFonts w:ascii="Symbol" w:hAnsi="Symbol" w:hint="default"/>
      </w:rPr>
    </w:lvl>
    <w:lvl w:ilvl="7" w:tplc="0C0A0003" w:tentative="1">
      <w:start w:val="1"/>
      <w:numFmt w:val="bullet"/>
      <w:lvlText w:val="o"/>
      <w:lvlJc w:val="left"/>
      <w:pPr>
        <w:ind w:left="6278" w:hanging="360"/>
      </w:pPr>
      <w:rPr>
        <w:rFonts w:ascii="Courier New" w:hAnsi="Courier New" w:cs="Courier New" w:hint="default"/>
      </w:rPr>
    </w:lvl>
    <w:lvl w:ilvl="8" w:tplc="0C0A0005" w:tentative="1">
      <w:start w:val="1"/>
      <w:numFmt w:val="bullet"/>
      <w:lvlText w:val=""/>
      <w:lvlJc w:val="left"/>
      <w:pPr>
        <w:ind w:left="6998" w:hanging="360"/>
      </w:pPr>
      <w:rPr>
        <w:rFonts w:ascii="Wingdings" w:hAnsi="Wingdings" w:hint="default"/>
      </w:rPr>
    </w:lvl>
  </w:abstractNum>
  <w:abstractNum w:abstractNumId="5">
    <w:nsid w:val="1DAE53C8"/>
    <w:multiLevelType w:val="multilevel"/>
    <w:tmpl w:val="ACFA87A8"/>
    <w:lvl w:ilvl="0">
      <w:start w:val="1"/>
      <w:numFmt w:val="decimal"/>
      <w:pStyle w:val="Textoindependien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nsid w:val="33336702"/>
    <w:multiLevelType w:val="multilevel"/>
    <w:tmpl w:val="E9A611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nsid w:val="3A841364"/>
    <w:multiLevelType w:val="hybridMultilevel"/>
    <w:tmpl w:val="21CCF614"/>
    <w:lvl w:ilvl="0" w:tplc="08090017">
      <w:start w:val="1"/>
      <w:numFmt w:val="lowerLetter"/>
      <w:pStyle w:val="Listaconvieta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0">
    <w:nsid w:val="3F322798"/>
    <w:multiLevelType w:val="hybridMultilevel"/>
    <w:tmpl w:val="DD4661E2"/>
    <w:lvl w:ilvl="0" w:tplc="6240CD98">
      <w:start w:val="1"/>
      <w:numFmt w:val="lowerLetter"/>
      <w:lvlText w:val="%1)"/>
      <w:lvlJc w:val="left"/>
      <w:pPr>
        <w:ind w:left="1146" w:hanging="720"/>
      </w:pPr>
      <w:rPr>
        <w:rFonts w:asciiTheme="minorHAnsi" w:hAnsiTheme="minorHAnsi" w:hint="default"/>
        <w:sz w:val="19"/>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0A041B"/>
    <w:multiLevelType w:val="hybridMultilevel"/>
    <w:tmpl w:val="4E1A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6">
    <w:nsid w:val="4C7151D2"/>
    <w:multiLevelType w:val="hybridMultilevel"/>
    <w:tmpl w:val="DE90C632"/>
    <w:lvl w:ilvl="0" w:tplc="08090001">
      <w:start w:val="1"/>
      <w:numFmt w:val="bullet"/>
      <w:pStyle w:val="Listaconvieta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53CB5ABA"/>
    <w:multiLevelType w:val="hybridMultilevel"/>
    <w:tmpl w:val="E3689D8A"/>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9">
    <w:nsid w:val="542A1A9F"/>
    <w:multiLevelType w:val="hybridMultilevel"/>
    <w:tmpl w:val="40E616FE"/>
    <w:lvl w:ilvl="0" w:tplc="3EEE88B2">
      <w:start w:val="1"/>
      <w:numFmt w:val="decimal"/>
      <w:pStyle w:val="QStyle"/>
      <w:lvlText w:val="Q%1"/>
      <w:lvlJc w:val="left"/>
      <w:pPr>
        <w:ind w:left="5127" w:hanging="360"/>
      </w:pPr>
      <w:rPr>
        <w:rFonts w:hint="default"/>
        <w:b/>
        <w:i w:val="0"/>
      </w:rPr>
    </w:lvl>
    <w:lvl w:ilvl="1" w:tplc="08090019">
      <w:start w:val="1"/>
      <w:numFmt w:val="lowerLetter"/>
      <w:lvlText w:val="%2."/>
      <w:lvlJc w:val="left"/>
      <w:pPr>
        <w:ind w:left="5847" w:hanging="360"/>
      </w:pPr>
    </w:lvl>
    <w:lvl w:ilvl="2" w:tplc="0809001B" w:tentative="1">
      <w:start w:val="1"/>
      <w:numFmt w:val="lowerRoman"/>
      <w:lvlText w:val="%3."/>
      <w:lvlJc w:val="right"/>
      <w:pPr>
        <w:ind w:left="6567" w:hanging="180"/>
      </w:pPr>
    </w:lvl>
    <w:lvl w:ilvl="3" w:tplc="0809000F" w:tentative="1">
      <w:start w:val="1"/>
      <w:numFmt w:val="decimal"/>
      <w:lvlText w:val="%4."/>
      <w:lvlJc w:val="left"/>
      <w:pPr>
        <w:ind w:left="7287" w:hanging="360"/>
      </w:pPr>
    </w:lvl>
    <w:lvl w:ilvl="4" w:tplc="08090019" w:tentative="1">
      <w:start w:val="1"/>
      <w:numFmt w:val="lowerLetter"/>
      <w:lvlText w:val="%5."/>
      <w:lvlJc w:val="left"/>
      <w:pPr>
        <w:ind w:left="8007" w:hanging="360"/>
      </w:pPr>
    </w:lvl>
    <w:lvl w:ilvl="5" w:tplc="0809001B" w:tentative="1">
      <w:start w:val="1"/>
      <w:numFmt w:val="lowerRoman"/>
      <w:lvlText w:val="%6."/>
      <w:lvlJc w:val="right"/>
      <w:pPr>
        <w:ind w:left="8727" w:hanging="180"/>
      </w:pPr>
    </w:lvl>
    <w:lvl w:ilvl="6" w:tplc="0809000F" w:tentative="1">
      <w:start w:val="1"/>
      <w:numFmt w:val="decimal"/>
      <w:lvlText w:val="%7."/>
      <w:lvlJc w:val="left"/>
      <w:pPr>
        <w:ind w:left="9447" w:hanging="360"/>
      </w:pPr>
    </w:lvl>
    <w:lvl w:ilvl="7" w:tplc="08090019" w:tentative="1">
      <w:start w:val="1"/>
      <w:numFmt w:val="lowerLetter"/>
      <w:lvlText w:val="%8."/>
      <w:lvlJc w:val="left"/>
      <w:pPr>
        <w:ind w:left="10167" w:hanging="360"/>
      </w:pPr>
    </w:lvl>
    <w:lvl w:ilvl="8" w:tplc="0809001B" w:tentative="1">
      <w:start w:val="1"/>
      <w:numFmt w:val="lowerRoman"/>
      <w:lvlText w:val="%9."/>
      <w:lvlJc w:val="right"/>
      <w:pPr>
        <w:ind w:left="10887" w:hanging="180"/>
      </w:pPr>
    </w:lvl>
  </w:abstractNum>
  <w:abstractNum w:abstractNumId="3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1">
    <w:nsid w:val="55DE60E9"/>
    <w:multiLevelType w:val="hybridMultilevel"/>
    <w:tmpl w:val="1084069A"/>
    <w:lvl w:ilvl="0" w:tplc="B532C018">
      <w:start w:val="2"/>
      <w:numFmt w:val="upperRoman"/>
      <w:pStyle w:val="Ttulo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3">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nsid w:val="5A8C0447"/>
    <w:multiLevelType w:val="hybridMultilevel"/>
    <w:tmpl w:val="BC0A493E"/>
    <w:lvl w:ilvl="0" w:tplc="0C0A0005">
      <w:start w:val="1"/>
      <w:numFmt w:val="bullet"/>
      <w:lvlText w:val=""/>
      <w:lvlJc w:val="left"/>
      <w:pPr>
        <w:ind w:left="927" w:hanging="360"/>
      </w:pPr>
      <w:rPr>
        <w:rFonts w:ascii="Wingdings" w:hAnsi="Wingdings" w:hint="default"/>
        <w:sz w:val="19"/>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5">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6">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7">
    <w:nsid w:val="605735B9"/>
    <w:multiLevelType w:val="hybridMultilevel"/>
    <w:tmpl w:val="AD1C76E8"/>
    <w:lvl w:ilvl="0" w:tplc="6658B948">
      <w:start w:val="1"/>
      <w:numFmt w:val="decimal"/>
      <w:pStyle w:val="Ttulo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2970F71"/>
    <w:multiLevelType w:val="singleLevel"/>
    <w:tmpl w:val="A8CADBFA"/>
    <w:name w:val="Bullet 0"/>
    <w:lvl w:ilvl="0">
      <w:start w:val="1"/>
      <w:numFmt w:val="bullet"/>
      <w:pStyle w:val="Listaconnmeros"/>
      <w:lvlText w:val="–"/>
      <w:lvlJc w:val="left"/>
      <w:pPr>
        <w:tabs>
          <w:tab w:val="num" w:pos="1417"/>
        </w:tabs>
        <w:ind w:left="1417" w:hanging="567"/>
      </w:pPr>
    </w:lvl>
  </w:abstractNum>
  <w:abstractNum w:abstractNumId="39">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0">
    <w:nsid w:val="6CF67058"/>
    <w:multiLevelType w:val="hybridMultilevel"/>
    <w:tmpl w:val="707004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2">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
    <w:nsid w:val="743E3765"/>
    <w:multiLevelType w:val="hybridMultilevel"/>
    <w:tmpl w:val="B80C48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6">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8"/>
  </w:num>
  <w:num w:numId="2">
    <w:abstractNumId w:val="21"/>
  </w:num>
  <w:num w:numId="3">
    <w:abstractNumId w:val="13"/>
  </w:num>
  <w:num w:numId="4">
    <w:abstractNumId w:val="27"/>
  </w:num>
  <w:num w:numId="5">
    <w:abstractNumId w:val="31"/>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37"/>
  </w:num>
  <w:num w:numId="14">
    <w:abstractNumId w:val="26"/>
  </w:num>
  <w:num w:numId="15">
    <w:abstractNumId w:val="9"/>
  </w:num>
  <w:num w:numId="16">
    <w:abstractNumId w:val="1"/>
  </w:num>
  <w:num w:numId="17">
    <w:abstractNumId w:val="16"/>
  </w:num>
  <w:num w:numId="18">
    <w:abstractNumId w:val="17"/>
  </w:num>
  <w:num w:numId="19">
    <w:abstractNumId w:val="19"/>
  </w:num>
  <w:num w:numId="20">
    <w:abstractNumId w:val="32"/>
  </w:num>
  <w:num w:numId="21">
    <w:abstractNumId w:val="43"/>
  </w:num>
  <w:num w:numId="22">
    <w:abstractNumId w:val="30"/>
  </w:num>
  <w:num w:numId="23">
    <w:abstractNumId w:val="8"/>
  </w:num>
  <w:num w:numId="24">
    <w:abstractNumId w:val="36"/>
  </w:num>
  <w:num w:numId="25">
    <w:abstractNumId w:val="35"/>
  </w:num>
  <w:num w:numId="26">
    <w:abstractNumId w:val="22"/>
  </w:num>
  <w:num w:numId="27">
    <w:abstractNumId w:val="39"/>
  </w:num>
  <w:num w:numId="28">
    <w:abstractNumId w:val="46"/>
  </w:num>
  <w:num w:numId="29">
    <w:abstractNumId w:val="6"/>
  </w:num>
  <w:num w:numId="30">
    <w:abstractNumId w:val="2"/>
  </w:num>
  <w:num w:numId="31">
    <w:abstractNumId w:val="25"/>
  </w:num>
  <w:num w:numId="32">
    <w:abstractNumId w:val="23"/>
  </w:num>
  <w:num w:numId="33">
    <w:abstractNumId w:val="42"/>
  </w:num>
  <w:num w:numId="34">
    <w:abstractNumId w:val="41"/>
  </w:num>
  <w:num w:numId="35">
    <w:abstractNumId w:val="10"/>
  </w:num>
  <w:num w:numId="36">
    <w:abstractNumId w:val="12"/>
  </w:num>
  <w:num w:numId="37">
    <w:abstractNumId w:val="14"/>
  </w:num>
  <w:num w:numId="38">
    <w:abstractNumId w:val="29"/>
  </w:num>
  <w:num w:numId="39">
    <w:abstractNumId w:val="24"/>
  </w:num>
  <w:num w:numId="40">
    <w:abstractNumId w:val="40"/>
  </w:num>
  <w:num w:numId="41">
    <w:abstractNumId w:val="28"/>
  </w:num>
  <w:num w:numId="42">
    <w:abstractNumId w:val="4"/>
  </w:num>
  <w:num w:numId="43">
    <w:abstractNumId w:val="34"/>
  </w:num>
  <w:num w:numId="44">
    <w:abstractNumId w:val="11"/>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7TB43jRLdj3XDux783pLmb6geOQ7UJxdlwkLOHEa4DLmgdDuNy7N161DEKv/fo5NLWe9J36WNG1rzvItIynu/Q==" w:salt="IxiToWweFtJz5C1p3iFyIA=="/>
  <w:defaultTabStop w:val="709"/>
  <w:autoHyphenation/>
  <w:hyphenationZone w:val="567"/>
  <w:characterSpacingControl w:val="doNotCompress"/>
  <w:hdrShapeDefaults>
    <o:shapedefaults v:ext="edit" spidmax="1228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18"/>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4C3"/>
    <w:rsid w:val="0007463D"/>
    <w:rsid w:val="000749F0"/>
    <w:rsid w:val="0007609D"/>
    <w:rsid w:val="00077C67"/>
    <w:rsid w:val="00080976"/>
    <w:rsid w:val="00081148"/>
    <w:rsid w:val="00081CEB"/>
    <w:rsid w:val="00081E60"/>
    <w:rsid w:val="00082626"/>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14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1D68"/>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217"/>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2EC"/>
    <w:rsid w:val="00146A0B"/>
    <w:rsid w:val="0014761E"/>
    <w:rsid w:val="00151465"/>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3AC7"/>
    <w:rsid w:val="001745D7"/>
    <w:rsid w:val="00175754"/>
    <w:rsid w:val="00176982"/>
    <w:rsid w:val="00176BB9"/>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97794"/>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40F"/>
    <w:rsid w:val="001C270F"/>
    <w:rsid w:val="001C4679"/>
    <w:rsid w:val="001C5770"/>
    <w:rsid w:val="001C6195"/>
    <w:rsid w:val="001D000A"/>
    <w:rsid w:val="001D0883"/>
    <w:rsid w:val="001D12A2"/>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0E59"/>
    <w:rsid w:val="00211E2F"/>
    <w:rsid w:val="00211E9E"/>
    <w:rsid w:val="00214FB4"/>
    <w:rsid w:val="00215940"/>
    <w:rsid w:val="00217C23"/>
    <w:rsid w:val="00220561"/>
    <w:rsid w:val="00220CE4"/>
    <w:rsid w:val="00222D9B"/>
    <w:rsid w:val="00223667"/>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5CC"/>
    <w:rsid w:val="00261D56"/>
    <w:rsid w:val="00261FD3"/>
    <w:rsid w:val="00264077"/>
    <w:rsid w:val="00266B9A"/>
    <w:rsid w:val="00270E54"/>
    <w:rsid w:val="00273681"/>
    <w:rsid w:val="002754B5"/>
    <w:rsid w:val="002759B3"/>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C82"/>
    <w:rsid w:val="002A0CD8"/>
    <w:rsid w:val="002A13EB"/>
    <w:rsid w:val="002A267F"/>
    <w:rsid w:val="002A35EF"/>
    <w:rsid w:val="002A3DE0"/>
    <w:rsid w:val="002A40EA"/>
    <w:rsid w:val="002A46E8"/>
    <w:rsid w:val="002A491C"/>
    <w:rsid w:val="002A73F1"/>
    <w:rsid w:val="002B0E11"/>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4F86"/>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4ADE"/>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6420"/>
    <w:rsid w:val="00336B56"/>
    <w:rsid w:val="00337A3F"/>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26D3"/>
    <w:rsid w:val="00383D7D"/>
    <w:rsid w:val="00384CCE"/>
    <w:rsid w:val="003865E5"/>
    <w:rsid w:val="00386BB8"/>
    <w:rsid w:val="00387D2B"/>
    <w:rsid w:val="0039056F"/>
    <w:rsid w:val="003926C1"/>
    <w:rsid w:val="00392900"/>
    <w:rsid w:val="00393357"/>
    <w:rsid w:val="00394CE6"/>
    <w:rsid w:val="00395E7B"/>
    <w:rsid w:val="00395F4C"/>
    <w:rsid w:val="00396726"/>
    <w:rsid w:val="003A1E71"/>
    <w:rsid w:val="003A5DAC"/>
    <w:rsid w:val="003A6591"/>
    <w:rsid w:val="003A6E9A"/>
    <w:rsid w:val="003B08C8"/>
    <w:rsid w:val="003B2567"/>
    <w:rsid w:val="003B381A"/>
    <w:rsid w:val="003B4976"/>
    <w:rsid w:val="003B4B3F"/>
    <w:rsid w:val="003B6258"/>
    <w:rsid w:val="003B7A99"/>
    <w:rsid w:val="003C0343"/>
    <w:rsid w:val="003C0A92"/>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573C"/>
    <w:rsid w:val="003E68C7"/>
    <w:rsid w:val="003E79B0"/>
    <w:rsid w:val="003F0403"/>
    <w:rsid w:val="003F1094"/>
    <w:rsid w:val="003F29B4"/>
    <w:rsid w:val="003F2E45"/>
    <w:rsid w:val="003F3EFE"/>
    <w:rsid w:val="003F40B8"/>
    <w:rsid w:val="003F5C06"/>
    <w:rsid w:val="00400195"/>
    <w:rsid w:val="0040075B"/>
    <w:rsid w:val="0040254B"/>
    <w:rsid w:val="00403086"/>
    <w:rsid w:val="00403460"/>
    <w:rsid w:val="004040FF"/>
    <w:rsid w:val="00404284"/>
    <w:rsid w:val="004042C4"/>
    <w:rsid w:val="00406E90"/>
    <w:rsid w:val="00407232"/>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0B2A"/>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247E"/>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5C0"/>
    <w:rsid w:val="00496821"/>
    <w:rsid w:val="00497750"/>
    <w:rsid w:val="00497B44"/>
    <w:rsid w:val="004A00E5"/>
    <w:rsid w:val="004A01A7"/>
    <w:rsid w:val="004A03FB"/>
    <w:rsid w:val="004A0D09"/>
    <w:rsid w:val="004A116E"/>
    <w:rsid w:val="004A357F"/>
    <w:rsid w:val="004A3DAD"/>
    <w:rsid w:val="004A4AC0"/>
    <w:rsid w:val="004B0335"/>
    <w:rsid w:val="004B0F1C"/>
    <w:rsid w:val="004B1D0D"/>
    <w:rsid w:val="004B1E61"/>
    <w:rsid w:val="004B21AB"/>
    <w:rsid w:val="004B59E0"/>
    <w:rsid w:val="004B667B"/>
    <w:rsid w:val="004B71C7"/>
    <w:rsid w:val="004C03AA"/>
    <w:rsid w:val="004C0B9A"/>
    <w:rsid w:val="004C14E7"/>
    <w:rsid w:val="004C1D89"/>
    <w:rsid w:val="004C2A94"/>
    <w:rsid w:val="004C33DB"/>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29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50C3"/>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77F81"/>
    <w:rsid w:val="00580B3F"/>
    <w:rsid w:val="005825F2"/>
    <w:rsid w:val="00582AAD"/>
    <w:rsid w:val="005860AF"/>
    <w:rsid w:val="00587F1D"/>
    <w:rsid w:val="00590348"/>
    <w:rsid w:val="00591161"/>
    <w:rsid w:val="00592318"/>
    <w:rsid w:val="00593133"/>
    <w:rsid w:val="0059575D"/>
    <w:rsid w:val="00596825"/>
    <w:rsid w:val="00597162"/>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B07"/>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371AC"/>
    <w:rsid w:val="00640DCD"/>
    <w:rsid w:val="00641DC3"/>
    <w:rsid w:val="00641FBA"/>
    <w:rsid w:val="0064208D"/>
    <w:rsid w:val="00642972"/>
    <w:rsid w:val="00643140"/>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5590E"/>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0C8"/>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CE6"/>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3E9A"/>
    <w:rsid w:val="0070421B"/>
    <w:rsid w:val="007043F0"/>
    <w:rsid w:val="0070482E"/>
    <w:rsid w:val="00704D25"/>
    <w:rsid w:val="00704EED"/>
    <w:rsid w:val="00710519"/>
    <w:rsid w:val="00710F6E"/>
    <w:rsid w:val="00711663"/>
    <w:rsid w:val="007116B4"/>
    <w:rsid w:val="00712580"/>
    <w:rsid w:val="007133E4"/>
    <w:rsid w:val="00713788"/>
    <w:rsid w:val="00713940"/>
    <w:rsid w:val="00714EE8"/>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4A9B"/>
    <w:rsid w:val="00754AC4"/>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042"/>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2A9"/>
    <w:rsid w:val="00794979"/>
    <w:rsid w:val="007956B7"/>
    <w:rsid w:val="00795F1A"/>
    <w:rsid w:val="00796EDE"/>
    <w:rsid w:val="00797297"/>
    <w:rsid w:val="007974B3"/>
    <w:rsid w:val="00797875"/>
    <w:rsid w:val="007A076C"/>
    <w:rsid w:val="007A2140"/>
    <w:rsid w:val="007A23E2"/>
    <w:rsid w:val="007A2F86"/>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4118"/>
    <w:rsid w:val="007D5519"/>
    <w:rsid w:val="007D5915"/>
    <w:rsid w:val="007D5B4F"/>
    <w:rsid w:val="007D5C30"/>
    <w:rsid w:val="007E0660"/>
    <w:rsid w:val="007E1411"/>
    <w:rsid w:val="007E1882"/>
    <w:rsid w:val="007E1BB4"/>
    <w:rsid w:val="007E3514"/>
    <w:rsid w:val="007E4AAA"/>
    <w:rsid w:val="007E4BD2"/>
    <w:rsid w:val="007E4C29"/>
    <w:rsid w:val="007E58A7"/>
    <w:rsid w:val="007E5E44"/>
    <w:rsid w:val="007F0DDA"/>
    <w:rsid w:val="007F170C"/>
    <w:rsid w:val="007F1939"/>
    <w:rsid w:val="007F365C"/>
    <w:rsid w:val="007F4A2A"/>
    <w:rsid w:val="007F5066"/>
    <w:rsid w:val="007F621C"/>
    <w:rsid w:val="007F7155"/>
    <w:rsid w:val="007F7B93"/>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6551"/>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5D5"/>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A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090A"/>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CF0"/>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17445"/>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569B1"/>
    <w:rsid w:val="00A60D6F"/>
    <w:rsid w:val="00A61009"/>
    <w:rsid w:val="00A61762"/>
    <w:rsid w:val="00A61938"/>
    <w:rsid w:val="00A61CFD"/>
    <w:rsid w:val="00A62B86"/>
    <w:rsid w:val="00A63C96"/>
    <w:rsid w:val="00A65805"/>
    <w:rsid w:val="00A65BDE"/>
    <w:rsid w:val="00A66BEE"/>
    <w:rsid w:val="00A671C9"/>
    <w:rsid w:val="00A67DFD"/>
    <w:rsid w:val="00A74F9F"/>
    <w:rsid w:val="00A750B3"/>
    <w:rsid w:val="00A75559"/>
    <w:rsid w:val="00A7623D"/>
    <w:rsid w:val="00A8224E"/>
    <w:rsid w:val="00A824A7"/>
    <w:rsid w:val="00A83644"/>
    <w:rsid w:val="00A83C07"/>
    <w:rsid w:val="00A83F40"/>
    <w:rsid w:val="00A84945"/>
    <w:rsid w:val="00A85226"/>
    <w:rsid w:val="00A85543"/>
    <w:rsid w:val="00A8728B"/>
    <w:rsid w:val="00A903D3"/>
    <w:rsid w:val="00A91682"/>
    <w:rsid w:val="00A91E16"/>
    <w:rsid w:val="00A92E4A"/>
    <w:rsid w:val="00A958CA"/>
    <w:rsid w:val="00A966B6"/>
    <w:rsid w:val="00A96B46"/>
    <w:rsid w:val="00A96C55"/>
    <w:rsid w:val="00AA003B"/>
    <w:rsid w:val="00AA016B"/>
    <w:rsid w:val="00AA15DD"/>
    <w:rsid w:val="00AA1C09"/>
    <w:rsid w:val="00AA2F67"/>
    <w:rsid w:val="00AA3569"/>
    <w:rsid w:val="00AA453A"/>
    <w:rsid w:val="00AA5F4C"/>
    <w:rsid w:val="00AA615C"/>
    <w:rsid w:val="00AA6711"/>
    <w:rsid w:val="00AB2AEC"/>
    <w:rsid w:val="00AB2DC1"/>
    <w:rsid w:val="00AB3102"/>
    <w:rsid w:val="00AB3D9A"/>
    <w:rsid w:val="00AB4B1D"/>
    <w:rsid w:val="00AB6B5E"/>
    <w:rsid w:val="00AC047F"/>
    <w:rsid w:val="00AC3934"/>
    <w:rsid w:val="00AC3EBB"/>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758"/>
    <w:rsid w:val="00B059A9"/>
    <w:rsid w:val="00B063CF"/>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6C9"/>
    <w:rsid w:val="00B52F48"/>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45B5"/>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2106"/>
    <w:rsid w:val="00BC35EC"/>
    <w:rsid w:val="00BC3C06"/>
    <w:rsid w:val="00BC4E8B"/>
    <w:rsid w:val="00BC5622"/>
    <w:rsid w:val="00BC6060"/>
    <w:rsid w:val="00BC6596"/>
    <w:rsid w:val="00BC7897"/>
    <w:rsid w:val="00BD0F35"/>
    <w:rsid w:val="00BD33CD"/>
    <w:rsid w:val="00BD3C97"/>
    <w:rsid w:val="00BD45A4"/>
    <w:rsid w:val="00BD4A5F"/>
    <w:rsid w:val="00BD59AA"/>
    <w:rsid w:val="00BD65E6"/>
    <w:rsid w:val="00BD6AF7"/>
    <w:rsid w:val="00BE19EF"/>
    <w:rsid w:val="00BE425B"/>
    <w:rsid w:val="00BE51BB"/>
    <w:rsid w:val="00BE7595"/>
    <w:rsid w:val="00BE77D3"/>
    <w:rsid w:val="00BE7C87"/>
    <w:rsid w:val="00BF0138"/>
    <w:rsid w:val="00BF114B"/>
    <w:rsid w:val="00BF1620"/>
    <w:rsid w:val="00BF1AC3"/>
    <w:rsid w:val="00BF28DA"/>
    <w:rsid w:val="00BF373A"/>
    <w:rsid w:val="00BF557C"/>
    <w:rsid w:val="00BF62D2"/>
    <w:rsid w:val="00BF6D9E"/>
    <w:rsid w:val="00BF6E3E"/>
    <w:rsid w:val="00BF70B7"/>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11"/>
    <w:rsid w:val="00C10BE6"/>
    <w:rsid w:val="00C11296"/>
    <w:rsid w:val="00C11905"/>
    <w:rsid w:val="00C1234A"/>
    <w:rsid w:val="00C12661"/>
    <w:rsid w:val="00C126E3"/>
    <w:rsid w:val="00C12BFD"/>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2D40"/>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59D"/>
    <w:rsid w:val="00C777AD"/>
    <w:rsid w:val="00C80C53"/>
    <w:rsid w:val="00C81195"/>
    <w:rsid w:val="00C85387"/>
    <w:rsid w:val="00C85E52"/>
    <w:rsid w:val="00C86471"/>
    <w:rsid w:val="00C8677B"/>
    <w:rsid w:val="00C86E1C"/>
    <w:rsid w:val="00C86F96"/>
    <w:rsid w:val="00C909C6"/>
    <w:rsid w:val="00C923B7"/>
    <w:rsid w:val="00C94D4C"/>
    <w:rsid w:val="00CA012C"/>
    <w:rsid w:val="00CA0AA6"/>
    <w:rsid w:val="00CA2897"/>
    <w:rsid w:val="00CA44F3"/>
    <w:rsid w:val="00CA51BA"/>
    <w:rsid w:val="00CA582C"/>
    <w:rsid w:val="00CA6077"/>
    <w:rsid w:val="00CA715B"/>
    <w:rsid w:val="00CA74B0"/>
    <w:rsid w:val="00CA7988"/>
    <w:rsid w:val="00CA7BA2"/>
    <w:rsid w:val="00CB0B78"/>
    <w:rsid w:val="00CB12A5"/>
    <w:rsid w:val="00CB17FA"/>
    <w:rsid w:val="00CB23D8"/>
    <w:rsid w:val="00CB2ED9"/>
    <w:rsid w:val="00CB36A5"/>
    <w:rsid w:val="00CB56B4"/>
    <w:rsid w:val="00CB7286"/>
    <w:rsid w:val="00CB7947"/>
    <w:rsid w:val="00CC1783"/>
    <w:rsid w:val="00CC1883"/>
    <w:rsid w:val="00CC38E9"/>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1134"/>
    <w:rsid w:val="00CF2056"/>
    <w:rsid w:val="00CF4471"/>
    <w:rsid w:val="00CF51C0"/>
    <w:rsid w:val="00CF5B2A"/>
    <w:rsid w:val="00CF5F57"/>
    <w:rsid w:val="00CF64A7"/>
    <w:rsid w:val="00CF6730"/>
    <w:rsid w:val="00CF70E5"/>
    <w:rsid w:val="00CF7C64"/>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594A"/>
    <w:rsid w:val="00D56321"/>
    <w:rsid w:val="00D56AC0"/>
    <w:rsid w:val="00D6081B"/>
    <w:rsid w:val="00D61A37"/>
    <w:rsid w:val="00D6240A"/>
    <w:rsid w:val="00D63093"/>
    <w:rsid w:val="00D63599"/>
    <w:rsid w:val="00D63EBD"/>
    <w:rsid w:val="00D64B69"/>
    <w:rsid w:val="00D67101"/>
    <w:rsid w:val="00D7106D"/>
    <w:rsid w:val="00D71B45"/>
    <w:rsid w:val="00D71F8A"/>
    <w:rsid w:val="00D75603"/>
    <w:rsid w:val="00D75FEE"/>
    <w:rsid w:val="00D76933"/>
    <w:rsid w:val="00D76D88"/>
    <w:rsid w:val="00D77CC9"/>
    <w:rsid w:val="00D8396F"/>
    <w:rsid w:val="00D83D4B"/>
    <w:rsid w:val="00D871C6"/>
    <w:rsid w:val="00D91010"/>
    <w:rsid w:val="00D9120E"/>
    <w:rsid w:val="00D94EB7"/>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51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624"/>
    <w:rsid w:val="00E53C15"/>
    <w:rsid w:val="00E54EE6"/>
    <w:rsid w:val="00E56715"/>
    <w:rsid w:val="00E56C2C"/>
    <w:rsid w:val="00E57F8E"/>
    <w:rsid w:val="00E60776"/>
    <w:rsid w:val="00E611C8"/>
    <w:rsid w:val="00E613EB"/>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3293"/>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132"/>
    <w:rsid w:val="00EB167E"/>
    <w:rsid w:val="00EB24ED"/>
    <w:rsid w:val="00EB2A00"/>
    <w:rsid w:val="00EB2A3F"/>
    <w:rsid w:val="00EB309B"/>
    <w:rsid w:val="00EB3AA2"/>
    <w:rsid w:val="00EB4763"/>
    <w:rsid w:val="00EB5B17"/>
    <w:rsid w:val="00EB6CB7"/>
    <w:rsid w:val="00EC078B"/>
    <w:rsid w:val="00EC07A0"/>
    <w:rsid w:val="00EC08E4"/>
    <w:rsid w:val="00EC115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697"/>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17D03"/>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1BDD"/>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559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625B"/>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232F"/>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2d4491,#283583"/>
    </o:shapedefaults>
    <o:shapelayout v:ext="edit">
      <o:idmap v:ext="edit" data="1"/>
    </o:shapelayout>
  </w:shapeDefaults>
  <w:decimalSymbol w:val=","/>
  <w:listSeparator w:val=";"/>
  <w14:docId w14:val="6A3CB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footer" w:uiPriority="99"/>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Ttulo1">
    <w:name w:val="heading 1"/>
    <w:basedOn w:val="Normal"/>
    <w:next w:val="Normal"/>
    <w:link w:val="Ttulo1Car"/>
    <w:qFormat/>
    <w:rsid w:val="009E7724"/>
    <w:pPr>
      <w:keepNext/>
      <w:numPr>
        <w:numId w:val="5"/>
      </w:numPr>
      <w:spacing w:before="240" w:after="60"/>
      <w:outlineLvl w:val="0"/>
    </w:pPr>
    <w:rPr>
      <w:rFonts w:cs="Arial"/>
      <w:b/>
      <w:bCs/>
      <w:kern w:val="32"/>
      <w:sz w:val="24"/>
      <w:szCs w:val="32"/>
    </w:rPr>
  </w:style>
  <w:style w:type="paragraph" w:styleId="Ttulo2">
    <w:name w:val="heading 2"/>
    <w:basedOn w:val="Normal"/>
    <w:next w:val="Normal"/>
    <w:link w:val="Ttulo2Car"/>
    <w:qFormat/>
    <w:rsid w:val="00886A60"/>
    <w:pPr>
      <w:keepNext/>
      <w:keepLines/>
      <w:spacing w:before="200" w:after="120"/>
      <w:outlineLvl w:val="1"/>
    </w:pPr>
    <w:rPr>
      <w:b/>
      <w:bCs/>
      <w:szCs w:val="26"/>
    </w:rPr>
  </w:style>
  <w:style w:type="paragraph" w:styleId="Ttulo3">
    <w:name w:val="heading 3"/>
    <w:basedOn w:val="Normal"/>
    <w:next w:val="Normal"/>
    <w:link w:val="Ttulo3Car"/>
    <w:qFormat/>
    <w:rsid w:val="003865E5"/>
    <w:pPr>
      <w:keepNext/>
      <w:keepLines/>
      <w:spacing w:before="200"/>
      <w:outlineLvl w:val="2"/>
    </w:pPr>
    <w:rPr>
      <w:rFonts w:ascii="Cambria" w:hAnsi="Cambria"/>
      <w:b/>
      <w:bCs/>
      <w:color w:val="4F81BD"/>
    </w:rPr>
  </w:style>
  <w:style w:type="paragraph" w:styleId="Ttulo4">
    <w:name w:val="heading 4"/>
    <w:basedOn w:val="Normal"/>
    <w:next w:val="Normal"/>
    <w:link w:val="Ttulo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tulo5">
    <w:name w:val="heading 5"/>
    <w:aliases w:val="Questions"/>
    <w:basedOn w:val="Normal"/>
    <w:next w:val="Normal"/>
    <w:link w:val="Ttulo5Car"/>
    <w:qFormat/>
    <w:rsid w:val="00E9344E"/>
    <w:pPr>
      <w:keepNext/>
      <w:keepLines/>
      <w:numPr>
        <w:numId w:val="13"/>
      </w:numPr>
      <w:spacing w:before="200"/>
      <w:jc w:val="both"/>
      <w:outlineLvl w:val="4"/>
    </w:pPr>
    <w:rPr>
      <w:b/>
    </w:rPr>
  </w:style>
  <w:style w:type="paragraph" w:styleId="Ttulo6">
    <w:name w:val="heading 6"/>
    <w:basedOn w:val="Normal"/>
    <w:next w:val="Normal"/>
    <w:link w:val="Ttulo6Car"/>
    <w:qFormat/>
    <w:rsid w:val="003609B6"/>
    <w:pPr>
      <w:numPr>
        <w:ilvl w:val="5"/>
        <w:numId w:val="4"/>
      </w:numPr>
      <w:spacing w:before="240" w:after="60"/>
      <w:outlineLvl w:val="5"/>
    </w:pPr>
    <w:rPr>
      <w:rFonts w:ascii="Times New Roman" w:hAnsi="Times New Roman"/>
      <w:b/>
      <w:bCs/>
      <w:szCs w:val="22"/>
    </w:rPr>
  </w:style>
  <w:style w:type="paragraph" w:styleId="Ttulo7">
    <w:name w:val="heading 7"/>
    <w:basedOn w:val="Normal"/>
    <w:next w:val="Normal"/>
    <w:link w:val="Ttulo7Car"/>
    <w:unhideWhenUsed/>
    <w:qFormat/>
    <w:rsid w:val="002D6E1A"/>
    <w:pPr>
      <w:spacing w:before="240" w:after="60"/>
      <w:ind w:left="1296" w:hanging="1296"/>
      <w:outlineLvl w:val="6"/>
    </w:pPr>
    <w:rPr>
      <w:rFonts w:ascii="Times New Roman" w:hAnsi="Times New Roman"/>
    </w:rPr>
  </w:style>
  <w:style w:type="paragraph" w:styleId="Ttulo8">
    <w:name w:val="heading 8"/>
    <w:basedOn w:val="Normal"/>
    <w:next w:val="Normal"/>
    <w:link w:val="Ttulo8Car"/>
    <w:qFormat/>
    <w:rsid w:val="003609B6"/>
    <w:pPr>
      <w:numPr>
        <w:ilvl w:val="7"/>
        <w:numId w:val="4"/>
      </w:numPr>
      <w:spacing w:before="240" w:after="60"/>
      <w:outlineLvl w:val="7"/>
    </w:pPr>
    <w:rPr>
      <w:rFonts w:ascii="Times New Roman" w:hAnsi="Times New Roman"/>
      <w:i/>
      <w:iCs/>
    </w:rPr>
  </w:style>
  <w:style w:type="paragraph" w:styleId="Ttulo9">
    <w:name w:val="heading 9"/>
    <w:basedOn w:val="Normal"/>
    <w:next w:val="Normal"/>
    <w:link w:val="Ttulo9Car"/>
    <w:qFormat/>
    <w:rsid w:val="00A06867"/>
    <w:pPr>
      <w:tabs>
        <w:tab w:val="num" w:pos="1584"/>
      </w:tabs>
      <w:spacing w:before="240" w:after="60"/>
      <w:ind w:left="1584" w:hanging="1584"/>
      <w:outlineLvl w:val="8"/>
    </w:pPr>
    <w:rPr>
      <w:rFonts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B64CB"/>
    <w:pPr>
      <w:tabs>
        <w:tab w:val="center" w:pos="4536"/>
        <w:tab w:val="right" w:pos="9072"/>
      </w:tabs>
    </w:pPr>
  </w:style>
  <w:style w:type="paragraph" w:styleId="Piedepgina">
    <w:name w:val="footer"/>
    <w:basedOn w:val="Normal"/>
    <w:link w:val="PiedepginaCar"/>
    <w:uiPriority w:val="99"/>
    <w:rsid w:val="005B64CB"/>
    <w:pPr>
      <w:tabs>
        <w:tab w:val="center" w:pos="4536"/>
        <w:tab w:val="right" w:pos="9072"/>
      </w:tabs>
    </w:pPr>
  </w:style>
  <w:style w:type="table" w:styleId="Tablaconcuadrcula">
    <w:name w:val="Table Grid"/>
    <w:basedOn w:val="Tabla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merodepgina">
    <w:name w:val="page number"/>
    <w:basedOn w:val="Fuentedeprrafopredeter"/>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D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ipervnculo">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Textonotapie">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TextonotapieCar"/>
    <w:uiPriority w:val="99"/>
    <w:qFormat/>
    <w:rsid w:val="001725A5"/>
    <w:pPr>
      <w:spacing w:line="200" w:lineRule="exact"/>
    </w:pPr>
    <w:rPr>
      <w:sz w:val="16"/>
      <w:szCs w:val="20"/>
    </w:rPr>
  </w:style>
  <w:style w:type="character" w:styleId="Refdenotaalpie">
    <w:name w:val="footnote reference"/>
    <w:aliases w:val="SUPERS,Footnote reference number,Footnote symbol,note TESI,-E Fußnotenzeichen,number,BVI fnr,Footnote,Footnote Reference Superscript,(Footnote Reference),EN Footnote Reference,Voetnootverwijzing,Times 10 Point,Exposant 3 Poi,16 Point"/>
    <w:link w:val="1"/>
    <w:uiPriority w:val="99"/>
    <w:qFormat/>
    <w:rsid w:val="00C274F3"/>
    <w:rPr>
      <w:vertAlign w:val="superscript"/>
    </w:rPr>
  </w:style>
  <w:style w:type="paragraph" w:styleId="TD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Refdecomentario">
    <w:name w:val="annotation reference"/>
    <w:rsid w:val="004B1E61"/>
    <w:rPr>
      <w:sz w:val="16"/>
      <w:szCs w:val="16"/>
    </w:rPr>
  </w:style>
  <w:style w:type="paragraph" w:styleId="Textocomentario">
    <w:name w:val="annotation text"/>
    <w:basedOn w:val="Normal"/>
    <w:link w:val="TextocomentarioCar"/>
    <w:uiPriority w:val="99"/>
    <w:rsid w:val="004B1E61"/>
    <w:rPr>
      <w:szCs w:val="20"/>
    </w:rPr>
  </w:style>
  <w:style w:type="character" w:customStyle="1" w:styleId="TextocomentarioCar">
    <w:name w:val="Texto comentario Car"/>
    <w:link w:val="Textocomentario"/>
    <w:uiPriority w:val="99"/>
    <w:rsid w:val="004B1E61"/>
    <w:rPr>
      <w:rFonts w:ascii="Georgia" w:hAnsi="Georgia"/>
      <w:lang w:eastAsia="de-DE"/>
    </w:rPr>
  </w:style>
  <w:style w:type="paragraph" w:styleId="Asuntodelcomentario">
    <w:name w:val="annotation subject"/>
    <w:basedOn w:val="Textocomentario"/>
    <w:next w:val="Textocomentario"/>
    <w:link w:val="AsuntodelcomentarioCar"/>
    <w:rsid w:val="004B1E61"/>
    <w:rPr>
      <w:b/>
      <w:bCs/>
    </w:rPr>
  </w:style>
  <w:style w:type="character" w:customStyle="1" w:styleId="AsuntodelcomentarioCar">
    <w:name w:val="Asunto del comentario Car"/>
    <w:link w:val="Asuntodelcomentario"/>
    <w:rsid w:val="004B1E61"/>
    <w:rPr>
      <w:rFonts w:ascii="Georgia" w:hAnsi="Georgia"/>
      <w:b/>
      <w:bCs/>
      <w:lang w:eastAsia="de-DE"/>
    </w:rPr>
  </w:style>
  <w:style w:type="paragraph" w:styleId="Textodeglobo">
    <w:name w:val="Balloon Text"/>
    <w:basedOn w:val="Normal"/>
    <w:link w:val="TextodegloboCar"/>
    <w:rsid w:val="004B1E61"/>
    <w:rPr>
      <w:rFonts w:ascii="Tahoma" w:hAnsi="Tahoma" w:cs="Tahoma"/>
      <w:sz w:val="16"/>
      <w:szCs w:val="16"/>
    </w:rPr>
  </w:style>
  <w:style w:type="character" w:customStyle="1" w:styleId="TextodegloboCar">
    <w:name w:val="Texto de globo Car"/>
    <w:link w:val="Textodeglobo"/>
    <w:rsid w:val="004B1E61"/>
    <w:rPr>
      <w:rFonts w:ascii="Tahoma" w:hAnsi="Tahoma" w:cs="Tahoma"/>
      <w:sz w:val="16"/>
      <w:szCs w:val="16"/>
      <w:lang w:eastAsia="de-DE"/>
    </w:rPr>
  </w:style>
  <w:style w:type="paragraph" w:styleId="Prrafodelista">
    <w:name w:val="List Paragraph"/>
    <w:aliases w:val="Paragraphe EI,Paragraphe de liste1,EC,Paragraphe de liste,Footnote Sam,Paragraphe de liste2,Colorful List Accent 1,Issue Action POC,3,POCG Table Text,Dot pt,F5 List Paragraph,List Paragraph Char Char Char,Indicator Text"/>
    <w:basedOn w:val="Normal"/>
    <w:link w:val="PrrafodelistaCar"/>
    <w:uiPriority w:val="34"/>
    <w:qFormat/>
    <w:rsid w:val="002A0C82"/>
    <w:pPr>
      <w:ind w:left="720"/>
      <w:contextualSpacing/>
    </w:pPr>
  </w:style>
  <w:style w:type="paragraph" w:styleId="TtulodeTDC">
    <w:name w:val="TOC Heading"/>
    <w:basedOn w:val="Ttulo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xtonotapieCar">
    <w:name w:val="Texto nota pie Car"/>
    <w:aliases w:val="Char3 Car, Char3 Car,Fußnotentextf Car,Fußnotentextr Car,stile 1 Car,Footnote1 Car,Footnote2 Car,Footnote3 Car,Footnote4 Car,Footnote5 Car,Footnote6 Car,Footnote7 Car,Footnote8 Car,Footnote9 Car,Footnote10 Car,Footnote11 Car"/>
    <w:link w:val="Textonotapie"/>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Fuentedeprrafopredeter"/>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tulo1Car">
    <w:name w:val="Título 1 Car"/>
    <w:link w:val="Ttulo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nfasis">
    <w:name w:val="Emphasis"/>
    <w:uiPriority w:val="20"/>
    <w:qFormat/>
    <w:rsid w:val="005F028E"/>
    <w:rPr>
      <w:i/>
      <w:iCs/>
    </w:rPr>
  </w:style>
  <w:style w:type="paragraph" w:styleId="Revisin">
    <w:name w:val="Revision"/>
    <w:link w:val="RevisinCar"/>
    <w:hidden/>
    <w:uiPriority w:val="99"/>
    <w:semiHidden/>
    <w:rsid w:val="008E6A37"/>
    <w:rPr>
      <w:rFonts w:ascii="Georgia" w:hAnsi="Georgia"/>
      <w:sz w:val="22"/>
      <w:szCs w:val="24"/>
      <w:lang w:eastAsia="de-DE"/>
    </w:rPr>
  </w:style>
  <w:style w:type="paragraph" w:styleId="TD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D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D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D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D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D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D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Epgrafe">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Mapadeldocumento">
    <w:name w:val="Document Map"/>
    <w:basedOn w:val="Normal"/>
    <w:link w:val="MapadeldocumentoCar"/>
    <w:rsid w:val="00AA016B"/>
    <w:rPr>
      <w:rFonts w:ascii="Tahoma" w:hAnsi="Tahoma" w:cs="Tahoma"/>
      <w:sz w:val="16"/>
      <w:szCs w:val="16"/>
    </w:rPr>
  </w:style>
  <w:style w:type="character" w:customStyle="1" w:styleId="MapadeldocumentoCar">
    <w:name w:val="Mapa del documento Car"/>
    <w:link w:val="Mapadeldocumento"/>
    <w:rsid w:val="00AA016B"/>
    <w:rPr>
      <w:rFonts w:ascii="Tahoma" w:hAnsi="Tahoma" w:cs="Tahoma"/>
      <w:sz w:val="16"/>
      <w:szCs w:val="16"/>
      <w:lang w:eastAsia="de-DE"/>
    </w:rPr>
  </w:style>
  <w:style w:type="paragraph" w:styleId="Textosinformato">
    <w:name w:val="Plain Text"/>
    <w:basedOn w:val="Normal"/>
    <w:link w:val="TextosinformatoCar"/>
    <w:unhideWhenUsed/>
    <w:rsid w:val="00AA016B"/>
    <w:rPr>
      <w:rFonts w:ascii="Consolas" w:hAnsi="Consolas"/>
      <w:sz w:val="21"/>
      <w:szCs w:val="21"/>
      <w:lang w:val="de-DE"/>
    </w:rPr>
  </w:style>
  <w:style w:type="character" w:customStyle="1" w:styleId="TextosinformatoCar">
    <w:name w:val="Texto sin formato Car"/>
    <w:link w:val="Textosinformato"/>
    <w:rsid w:val="00AA016B"/>
    <w:rPr>
      <w:rFonts w:ascii="Consolas" w:hAnsi="Consolas"/>
      <w:sz w:val="21"/>
      <w:szCs w:val="21"/>
      <w:lang w:val="de-DE" w:eastAsia="de-DE"/>
    </w:rPr>
  </w:style>
  <w:style w:type="paragraph" w:styleId="Textoindependiente">
    <w:name w:val="Body Text"/>
    <w:basedOn w:val="Normal"/>
    <w:link w:val="TextoindependienteCar"/>
    <w:unhideWhenUsed/>
    <w:rsid w:val="00AA016B"/>
    <w:pPr>
      <w:numPr>
        <w:numId w:val="8"/>
      </w:numPr>
      <w:spacing w:after="240"/>
      <w:jc w:val="both"/>
    </w:pPr>
    <w:rPr>
      <w:rFonts w:ascii="Times New Roman" w:hAnsi="Times New Roman"/>
      <w:sz w:val="24"/>
      <w:szCs w:val="20"/>
      <w:lang w:eastAsia="en-GB"/>
    </w:rPr>
  </w:style>
  <w:style w:type="character" w:customStyle="1" w:styleId="TextoindependienteCar">
    <w:name w:val="Texto independiente Car"/>
    <w:link w:val="Textoindependien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Textoennegrita">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tulo2Car">
    <w:name w:val="Título 2 Car"/>
    <w:link w:val="Ttulo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tulo9Car">
    <w:name w:val="Título 9 Car"/>
    <w:link w:val="Ttulo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tulo7Car">
    <w:name w:val="Título 7 Car"/>
    <w:link w:val="Ttulo7"/>
    <w:rsid w:val="002D6E1A"/>
    <w:rPr>
      <w:sz w:val="22"/>
      <w:szCs w:val="24"/>
      <w:lang w:eastAsia="de-DE"/>
    </w:rPr>
  </w:style>
  <w:style w:type="character" w:customStyle="1" w:styleId="Ttulo6Car">
    <w:name w:val="Título 6 Car"/>
    <w:link w:val="Ttulo6"/>
    <w:rsid w:val="002D6E1A"/>
    <w:rPr>
      <w:b/>
      <w:bCs/>
      <w:szCs w:val="22"/>
      <w:lang w:eastAsia="de-DE"/>
    </w:rPr>
  </w:style>
  <w:style w:type="character" w:customStyle="1" w:styleId="Ttulo8Car">
    <w:name w:val="Título 8 Car"/>
    <w:link w:val="Ttulo8"/>
    <w:rsid w:val="002D6E1A"/>
    <w:rPr>
      <w:i/>
      <w:iCs/>
      <w:szCs w:val="24"/>
      <w:lang w:eastAsia="de-DE"/>
    </w:rPr>
  </w:style>
  <w:style w:type="numbering" w:customStyle="1" w:styleId="NoList1">
    <w:name w:val="No List1"/>
    <w:next w:val="Sinlista"/>
    <w:uiPriority w:val="99"/>
    <w:semiHidden/>
    <w:unhideWhenUsed/>
    <w:rsid w:val="002D6E1A"/>
  </w:style>
  <w:style w:type="character" w:styleId="Hipervnculovisitado">
    <w:name w:val="FollowedHyperlink"/>
    <w:unhideWhenUsed/>
    <w:rsid w:val="002D6E1A"/>
    <w:rPr>
      <w:color w:val="800080"/>
      <w:u w:val="single"/>
    </w:rPr>
  </w:style>
  <w:style w:type="character" w:customStyle="1" w:styleId="EncabezadoCar">
    <w:name w:val="Encabezado Car"/>
    <w:link w:val="Encabezado"/>
    <w:uiPriority w:val="99"/>
    <w:rsid w:val="002D6E1A"/>
    <w:rPr>
      <w:rFonts w:ascii="Georgia" w:hAnsi="Georgia"/>
      <w:sz w:val="22"/>
      <w:szCs w:val="24"/>
      <w:lang w:eastAsia="de-DE"/>
    </w:rPr>
  </w:style>
  <w:style w:type="character" w:customStyle="1" w:styleId="PiedepginaCar">
    <w:name w:val="Pie de página Car"/>
    <w:link w:val="Piedepgina"/>
    <w:uiPriority w:val="99"/>
    <w:rsid w:val="002D6E1A"/>
    <w:rPr>
      <w:rFonts w:ascii="Georgia" w:hAnsi="Georgia"/>
      <w:sz w:val="22"/>
      <w:szCs w:val="24"/>
      <w:lang w:eastAsia="de-DE"/>
    </w:rPr>
  </w:style>
  <w:style w:type="paragraph" w:styleId="Textonotaalfinal">
    <w:name w:val="endnote text"/>
    <w:basedOn w:val="Normal"/>
    <w:link w:val="TextonotaalfinalCar"/>
    <w:unhideWhenUsed/>
    <w:rsid w:val="002D6E1A"/>
    <w:rPr>
      <w:szCs w:val="20"/>
    </w:rPr>
  </w:style>
  <w:style w:type="character" w:customStyle="1" w:styleId="TextonotaalfinalCar">
    <w:name w:val="Texto nota al final Car"/>
    <w:link w:val="Textonotaalfinal"/>
    <w:rsid w:val="002D6E1A"/>
    <w:rPr>
      <w:rFonts w:ascii="Georgia" w:hAnsi="Georgia"/>
      <w:lang w:eastAsia="de-DE"/>
    </w:rPr>
  </w:style>
  <w:style w:type="paragraph" w:styleId="Listaconnmeros">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rrafodelistaCar">
    <w:name w:val="Párrafo de lista Car"/>
    <w:aliases w:val="Paragraphe EI Car,Paragraphe de liste1 Car,EC Car,Paragraphe de liste Car,Footnote Sam Car,Paragraphe de liste2 Car,Colorful List Accent 1 Car,Issue Action POC Car,3 Car,POCG Table Text Car,Dot pt Car,F5 List Paragraph Car"/>
    <w:link w:val="Prrafodelista"/>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rrafodelista"/>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Refdenotaalfinal">
    <w:name w:val="endnote reference"/>
    <w:unhideWhenUsed/>
    <w:rsid w:val="002D6E1A"/>
    <w:rPr>
      <w:vertAlign w:val="superscript"/>
    </w:rPr>
  </w:style>
  <w:style w:type="character" w:styleId="Textodelmarcadordeposicin">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a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Sinlista"/>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merodelnea">
    <w:name w:val="line number"/>
    <w:basedOn w:val="Fuentedeprrafopredeter"/>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Epgrafe"/>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tulo5Car">
    <w:name w:val="Título 5 Car"/>
    <w:aliases w:val="Questions Car"/>
    <w:link w:val="Ttulo5"/>
    <w:rsid w:val="00E9344E"/>
    <w:rPr>
      <w:rFonts w:ascii="Arial" w:hAnsi="Arial"/>
      <w:b/>
      <w:szCs w:val="24"/>
      <w:lang w:eastAsia="de-DE"/>
    </w:rPr>
  </w:style>
  <w:style w:type="character" w:customStyle="1" w:styleId="Ttulo3Car">
    <w:name w:val="Título 3 Car"/>
    <w:link w:val="Ttulo3"/>
    <w:rsid w:val="003865E5"/>
    <w:rPr>
      <w:rFonts w:ascii="Cambria" w:eastAsia="Times New Roman" w:hAnsi="Cambria" w:cs="Times New Roman"/>
      <w:b/>
      <w:bCs/>
      <w:color w:val="4F81BD"/>
      <w:sz w:val="22"/>
      <w:szCs w:val="24"/>
      <w:lang w:eastAsia="de-DE"/>
    </w:rPr>
  </w:style>
  <w:style w:type="character" w:customStyle="1" w:styleId="Ttulo4Car">
    <w:name w:val="Título 4 Car"/>
    <w:link w:val="Ttulo4"/>
    <w:rsid w:val="00CB7286"/>
    <w:rPr>
      <w:b/>
      <w:bCs/>
      <w:sz w:val="28"/>
      <w:szCs w:val="28"/>
      <w:lang w:eastAsia="de-DE"/>
    </w:rPr>
  </w:style>
  <w:style w:type="table" w:styleId="Listaclara-nfasis3">
    <w:name w:val="Light List Accent 3"/>
    <w:basedOn w:val="Tabla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a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tulo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tulo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tulo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aconnme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aconnme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aconnme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aconvietas">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aconvieta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aconvietas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aconvietas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adeilustracion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tulo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tulo">
    <w:name w:val="Title"/>
    <w:basedOn w:val="Normal"/>
    <w:next w:val="Normal"/>
    <w:link w:val="Ttulo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tuloCar">
    <w:name w:val="Título Car"/>
    <w:link w:val="Ttul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nCar">
    <w:name w:val="Revisión Car"/>
    <w:link w:val="Revisin"/>
    <w:uiPriority w:val="99"/>
    <w:semiHidden/>
    <w:locked/>
    <w:rsid w:val="000D2D0B"/>
    <w:rPr>
      <w:rFonts w:ascii="Georgia" w:hAnsi="Georgia"/>
      <w:sz w:val="22"/>
      <w:szCs w:val="24"/>
      <w:lang w:eastAsia="de-DE"/>
    </w:rPr>
  </w:style>
  <w:style w:type="table" w:customStyle="1" w:styleId="TableGrid2">
    <w:name w:val="Table Grid2"/>
    <w:basedOn w:val="Tablanormal"/>
    <w:next w:val="Tablaconcuadrcula"/>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Fuentedeprrafopredeter"/>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nfasisintenso">
    <w:name w:val="Intense Emphasis"/>
    <w:basedOn w:val="Fuentedeprrafopredeter"/>
    <w:uiPriority w:val="21"/>
    <w:qFormat/>
    <w:rsid w:val="00D34282"/>
    <w:rPr>
      <w:b/>
      <w:bCs/>
      <w:i/>
      <w:iCs/>
    </w:rPr>
  </w:style>
  <w:style w:type="character" w:customStyle="1" w:styleId="CPTitle1Char">
    <w:name w:val="CP_Title1 Char"/>
    <w:basedOn w:val="Fuentedeprrafopredeter"/>
    <w:link w:val="CPTitle1"/>
    <w:locked/>
    <w:rsid w:val="00D34282"/>
    <w:rPr>
      <w:rFonts w:asciiTheme="majorHAnsi" w:eastAsiaTheme="majorEastAsia" w:hAnsiTheme="majorHAnsi" w:cstheme="majorHAnsi"/>
      <w:b/>
      <w:sz w:val="32"/>
      <w:szCs w:val="32"/>
    </w:rPr>
  </w:style>
  <w:style w:type="paragraph" w:customStyle="1" w:styleId="CPTitle1">
    <w:name w:val="CP_Title1"/>
    <w:basedOn w:val="Ttulo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tulo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Fuentedeprrafopredeter"/>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Fuentedeprrafopredeter"/>
    <w:link w:val="Questionstyle"/>
    <w:rsid w:val="008701E5"/>
    <w:rPr>
      <w:rFonts w:asciiTheme="minorHAnsi" w:eastAsiaTheme="minorEastAsia" w:hAnsiTheme="minorHAnsi" w:cstheme="minorBidi"/>
      <w:b/>
      <w:sz w:val="22"/>
      <w:lang w:eastAsia="en-US"/>
    </w:rPr>
  </w:style>
  <w:style w:type="paragraph" w:styleId="Subttulo">
    <w:name w:val="Subtitle"/>
    <w:basedOn w:val="Normal"/>
    <w:next w:val="Normal"/>
    <w:link w:val="SubttuloC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tuloCar">
    <w:name w:val="Subtítulo Car"/>
    <w:basedOn w:val="Fuentedeprrafopredeter"/>
    <w:link w:val="Subttulo"/>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Prrafodelista"/>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Fuentedeprrafopredeter"/>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Fuentedeprrafopredeter"/>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Prrafodelista"/>
    <w:qFormat/>
    <w:rsid w:val="00407232"/>
    <w:pPr>
      <w:numPr>
        <w:numId w:val="38"/>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 w:type="paragraph" w:customStyle="1" w:styleId="List1">
    <w:name w:val="List1"/>
    <w:autoRedefine/>
    <w:qFormat/>
    <w:rsid w:val="00197794"/>
    <w:rPr>
      <w:rFonts w:asciiTheme="minorHAnsi" w:eastAsiaTheme="minorEastAsia" w:hAnsiTheme="minorHAnsi" w:cstheme="minorBidi"/>
      <w:sz w:val="22"/>
      <w:szCs w:val="22"/>
      <w:lang w:val="en-US" w:eastAsia="en-US"/>
    </w:rPr>
  </w:style>
  <w:style w:type="paragraph" w:customStyle="1" w:styleId="1">
    <w:name w:val="1"/>
    <w:basedOn w:val="Normal"/>
    <w:link w:val="Refdenotaalpie"/>
    <w:uiPriority w:val="99"/>
    <w:qFormat/>
    <w:rsid w:val="00197794"/>
    <w:pPr>
      <w:spacing w:after="160" w:line="240" w:lineRule="exact"/>
    </w:pPr>
    <w:rPr>
      <w:rFonts w:ascii="Times New Roman" w:hAnsi="Times New Roman"/>
      <w:szCs w:val="20"/>
      <w:vertAlign w:val="superscript"/>
      <w:lang w:eastAsia="en-GB"/>
    </w:rPr>
  </w:style>
  <w:style w:type="paragraph" w:customStyle="1" w:styleId="body">
    <w:name w:val="body"/>
    <w:link w:val="bodyChar"/>
    <w:uiPriority w:val="99"/>
    <w:qFormat/>
    <w:rsid w:val="00197794"/>
    <w:pPr>
      <w:spacing w:before="240" w:after="120" w:line="276" w:lineRule="auto"/>
      <w:jc w:val="both"/>
    </w:pPr>
    <w:rPr>
      <w:rFonts w:asciiTheme="minorHAnsi" w:eastAsiaTheme="minorEastAsia" w:hAnsiTheme="minorHAnsi" w:cstheme="minorBidi"/>
      <w:sz w:val="22"/>
      <w:szCs w:val="24"/>
      <w:lang w:val="en-US" w:eastAsia="en-US"/>
    </w:rPr>
  </w:style>
  <w:style w:type="character" w:customStyle="1" w:styleId="bodyChar">
    <w:name w:val="body Char"/>
    <w:link w:val="body"/>
    <w:uiPriority w:val="99"/>
    <w:locked/>
    <w:rsid w:val="00197794"/>
    <w:rPr>
      <w:rFonts w:asciiTheme="minorHAnsi" w:eastAsiaTheme="minorEastAsia" w:hAnsiTheme="minorHAnsi" w:cstheme="minorBidi"/>
      <w:sz w:val="22"/>
      <w:szCs w:val="24"/>
      <w:lang w:val="en-US" w:eastAsia="en-US"/>
    </w:rPr>
  </w:style>
  <w:style w:type="character" w:customStyle="1" w:styleId="ts-alignment-element">
    <w:name w:val="ts-alignment-element"/>
    <w:basedOn w:val="Fuentedeprrafopredeter"/>
    <w:rsid w:val="00A65B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footer" w:uiPriority="99"/>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Ttulo1">
    <w:name w:val="heading 1"/>
    <w:basedOn w:val="Normal"/>
    <w:next w:val="Normal"/>
    <w:link w:val="Ttulo1Car"/>
    <w:qFormat/>
    <w:rsid w:val="009E7724"/>
    <w:pPr>
      <w:keepNext/>
      <w:numPr>
        <w:numId w:val="5"/>
      </w:numPr>
      <w:spacing w:before="240" w:after="60"/>
      <w:outlineLvl w:val="0"/>
    </w:pPr>
    <w:rPr>
      <w:rFonts w:cs="Arial"/>
      <w:b/>
      <w:bCs/>
      <w:kern w:val="32"/>
      <w:sz w:val="24"/>
      <w:szCs w:val="32"/>
    </w:rPr>
  </w:style>
  <w:style w:type="paragraph" w:styleId="Ttulo2">
    <w:name w:val="heading 2"/>
    <w:basedOn w:val="Normal"/>
    <w:next w:val="Normal"/>
    <w:link w:val="Ttulo2Car"/>
    <w:qFormat/>
    <w:rsid w:val="00886A60"/>
    <w:pPr>
      <w:keepNext/>
      <w:keepLines/>
      <w:spacing w:before="200" w:after="120"/>
      <w:outlineLvl w:val="1"/>
    </w:pPr>
    <w:rPr>
      <w:b/>
      <w:bCs/>
      <w:szCs w:val="26"/>
    </w:rPr>
  </w:style>
  <w:style w:type="paragraph" w:styleId="Ttulo3">
    <w:name w:val="heading 3"/>
    <w:basedOn w:val="Normal"/>
    <w:next w:val="Normal"/>
    <w:link w:val="Ttulo3Car"/>
    <w:qFormat/>
    <w:rsid w:val="003865E5"/>
    <w:pPr>
      <w:keepNext/>
      <w:keepLines/>
      <w:spacing w:before="200"/>
      <w:outlineLvl w:val="2"/>
    </w:pPr>
    <w:rPr>
      <w:rFonts w:ascii="Cambria" w:hAnsi="Cambria"/>
      <w:b/>
      <w:bCs/>
      <w:color w:val="4F81BD"/>
    </w:rPr>
  </w:style>
  <w:style w:type="paragraph" w:styleId="Ttulo4">
    <w:name w:val="heading 4"/>
    <w:basedOn w:val="Normal"/>
    <w:next w:val="Normal"/>
    <w:link w:val="Ttulo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tulo5">
    <w:name w:val="heading 5"/>
    <w:aliases w:val="Questions"/>
    <w:basedOn w:val="Normal"/>
    <w:next w:val="Normal"/>
    <w:link w:val="Ttulo5Car"/>
    <w:qFormat/>
    <w:rsid w:val="00E9344E"/>
    <w:pPr>
      <w:keepNext/>
      <w:keepLines/>
      <w:numPr>
        <w:numId w:val="13"/>
      </w:numPr>
      <w:spacing w:before="200"/>
      <w:jc w:val="both"/>
      <w:outlineLvl w:val="4"/>
    </w:pPr>
    <w:rPr>
      <w:b/>
    </w:rPr>
  </w:style>
  <w:style w:type="paragraph" w:styleId="Ttulo6">
    <w:name w:val="heading 6"/>
    <w:basedOn w:val="Normal"/>
    <w:next w:val="Normal"/>
    <w:link w:val="Ttulo6Car"/>
    <w:qFormat/>
    <w:rsid w:val="003609B6"/>
    <w:pPr>
      <w:numPr>
        <w:ilvl w:val="5"/>
        <w:numId w:val="4"/>
      </w:numPr>
      <w:spacing w:before="240" w:after="60"/>
      <w:outlineLvl w:val="5"/>
    </w:pPr>
    <w:rPr>
      <w:rFonts w:ascii="Times New Roman" w:hAnsi="Times New Roman"/>
      <w:b/>
      <w:bCs/>
      <w:szCs w:val="22"/>
    </w:rPr>
  </w:style>
  <w:style w:type="paragraph" w:styleId="Ttulo7">
    <w:name w:val="heading 7"/>
    <w:basedOn w:val="Normal"/>
    <w:next w:val="Normal"/>
    <w:link w:val="Ttulo7Car"/>
    <w:unhideWhenUsed/>
    <w:qFormat/>
    <w:rsid w:val="002D6E1A"/>
    <w:pPr>
      <w:spacing w:before="240" w:after="60"/>
      <w:ind w:left="1296" w:hanging="1296"/>
      <w:outlineLvl w:val="6"/>
    </w:pPr>
    <w:rPr>
      <w:rFonts w:ascii="Times New Roman" w:hAnsi="Times New Roman"/>
    </w:rPr>
  </w:style>
  <w:style w:type="paragraph" w:styleId="Ttulo8">
    <w:name w:val="heading 8"/>
    <w:basedOn w:val="Normal"/>
    <w:next w:val="Normal"/>
    <w:link w:val="Ttulo8Car"/>
    <w:qFormat/>
    <w:rsid w:val="003609B6"/>
    <w:pPr>
      <w:numPr>
        <w:ilvl w:val="7"/>
        <w:numId w:val="4"/>
      </w:numPr>
      <w:spacing w:before="240" w:after="60"/>
      <w:outlineLvl w:val="7"/>
    </w:pPr>
    <w:rPr>
      <w:rFonts w:ascii="Times New Roman" w:hAnsi="Times New Roman"/>
      <w:i/>
      <w:iCs/>
    </w:rPr>
  </w:style>
  <w:style w:type="paragraph" w:styleId="Ttulo9">
    <w:name w:val="heading 9"/>
    <w:basedOn w:val="Normal"/>
    <w:next w:val="Normal"/>
    <w:link w:val="Ttulo9Car"/>
    <w:qFormat/>
    <w:rsid w:val="00A06867"/>
    <w:pPr>
      <w:tabs>
        <w:tab w:val="num" w:pos="1584"/>
      </w:tabs>
      <w:spacing w:before="240" w:after="60"/>
      <w:ind w:left="1584" w:hanging="1584"/>
      <w:outlineLvl w:val="8"/>
    </w:pPr>
    <w:rPr>
      <w:rFonts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B64CB"/>
    <w:pPr>
      <w:tabs>
        <w:tab w:val="center" w:pos="4536"/>
        <w:tab w:val="right" w:pos="9072"/>
      </w:tabs>
    </w:pPr>
  </w:style>
  <w:style w:type="paragraph" w:styleId="Piedepgina">
    <w:name w:val="footer"/>
    <w:basedOn w:val="Normal"/>
    <w:link w:val="PiedepginaCar"/>
    <w:uiPriority w:val="99"/>
    <w:rsid w:val="005B64CB"/>
    <w:pPr>
      <w:tabs>
        <w:tab w:val="center" w:pos="4536"/>
        <w:tab w:val="right" w:pos="9072"/>
      </w:tabs>
    </w:pPr>
  </w:style>
  <w:style w:type="table" w:styleId="Tablaconcuadrcula">
    <w:name w:val="Table Grid"/>
    <w:basedOn w:val="Tabla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merodepgina">
    <w:name w:val="page number"/>
    <w:basedOn w:val="Fuentedeprrafopredeter"/>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D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ipervnculo">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Textonotapie">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TextonotapieCar"/>
    <w:uiPriority w:val="99"/>
    <w:qFormat/>
    <w:rsid w:val="001725A5"/>
    <w:pPr>
      <w:spacing w:line="200" w:lineRule="exact"/>
    </w:pPr>
    <w:rPr>
      <w:sz w:val="16"/>
      <w:szCs w:val="20"/>
    </w:rPr>
  </w:style>
  <w:style w:type="character" w:styleId="Refdenotaalpie">
    <w:name w:val="footnote reference"/>
    <w:aliases w:val="SUPERS,Footnote reference number,Footnote symbol,note TESI,-E Fußnotenzeichen,number,BVI fnr,Footnote,Footnote Reference Superscript,(Footnote Reference),EN Footnote Reference,Voetnootverwijzing,Times 10 Point,Exposant 3 Poi,16 Point"/>
    <w:link w:val="1"/>
    <w:uiPriority w:val="99"/>
    <w:qFormat/>
    <w:rsid w:val="00C274F3"/>
    <w:rPr>
      <w:vertAlign w:val="superscript"/>
    </w:rPr>
  </w:style>
  <w:style w:type="paragraph" w:styleId="TD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Refdecomentario">
    <w:name w:val="annotation reference"/>
    <w:rsid w:val="004B1E61"/>
    <w:rPr>
      <w:sz w:val="16"/>
      <w:szCs w:val="16"/>
    </w:rPr>
  </w:style>
  <w:style w:type="paragraph" w:styleId="Textocomentario">
    <w:name w:val="annotation text"/>
    <w:basedOn w:val="Normal"/>
    <w:link w:val="TextocomentarioCar"/>
    <w:uiPriority w:val="99"/>
    <w:rsid w:val="004B1E61"/>
    <w:rPr>
      <w:szCs w:val="20"/>
    </w:rPr>
  </w:style>
  <w:style w:type="character" w:customStyle="1" w:styleId="TextocomentarioCar">
    <w:name w:val="Texto comentario Car"/>
    <w:link w:val="Textocomentario"/>
    <w:uiPriority w:val="99"/>
    <w:rsid w:val="004B1E61"/>
    <w:rPr>
      <w:rFonts w:ascii="Georgia" w:hAnsi="Georgia"/>
      <w:lang w:eastAsia="de-DE"/>
    </w:rPr>
  </w:style>
  <w:style w:type="paragraph" w:styleId="Asuntodelcomentario">
    <w:name w:val="annotation subject"/>
    <w:basedOn w:val="Textocomentario"/>
    <w:next w:val="Textocomentario"/>
    <w:link w:val="AsuntodelcomentarioCar"/>
    <w:rsid w:val="004B1E61"/>
    <w:rPr>
      <w:b/>
      <w:bCs/>
    </w:rPr>
  </w:style>
  <w:style w:type="character" w:customStyle="1" w:styleId="AsuntodelcomentarioCar">
    <w:name w:val="Asunto del comentario Car"/>
    <w:link w:val="Asuntodelcomentario"/>
    <w:rsid w:val="004B1E61"/>
    <w:rPr>
      <w:rFonts w:ascii="Georgia" w:hAnsi="Georgia"/>
      <w:b/>
      <w:bCs/>
      <w:lang w:eastAsia="de-DE"/>
    </w:rPr>
  </w:style>
  <w:style w:type="paragraph" w:styleId="Textodeglobo">
    <w:name w:val="Balloon Text"/>
    <w:basedOn w:val="Normal"/>
    <w:link w:val="TextodegloboCar"/>
    <w:rsid w:val="004B1E61"/>
    <w:rPr>
      <w:rFonts w:ascii="Tahoma" w:hAnsi="Tahoma" w:cs="Tahoma"/>
      <w:sz w:val="16"/>
      <w:szCs w:val="16"/>
    </w:rPr>
  </w:style>
  <w:style w:type="character" w:customStyle="1" w:styleId="TextodegloboCar">
    <w:name w:val="Texto de globo Car"/>
    <w:link w:val="Textodeglobo"/>
    <w:rsid w:val="004B1E61"/>
    <w:rPr>
      <w:rFonts w:ascii="Tahoma" w:hAnsi="Tahoma" w:cs="Tahoma"/>
      <w:sz w:val="16"/>
      <w:szCs w:val="16"/>
      <w:lang w:eastAsia="de-DE"/>
    </w:rPr>
  </w:style>
  <w:style w:type="paragraph" w:styleId="Prrafodelista">
    <w:name w:val="List Paragraph"/>
    <w:aliases w:val="Paragraphe EI,Paragraphe de liste1,EC,Paragraphe de liste,Footnote Sam,Paragraphe de liste2,Colorful List Accent 1,Issue Action POC,3,POCG Table Text,Dot pt,F5 List Paragraph,List Paragraph Char Char Char,Indicator Text"/>
    <w:basedOn w:val="Normal"/>
    <w:link w:val="PrrafodelistaCar"/>
    <w:uiPriority w:val="34"/>
    <w:qFormat/>
    <w:rsid w:val="002A0C82"/>
    <w:pPr>
      <w:ind w:left="720"/>
      <w:contextualSpacing/>
    </w:pPr>
  </w:style>
  <w:style w:type="paragraph" w:styleId="TtulodeTDC">
    <w:name w:val="TOC Heading"/>
    <w:basedOn w:val="Ttulo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xtonotapieCar">
    <w:name w:val="Texto nota pie Car"/>
    <w:aliases w:val="Char3 Car, Char3 Car,Fußnotentextf Car,Fußnotentextr Car,stile 1 Car,Footnote1 Car,Footnote2 Car,Footnote3 Car,Footnote4 Car,Footnote5 Car,Footnote6 Car,Footnote7 Car,Footnote8 Car,Footnote9 Car,Footnote10 Car,Footnote11 Car"/>
    <w:link w:val="Textonotapie"/>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Fuentedeprrafopredeter"/>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tulo1Car">
    <w:name w:val="Título 1 Car"/>
    <w:link w:val="Ttulo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nfasis">
    <w:name w:val="Emphasis"/>
    <w:uiPriority w:val="20"/>
    <w:qFormat/>
    <w:rsid w:val="005F028E"/>
    <w:rPr>
      <w:i/>
      <w:iCs/>
    </w:rPr>
  </w:style>
  <w:style w:type="paragraph" w:styleId="Revisin">
    <w:name w:val="Revision"/>
    <w:link w:val="RevisinCar"/>
    <w:hidden/>
    <w:uiPriority w:val="99"/>
    <w:semiHidden/>
    <w:rsid w:val="008E6A37"/>
    <w:rPr>
      <w:rFonts w:ascii="Georgia" w:hAnsi="Georgia"/>
      <w:sz w:val="22"/>
      <w:szCs w:val="24"/>
      <w:lang w:eastAsia="de-DE"/>
    </w:rPr>
  </w:style>
  <w:style w:type="paragraph" w:styleId="TD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D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D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D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D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D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D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Epgrafe">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Mapadeldocumento">
    <w:name w:val="Document Map"/>
    <w:basedOn w:val="Normal"/>
    <w:link w:val="MapadeldocumentoCar"/>
    <w:rsid w:val="00AA016B"/>
    <w:rPr>
      <w:rFonts w:ascii="Tahoma" w:hAnsi="Tahoma" w:cs="Tahoma"/>
      <w:sz w:val="16"/>
      <w:szCs w:val="16"/>
    </w:rPr>
  </w:style>
  <w:style w:type="character" w:customStyle="1" w:styleId="MapadeldocumentoCar">
    <w:name w:val="Mapa del documento Car"/>
    <w:link w:val="Mapadeldocumento"/>
    <w:rsid w:val="00AA016B"/>
    <w:rPr>
      <w:rFonts w:ascii="Tahoma" w:hAnsi="Tahoma" w:cs="Tahoma"/>
      <w:sz w:val="16"/>
      <w:szCs w:val="16"/>
      <w:lang w:eastAsia="de-DE"/>
    </w:rPr>
  </w:style>
  <w:style w:type="paragraph" w:styleId="Textosinformato">
    <w:name w:val="Plain Text"/>
    <w:basedOn w:val="Normal"/>
    <w:link w:val="TextosinformatoCar"/>
    <w:unhideWhenUsed/>
    <w:rsid w:val="00AA016B"/>
    <w:rPr>
      <w:rFonts w:ascii="Consolas" w:hAnsi="Consolas"/>
      <w:sz w:val="21"/>
      <w:szCs w:val="21"/>
      <w:lang w:val="de-DE"/>
    </w:rPr>
  </w:style>
  <w:style w:type="character" w:customStyle="1" w:styleId="TextosinformatoCar">
    <w:name w:val="Texto sin formato Car"/>
    <w:link w:val="Textosinformato"/>
    <w:rsid w:val="00AA016B"/>
    <w:rPr>
      <w:rFonts w:ascii="Consolas" w:hAnsi="Consolas"/>
      <w:sz w:val="21"/>
      <w:szCs w:val="21"/>
      <w:lang w:val="de-DE" w:eastAsia="de-DE"/>
    </w:rPr>
  </w:style>
  <w:style w:type="paragraph" w:styleId="Textoindependiente">
    <w:name w:val="Body Text"/>
    <w:basedOn w:val="Normal"/>
    <w:link w:val="TextoindependienteCar"/>
    <w:unhideWhenUsed/>
    <w:rsid w:val="00AA016B"/>
    <w:pPr>
      <w:numPr>
        <w:numId w:val="8"/>
      </w:numPr>
      <w:spacing w:after="240"/>
      <w:jc w:val="both"/>
    </w:pPr>
    <w:rPr>
      <w:rFonts w:ascii="Times New Roman" w:hAnsi="Times New Roman"/>
      <w:sz w:val="24"/>
      <w:szCs w:val="20"/>
      <w:lang w:eastAsia="en-GB"/>
    </w:rPr>
  </w:style>
  <w:style w:type="character" w:customStyle="1" w:styleId="TextoindependienteCar">
    <w:name w:val="Texto independiente Car"/>
    <w:link w:val="Textoindependien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Textoennegrita">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tulo2Car">
    <w:name w:val="Título 2 Car"/>
    <w:link w:val="Ttulo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tulo9Car">
    <w:name w:val="Título 9 Car"/>
    <w:link w:val="Ttulo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tulo7Car">
    <w:name w:val="Título 7 Car"/>
    <w:link w:val="Ttulo7"/>
    <w:rsid w:val="002D6E1A"/>
    <w:rPr>
      <w:sz w:val="22"/>
      <w:szCs w:val="24"/>
      <w:lang w:eastAsia="de-DE"/>
    </w:rPr>
  </w:style>
  <w:style w:type="character" w:customStyle="1" w:styleId="Ttulo6Car">
    <w:name w:val="Título 6 Car"/>
    <w:link w:val="Ttulo6"/>
    <w:rsid w:val="002D6E1A"/>
    <w:rPr>
      <w:b/>
      <w:bCs/>
      <w:szCs w:val="22"/>
      <w:lang w:eastAsia="de-DE"/>
    </w:rPr>
  </w:style>
  <w:style w:type="character" w:customStyle="1" w:styleId="Ttulo8Car">
    <w:name w:val="Título 8 Car"/>
    <w:link w:val="Ttulo8"/>
    <w:rsid w:val="002D6E1A"/>
    <w:rPr>
      <w:i/>
      <w:iCs/>
      <w:szCs w:val="24"/>
      <w:lang w:eastAsia="de-DE"/>
    </w:rPr>
  </w:style>
  <w:style w:type="numbering" w:customStyle="1" w:styleId="NoList1">
    <w:name w:val="No List1"/>
    <w:next w:val="Sinlista"/>
    <w:uiPriority w:val="99"/>
    <w:semiHidden/>
    <w:unhideWhenUsed/>
    <w:rsid w:val="002D6E1A"/>
  </w:style>
  <w:style w:type="character" w:styleId="Hipervnculovisitado">
    <w:name w:val="FollowedHyperlink"/>
    <w:unhideWhenUsed/>
    <w:rsid w:val="002D6E1A"/>
    <w:rPr>
      <w:color w:val="800080"/>
      <w:u w:val="single"/>
    </w:rPr>
  </w:style>
  <w:style w:type="character" w:customStyle="1" w:styleId="EncabezadoCar">
    <w:name w:val="Encabezado Car"/>
    <w:link w:val="Encabezado"/>
    <w:uiPriority w:val="99"/>
    <w:rsid w:val="002D6E1A"/>
    <w:rPr>
      <w:rFonts w:ascii="Georgia" w:hAnsi="Georgia"/>
      <w:sz w:val="22"/>
      <w:szCs w:val="24"/>
      <w:lang w:eastAsia="de-DE"/>
    </w:rPr>
  </w:style>
  <w:style w:type="character" w:customStyle="1" w:styleId="PiedepginaCar">
    <w:name w:val="Pie de página Car"/>
    <w:link w:val="Piedepgina"/>
    <w:uiPriority w:val="99"/>
    <w:rsid w:val="002D6E1A"/>
    <w:rPr>
      <w:rFonts w:ascii="Georgia" w:hAnsi="Georgia"/>
      <w:sz w:val="22"/>
      <w:szCs w:val="24"/>
      <w:lang w:eastAsia="de-DE"/>
    </w:rPr>
  </w:style>
  <w:style w:type="paragraph" w:styleId="Textonotaalfinal">
    <w:name w:val="endnote text"/>
    <w:basedOn w:val="Normal"/>
    <w:link w:val="TextonotaalfinalCar"/>
    <w:unhideWhenUsed/>
    <w:rsid w:val="002D6E1A"/>
    <w:rPr>
      <w:szCs w:val="20"/>
    </w:rPr>
  </w:style>
  <w:style w:type="character" w:customStyle="1" w:styleId="TextonotaalfinalCar">
    <w:name w:val="Texto nota al final Car"/>
    <w:link w:val="Textonotaalfinal"/>
    <w:rsid w:val="002D6E1A"/>
    <w:rPr>
      <w:rFonts w:ascii="Georgia" w:hAnsi="Georgia"/>
      <w:lang w:eastAsia="de-DE"/>
    </w:rPr>
  </w:style>
  <w:style w:type="paragraph" w:styleId="Listaconnmeros">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rrafodelistaCar">
    <w:name w:val="Párrafo de lista Car"/>
    <w:aliases w:val="Paragraphe EI Car,Paragraphe de liste1 Car,EC Car,Paragraphe de liste Car,Footnote Sam Car,Paragraphe de liste2 Car,Colorful List Accent 1 Car,Issue Action POC Car,3 Car,POCG Table Text Car,Dot pt Car,F5 List Paragraph Car"/>
    <w:link w:val="Prrafodelista"/>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rrafodelista"/>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Refdenotaalfinal">
    <w:name w:val="endnote reference"/>
    <w:unhideWhenUsed/>
    <w:rsid w:val="002D6E1A"/>
    <w:rPr>
      <w:vertAlign w:val="superscript"/>
    </w:rPr>
  </w:style>
  <w:style w:type="character" w:styleId="Textodelmarcadordeposicin">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a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Sinlista"/>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merodelnea">
    <w:name w:val="line number"/>
    <w:basedOn w:val="Fuentedeprrafopredeter"/>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Epgrafe"/>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tulo5Car">
    <w:name w:val="Título 5 Car"/>
    <w:aliases w:val="Questions Car"/>
    <w:link w:val="Ttulo5"/>
    <w:rsid w:val="00E9344E"/>
    <w:rPr>
      <w:rFonts w:ascii="Arial" w:hAnsi="Arial"/>
      <w:b/>
      <w:szCs w:val="24"/>
      <w:lang w:eastAsia="de-DE"/>
    </w:rPr>
  </w:style>
  <w:style w:type="character" w:customStyle="1" w:styleId="Ttulo3Car">
    <w:name w:val="Título 3 Car"/>
    <w:link w:val="Ttulo3"/>
    <w:rsid w:val="003865E5"/>
    <w:rPr>
      <w:rFonts w:ascii="Cambria" w:eastAsia="Times New Roman" w:hAnsi="Cambria" w:cs="Times New Roman"/>
      <w:b/>
      <w:bCs/>
      <w:color w:val="4F81BD"/>
      <w:sz w:val="22"/>
      <w:szCs w:val="24"/>
      <w:lang w:eastAsia="de-DE"/>
    </w:rPr>
  </w:style>
  <w:style w:type="character" w:customStyle="1" w:styleId="Ttulo4Car">
    <w:name w:val="Título 4 Car"/>
    <w:link w:val="Ttulo4"/>
    <w:rsid w:val="00CB7286"/>
    <w:rPr>
      <w:b/>
      <w:bCs/>
      <w:sz w:val="28"/>
      <w:szCs w:val="28"/>
      <w:lang w:eastAsia="de-DE"/>
    </w:rPr>
  </w:style>
  <w:style w:type="table" w:styleId="Listaclara-nfasis3">
    <w:name w:val="Light List Accent 3"/>
    <w:basedOn w:val="Tabla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a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tulo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tulo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tulo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aconnme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aconnme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aconnme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aconvietas">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aconvieta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aconvietas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aconvietas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adeilustracion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tulo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tulo">
    <w:name w:val="Title"/>
    <w:basedOn w:val="Normal"/>
    <w:next w:val="Normal"/>
    <w:link w:val="Ttulo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tuloCar">
    <w:name w:val="Título Car"/>
    <w:link w:val="Ttul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nCar">
    <w:name w:val="Revisión Car"/>
    <w:link w:val="Revisin"/>
    <w:uiPriority w:val="99"/>
    <w:semiHidden/>
    <w:locked/>
    <w:rsid w:val="000D2D0B"/>
    <w:rPr>
      <w:rFonts w:ascii="Georgia" w:hAnsi="Georgia"/>
      <w:sz w:val="22"/>
      <w:szCs w:val="24"/>
      <w:lang w:eastAsia="de-DE"/>
    </w:rPr>
  </w:style>
  <w:style w:type="table" w:customStyle="1" w:styleId="TableGrid2">
    <w:name w:val="Table Grid2"/>
    <w:basedOn w:val="Tablanormal"/>
    <w:next w:val="Tablaconcuadrcula"/>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Fuentedeprrafopredeter"/>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nfasisintenso">
    <w:name w:val="Intense Emphasis"/>
    <w:basedOn w:val="Fuentedeprrafopredeter"/>
    <w:uiPriority w:val="21"/>
    <w:qFormat/>
    <w:rsid w:val="00D34282"/>
    <w:rPr>
      <w:b/>
      <w:bCs/>
      <w:i/>
      <w:iCs/>
    </w:rPr>
  </w:style>
  <w:style w:type="character" w:customStyle="1" w:styleId="CPTitle1Char">
    <w:name w:val="CP_Title1 Char"/>
    <w:basedOn w:val="Fuentedeprrafopredeter"/>
    <w:link w:val="CPTitle1"/>
    <w:locked/>
    <w:rsid w:val="00D34282"/>
    <w:rPr>
      <w:rFonts w:asciiTheme="majorHAnsi" w:eastAsiaTheme="majorEastAsia" w:hAnsiTheme="majorHAnsi" w:cstheme="majorHAnsi"/>
      <w:b/>
      <w:sz w:val="32"/>
      <w:szCs w:val="32"/>
    </w:rPr>
  </w:style>
  <w:style w:type="paragraph" w:customStyle="1" w:styleId="CPTitle1">
    <w:name w:val="CP_Title1"/>
    <w:basedOn w:val="Ttulo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tulo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Fuentedeprrafopredeter"/>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Fuentedeprrafopredeter"/>
    <w:link w:val="Questionstyle"/>
    <w:rsid w:val="008701E5"/>
    <w:rPr>
      <w:rFonts w:asciiTheme="minorHAnsi" w:eastAsiaTheme="minorEastAsia" w:hAnsiTheme="minorHAnsi" w:cstheme="minorBidi"/>
      <w:b/>
      <w:sz w:val="22"/>
      <w:lang w:eastAsia="en-US"/>
    </w:rPr>
  </w:style>
  <w:style w:type="paragraph" w:styleId="Subttulo">
    <w:name w:val="Subtitle"/>
    <w:basedOn w:val="Normal"/>
    <w:next w:val="Normal"/>
    <w:link w:val="SubttuloC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tuloCar">
    <w:name w:val="Subtítulo Car"/>
    <w:basedOn w:val="Fuentedeprrafopredeter"/>
    <w:link w:val="Subttulo"/>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Prrafodelista"/>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Fuentedeprrafopredeter"/>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Fuentedeprrafopredeter"/>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Prrafodelista"/>
    <w:qFormat/>
    <w:rsid w:val="00407232"/>
    <w:pPr>
      <w:numPr>
        <w:numId w:val="38"/>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 w:type="paragraph" w:customStyle="1" w:styleId="List1">
    <w:name w:val="List1"/>
    <w:autoRedefine/>
    <w:qFormat/>
    <w:rsid w:val="00197794"/>
    <w:rPr>
      <w:rFonts w:asciiTheme="minorHAnsi" w:eastAsiaTheme="minorEastAsia" w:hAnsiTheme="minorHAnsi" w:cstheme="minorBidi"/>
      <w:sz w:val="22"/>
      <w:szCs w:val="22"/>
      <w:lang w:val="en-US" w:eastAsia="en-US"/>
    </w:rPr>
  </w:style>
  <w:style w:type="paragraph" w:customStyle="1" w:styleId="1">
    <w:name w:val="1"/>
    <w:basedOn w:val="Normal"/>
    <w:link w:val="Refdenotaalpie"/>
    <w:uiPriority w:val="99"/>
    <w:qFormat/>
    <w:rsid w:val="00197794"/>
    <w:pPr>
      <w:spacing w:after="160" w:line="240" w:lineRule="exact"/>
    </w:pPr>
    <w:rPr>
      <w:rFonts w:ascii="Times New Roman" w:hAnsi="Times New Roman"/>
      <w:szCs w:val="20"/>
      <w:vertAlign w:val="superscript"/>
      <w:lang w:eastAsia="en-GB"/>
    </w:rPr>
  </w:style>
  <w:style w:type="paragraph" w:customStyle="1" w:styleId="body">
    <w:name w:val="body"/>
    <w:link w:val="bodyChar"/>
    <w:uiPriority w:val="99"/>
    <w:qFormat/>
    <w:rsid w:val="00197794"/>
    <w:pPr>
      <w:spacing w:before="240" w:after="120" w:line="276" w:lineRule="auto"/>
      <w:jc w:val="both"/>
    </w:pPr>
    <w:rPr>
      <w:rFonts w:asciiTheme="minorHAnsi" w:eastAsiaTheme="minorEastAsia" w:hAnsiTheme="minorHAnsi" w:cstheme="minorBidi"/>
      <w:sz w:val="22"/>
      <w:szCs w:val="24"/>
      <w:lang w:val="en-US" w:eastAsia="en-US"/>
    </w:rPr>
  </w:style>
  <w:style w:type="character" w:customStyle="1" w:styleId="bodyChar">
    <w:name w:val="body Char"/>
    <w:link w:val="body"/>
    <w:uiPriority w:val="99"/>
    <w:locked/>
    <w:rsid w:val="00197794"/>
    <w:rPr>
      <w:rFonts w:asciiTheme="minorHAnsi" w:eastAsiaTheme="minorEastAsia" w:hAnsiTheme="minorHAnsi" w:cstheme="minorBidi"/>
      <w:sz w:val="22"/>
      <w:szCs w:val="24"/>
      <w:lang w:val="en-US" w:eastAsia="en-US"/>
    </w:rPr>
  </w:style>
  <w:style w:type="character" w:customStyle="1" w:styleId="ts-alignment-element">
    <w:name w:val="ts-alignment-element"/>
    <w:basedOn w:val="Fuentedeprrafopredeter"/>
    <w:rsid w:val="00A65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eba.europa.eu/legal-notice"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esma.europa.eu/press-news/consult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esma.europa.eu/legal-notice"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hyperlink" Target="https://eiopa.europa.eu/Pages/Links/Legal-notice.aspx"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Other Work Document" ma:contentTypeID="0x010100DD70E92362DEE14191597B20A60D97FF021000965AB77F8A9CDA4F84DF757DE0E7E0EB" ma:contentTypeVersion="139" ma:contentTypeDescription="" ma:contentTypeScope="" ma:versionID="1dade7e22ff44667bf538f766b29126c">
  <xsd:schema xmlns:xsd="http://www.w3.org/2001/XMLSchema" xmlns:xs="http://www.w3.org/2001/XMLSchema" xmlns:p="http://schemas.microsoft.com/office/2006/metadata/properties" xmlns:ns2="35c8e399-07b8-49e4-91bf-01a20105d4df" targetNamespace="http://schemas.microsoft.com/office/2006/metadata/properties" ma:root="true" ma:fieldsID="3efdec30530f1486a49bd24a2216b6f4" ns2:_="">
    <xsd:import namespace="35c8e399-07b8-49e4-91bf-01a20105d4df"/>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kdd529b9a5cb416096d62dbd0e6e5583" minOccurs="0"/>
                <xsd:element ref="ns2:k9db3a09612944c49e649e0ff38a506b" minOccurs="0"/>
                <xsd:element ref="ns2:oa4fe03ffd8943c1880fe290404e8de7" minOccurs="0"/>
                <xsd:element ref="ns2:o129a376828d47fdaef4d5f5d93fd079" minOccurs="0"/>
                <xsd:element ref="ns2:le43fdf786354491b6a92d49b491b10f" minOccurs="0"/>
                <xsd:element ref="ns2:TaxCatchAllLabel" minOccurs="0"/>
                <xsd:element ref="ns2:i273e4c9de95495b82bee898e1d119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dd529b9a5cb416096d62dbd0e6e5583" ma:index="14"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k9db3a09612944c49e649e0ff38a506b" ma:index="15" nillable="true" ma:taxonomy="true" ma:internalName="k9db3a09612944c49e649e0ff38a506b" ma:taxonomyFieldName="EsmaAudience" ma:displayName="Audienc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oa4fe03ffd8943c1880fe290404e8de7" ma:index="16"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e43fdf786354491b6a92d49b491b10f" ma:index="23" nillable="true" ma:taxonomy="true" ma:internalName="le43fdf786354491b6a92d49b491b10f" ma:taxonomyFieldName="TeamTopic" ma:displayName="Team Topic" ma:readOnly="false" ma:default="87;#Other Work|f1a52b52-917d-42ef-9667-945839604bb2" ma:fieldId="{5e43fdf7-8635-4491-b6a9-2d49b491b10f}" ma:taxonomyMulti="true" ma:sspId="0ac1876e-32bf-4158-94e7-cdbcd053a335" ma:termSetId="659d163a-41f8-4a11-98d0-47db219aa0e4"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5" nillable="true" ma:taxonomy="true" ma:internalName="i273e4c9de95495b82bee898e1d119e4" ma:taxonomyFieldName="Topic" ma:displayName="Topic" ma:default="" ma:fieldId="{2273e4c9-de95-495b-82be-e898e1d119e4}" ma:sspId="0ac1876e-32bf-4158-94e7-cdbcd053a335" ma:termSetId="a11a6b21-db06-4e7f-a75f-2a10b1559aa2"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35c8e399-07b8-49e4-91bf-01a20105d4df">ESMA34-45-904</_dlc_DocId>
    <_dlc_DocIdUrl xmlns="35c8e399-07b8-49e4-91bf-01a20105d4df">
      <Url>https://sherpa.esma.europa.eu/sites/INIIVM/_layouts/15/DocIdRedir.aspx?ID=ESMA34-45-904</Url>
      <Description>ESMA34-45-904</Description>
    </_dlc_DocIdUrl>
    <MeetingDate xmlns="35c8e399-07b8-49e4-91bf-01a20105d4df" xsi:nil="true"/>
    <TaxCatchAll xmlns="35c8e399-07b8-49e4-91bf-01a20105d4df">
      <Value>66</Value>
      <Value>38</Value>
      <Value>72</Value>
      <Value>85</Value>
    </TaxCatchAll>
    <Year xmlns="35c8e399-07b8-49e4-91bf-01a20105d4df">2020</Year>
    <k9db3a09612944c49e649e0ff38a506b xmlns="35c8e399-07b8-49e4-91bf-01a20105d4df">
      <Terms xmlns="http://schemas.microsoft.com/office/infopath/2007/PartnerControls"/>
    </k9db3a09612944c49e649e0ff38a506b>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o129a376828d47fdaef4d5f5d93fd079>
    <le43fdf786354491b6a92d49b491b10f xmlns="35c8e399-07b8-49e4-91bf-01a20105d4df">
      <Terms xmlns="http://schemas.microsoft.com/office/infopath/2007/PartnerControls">
        <TermInfo xmlns="http://schemas.microsoft.com/office/infopath/2007/PartnerControls">
          <TermName xmlns="http://schemas.microsoft.com/office/infopath/2007/PartnerControls">MMF</TermName>
          <TermId xmlns="http://schemas.microsoft.com/office/infopath/2007/PartnerControls">2682d9f9-17ef-452e-b9a4-b56d32a15999</TermId>
        </TermInfo>
      </Terms>
    </le43fdf786354491b6a92d49b491b10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oa4fe03ffd8943c1880fe290404e8de7>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8F0BA-D32A-4B60-B310-EF8735E9B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3.xml><?xml version="1.0" encoding="utf-8"?>
<ds:datastoreItem xmlns:ds="http://schemas.openxmlformats.org/officeDocument/2006/customXml" ds:itemID="{A1823ED9-4C25-4A0F-AA35-0F2F3F3B90A3}">
  <ds:schemaRefs>
    <ds:schemaRef ds:uri="http://www.w3.org/XML/1998/namespace"/>
    <ds:schemaRef ds:uri="http://purl.org/dc/dcmitype/"/>
    <ds:schemaRef ds:uri="http://schemas.microsoft.com/office/2006/metadata/properties"/>
    <ds:schemaRef ds:uri="http://schemas.microsoft.com/office/2006/documentManagement/types"/>
    <ds:schemaRef ds:uri="http://purl.org/dc/terms/"/>
    <ds:schemaRef ds:uri="35c8e399-07b8-49e4-91bf-01a20105d4df"/>
    <ds:schemaRef ds:uri="http://purl.org/dc/elements/1.1/"/>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5.xml><?xml version="1.0" encoding="utf-8"?>
<ds:datastoreItem xmlns:ds="http://schemas.openxmlformats.org/officeDocument/2006/customXml" ds:itemID="{8CD8153A-1B5F-401F-9CAF-F7E60DA72551}">
  <ds:schemaRefs>
    <ds:schemaRef ds:uri="http://schemas.openxmlformats.org/officeDocument/2006/bibliography"/>
  </ds:schemaRefs>
</ds:datastoreItem>
</file>

<file path=customXml/itemProps6.xml><?xml version="1.0" encoding="utf-8"?>
<ds:datastoreItem xmlns:ds="http://schemas.openxmlformats.org/officeDocument/2006/customXml" ds:itemID="{3AB7412D-8D38-4602-B848-C1630E66E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5576</Words>
  <Characters>31135</Characters>
  <Application>Microsoft Office Word</Application>
  <DocSecurity>12</DocSecurity>
  <Lines>259</Lines>
  <Paragraphs>73</Paragraphs>
  <ScaleCrop>false</ScaleCrop>
  <HeadingPairs>
    <vt:vector size="10" baseType="variant">
      <vt:variant>
        <vt:lpstr>Título</vt:lpstr>
      </vt:variant>
      <vt:variant>
        <vt:i4>1</vt:i4>
      </vt:variant>
      <vt:variant>
        <vt:lpstr>Title</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Reply form for the TR portability CP under EMIR</vt:lpstr>
      <vt:lpstr>20110000</vt:lpstr>
      <vt:lpstr>20110000</vt:lpstr>
      <vt:lpstr>20110000</vt:lpstr>
    </vt:vector>
  </TitlesOfParts>
  <Company>ESMA</Company>
  <LinksUpToDate>false</LinksUpToDate>
  <CharactersWithSpaces>36638</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David de Miguel Rato</cp:lastModifiedBy>
  <cp:revision>2</cp:revision>
  <cp:lastPrinted>2020-07-20T14:51:00Z</cp:lastPrinted>
  <dcterms:created xsi:type="dcterms:W3CDTF">2020-07-31T08:27:00Z</dcterms:created>
  <dcterms:modified xsi:type="dcterms:W3CDTF">2020-07-31T08:27:00Z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0x010100DD70E92362DEE14191597B20A60D97FF021000965AB77F8A9CDA4F84DF757DE0E7E0EB</vt:lpwstr>
  </property>
  <property fmtid="{D5CDD505-2E9C-101B-9397-08002B2CF9AE}" pid="3" name="EsmaAudience">
    <vt:lpwstr/>
  </property>
  <property fmtid="{D5CDD505-2E9C-101B-9397-08002B2CF9AE}" pid="4" name="TeamName">
    <vt:lpwstr>38;#Investment Management|9630b78b-e81c-4ffd-baef-5f8b4aeb7ac5</vt:lpwstr>
  </property>
  <property fmtid="{D5CDD505-2E9C-101B-9397-08002B2CF9AE}" pid="5" name="Topic">
    <vt:lpwstr/>
  </property>
  <property fmtid="{D5CDD505-2E9C-101B-9397-08002B2CF9AE}" pid="6" name="SubTopic">
    <vt:lpwstr/>
  </property>
  <property fmtid="{D5CDD505-2E9C-101B-9397-08002B2CF9AE}" pid="7" name="DocumentType">
    <vt:lpwstr>66;#Questionnaire|a849d609-a31c-415e-a1a8-503bcc16b083</vt:lpwstr>
  </property>
  <property fmtid="{D5CDD505-2E9C-101B-9397-08002B2CF9AE}" pid="8" name="ConfidentialityLevel">
    <vt:lpwstr>72;#Public|a0c619ff-bd46-48f0-b213-6b7c03fe156d</vt:lpwstr>
  </property>
  <property fmtid="{D5CDD505-2E9C-101B-9397-08002B2CF9AE}" pid="9" name="_dlc_DocIdItemGuid">
    <vt:lpwstr>f21af772-d49b-4d24-ad34-f05251f1682f</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TeamTopic">
    <vt:lpwstr>85;#MMF|2682d9f9-17ef-452e-b9a4-b56d32a15999</vt:lpwstr>
  </property>
  <property fmtid="{D5CDD505-2E9C-101B-9397-08002B2CF9AE}" pid="17" name="Project">
    <vt:lpwstr>103;#PRIIPs|a491fde9-7cc6-4ddd-9670-fcf5e94cd88f</vt:lpwstr>
  </property>
</Properties>
</file>