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745A35AE" w:rsidR="00C2094B" w:rsidRPr="00583885" w:rsidRDefault="0033202F" w:rsidP="0071740A">
            <w:pPr>
              <w:pStyle w:val="Footer"/>
              <w:rPr>
                <w:rFonts w:cs="Arial"/>
                <w:sz w:val="22"/>
                <w:szCs w:val="22"/>
              </w:rPr>
            </w:pPr>
            <w:permStart w:id="1707502347" w:edGrp="everyone"/>
            <w:r>
              <w:rPr>
                <w:rFonts w:cs="Arial"/>
                <w:color w:val="FFFFFF" w:themeColor="background1"/>
                <w:sz w:val="22"/>
                <w:szCs w:val="22"/>
              </w:rPr>
              <w:t xml:space="preserve">       </w:t>
            </w:r>
            <w:permEnd w:id="1707502347"/>
            <w:r w:rsidR="00A52EBB" w:rsidRPr="00583885">
              <w:rPr>
                <w:rFonts w:cs="Arial"/>
                <w:color w:val="FFFFFF" w:themeColor="background1"/>
                <w:sz w:val="22"/>
                <w:szCs w:val="22"/>
              </w:rPr>
              <w:ptab w:relativeTo="margin" w:alignment="center" w:leader="none"/>
            </w:r>
            <w:r w:rsidR="00A52EBB"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9C95EE7" w:rsidR="00C2682A" w:rsidRPr="00AB6D88" w:rsidRDefault="00763EA3" w:rsidP="00FA5524">
                <w:pPr>
                  <w:rPr>
                    <w:rStyle w:val="PlaceholderText"/>
                    <w:rFonts w:cs="Arial"/>
                  </w:rPr>
                </w:pPr>
                <w:r>
                  <w:rPr>
                    <w:rStyle w:val="PlaceholderText"/>
                    <w:rFonts w:cs="Arial"/>
                  </w:rPr>
                  <w:t>ING Bank N.V.</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52D998C" w:rsidR="00C2682A" w:rsidRPr="00AB6D88" w:rsidRDefault="003B48C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3EA3">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412306E" w:rsidR="00C2682A" w:rsidRPr="00AB6D88" w:rsidRDefault="00763EA3" w:rsidP="00FA5524">
                <w:pPr>
                  <w:rPr>
                    <w:rFonts w:cs="Arial"/>
                  </w:rPr>
                </w:pPr>
                <w:r>
                  <w:rPr>
                    <w:rFonts w:cs="Arial"/>
                  </w:rPr>
                  <w:t>Netherlands</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7143B1A4" w:rsidR="00F87897" w:rsidRDefault="00763EA3" w:rsidP="00F87897">
      <w:permStart w:id="1454525006" w:edGrp="everyone"/>
      <w:r>
        <w:t xml:space="preserve">ING welcomes the opportunity to respond to the consultation on non-equity transparency and the derivatives trading obligation. ING will limit its response to the questions on pre-trade transparency (Q1-Q9), the proposals of ESMA regarding </w:t>
      </w:r>
      <w:proofErr w:type="spellStart"/>
      <w:r>
        <w:t>ToTV</w:t>
      </w:r>
      <w:proofErr w:type="spellEnd"/>
      <w:r>
        <w:t xml:space="preserve"> (Q16-18) and the Derivatives Trading Obligation (Q20-24), where ING would like to clearly express its own view. For the other parts of the consultation ING </w:t>
      </w:r>
      <w:r w:rsidR="00312A5D" w:rsidRPr="00C45E2C">
        <w:t>would refer to the responses of</w:t>
      </w:r>
      <w:r w:rsidR="00312A5D" w:rsidRPr="00312A5D">
        <w:rPr>
          <w:color w:val="FF0000"/>
        </w:rPr>
        <w:t xml:space="preserve"> </w:t>
      </w:r>
      <w:r w:rsidRPr="00312A5D">
        <w:rPr>
          <w:color w:val="FF0000"/>
        </w:rPr>
        <w:t xml:space="preserve"> </w:t>
      </w:r>
      <w:r>
        <w:t xml:space="preserve">AFME, ICMA and ISDA. </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3B0A1530" w14:textId="7201F41E" w:rsidR="00663482" w:rsidRDefault="004A66C4" w:rsidP="00A8728B">
      <w:permStart w:id="1955866996" w:edGrp="everyone"/>
      <w:r>
        <w:t xml:space="preserve">ING fully supports the aim of MiFID II and </w:t>
      </w:r>
      <w:proofErr w:type="spellStart"/>
      <w:r>
        <w:t>MiFIR</w:t>
      </w:r>
      <w:proofErr w:type="spellEnd"/>
      <w:r>
        <w:t xml:space="preserve"> to contribute to</w:t>
      </w:r>
      <w:r w:rsidR="007039A3">
        <w:t xml:space="preserve"> </w:t>
      </w:r>
      <w:r>
        <w:t xml:space="preserve">increased transparency in the non-equity markets. Only adequately calibrated regimes can achieve such transparency and ING is of the view that the way in which MiFID II and MiFIR intend to achieve greater transparency </w:t>
      </w:r>
      <w:r w:rsidR="00312A5D" w:rsidRPr="007039A3">
        <w:t xml:space="preserve">did not succeed. </w:t>
      </w:r>
      <w:r w:rsidR="00663482">
        <w:t>ING does</w:t>
      </w:r>
      <w:r w:rsidR="00573555" w:rsidRPr="007039A3">
        <w:t>,</w:t>
      </w:r>
      <w:r w:rsidR="00663482">
        <w:t xml:space="preserve"> therefore</w:t>
      </w:r>
      <w:r w:rsidR="00573555">
        <w:t>,</w:t>
      </w:r>
      <w:r w:rsidR="00663482">
        <w:t xml:space="preserve"> not support increased pre-trade transparency. </w:t>
      </w:r>
    </w:p>
    <w:p w14:paraId="645B5B38" w14:textId="77777777" w:rsidR="00663482" w:rsidRDefault="00663482" w:rsidP="00A8728B"/>
    <w:p w14:paraId="5B358AA4" w14:textId="08CB82CF" w:rsidR="00663482" w:rsidRPr="00573555" w:rsidRDefault="002C55FC" w:rsidP="00A8728B">
      <w:pPr>
        <w:rPr>
          <w:color w:val="FF0000"/>
        </w:rPr>
      </w:pPr>
      <w:r>
        <w:t>Non-equity markets do not function</w:t>
      </w:r>
      <w:r w:rsidR="00573555">
        <w:t xml:space="preserve"> </w:t>
      </w:r>
      <w:r w:rsidR="00573555" w:rsidRPr="007039A3">
        <w:t>in a</w:t>
      </w:r>
      <w:r w:rsidR="00573555">
        <w:rPr>
          <w:color w:val="FF0000"/>
        </w:rPr>
        <w:t xml:space="preserve"> </w:t>
      </w:r>
      <w:r>
        <w:t xml:space="preserve">similar </w:t>
      </w:r>
      <w:r w:rsidR="00573555" w:rsidRPr="007039A3">
        <w:t>way</w:t>
      </w:r>
      <w:r w:rsidR="00573555">
        <w:rPr>
          <w:color w:val="FF0000"/>
        </w:rPr>
        <w:t xml:space="preserve"> </w:t>
      </w:r>
      <w:r>
        <w:t>to equity markets</w:t>
      </w:r>
      <w:r w:rsidR="00573555">
        <w:t xml:space="preserve">. </w:t>
      </w:r>
      <w:r w:rsidR="00573555" w:rsidRPr="007039A3">
        <w:t>There can even be differences depending on the</w:t>
      </w:r>
      <w:r>
        <w:t xml:space="preserve"> non-equity underlying.</w:t>
      </w:r>
      <w:r w:rsidR="00663482">
        <w:t xml:space="preserve"> </w:t>
      </w:r>
      <w:r w:rsidR="004A66C4">
        <w:t>It is important to stress that there is already pre-trade transparency in the non-equity markets</w:t>
      </w:r>
      <w:r w:rsidR="00573555">
        <w:t xml:space="preserve"> </w:t>
      </w:r>
      <w:r w:rsidR="00573555" w:rsidRPr="007039A3">
        <w:t>in the form o</w:t>
      </w:r>
      <w:r w:rsidR="007039A3">
        <w:t>f constantly updated market streams, axes and inventories</w:t>
      </w:r>
      <w:r w:rsidR="004A66C4">
        <w:t>, but that</w:t>
      </w:r>
      <w:r w:rsidR="00573555">
        <w:t xml:space="preserve"> </w:t>
      </w:r>
      <w:r w:rsidR="007039A3">
        <w:t>this</w:t>
      </w:r>
      <w:r w:rsidR="00573555" w:rsidRPr="007039A3">
        <w:t xml:space="preserve"> </w:t>
      </w:r>
      <w:r w:rsidR="004A66C4">
        <w:t>is not</w:t>
      </w:r>
      <w:r w:rsidR="00573555">
        <w:t xml:space="preserve"> </w:t>
      </w:r>
      <w:r w:rsidR="00573555" w:rsidRPr="007039A3">
        <w:t>as a result of</w:t>
      </w:r>
      <w:r w:rsidR="004A66C4" w:rsidRPr="007039A3">
        <w:t xml:space="preserve"> </w:t>
      </w:r>
      <w:r w:rsidR="004A66C4">
        <w:t>the MiFID II and MiFIR transparency</w:t>
      </w:r>
      <w:r w:rsidR="00C56536">
        <w:t xml:space="preserve"> </w:t>
      </w:r>
      <w:r w:rsidR="00573555" w:rsidRPr="007039A3">
        <w:t>requirements,</w:t>
      </w:r>
      <w:r w:rsidR="00573555">
        <w:rPr>
          <w:color w:val="FF0000"/>
        </w:rPr>
        <w:t xml:space="preserve"> </w:t>
      </w:r>
      <w:r w:rsidR="00C56536">
        <w:t>which appear to be calibrated for liquid equity instruments</w:t>
      </w:r>
      <w:r w:rsidR="004A66C4">
        <w:t>.</w:t>
      </w:r>
      <w:r w:rsidR="00C56536">
        <w:t xml:space="preserve"> </w:t>
      </w:r>
      <w:r w:rsidR="00573555" w:rsidRPr="007039A3">
        <w:t>In addition, we find that within the professional non-equity markets t</w:t>
      </w:r>
      <w:r w:rsidR="00C56536" w:rsidRPr="007039A3">
        <w:t xml:space="preserve">here </w:t>
      </w:r>
      <w:r w:rsidR="00573555" w:rsidRPr="007039A3">
        <w:t xml:space="preserve">seems to be </w:t>
      </w:r>
      <w:r w:rsidR="00C56536">
        <w:t xml:space="preserve">no demand for </w:t>
      </w:r>
      <w:proofErr w:type="spellStart"/>
      <w:r w:rsidR="00C56536">
        <w:t>MiFIR</w:t>
      </w:r>
      <w:proofErr w:type="spellEnd"/>
      <w:r w:rsidR="00573555" w:rsidRPr="00BF4EEB">
        <w:t>-mandated</w:t>
      </w:r>
      <w:r w:rsidR="00C56536" w:rsidRPr="00BF4EEB">
        <w:t xml:space="preserve"> </w:t>
      </w:r>
      <w:r w:rsidR="00C56536">
        <w:t>pre-trade transparency.</w:t>
      </w:r>
      <w:r w:rsidR="004A66C4">
        <w:t xml:space="preserve"> The main purpose of transparency is to provide potential investors with necessary information </w:t>
      </w:r>
      <w:r w:rsidR="00C56536">
        <w:t xml:space="preserve">on price formation and to enable them to </w:t>
      </w:r>
      <w:r w:rsidR="00B639A7">
        <w:t>make informed decisions on investments</w:t>
      </w:r>
      <w:r w:rsidR="00C56536">
        <w:t xml:space="preserve">. </w:t>
      </w:r>
      <w:r w:rsidR="00573555" w:rsidRPr="00B639A7">
        <w:t>However, s</w:t>
      </w:r>
      <w:r w:rsidR="00C56536" w:rsidRPr="00B639A7">
        <w:t xml:space="preserve">uch </w:t>
      </w:r>
      <w:r w:rsidR="00C56536">
        <w:t xml:space="preserve">transparency </w:t>
      </w:r>
      <w:r w:rsidR="00573555" w:rsidRPr="00B639A7">
        <w:t>actually already existed pre-</w:t>
      </w:r>
      <w:proofErr w:type="spellStart"/>
      <w:r w:rsidR="00573555" w:rsidRPr="00B639A7">
        <w:t>MiFIR</w:t>
      </w:r>
      <w:proofErr w:type="spellEnd"/>
      <w:r w:rsidR="00573555" w:rsidRPr="00B639A7">
        <w:t xml:space="preserve"> </w:t>
      </w:r>
      <w:r w:rsidR="00C56536">
        <w:t>in the form of</w:t>
      </w:r>
      <w:r w:rsidR="00DB58DD">
        <w:t xml:space="preserve"> constantly updated market streams,</w:t>
      </w:r>
      <w:r w:rsidR="00C56536">
        <w:t xml:space="preserve"> </w:t>
      </w:r>
      <w:r w:rsidR="00663482">
        <w:t>axes and inventory</w:t>
      </w:r>
      <w:r w:rsidR="00C56536">
        <w:t xml:space="preserve"> which are used in the non-equity markets.</w:t>
      </w:r>
      <w:r w:rsidR="00663482">
        <w:t xml:space="preserve"> This suits the needs of institutional investors.</w:t>
      </w:r>
      <w:r w:rsidR="00B639A7">
        <w:t xml:space="preserve"> </w:t>
      </w:r>
      <w:r w:rsidR="00573555" w:rsidRPr="00B639A7">
        <w:t xml:space="preserve">With </w:t>
      </w:r>
      <w:proofErr w:type="spellStart"/>
      <w:r w:rsidR="00573555" w:rsidRPr="00B639A7">
        <w:t>MiFIR</w:t>
      </w:r>
      <w:proofErr w:type="spellEnd"/>
      <w:r w:rsidR="00573555" w:rsidRPr="00B639A7">
        <w:t xml:space="preserve"> we have seen no change in this market practice and – as we already indicated – little additional benefit from regulated pre-trade transparency.</w:t>
      </w:r>
    </w:p>
    <w:p w14:paraId="215651C4" w14:textId="078B933D" w:rsidR="00DB58DD" w:rsidRDefault="00DB58DD" w:rsidP="00A8728B"/>
    <w:p w14:paraId="0204794F" w14:textId="71079F17" w:rsidR="00DB58DD" w:rsidRPr="00573555" w:rsidRDefault="00DB58DD" w:rsidP="00DB58DD">
      <w:pPr>
        <w:rPr>
          <w:rFonts w:eastAsia="Calibri" w:cs="Arial"/>
          <w:strike/>
          <w:szCs w:val="22"/>
          <w:lang w:eastAsia="en-GB"/>
        </w:rPr>
      </w:pPr>
      <w:r w:rsidRPr="00DB58DD">
        <w:rPr>
          <w:rFonts w:eastAsia="Calibri" w:cs="Arial"/>
          <w:szCs w:val="22"/>
          <w:lang w:eastAsia="en-GB"/>
        </w:rPr>
        <w:t>The bespoke nature of quote</w:t>
      </w:r>
      <w:r>
        <w:rPr>
          <w:rFonts w:eastAsia="Calibri" w:cs="Arial"/>
          <w:szCs w:val="22"/>
          <w:lang w:eastAsia="en-GB"/>
        </w:rPr>
        <w:t xml:space="preserve"> and </w:t>
      </w:r>
      <w:r w:rsidRPr="00DB58DD">
        <w:rPr>
          <w:rFonts w:eastAsia="Calibri" w:cs="Arial"/>
          <w:szCs w:val="22"/>
          <w:lang w:eastAsia="en-GB"/>
        </w:rPr>
        <w:t>information request to SI</w:t>
      </w:r>
      <w:r>
        <w:rPr>
          <w:rFonts w:eastAsia="Calibri" w:cs="Arial"/>
          <w:szCs w:val="22"/>
          <w:lang w:eastAsia="en-GB"/>
        </w:rPr>
        <w:t>s</w:t>
      </w:r>
      <w:r w:rsidRPr="00DB58DD">
        <w:rPr>
          <w:rFonts w:eastAsia="Calibri" w:cs="Arial"/>
          <w:szCs w:val="22"/>
          <w:lang w:eastAsia="en-GB"/>
        </w:rPr>
        <w:t>, make</w:t>
      </w:r>
      <w:r>
        <w:rPr>
          <w:rFonts w:eastAsia="Calibri" w:cs="Arial"/>
          <w:szCs w:val="22"/>
          <w:lang w:eastAsia="en-GB"/>
        </w:rPr>
        <w:t>s</w:t>
      </w:r>
      <w:r w:rsidRPr="00DB58DD">
        <w:rPr>
          <w:rFonts w:eastAsia="Calibri" w:cs="Arial"/>
          <w:szCs w:val="22"/>
          <w:lang w:eastAsia="en-GB"/>
        </w:rPr>
        <w:t xml:space="preserve"> it</w:t>
      </w:r>
      <w:r>
        <w:rPr>
          <w:rFonts w:eastAsia="Calibri" w:cs="Arial"/>
          <w:szCs w:val="22"/>
          <w:lang w:eastAsia="en-GB"/>
        </w:rPr>
        <w:t xml:space="preserve"> impossible</w:t>
      </w:r>
      <w:r w:rsidRPr="00DB58DD">
        <w:rPr>
          <w:rFonts w:eastAsia="Calibri" w:cs="Arial"/>
          <w:szCs w:val="22"/>
          <w:lang w:eastAsia="en-GB"/>
        </w:rPr>
        <w:t xml:space="preserve"> for</w:t>
      </w:r>
      <w:r w:rsidR="00B639A7">
        <w:rPr>
          <w:rFonts w:eastAsia="Calibri" w:cs="Arial"/>
          <w:szCs w:val="22"/>
          <w:lang w:eastAsia="en-GB"/>
        </w:rPr>
        <w:t xml:space="preserve"> the non-quote requesting</w:t>
      </w:r>
      <w:r w:rsidRPr="00DB58DD">
        <w:rPr>
          <w:rFonts w:eastAsia="Calibri" w:cs="Arial"/>
          <w:szCs w:val="22"/>
          <w:lang w:eastAsia="en-GB"/>
        </w:rPr>
        <w:t xml:space="preserve"> </w:t>
      </w:r>
      <w:r w:rsidR="00573555" w:rsidRPr="00B639A7">
        <w:rPr>
          <w:rFonts w:eastAsia="Calibri" w:cs="Arial"/>
          <w:szCs w:val="22"/>
          <w:lang w:eastAsia="en-GB"/>
        </w:rPr>
        <w:t xml:space="preserve">clients and counterparties to rely on </w:t>
      </w:r>
      <w:r w:rsidRPr="00DB58DD">
        <w:rPr>
          <w:rFonts w:eastAsia="Calibri" w:cs="Arial"/>
          <w:szCs w:val="22"/>
          <w:lang w:eastAsia="en-GB"/>
        </w:rPr>
        <w:t>pre-trade quotes.</w:t>
      </w:r>
      <w:r w:rsidR="00646C6E">
        <w:rPr>
          <w:rFonts w:eastAsia="Calibri" w:cs="Arial"/>
          <w:szCs w:val="22"/>
          <w:lang w:eastAsia="en-GB"/>
        </w:rPr>
        <w:t xml:space="preserve"> </w:t>
      </w:r>
      <w:r w:rsidR="00646C6E">
        <w:rPr>
          <w:rFonts w:eastAsia="Calibri" w:cs="Arial"/>
          <w:color w:val="FF0000"/>
          <w:szCs w:val="22"/>
          <w:lang w:eastAsia="en-GB"/>
        </w:rPr>
        <w:t>It is highly unlikely that the quote submitted to client A will be interesting for client B, C, or D, unless they would want to trade on exactly the same quantity and the change to inventory of the SI does not influence the price.</w:t>
      </w:r>
      <w:r w:rsidRPr="00DB58DD">
        <w:rPr>
          <w:rFonts w:eastAsia="Calibri" w:cs="Arial"/>
          <w:szCs w:val="22"/>
          <w:lang w:eastAsia="en-GB"/>
        </w:rPr>
        <w:t xml:space="preserve"> </w:t>
      </w:r>
      <w:r>
        <w:rPr>
          <w:rFonts w:eastAsia="Calibri" w:cs="Arial"/>
          <w:szCs w:val="22"/>
          <w:lang w:eastAsia="en-GB"/>
        </w:rPr>
        <w:t>ING therefore sees no added value in</w:t>
      </w:r>
      <w:r w:rsidRPr="00DB58DD">
        <w:rPr>
          <w:rFonts w:eastAsia="Calibri" w:cs="Arial"/>
          <w:szCs w:val="22"/>
          <w:lang w:eastAsia="en-GB"/>
        </w:rPr>
        <w:t xml:space="preserve"> any increase in </w:t>
      </w:r>
      <w:r w:rsidR="00B639A7">
        <w:rPr>
          <w:rFonts w:eastAsia="Calibri" w:cs="Arial"/>
          <w:szCs w:val="22"/>
          <w:lang w:eastAsia="en-GB"/>
        </w:rPr>
        <w:t>(</w:t>
      </w:r>
      <w:r w:rsidR="00573555" w:rsidRPr="00B639A7">
        <w:rPr>
          <w:rFonts w:eastAsia="Calibri" w:cs="Arial"/>
          <w:szCs w:val="22"/>
          <w:lang w:eastAsia="en-GB"/>
        </w:rPr>
        <w:t xml:space="preserve">the scope of) </w:t>
      </w:r>
      <w:r w:rsidRPr="00DB58DD">
        <w:rPr>
          <w:rFonts w:eastAsia="Calibri" w:cs="Arial"/>
          <w:szCs w:val="22"/>
          <w:lang w:eastAsia="en-GB"/>
        </w:rPr>
        <w:t>SI pre-trade transparency</w:t>
      </w:r>
      <w:r w:rsidR="00B639A7">
        <w:rPr>
          <w:rFonts w:eastAsia="Calibri" w:cs="Arial"/>
          <w:szCs w:val="22"/>
          <w:lang w:eastAsia="en-GB"/>
        </w:rPr>
        <w:t>.</w:t>
      </w:r>
      <w:r w:rsidRPr="00573555">
        <w:rPr>
          <w:rFonts w:eastAsia="Calibri" w:cs="Arial"/>
          <w:strike/>
          <w:szCs w:val="22"/>
          <w:lang w:eastAsia="en-GB"/>
        </w:rPr>
        <w:t xml:space="preserve"> </w:t>
      </w:r>
    </w:p>
    <w:p w14:paraId="1B808DF3" w14:textId="77777777" w:rsidR="00B639A7" w:rsidRDefault="00B639A7" w:rsidP="00A8728B"/>
    <w:p w14:paraId="04870F93" w14:textId="6F2C0FA9" w:rsidR="005F3B47" w:rsidRDefault="00B639A7" w:rsidP="00A8728B">
      <w:r>
        <w:t>R</w:t>
      </w:r>
      <w:r w:rsidR="00663482">
        <w:t xml:space="preserve">etail investors and institutional investors </w:t>
      </w:r>
      <w:r w:rsidR="00573555" w:rsidRPr="00B639A7">
        <w:t>would benefit</w:t>
      </w:r>
      <w:r w:rsidR="00663482">
        <w:t xml:space="preserve"> more </w:t>
      </w:r>
      <w:r w:rsidR="00573555">
        <w:t>from</w:t>
      </w:r>
      <w:r w:rsidR="00663482">
        <w:t xml:space="preserve"> </w:t>
      </w:r>
      <w:r w:rsidR="00663482" w:rsidRPr="00192397">
        <w:rPr>
          <w:u w:val="single"/>
        </w:rPr>
        <w:t>increased post-trade transparency</w:t>
      </w:r>
      <w:r w:rsidR="00FA0437">
        <w:t xml:space="preserve">, </w:t>
      </w:r>
      <w:r w:rsidR="00DB58DD">
        <w:t>which would have the following benefits: a level playing field regarding access to information</w:t>
      </w:r>
      <w:r>
        <w:t xml:space="preserve"> which could remove existing information asymmetries and enable them to assess the market dynamics</w:t>
      </w:r>
      <w:r w:rsidR="00DB58DD">
        <w:t>, promoting market resilience</w:t>
      </w:r>
      <w:r>
        <w:t xml:space="preserve"> by ensuring that changes in supply and demand are more efficiently reflected in the current price levels</w:t>
      </w:r>
      <w:r w:rsidR="00DB58DD">
        <w:t>, promoting competition</w:t>
      </w:r>
      <w:r>
        <w:t xml:space="preserve"> by enabling investors to better compare the prices</w:t>
      </w:r>
      <w:r w:rsidR="00DB58DD">
        <w:t>, and supporting the Capital Markets Union.</w:t>
      </w:r>
      <w:r w:rsidR="00192397">
        <w:t xml:space="preserve"> </w:t>
      </w:r>
    </w:p>
    <w:p w14:paraId="118ED90C" w14:textId="77777777" w:rsidR="005F3B47" w:rsidRDefault="005F3B47" w:rsidP="00A8728B"/>
    <w:p w14:paraId="4A4CF699" w14:textId="452DA391" w:rsidR="00A8728B" w:rsidRDefault="005F3B47" w:rsidP="00A8728B">
      <w:r w:rsidRPr="00B639A7">
        <w:rPr>
          <w:szCs w:val="22"/>
        </w:rPr>
        <w:t xml:space="preserve">We would request </w:t>
      </w:r>
      <w:r w:rsidR="00192397" w:rsidRPr="00192397">
        <w:rPr>
          <w:szCs w:val="22"/>
        </w:rPr>
        <w:t>ESMA</w:t>
      </w:r>
      <w:r w:rsidR="00B639A7">
        <w:rPr>
          <w:szCs w:val="22"/>
        </w:rPr>
        <w:t xml:space="preserve"> </w:t>
      </w:r>
      <w:r w:rsidR="00192397">
        <w:rPr>
          <w:szCs w:val="22"/>
        </w:rPr>
        <w:t>come up with workable</w:t>
      </w:r>
      <w:r w:rsidR="00192397" w:rsidRPr="00192397">
        <w:rPr>
          <w:szCs w:val="22"/>
          <w:lang w:val="en-US"/>
        </w:rPr>
        <w:t xml:space="preserve"> post-trade practices that benefit the whole market</w:t>
      </w:r>
      <w:r w:rsidR="00192397">
        <w:rPr>
          <w:szCs w:val="22"/>
          <w:lang w:val="en-US"/>
        </w:rPr>
        <w:t>. This includes</w:t>
      </w:r>
      <w:r w:rsidR="00192397" w:rsidRPr="00192397">
        <w:rPr>
          <w:szCs w:val="22"/>
          <w:lang w:val="en-US"/>
        </w:rPr>
        <w:t xml:space="preserve"> a </w:t>
      </w:r>
      <w:proofErr w:type="spellStart"/>
      <w:r w:rsidR="00192397" w:rsidRPr="00192397">
        <w:rPr>
          <w:szCs w:val="22"/>
          <w:lang w:val="en-US"/>
        </w:rPr>
        <w:t>centralised</w:t>
      </w:r>
      <w:proofErr w:type="spellEnd"/>
      <w:r w:rsidR="00192397" w:rsidRPr="00192397">
        <w:rPr>
          <w:szCs w:val="22"/>
          <w:lang w:val="en-US"/>
        </w:rPr>
        <w:t>, high quality, affordable, trustworthy data source, offering a comprehensive market view</w:t>
      </w:r>
      <w:r w:rsidR="00192397">
        <w:rPr>
          <w:szCs w:val="22"/>
          <w:lang w:val="en-US"/>
        </w:rPr>
        <w:t>, such as an</w:t>
      </w:r>
      <w:r w:rsidR="00192397" w:rsidRPr="00192397">
        <w:rPr>
          <w:szCs w:val="22"/>
          <w:lang w:val="en-US"/>
        </w:rPr>
        <w:t xml:space="preserve"> EU bond consolidated tape.</w:t>
      </w:r>
      <w:r w:rsidR="00192397" w:rsidRPr="00192397">
        <w:rPr>
          <w:color w:val="00B050"/>
          <w:szCs w:val="22"/>
          <w:lang w:val="en-US"/>
        </w:rPr>
        <w:t xml:space="preserve"> </w:t>
      </w:r>
      <w:r w:rsidR="00DB58DD" w:rsidRPr="00192397">
        <w:rPr>
          <w:sz w:val="18"/>
        </w:rPr>
        <w:t xml:space="preserve"> </w:t>
      </w:r>
      <w:r w:rsidR="004A66C4">
        <w:t xml:space="preserve"> </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02E8C407" w:rsidR="00A8728B" w:rsidRDefault="006772BC" w:rsidP="00A8728B">
      <w:permStart w:id="1066216518" w:edGrp="everyone"/>
      <w:r>
        <w:t xml:space="preserve">As </w:t>
      </w:r>
      <w:r w:rsidR="005F3B47" w:rsidRPr="00B639A7">
        <w:t xml:space="preserve">we </w:t>
      </w:r>
      <w:r>
        <w:t xml:space="preserve">already indicated, ING is of the view that if pre-trade transparency does not meet its aims, the obligation should be removed all together. </w:t>
      </w:r>
      <w:r w:rsidR="005F3B47" w:rsidRPr="00B639A7">
        <w:t>Alternatively we would</w:t>
      </w:r>
      <w:r w:rsidRPr="00B639A7">
        <w:t xml:space="preserve"> </w:t>
      </w:r>
      <w:r>
        <w:t xml:space="preserve">advocate a change in set-up in that individual SI quotes should be made public on an anonymous basis and that therefore Articles 18 (5)-(7) MiFIR </w:t>
      </w:r>
      <w:r w:rsidR="005F3B47" w:rsidRPr="00B639A7">
        <w:t>would be</w:t>
      </w:r>
      <w:r w:rsidRPr="00B639A7">
        <w:t xml:space="preserve"> </w:t>
      </w:r>
      <w:r>
        <w:t>deleted.</w:t>
      </w:r>
    </w:p>
    <w:p w14:paraId="47509702" w14:textId="5CF454E8" w:rsidR="00A8728B" w:rsidRDefault="00A8728B" w:rsidP="00A8728B"/>
    <w:p w14:paraId="246A2292" w14:textId="73B1DC6B" w:rsidR="00A8728B" w:rsidRDefault="006772BC" w:rsidP="00A8728B">
      <w:r>
        <w:lastRenderedPageBreak/>
        <w:t>A simplification of the waiver regime could lead to damaging liquidity provision</w:t>
      </w:r>
      <w:r w:rsidR="008B65E6">
        <w:t xml:space="preserve"> as the </w:t>
      </w:r>
      <w:r w:rsidR="00C80BB8">
        <w:t>waiver regime is also intended to protect liquidity providers from undue risks</w:t>
      </w:r>
      <w:r>
        <w:t>, and ING is therefore not in favour of a simplification. The current waivers meet their purpose.</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13BBC8B7" w14:textId="7A058B4F" w:rsidR="002933CB" w:rsidRDefault="00DC15A9" w:rsidP="002E1760">
      <w:permStart w:id="473446270" w:edGrp="everyone"/>
      <w:r>
        <w:t xml:space="preserve">No, ING is not supportive of the proposal to delete the pre-trade SSTI waiver. This waiver protects liquidity providers from </w:t>
      </w:r>
      <w:r w:rsidR="00E32B98">
        <w:t>undue risks. The SSTI thresholds is an important element to allow SIs to offer services to clients and to support liquidity in the market. As also rightly mentioned by AFME</w:t>
      </w:r>
      <w:r w:rsidR="005F3B47">
        <w:t>,</w:t>
      </w:r>
      <w:r w:rsidR="00E32B98">
        <w:t xml:space="preserve"> the SSTI thresholds serve an important purpose </w:t>
      </w:r>
      <w:r w:rsidR="00E32B98" w:rsidRPr="00C80BB8">
        <w:t>through</w:t>
      </w:r>
      <w:r w:rsidR="005F3B47" w:rsidRPr="00C80BB8">
        <w:t>out</w:t>
      </w:r>
      <w:r w:rsidR="00E32B98" w:rsidRPr="00C80BB8">
        <w:t xml:space="preserve"> </w:t>
      </w:r>
      <w:proofErr w:type="spellStart"/>
      <w:r w:rsidR="005F3B47" w:rsidRPr="00C80BB8">
        <w:t>MiFIR</w:t>
      </w:r>
      <w:proofErr w:type="spellEnd"/>
      <w:r w:rsidR="00E32B98" w:rsidRPr="00C80BB8">
        <w:t xml:space="preserve"> </w:t>
      </w:r>
      <w:r w:rsidR="00E32B98">
        <w:t xml:space="preserve">and this should </w:t>
      </w:r>
      <w:r w:rsidR="00C80BB8">
        <w:t>be</w:t>
      </w:r>
      <w:r w:rsidR="00E32B98">
        <w:t xml:space="preserve"> taken into account to prevent undue risks to the markets.</w:t>
      </w:r>
    </w:p>
    <w:p w14:paraId="495C724F" w14:textId="77777777" w:rsidR="002933CB" w:rsidRDefault="002933CB" w:rsidP="002E1760"/>
    <w:p w14:paraId="27C12B76" w14:textId="6458E34C" w:rsidR="002E1760" w:rsidRDefault="005F3B47" w:rsidP="002E1760">
      <w:r w:rsidRPr="00C80BB8">
        <w:t xml:space="preserve">However, </w:t>
      </w:r>
      <w:r w:rsidR="00C80BB8">
        <w:t>s</w:t>
      </w:r>
      <w:r w:rsidR="002933CB">
        <w:t xml:space="preserve">hould any changes </w:t>
      </w:r>
      <w:r w:rsidRPr="00C80BB8">
        <w:t xml:space="preserve">be </w:t>
      </w:r>
      <w:r w:rsidR="00192397">
        <w:t>made, then ING stresses the importance that these are uniform to on and off venue.</w:t>
      </w:r>
      <w:r w:rsidR="00E32B98">
        <w:t xml:space="preserve"> </w:t>
      </w:r>
    </w:p>
    <w:permEnd w:id="473446270"/>
    <w:p w14:paraId="4114B978" w14:textId="77777777"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5F23A1F6" w:rsidR="002E1760" w:rsidRDefault="00192397" w:rsidP="002E1760">
      <w:permStart w:id="1101743476" w:edGrp="everyone"/>
      <w:r>
        <w:t xml:space="preserve">ING does not support the deletion of the pre-trade SSTI waiver. ING is supportive of the MiFIR approach that liquidity provision </w:t>
      </w:r>
      <w:r w:rsidR="005F3B47" w:rsidRPr="00C80BB8">
        <w:t>is</w:t>
      </w:r>
      <w:r w:rsidRPr="00C80BB8">
        <w:t xml:space="preserve"> </w:t>
      </w:r>
      <w:r>
        <w:t xml:space="preserve">supported and that a liquidity provider should not face undue risks. The different pre-trade thresholds and waivers are not uniformly applied to on- and off-venue trades and the same quote is therefore subject to different conditions depending on whether it is provided on- or off-venue. </w:t>
      </w:r>
      <w:r w:rsidR="00D353CE">
        <w:t>Both presented options would not remedy this and would create a more complex regime instead of a more simplified regime.</w:t>
      </w:r>
      <w:r>
        <w:t xml:space="preserve"> </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199DE3BA" w14:textId="6F280B36" w:rsidR="00AC64F3" w:rsidRPr="00AC64F3" w:rsidRDefault="00AC64F3" w:rsidP="00AC64F3">
      <w:pPr>
        <w:pStyle w:val="western"/>
        <w:spacing w:line="276" w:lineRule="atLeast"/>
        <w:jc w:val="both"/>
        <w:rPr>
          <w:rFonts w:ascii="Arial" w:hAnsi="Arial" w:cs="Arial"/>
          <w:bCs/>
          <w:sz w:val="20"/>
          <w:lang w:eastAsia="en-US"/>
        </w:rPr>
      </w:pPr>
      <w:permStart w:id="1725855520" w:edGrp="everyone"/>
      <w:r>
        <w:rPr>
          <w:rFonts w:ascii="Arial" w:hAnsi="Arial" w:cs="Arial"/>
          <w:bCs/>
          <w:sz w:val="20"/>
          <w:lang w:eastAsia="en-US"/>
        </w:rPr>
        <w:t>ING is not in favour of replacing the hedging exemptio</w:t>
      </w:r>
      <w:r w:rsidR="00C80BB8">
        <w:rPr>
          <w:rFonts w:ascii="Arial" w:hAnsi="Arial" w:cs="Arial"/>
          <w:bCs/>
          <w:sz w:val="20"/>
          <w:lang w:eastAsia="en-US"/>
        </w:rPr>
        <w:t xml:space="preserve">n </w:t>
      </w:r>
      <w:r w:rsidR="005F3B47" w:rsidRPr="00C80BB8">
        <w:rPr>
          <w:rFonts w:ascii="Arial" w:hAnsi="Arial" w:cs="Arial"/>
          <w:bCs/>
          <w:sz w:val="20"/>
          <w:lang w:eastAsia="en-US"/>
        </w:rPr>
        <w:t xml:space="preserve">by </w:t>
      </w:r>
      <w:r>
        <w:rPr>
          <w:rFonts w:ascii="Arial" w:hAnsi="Arial" w:cs="Arial"/>
          <w:bCs/>
          <w:sz w:val="20"/>
          <w:lang w:eastAsia="en-US"/>
        </w:rPr>
        <w:t xml:space="preserve">a limited negotiated trade waiver. The scope of both waivers would not differ and this </w:t>
      </w:r>
      <w:r w:rsidR="005F3B47" w:rsidRPr="00C80BB8">
        <w:rPr>
          <w:rFonts w:ascii="Arial" w:hAnsi="Arial" w:cs="Arial"/>
          <w:bCs/>
          <w:sz w:val="20"/>
          <w:lang w:eastAsia="en-US"/>
        </w:rPr>
        <w:t>proposal</w:t>
      </w:r>
      <w:r w:rsidR="005F3B47">
        <w:rPr>
          <w:rFonts w:ascii="Arial" w:hAnsi="Arial" w:cs="Arial"/>
          <w:bCs/>
          <w:color w:val="FF0000"/>
          <w:sz w:val="20"/>
          <w:lang w:eastAsia="en-US"/>
        </w:rPr>
        <w:t xml:space="preserve"> </w:t>
      </w:r>
      <w:r>
        <w:rPr>
          <w:rFonts w:ascii="Arial" w:hAnsi="Arial" w:cs="Arial"/>
          <w:bCs/>
          <w:sz w:val="20"/>
          <w:lang w:eastAsia="en-US"/>
        </w:rPr>
        <w:t>would only increase the administrative burden for market participants. Instead</w:t>
      </w:r>
      <w:r w:rsidR="005F3B47" w:rsidRPr="00C80BB8">
        <w:rPr>
          <w:rFonts w:ascii="Arial" w:hAnsi="Arial" w:cs="Arial"/>
          <w:bCs/>
          <w:sz w:val="20"/>
          <w:lang w:eastAsia="en-US"/>
        </w:rPr>
        <w:t xml:space="preserve">, we </w:t>
      </w:r>
      <w:r>
        <w:rPr>
          <w:rFonts w:ascii="Arial" w:hAnsi="Arial" w:cs="Arial"/>
          <w:bCs/>
          <w:sz w:val="20"/>
          <w:lang w:eastAsia="en-US"/>
        </w:rPr>
        <w:t>support the proposal of ISDA to extend the hedging exemption to financial counterparties which would, as ISDA argues, address the specifics of the commodity markets.</w:t>
      </w:r>
    </w:p>
    <w:permEnd w:id="1725855520"/>
    <w:p w14:paraId="5E6AA5B5" w14:textId="77AF238B" w:rsidR="00227C1A" w:rsidRDefault="00227C1A" w:rsidP="00227C1A"/>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lastRenderedPageBreak/>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5AA1F7EA" w:rsidR="0062022D" w:rsidRDefault="008E52F5" w:rsidP="0062022D">
      <w:permStart w:id="203298670" w:edGrp="everyone"/>
      <w:r>
        <w:t xml:space="preserve">Although it might be that not all trading systems are fully captured by Annex 1 of RTS 2, ING does not support the issuance of an opinion </w:t>
      </w:r>
      <w:r w:rsidR="005F3B47" w:rsidRPr="00C80BB8">
        <w:t>by</w:t>
      </w:r>
      <w:r w:rsidRPr="00C80BB8">
        <w:t xml:space="preserve"> </w:t>
      </w:r>
      <w:r>
        <w:t>ESMA for each new trading system. This might lead to</w:t>
      </w:r>
      <w:r w:rsidR="008E1B6E">
        <w:t xml:space="preserve"> a very burdensome process and delays</w:t>
      </w:r>
      <w:r w:rsidR="00A617EF">
        <w:t xml:space="preserve"> in innovation and longer trading in less regulated environments</w:t>
      </w:r>
      <w:r w:rsidR="00AA1E77">
        <w:t>, and thus have detrimental impacts on the markets</w:t>
      </w:r>
      <w:r w:rsidR="00A617EF">
        <w:t>.</w:t>
      </w:r>
      <w:r w:rsidR="00126A0E">
        <w:t xml:space="preserve"> </w:t>
      </w:r>
      <w:r w:rsidR="00EF3CEF">
        <w:t xml:space="preserve">ESMA would then also have to consult the market that actually uses the trading systems to come to opinions that support innovation. All in all it might become very complex compared to the current regime where trading venues register themselves with their NCA.  </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1645222E" w:rsidR="00A263DF" w:rsidRDefault="00EF3CEF" w:rsidP="00A263DF">
      <w:permStart w:id="795872801" w:edGrp="everyone"/>
      <w:r>
        <w:t>In ING’s view</w:t>
      </w:r>
      <w:r w:rsidR="005F3B47">
        <w:t>,</w:t>
      </w:r>
      <w:r>
        <w:t xml:space="preserve"> hybrid trading systems should comply with the transparency requirements</w:t>
      </w:r>
      <w:r w:rsidR="005F3B47">
        <w:t xml:space="preserve">. </w:t>
      </w:r>
      <w:r w:rsidR="005F3B47" w:rsidRPr="00C80BB8">
        <w:t xml:space="preserve">Their rulebooks should set </w:t>
      </w:r>
      <w:r w:rsidR="00C80BB8" w:rsidRPr="00C80BB8">
        <w:t xml:space="preserve">out </w:t>
      </w:r>
      <w:r>
        <w:t xml:space="preserve">how they comply with RTS2. Hybrid trading systems should not be a vehicle to avoid transparency, but </w:t>
      </w:r>
      <w:r w:rsidR="005F3B47" w:rsidRPr="00C80BB8">
        <w:t xml:space="preserve">neither should </w:t>
      </w:r>
      <w:r>
        <w:t>the regulatory regime be one that invokes barriers to entry into the market and to innovation. If ESMA were to issue further guidance ING would welcome a well calibrated regime that would facilitate innovative trading systems.</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32FC34BA" w:rsidR="00A263DF" w:rsidRDefault="00EF3CEF" w:rsidP="00A263DF">
      <w:permStart w:id="1747589383" w:edGrp="everyone"/>
      <w:r>
        <w:t>ING understands ESMA’s aim is to come to a level playing field between trading venues and APA’s on the one hand, and SI’s on the other. In order to achieve such a level playing field</w:t>
      </w:r>
      <w:r w:rsidR="005F3B47">
        <w:rPr>
          <w:color w:val="FF0000"/>
        </w:rPr>
        <w:t>,</w:t>
      </w:r>
      <w:r>
        <w:t xml:space="preserve"> the scope of the SI regime needs to be made clear</w:t>
      </w:r>
      <w:r w:rsidR="00B568AE">
        <w:t xml:space="preserve"> </w:t>
      </w:r>
      <w:r w:rsidR="00B568AE" w:rsidRPr="00C80BB8">
        <w:t>first</w:t>
      </w:r>
      <w:r w:rsidRPr="00C80BB8">
        <w:t>.</w:t>
      </w:r>
      <w:r w:rsidR="004B412F">
        <w:t xml:space="preserve"> </w:t>
      </w:r>
      <w:r w:rsidR="00C80BB8">
        <w:t>To come to such a level playing field</w:t>
      </w:r>
      <w:r w:rsidR="004B412F">
        <w:t xml:space="preserve"> the same scope of the transparency regime would have to apply, which means that the regime should not be applicable to instruments that are traded on a SI but not on a trading venue (the so-called non-TOTV products). The extension of the SI regime to non-TOTV products has led to quite some problems and will </w:t>
      </w:r>
      <w:r w:rsidR="00B568AE" w:rsidRPr="00C80BB8">
        <w:t>continue</w:t>
      </w:r>
      <w:r w:rsidR="004B412F" w:rsidRPr="00C80BB8">
        <w:t xml:space="preserve"> </w:t>
      </w:r>
      <w:r w:rsidR="004B412F">
        <w:t>to lead to problems, such as a inappropriate generation of ISINs and data flaws in FIRDS. Should ESMA’s proposal be followed then it should be strictly limited to TOTV products.</w:t>
      </w:r>
    </w:p>
    <w:p w14:paraId="5D558BB0" w14:textId="635FBE79" w:rsidR="00A263DF" w:rsidRDefault="00A263DF" w:rsidP="00A263DF"/>
    <w:p w14:paraId="6B1B0551" w14:textId="3CDC264E" w:rsidR="00A263DF" w:rsidRDefault="004B412F" w:rsidP="00A263DF">
      <w:r>
        <w:t>As ING also indicated in this consultation and in other consultations, the pre-trade transparency regime does not function as MiFID II and MiFIR intend, as</w:t>
      </w:r>
      <w:r w:rsidR="00B568AE">
        <w:t xml:space="preserve"> </w:t>
      </w:r>
      <w:r w:rsidR="00B568AE" w:rsidRPr="00C80BB8">
        <w:t>professional</w:t>
      </w:r>
      <w:r w:rsidRPr="00C80BB8">
        <w:t xml:space="preserve"> </w:t>
      </w:r>
      <w:r w:rsidR="00A47283" w:rsidRPr="00C80BB8">
        <w:t>clients</w:t>
      </w:r>
      <w:r w:rsidR="00B568AE" w:rsidRPr="00C80BB8">
        <w:t xml:space="preserve"> and counterparties</w:t>
      </w:r>
      <w:r w:rsidR="00A47283" w:rsidRPr="00C80BB8">
        <w:t xml:space="preserve"> </w:t>
      </w:r>
      <w:r w:rsidR="00A47283">
        <w:t>are not interested in the MiFID II and MiFIR pre-trade transparency.</w:t>
      </w:r>
      <w:r w:rsidR="00555279">
        <w:t xml:space="preserve"> As ING also explained the usefulness of the pre-trade information is limited.</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67975B32" w14:textId="45AFAFB8" w:rsidR="00555279" w:rsidRPr="00555279" w:rsidRDefault="00555279" w:rsidP="00555279">
      <w:pPr>
        <w:rPr>
          <w:rFonts w:eastAsia="Calibri" w:cs="Arial"/>
          <w:szCs w:val="22"/>
          <w:lang w:eastAsia="en-GB"/>
        </w:rPr>
      </w:pPr>
      <w:permStart w:id="1400726192" w:edGrp="everyone"/>
      <w:r>
        <w:rPr>
          <w:rFonts w:eastAsia="Calibri" w:cs="Arial"/>
          <w:szCs w:val="22"/>
          <w:lang w:eastAsia="en-GB"/>
        </w:rPr>
        <w:lastRenderedPageBreak/>
        <w:t>No, ING does not see benefit in further standardisation. The most important reason is that there is no demand for such information in the market, and that is also why ING advocates to delete the pre-trade transparency for non-equity instruments as the rules should be there to support the market and not to create a demand that is not there at all.</w:t>
      </w:r>
    </w:p>
    <w:permEnd w:id="1400726192"/>
    <w:p w14:paraId="1B5C745B" w14:textId="729BA14F"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F574030" w14:textId="77777777" w:rsidR="008418E3" w:rsidRDefault="008418E3" w:rsidP="008418E3">
      <w:permStart w:id="929114806" w:edGrp="everyone"/>
      <w:r>
        <w:t>TYPE YOUR TEXT HERE</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77777777" w:rsidR="00F469F8" w:rsidRDefault="00F469F8" w:rsidP="00F469F8">
      <w:permStart w:id="675495160" w:edGrp="everyone"/>
      <w:r>
        <w:t>TYPE YOUR TEXT HERE</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lastRenderedPageBreak/>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6A257108" w14:textId="77777777" w:rsidR="00646C30" w:rsidRDefault="00646C30" w:rsidP="00646C30">
      <w:permStart w:id="699085938" w:edGrp="everyone"/>
      <w:r>
        <w:t>TYPE YOUR TEXT HERE</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4CC778ED" w:rsidR="00646C30" w:rsidRDefault="00555279" w:rsidP="00646C30">
      <w:permStart w:id="2130212544" w:edGrp="everyone"/>
      <w:r>
        <w:t xml:space="preserve">The scope of regulatory reporting and of transparency differs because the purpose of these rules is different. Where regulatory reporting aims at enabling NCAs to monitor what is happening on the markets and detect market abuse and misconduct, transparency rules aim at </w:t>
      </w:r>
      <w:r w:rsidR="00510C18">
        <w:t xml:space="preserve">enabling investors to make their investment decisions. </w:t>
      </w:r>
    </w:p>
    <w:p w14:paraId="1B76F1F8" w14:textId="401A1114" w:rsidR="00646C30" w:rsidRDefault="00646C30" w:rsidP="00646C30"/>
    <w:p w14:paraId="430E0A27" w14:textId="208CDA74" w:rsidR="00646C30" w:rsidRDefault="00510C18" w:rsidP="00646C30">
      <w:r>
        <w:t>As ISDA also indicates, the lower level of pre-trade transparency for OTC derivat</w:t>
      </w:r>
      <w:r w:rsidR="008E36F4">
        <w:t>ives cannot be explained from the definition of TOTV compared to on-venue securities, but</w:t>
      </w:r>
      <w:r w:rsidR="00130847">
        <w:t xml:space="preserve"> from the particularities of OTC derivatives.</w:t>
      </w:r>
      <w:r w:rsidR="008E36F4">
        <w:t xml:space="preserve"> </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3C547F49" w14:textId="77777777" w:rsidR="00227E2C" w:rsidRDefault="00B402CB" w:rsidP="00646C30">
      <w:permStart w:id="96027498" w:edGrp="everyone"/>
      <w:r>
        <w:t>No.</w:t>
      </w:r>
      <w:r w:rsidR="00180481">
        <w:t xml:space="preserve"> </w:t>
      </w:r>
      <w:r w:rsidR="00227E2C">
        <w:t>For transparency purposes, SIs are not trading venues but can be used by clients to trade financial instruments that are also traded on a trading venue (TOTV instruments). In such cases where the instrument is traded on a trading venue ING is of the view that it is appropriate to apply similar transparency requirements to SIs and trading venues. Transparency requirements should not be applied to instruments that are traded on a SI, but that are not traded on trading venues (non-TOTV instruments).</w:t>
      </w:r>
    </w:p>
    <w:p w14:paraId="7CD2A8B6" w14:textId="77777777" w:rsidR="00227E2C" w:rsidRDefault="00227E2C" w:rsidP="00646C30"/>
    <w:p w14:paraId="1CE157B4" w14:textId="768173FA" w:rsidR="00646C30" w:rsidRDefault="00227E2C" w:rsidP="00646C30">
      <w:r>
        <w:t xml:space="preserve">For regulatory reporting this is different. The reporting requirement applies both to TOTV and </w:t>
      </w:r>
      <w:proofErr w:type="spellStart"/>
      <w:r>
        <w:t>uTOTV</w:t>
      </w:r>
      <w:proofErr w:type="spellEnd"/>
      <w:r>
        <w:t xml:space="preserve"> instruments. This is supported by ING as this serves a different purpose (cf. the answer to the previous question). </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lastRenderedPageBreak/>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5B728DE6" w:rsidR="00646C30" w:rsidRDefault="00211CC0" w:rsidP="00646C30">
      <w:permStart w:id="70923797" w:edGrp="everyone"/>
      <w:r>
        <w:t xml:space="preserve">ING can only support option 1, as </w:t>
      </w:r>
      <w:r w:rsidR="009D0A9A">
        <w:t>product that are only traded OTC or in SI capacity without them being traded on trading venues should not be considered TOTV products and in scope of transparency requirements. The application of the transparency regime should focus on creating a level playing field between trading venues and SIs where the latter facilitate off venue trades in TOTV instruments. This regime should not be extended to non-TOTV instruments as the need to create a level playing field is not present there.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5B672D0" w14:textId="4E8C092D" w:rsidR="001129F9" w:rsidRDefault="00F7580C" w:rsidP="001129F9">
      <w:permStart w:id="951131482" w:edGrp="everyone"/>
      <w:r>
        <w:t xml:space="preserve">ING concurs with ESMA’s assessment of Article 28 </w:t>
      </w:r>
      <w:proofErr w:type="spellStart"/>
      <w:r>
        <w:t>MiFIR</w:t>
      </w:r>
      <w:proofErr w:type="spellEnd"/>
      <w:r>
        <w:t>.</w:t>
      </w:r>
      <w:r w:rsidR="008D0EF2">
        <w:t xml:space="preserve"> </w:t>
      </w:r>
      <w:r w:rsidR="008D0EF2">
        <w:rPr>
          <w:rFonts w:cstheme="minorHAnsi"/>
          <w:color w:val="FF0000"/>
        </w:rPr>
        <w:t>D</w:t>
      </w:r>
      <w:r w:rsidR="008D0EF2" w:rsidRPr="008D0EF2">
        <w:rPr>
          <w:rFonts w:cstheme="minorHAnsi"/>
          <w:color w:val="FF0000"/>
        </w:rPr>
        <w:t>erivatives subject to the</w:t>
      </w:r>
      <w:r w:rsidR="008D0EF2">
        <w:rPr>
          <w:rFonts w:cstheme="minorHAnsi"/>
          <w:color w:val="FF0000"/>
        </w:rPr>
        <w:t xml:space="preserve"> derivatives trading obligation</w:t>
      </w:r>
      <w:r w:rsidR="008D0EF2" w:rsidRPr="008D0EF2">
        <w:rPr>
          <w:rFonts w:cstheme="minorHAnsi"/>
          <w:color w:val="FF0000"/>
        </w:rPr>
        <w:t xml:space="preserve"> </w:t>
      </w:r>
      <w:r w:rsidR="008D0EF2">
        <w:rPr>
          <w:rFonts w:cstheme="minorHAnsi"/>
          <w:color w:val="FF0000"/>
        </w:rPr>
        <w:t>(</w:t>
      </w:r>
      <w:r w:rsidR="008D0EF2" w:rsidRPr="008D0EF2">
        <w:rPr>
          <w:rFonts w:cstheme="minorHAnsi"/>
          <w:color w:val="FF0000"/>
        </w:rPr>
        <w:t>DTO</w:t>
      </w:r>
      <w:r w:rsidR="008D0EF2">
        <w:rPr>
          <w:rFonts w:cstheme="minorHAnsi"/>
          <w:color w:val="FF0000"/>
        </w:rPr>
        <w:t>)</w:t>
      </w:r>
      <w:r w:rsidR="008D0EF2" w:rsidRPr="008D0EF2">
        <w:rPr>
          <w:rFonts w:cstheme="minorHAnsi"/>
          <w:color w:val="FF0000"/>
        </w:rPr>
        <w:t xml:space="preserve"> should be traded or admitted to trading on a trading venue on a non-exclusive and non-discriminatory basis</w:t>
      </w:r>
      <w:r w:rsidR="008D0EF2">
        <w:rPr>
          <w:rFonts w:cstheme="minorHAnsi"/>
          <w:color w:val="FF0000"/>
        </w:rPr>
        <w:t>.</w:t>
      </w:r>
      <w:r w:rsidRPr="008D0EF2">
        <w:rPr>
          <w:color w:val="FF0000"/>
        </w:rPr>
        <w:t xml:space="preserve"> </w:t>
      </w:r>
      <w:r>
        <w:t xml:space="preserve">ING does however like to express the importance of equivalence decisions according to Article 28(4) </w:t>
      </w:r>
      <w:proofErr w:type="spellStart"/>
      <w:r>
        <w:t>MiFIR</w:t>
      </w:r>
      <w:proofErr w:type="spellEnd"/>
      <w:r>
        <w:t xml:space="preserve">, in particular </w:t>
      </w:r>
      <w:r w:rsidR="008D0EF2">
        <w:rPr>
          <w:color w:val="FF0000"/>
        </w:rPr>
        <w:t>as the main pool of liquidity for certain asset classes might be on a third-country venue</w:t>
      </w:r>
      <w:r>
        <w:t>.</w:t>
      </w:r>
      <w:r w:rsidR="008D0EF2">
        <w:t xml:space="preserve"> </w:t>
      </w:r>
      <w:r w:rsidR="008D0EF2">
        <w:rPr>
          <w:color w:val="FF0000"/>
        </w:rPr>
        <w:t>Mutual equivalence decisions might remedy conflicting DTO’s.</w:t>
      </w:r>
      <w:r w:rsidR="000C26A3">
        <w:t xml:space="preserve"> This would for example also prevent the clash of circumvention provisions.</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1C068769" w:rsidR="00646C30" w:rsidRDefault="008A190F" w:rsidP="00646C30">
      <w:permStart w:id="37382354" w:edGrp="everyone"/>
      <w:r>
        <w:rPr>
          <w:color w:val="FF0000"/>
        </w:rPr>
        <w:t xml:space="preserve">ING did not identify asset classes which should be subject to the DTO in the absence of CCPs offering to clear these products. </w:t>
      </w:r>
      <w:r w:rsidR="000C26A3">
        <w:t>ING notices that central trading of non-cleared products is not common in the EU, and that the demand for on venue trading of non-cleared products is not there, so ING would not support ESMA making use of the option of Article 32(4) MiFIR.</w:t>
      </w:r>
      <w:r w:rsidR="00695A43">
        <w:t xml:space="preserve"> For non-cleared products</w:t>
      </w:r>
      <w:r w:rsidR="00B568AE">
        <w:t>,</w:t>
      </w:r>
      <w:r w:rsidR="00695A43">
        <w:t xml:space="preserve"> market participants should be able to decide on a case-by-case basis whether they want to conduct a trade OTC or on-venue (should a venue be prepared </w:t>
      </w:r>
      <w:r w:rsidR="00FD1621">
        <w:t xml:space="preserve">to executed a non-cleared trade). </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lastRenderedPageBreak/>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3A0CE375" w:rsidR="00646C30" w:rsidRDefault="00FD1621" w:rsidP="00646C30">
      <w:permStart w:id="71373738" w:edGrp="everyone"/>
      <w:r>
        <w:t>ING acknowledges that the current suspension powers of ESMA and the EC are not capable of responding quickly to the need of a suspension as it requires amending the RTS. ING does therefore support the idea of a standalone power for ESMA to be able to swiftly suspend the DTO if needed, but stresses that it is important that this power is subject to pre-defined conditions to offer market participants as much guidance as possible. The power to suspend the DTO should not be confined to situations in which the Clearing Obligation is suspended, as ISDA also rightly mentions</w:t>
      </w:r>
      <w:r w:rsidR="003B48C8">
        <w:t xml:space="preserve">, </w:t>
      </w:r>
      <w:r w:rsidR="003B48C8">
        <w:rPr>
          <w:color w:val="FF0000"/>
        </w:rPr>
        <w:t>as</w:t>
      </w:r>
      <w:r>
        <w:t xml:space="preserve"> </w:t>
      </w:r>
      <w:r w:rsidR="003B48C8">
        <w:t>t</w:t>
      </w:r>
      <w:r>
        <w:t>he criteria for the application of the DTO are not similar to those for applying the Clearing Obligation.</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1508344A" w:rsidR="00646C30" w:rsidRDefault="007942EE" w:rsidP="00646C30">
      <w:permStart w:id="2102155623" w:edGrp="everyone"/>
      <w:r>
        <w:t>ING is of the view that the introduct</w:t>
      </w:r>
      <w:r w:rsidR="009D0E92">
        <w:t>ion of fallback clauses in legacy contracts pursuant to Article 28(2) Benchmark Regulation should not in itself trigger the DTO. The same would apply for the replacement of interest rate benchmarks pursuant to the IBOR transition. ING would welcome a clarification along these lines in Article 33 MiFIR.</w:t>
      </w:r>
    </w:p>
    <w:p w14:paraId="70AA3EAA" w14:textId="6FFEB331" w:rsidR="00646C30" w:rsidRDefault="00646C30" w:rsidP="00646C30"/>
    <w:p w14:paraId="192D4E72" w14:textId="1B7ED18E" w:rsidR="00646C30" w:rsidRDefault="00C735FC" w:rsidP="00646C30">
      <w:r>
        <w:t>As mentioned before, ING is in favour of adopting mutual equivalence decisions with third countries with  an equivalent legal and supervisory framework</w:t>
      </w:r>
      <w:r w:rsidR="00DD6BF3">
        <w:t xml:space="preserve">, </w:t>
      </w:r>
      <w:r>
        <w:t>which would prevent conflicts between the EU DTO and the third-country DTO. An alternative</w:t>
      </w:r>
      <w:r w:rsidR="00DD6BF3">
        <w:t xml:space="preserve"> would be to re-scope the EU DTO to prevent such conflicts. </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FDFB4A0" w:rsidR="00646C30" w:rsidRDefault="001C4060" w:rsidP="00646C30">
      <w:permStart w:id="160242055" w:edGrp="everyone"/>
      <w:r>
        <w:t xml:space="preserve">ING supports an ESMA register that contains the </w:t>
      </w:r>
      <w:r w:rsidR="00196019">
        <w:t>classes of derivatives subject to the DTO and the relevant EU and third-country venues.</w:t>
      </w:r>
      <w:r w:rsidR="003B48C8">
        <w:t xml:space="preserve"> </w:t>
      </w:r>
      <w:r w:rsidR="003B48C8">
        <w:rPr>
          <w:color w:val="FF0000"/>
        </w:rPr>
        <w:t>ING thinks it is useful to have all information in one place and would support to maintain the current register.</w:t>
      </w:r>
      <w:bookmarkStart w:id="3" w:name="_GoBack"/>
      <w:bookmarkEnd w:id="3"/>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77777777" w:rsidR="00646C30" w:rsidRDefault="00646C30" w:rsidP="00646C30">
      <w:permStart w:id="203690501" w:edGrp="everyone"/>
      <w:r>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lastRenderedPageBreak/>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lastRenderedPageBreak/>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19E2" w14:textId="77777777" w:rsidR="00047350" w:rsidRDefault="00047350">
      <w:r>
        <w:separator/>
      </w:r>
    </w:p>
    <w:p w14:paraId="36D5B02B" w14:textId="77777777" w:rsidR="00047350" w:rsidRDefault="00047350"/>
  </w:endnote>
  <w:endnote w:type="continuationSeparator" w:id="0">
    <w:p w14:paraId="6F308D14" w14:textId="77777777" w:rsidR="00047350" w:rsidRDefault="00047350">
      <w:r>
        <w:continuationSeparator/>
      </w:r>
    </w:p>
    <w:p w14:paraId="34A13672" w14:textId="77777777" w:rsidR="00047350" w:rsidRDefault="00047350"/>
  </w:endnote>
  <w:endnote w:type="continuationNotice" w:id="1">
    <w:p w14:paraId="0735500C" w14:textId="77777777" w:rsidR="00047350" w:rsidRDefault="00047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5FDD" w14:textId="77777777" w:rsidR="00047350" w:rsidRDefault="00047350">
      <w:r>
        <w:separator/>
      </w:r>
    </w:p>
    <w:p w14:paraId="17954807" w14:textId="77777777" w:rsidR="00047350" w:rsidRDefault="00047350"/>
  </w:footnote>
  <w:footnote w:type="continuationSeparator" w:id="0">
    <w:p w14:paraId="6B62BF90" w14:textId="77777777" w:rsidR="00047350" w:rsidRDefault="00047350">
      <w:r>
        <w:continuationSeparator/>
      </w:r>
    </w:p>
    <w:p w14:paraId="465BF8F0" w14:textId="77777777" w:rsidR="00047350" w:rsidRDefault="00047350"/>
  </w:footnote>
  <w:footnote w:type="continuationNotice" w:id="1">
    <w:p w14:paraId="6881F32D" w14:textId="77777777" w:rsidR="00047350" w:rsidRDefault="00047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6A3"/>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26A0E"/>
    <w:rsid w:val="00130847"/>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0481"/>
    <w:rsid w:val="00181264"/>
    <w:rsid w:val="00181BD1"/>
    <w:rsid w:val="0018204A"/>
    <w:rsid w:val="00182F7C"/>
    <w:rsid w:val="001843B5"/>
    <w:rsid w:val="00186829"/>
    <w:rsid w:val="001868CA"/>
    <w:rsid w:val="00187304"/>
    <w:rsid w:val="001875BE"/>
    <w:rsid w:val="0019017A"/>
    <w:rsid w:val="00190B8C"/>
    <w:rsid w:val="00190FF8"/>
    <w:rsid w:val="00192397"/>
    <w:rsid w:val="0019311A"/>
    <w:rsid w:val="0019508A"/>
    <w:rsid w:val="00196019"/>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060"/>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CC0"/>
    <w:rsid w:val="00211E2F"/>
    <w:rsid w:val="00211E9E"/>
    <w:rsid w:val="00214FB4"/>
    <w:rsid w:val="00215940"/>
    <w:rsid w:val="00217C23"/>
    <w:rsid w:val="00220561"/>
    <w:rsid w:val="00220CE4"/>
    <w:rsid w:val="00222D9B"/>
    <w:rsid w:val="00223788"/>
    <w:rsid w:val="00223D11"/>
    <w:rsid w:val="002242D3"/>
    <w:rsid w:val="00227C1A"/>
    <w:rsid w:val="00227E2C"/>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3CB"/>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5FC"/>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2A5D"/>
    <w:rsid w:val="00314013"/>
    <w:rsid w:val="00314945"/>
    <w:rsid w:val="00315389"/>
    <w:rsid w:val="00315746"/>
    <w:rsid w:val="00315E96"/>
    <w:rsid w:val="00317FC8"/>
    <w:rsid w:val="00320B01"/>
    <w:rsid w:val="003223D7"/>
    <w:rsid w:val="00323D9F"/>
    <w:rsid w:val="00324FDB"/>
    <w:rsid w:val="00325F48"/>
    <w:rsid w:val="0033194F"/>
    <w:rsid w:val="0033202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8C8"/>
    <w:rsid w:val="003B4976"/>
    <w:rsid w:val="003B4B3F"/>
    <w:rsid w:val="003B5F14"/>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66C4"/>
    <w:rsid w:val="004B0335"/>
    <w:rsid w:val="004B0F1C"/>
    <w:rsid w:val="004B1E61"/>
    <w:rsid w:val="004B21AB"/>
    <w:rsid w:val="004B412F"/>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279"/>
    <w:rsid w:val="00555849"/>
    <w:rsid w:val="005559A8"/>
    <w:rsid w:val="00557048"/>
    <w:rsid w:val="00557FB5"/>
    <w:rsid w:val="00561AED"/>
    <w:rsid w:val="005648A8"/>
    <w:rsid w:val="00564DE3"/>
    <w:rsid w:val="00564E44"/>
    <w:rsid w:val="00566C6A"/>
    <w:rsid w:val="00566CE5"/>
    <w:rsid w:val="00566D36"/>
    <w:rsid w:val="00573555"/>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B47"/>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6C6E"/>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482"/>
    <w:rsid w:val="00663EFF"/>
    <w:rsid w:val="00664FFB"/>
    <w:rsid w:val="00666F74"/>
    <w:rsid w:val="00667FEA"/>
    <w:rsid w:val="006710D2"/>
    <w:rsid w:val="00671A8B"/>
    <w:rsid w:val="00671F53"/>
    <w:rsid w:val="006725A0"/>
    <w:rsid w:val="00674628"/>
    <w:rsid w:val="0067555E"/>
    <w:rsid w:val="006772BC"/>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A43"/>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14F6"/>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39A3"/>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EA3"/>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2EE"/>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49B1"/>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190F"/>
    <w:rsid w:val="008A2585"/>
    <w:rsid w:val="008A2718"/>
    <w:rsid w:val="008A4CF6"/>
    <w:rsid w:val="008A4E42"/>
    <w:rsid w:val="008A51AA"/>
    <w:rsid w:val="008A6A12"/>
    <w:rsid w:val="008B0DC6"/>
    <w:rsid w:val="008B2B9E"/>
    <w:rsid w:val="008B31F5"/>
    <w:rsid w:val="008B4C79"/>
    <w:rsid w:val="008B5D2D"/>
    <w:rsid w:val="008B6361"/>
    <w:rsid w:val="008B65E6"/>
    <w:rsid w:val="008C0320"/>
    <w:rsid w:val="008C2A81"/>
    <w:rsid w:val="008C3863"/>
    <w:rsid w:val="008C3B6B"/>
    <w:rsid w:val="008C4BDC"/>
    <w:rsid w:val="008C50FF"/>
    <w:rsid w:val="008C5435"/>
    <w:rsid w:val="008C6BD1"/>
    <w:rsid w:val="008D0B90"/>
    <w:rsid w:val="008D0EF2"/>
    <w:rsid w:val="008D2DB5"/>
    <w:rsid w:val="008D37D4"/>
    <w:rsid w:val="008D3F10"/>
    <w:rsid w:val="008D611D"/>
    <w:rsid w:val="008E1B6A"/>
    <w:rsid w:val="008E1B6E"/>
    <w:rsid w:val="008E3054"/>
    <w:rsid w:val="008E32FF"/>
    <w:rsid w:val="008E36F4"/>
    <w:rsid w:val="008E52F5"/>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1D4C"/>
    <w:rsid w:val="009B7133"/>
    <w:rsid w:val="009B7658"/>
    <w:rsid w:val="009B7CD1"/>
    <w:rsid w:val="009B7E22"/>
    <w:rsid w:val="009B7E78"/>
    <w:rsid w:val="009C10FE"/>
    <w:rsid w:val="009C13BC"/>
    <w:rsid w:val="009C1CA4"/>
    <w:rsid w:val="009C2532"/>
    <w:rsid w:val="009C2BA4"/>
    <w:rsid w:val="009C6091"/>
    <w:rsid w:val="009C634F"/>
    <w:rsid w:val="009D0219"/>
    <w:rsid w:val="009D0A9A"/>
    <w:rsid w:val="009D0D55"/>
    <w:rsid w:val="009D0E92"/>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83"/>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7EF"/>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1E77"/>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C64F3"/>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2CB"/>
    <w:rsid w:val="00B40A2B"/>
    <w:rsid w:val="00B420CB"/>
    <w:rsid w:val="00B423F5"/>
    <w:rsid w:val="00B42962"/>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68AE"/>
    <w:rsid w:val="00B57107"/>
    <w:rsid w:val="00B60D27"/>
    <w:rsid w:val="00B619E4"/>
    <w:rsid w:val="00B61CD3"/>
    <w:rsid w:val="00B61D0B"/>
    <w:rsid w:val="00B6351C"/>
    <w:rsid w:val="00B639A7"/>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DEA"/>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0A7F"/>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4EEB"/>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5E2C"/>
    <w:rsid w:val="00C46630"/>
    <w:rsid w:val="00C47A2F"/>
    <w:rsid w:val="00C50D18"/>
    <w:rsid w:val="00C51179"/>
    <w:rsid w:val="00C5282C"/>
    <w:rsid w:val="00C52FBE"/>
    <w:rsid w:val="00C5355E"/>
    <w:rsid w:val="00C535E2"/>
    <w:rsid w:val="00C53FC1"/>
    <w:rsid w:val="00C551D2"/>
    <w:rsid w:val="00C56438"/>
    <w:rsid w:val="00C56536"/>
    <w:rsid w:val="00C570B3"/>
    <w:rsid w:val="00C6009F"/>
    <w:rsid w:val="00C60417"/>
    <w:rsid w:val="00C6046F"/>
    <w:rsid w:val="00C638C2"/>
    <w:rsid w:val="00C651D4"/>
    <w:rsid w:val="00C6669E"/>
    <w:rsid w:val="00C672B0"/>
    <w:rsid w:val="00C729C7"/>
    <w:rsid w:val="00C735FC"/>
    <w:rsid w:val="00C777AD"/>
    <w:rsid w:val="00C80BB8"/>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53CE"/>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8DD"/>
    <w:rsid w:val="00DB5EDF"/>
    <w:rsid w:val="00DB6C46"/>
    <w:rsid w:val="00DB72B8"/>
    <w:rsid w:val="00DC15A9"/>
    <w:rsid w:val="00DC16AF"/>
    <w:rsid w:val="00DC2A9A"/>
    <w:rsid w:val="00DC2E2E"/>
    <w:rsid w:val="00DC4D68"/>
    <w:rsid w:val="00DC6463"/>
    <w:rsid w:val="00DC7822"/>
    <w:rsid w:val="00DC7AF1"/>
    <w:rsid w:val="00DD2CDA"/>
    <w:rsid w:val="00DD2D92"/>
    <w:rsid w:val="00DD3026"/>
    <w:rsid w:val="00DD33DC"/>
    <w:rsid w:val="00DD3BB0"/>
    <w:rsid w:val="00DD61F5"/>
    <w:rsid w:val="00DD6BF3"/>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2B98"/>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3CEF"/>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80C"/>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437"/>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1621"/>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western">
    <w:name w:val="western"/>
    <w:basedOn w:val="Normal"/>
    <w:rsid w:val="00AC64F3"/>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68704196">
      <w:bodyDiv w:val="1"/>
      <w:marLeft w:val="0"/>
      <w:marRight w:val="0"/>
      <w:marTop w:val="0"/>
      <w:marBottom w:val="0"/>
      <w:divBdr>
        <w:top w:val="none" w:sz="0" w:space="0" w:color="auto"/>
        <w:left w:val="none" w:sz="0" w:space="0" w:color="auto"/>
        <w:bottom w:val="none" w:sz="0" w:space="0" w:color="auto"/>
        <w:right w:val="none" w:sz="0" w:space="0" w:color="auto"/>
      </w:divBdr>
    </w:div>
    <w:div w:id="993414753">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20fbe147-bbda-4e53-b6b1-7e8bbff3fe19"/>
    <ds:schemaRef ds:uri="http://schemas.microsoft.com/office/2006/metadata/properties"/>
    <ds:schemaRef ds:uri="http://purl.org/dc/terms/"/>
    <ds:schemaRef ds:uri="http://schemas.microsoft.com/sharepoint/v3"/>
    <ds:schemaRef ds:uri="http://schemas.microsoft.com/office/2006/documentManagement/types"/>
    <ds:schemaRef ds:uri="http://purl.org/dc/elements/1.1/"/>
    <ds:schemaRef ds:uri="http://schemas.microsoft.com/sharepoint/v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898C3641-A52A-4312-A9C4-0EABBF88A6A1}">
  <ds:schemaRefs>
    <ds:schemaRef ds:uri="http://schemas.openxmlformats.org/officeDocument/2006/bibliography"/>
  </ds:schemaRefs>
</ds:datastoreItem>
</file>

<file path=customXml/itemProps6.xml><?xml version="1.0" encoding="utf-8"?>
<ds:datastoreItem xmlns:ds="http://schemas.openxmlformats.org/officeDocument/2006/customXml" ds:itemID="{4FC1B9CC-49C8-4676-9839-2C95B605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3693</Words>
  <Characters>20978</Characters>
  <Application>Microsoft Office Word</Application>
  <DocSecurity>8</DocSecurity>
  <Lines>174</Lines>
  <Paragraphs>49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24622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Ancery, A. (Alain)</cp:lastModifiedBy>
  <cp:revision>2</cp:revision>
  <cp:lastPrinted>2015-02-18T11:01:00Z</cp:lastPrinted>
  <dcterms:created xsi:type="dcterms:W3CDTF">2020-06-12T13:12:00Z</dcterms:created>
  <dcterms:modified xsi:type="dcterms:W3CDTF">2020-06-12T13:12:00Z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