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7A202D5" w:rsidR="00C2682A" w:rsidRPr="00AB6D88" w:rsidRDefault="00DF60FD" w:rsidP="00FA5524">
                <w:pPr>
                  <w:rPr>
                    <w:rStyle w:val="PlaceholderText"/>
                    <w:rFonts w:cs="Arial"/>
                  </w:rPr>
                </w:pPr>
                <w:r>
                  <w:rPr>
                    <w:rStyle w:val="PlaceholderText"/>
                    <w:rFonts w:cs="Arial"/>
                  </w:rPr>
                  <w:t>International Capital Market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AF15776" w:rsidR="00C2682A" w:rsidRPr="00AB6D88" w:rsidRDefault="0041563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F60FD">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17D48C0" w:rsidR="00C2682A" w:rsidRPr="00AB6D88" w:rsidRDefault="00DF60F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9D3BEB5" w:rsidR="00C2682A" w:rsidRPr="00AB6D88" w:rsidRDefault="00DF60FD"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735AB76" w14:textId="77777777" w:rsidR="00B00C8F" w:rsidRPr="0074495A" w:rsidRDefault="00B00C8F" w:rsidP="00B00C8F">
      <w:pPr>
        <w:rPr>
          <w:sz w:val="24"/>
        </w:rPr>
      </w:pPr>
      <w:permStart w:id="1454525006" w:edGrp="everyone"/>
      <w:r w:rsidRPr="0074495A">
        <w:rPr>
          <w:sz w:val="24"/>
        </w:rPr>
        <w:t xml:space="preserve">On behalf of the International Capital Market Association (ICMA), we are pleased to provide feedback regarding ESMA’s consultation paper on “MiFID II/ </w:t>
      </w:r>
      <w:proofErr w:type="spellStart"/>
      <w:r w:rsidRPr="0074495A">
        <w:rPr>
          <w:sz w:val="24"/>
        </w:rPr>
        <w:t>MiFIR</w:t>
      </w:r>
      <w:proofErr w:type="spellEnd"/>
      <w:r w:rsidRPr="0074495A">
        <w:rPr>
          <w:sz w:val="24"/>
        </w:rPr>
        <w:t xml:space="preserve"> review report on the transparency regime for non-equity instruments and the trading obligation for derivatives”.  ICMA’s Transparency Taskforce is grateful for the opportunity to respond to ESMA’s consultation paper. </w:t>
      </w:r>
    </w:p>
    <w:p w14:paraId="37ADD58F" w14:textId="77777777" w:rsidR="00CB1E3A" w:rsidRDefault="00B00C8F" w:rsidP="00B00C8F">
      <w:pPr>
        <w:rPr>
          <w:sz w:val="24"/>
        </w:rPr>
      </w:pPr>
      <w:r w:rsidRPr="0074495A">
        <w:rPr>
          <w:sz w:val="24"/>
        </w:rPr>
        <w:t xml:space="preserve">The ICMA Taskforce member response is based on consensus view from a varied group of buy-side and sell-side investment firms and also trading venues, representing Germany, France, Austria, Denmark, Sweden, Spain, Italy, UK, Australia, and the United States. There is a unique value in conveying broad view from across the industry and we hope this response is informative and useful. </w:t>
      </w:r>
    </w:p>
    <w:p w14:paraId="10FFC741" w14:textId="7543735E" w:rsidR="00B00C8F" w:rsidRPr="0074495A" w:rsidRDefault="00B00C8F" w:rsidP="00B00C8F">
      <w:pPr>
        <w:rPr>
          <w:sz w:val="24"/>
        </w:rPr>
      </w:pPr>
      <w:r w:rsidRPr="0074495A">
        <w:rPr>
          <w:sz w:val="24"/>
        </w:rPr>
        <w:t xml:space="preserve">The Taskforce members welcome the efforts of ESMA to seek out stakeholder views concerning ESMA’s conclusions and proposals regarding effective application of transparency rules and whether the provisions have delivered on their objectives. In particular, the Taskforce welcomes the opportunity to provide market participant feedback regarding transparency regime (pre- and post), verifiable data sets and liquidity assessment methodology. </w:t>
      </w:r>
      <w:r w:rsidRPr="0074495A">
        <w:rPr>
          <w:b/>
          <w:bCs/>
          <w:sz w:val="24"/>
        </w:rPr>
        <w:t>This response is solely in relation to cash bonds.</w:t>
      </w:r>
    </w:p>
    <w:p w14:paraId="6A22288E" w14:textId="482FA765" w:rsidR="00F87897" w:rsidRDefault="00F87897" w:rsidP="00F87897">
      <w:r>
        <w:t xml:space="preserve"> </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7774A920" w14:textId="77777777" w:rsidR="00622E39" w:rsidRPr="00050AD0" w:rsidRDefault="00622E39" w:rsidP="00622E39">
      <w:permStart w:id="1955866996" w:edGrp="everyone"/>
      <w:r w:rsidRPr="00050AD0">
        <w:t xml:space="preserve">The ICMA Taskforce considers increasing </w:t>
      </w:r>
      <w:proofErr w:type="spellStart"/>
      <w:r w:rsidRPr="00050AD0">
        <w:t>MiFIR</w:t>
      </w:r>
      <w:proofErr w:type="spellEnd"/>
      <w:r w:rsidRPr="00050AD0">
        <w:t xml:space="preserve">-based pre-trade transparency would not bring any benefits to either institutional or retail market participants. Currently, market participants source liquidity through axes and inventory. This seems to be working for institutional investors. </w:t>
      </w:r>
    </w:p>
    <w:p w14:paraId="518938C5" w14:textId="77777777" w:rsidR="00622E39" w:rsidRPr="00050AD0" w:rsidRDefault="00622E39" w:rsidP="00622E39"/>
    <w:p w14:paraId="1853B90E" w14:textId="77777777" w:rsidR="00622E39" w:rsidRPr="00050AD0" w:rsidRDefault="00622E39" w:rsidP="00622E39">
      <w:r w:rsidRPr="00050AD0">
        <w:t xml:space="preserve">Instead, the Taskforce view is the focus should be on </w:t>
      </w:r>
      <w:proofErr w:type="spellStart"/>
      <w:r w:rsidRPr="00050AD0">
        <w:t>MiFIR</w:t>
      </w:r>
      <w:proofErr w:type="spellEnd"/>
      <w:r w:rsidRPr="00050AD0">
        <w:t xml:space="preserve"> post-trade transparency as post-trade transparency would benefit institutional investors and retail investors more than </w:t>
      </w:r>
      <w:proofErr w:type="spellStart"/>
      <w:r w:rsidRPr="00050AD0">
        <w:t>MiFIR</w:t>
      </w:r>
      <w:proofErr w:type="spellEnd"/>
      <w:r w:rsidRPr="00050AD0">
        <w:t xml:space="preserve"> based pre-trade transparency. Retail end users could have access to a consolidated view of prices in bond markets and institutional investors will have this important tool in its toolbox for price formation and transaction cost analysis.</w:t>
      </w:r>
    </w:p>
    <w:p w14:paraId="5EEF1F9B" w14:textId="77777777" w:rsidR="00622E39" w:rsidRPr="00050AD0" w:rsidRDefault="00622E39" w:rsidP="00622E39"/>
    <w:p w14:paraId="169C6F21" w14:textId="77777777" w:rsidR="00622E39" w:rsidRPr="00050AD0" w:rsidRDefault="00622E39" w:rsidP="00622E39">
      <w:r w:rsidRPr="00050AD0">
        <w:t xml:space="preserve">Furthermore, today, retail investors trade liquid bonds so any illiquid waivers that mask prices for pre-trade transparency would not be detrimental to retail end users. Whereas, increased post-trade transparency through phased liquidity stage progression and a consolidated view of post-trade bond data through a consolidated tape (CT) would benefit retail investors.  </w:t>
      </w:r>
    </w:p>
    <w:p w14:paraId="655D1D4F" w14:textId="438F9C86" w:rsidR="009B0A4B" w:rsidRPr="009B0A4B" w:rsidRDefault="009B0A4B" w:rsidP="00622E39"/>
    <w:p w14:paraId="3ABF6F4D" w14:textId="22E6A4E5" w:rsidR="00622E39" w:rsidRDefault="00622E39" w:rsidP="00622E39">
      <w:bookmarkStart w:id="3" w:name="_Hlk42848709"/>
      <w:r w:rsidRPr="00692BC4">
        <w:t xml:space="preserve">Again, the Taskforce considers any transparency change focus should be placed on post-trade market structure and practices. </w:t>
      </w:r>
    </w:p>
    <w:p w14:paraId="0550A5C9" w14:textId="77777777" w:rsidR="00CB1E3A" w:rsidRPr="00692BC4" w:rsidRDefault="00CB1E3A" w:rsidP="00622E39"/>
    <w:p w14:paraId="5D1DAAE6" w14:textId="77777777" w:rsidR="00622E39" w:rsidRPr="00692BC4" w:rsidRDefault="00622E39" w:rsidP="00622E39">
      <w:r w:rsidRPr="00692BC4">
        <w:t xml:space="preserve">Taskforce members perceive </w:t>
      </w:r>
      <w:proofErr w:type="gramStart"/>
      <w:r w:rsidRPr="00692BC4">
        <w:t>in order to</w:t>
      </w:r>
      <w:proofErr w:type="gramEnd"/>
      <w:r w:rsidRPr="00692BC4">
        <w:t xml:space="preserve"> improve transparency, assist decision-making and provide market insights to end-investors, large or small, appropriate post-trade practices and market structure should be put in place. Adoption of a workable post-trade market structure, including consolidated tape would benefit the whole market, by providing a centralised, high quality, affordable, trustworthy data source, offering a comprehensive market view. This would bring immediate benefits to professional bond markets and the retail sector as well, such as: </w:t>
      </w:r>
    </w:p>
    <w:p w14:paraId="56320FCC" w14:textId="77777777" w:rsidR="00622E39" w:rsidRPr="00692BC4" w:rsidRDefault="00622E39" w:rsidP="00622E39"/>
    <w:p w14:paraId="5994E192" w14:textId="77777777" w:rsidR="00622E39" w:rsidRPr="00692BC4" w:rsidRDefault="00622E39" w:rsidP="00622E39">
      <w:pPr>
        <w:pStyle w:val="ListParagraph"/>
        <w:numPr>
          <w:ilvl w:val="0"/>
          <w:numId w:val="39"/>
        </w:numPr>
        <w:spacing w:line="259" w:lineRule="auto"/>
      </w:pPr>
      <w:r w:rsidRPr="00692BC4">
        <w:rPr>
          <w:b/>
          <w:bCs/>
        </w:rPr>
        <w:t>Levelling the playing field with respect to access to information.</w:t>
      </w:r>
      <w:r w:rsidRPr="00692BC4">
        <w:t xml:space="preserve"> A post-trade CT removes existing information asymmetries, where certain market participants may have greater visibility regarding ongoing trading activity than other investors. This enables investors to assess more accurately current market dynamics, increasing overall investor confidence, particularly during times of market volatility.</w:t>
      </w:r>
    </w:p>
    <w:p w14:paraId="3F9E7D6C" w14:textId="77777777" w:rsidR="00622E39" w:rsidRPr="00692BC4" w:rsidRDefault="00622E39" w:rsidP="00622E39"/>
    <w:p w14:paraId="3E3E7AD7" w14:textId="77777777" w:rsidR="00622E39" w:rsidRPr="00692BC4" w:rsidRDefault="00622E39" w:rsidP="00622E39">
      <w:pPr>
        <w:pStyle w:val="ListParagraph"/>
        <w:numPr>
          <w:ilvl w:val="0"/>
          <w:numId w:val="39"/>
        </w:numPr>
        <w:spacing w:line="259" w:lineRule="auto"/>
      </w:pPr>
      <w:r w:rsidRPr="00692BC4">
        <w:rPr>
          <w:b/>
          <w:bCs/>
        </w:rPr>
        <w:t>Promoting market resilience.</w:t>
      </w:r>
      <w:r w:rsidRPr="00692BC4">
        <w:t xml:space="preserve"> The removal of existing information asymmetries contributes to market resiliency by ensuring that changes in supply and demand are more efficiently reflected in current price levels. In addition, without a neutral and reliable source of current market trading activity, investors may be more likely to pull back during times of volatility.</w:t>
      </w:r>
    </w:p>
    <w:p w14:paraId="7DFB6571" w14:textId="77777777" w:rsidR="00622E39" w:rsidRPr="00692BC4" w:rsidRDefault="00622E39" w:rsidP="00622E39"/>
    <w:p w14:paraId="306F8A00" w14:textId="77777777" w:rsidR="00622E39" w:rsidRPr="00692BC4" w:rsidRDefault="00622E39" w:rsidP="00622E39">
      <w:pPr>
        <w:pStyle w:val="ListParagraph"/>
        <w:numPr>
          <w:ilvl w:val="0"/>
          <w:numId w:val="39"/>
        </w:numPr>
        <w:spacing w:line="259" w:lineRule="auto"/>
      </w:pPr>
      <w:r w:rsidRPr="00692BC4">
        <w:rPr>
          <w:b/>
          <w:bCs/>
        </w:rPr>
        <w:t>Promoting competition.</w:t>
      </w:r>
      <w:r w:rsidRPr="00692BC4">
        <w:t xml:space="preserve"> By enabling investors to compare the prices they receive from liquidity providers with concurrent (and anonymous) trading activity across the market, a post-trade CT promotes price competition as investors are able to demand more accountability from their liquidity providers. In addition, new liquidity providers are more likely to enter the market, as they are able to access information regarding current market dynamics, including trading volumes and pricing, on an equal basis as existing liquidity providers.</w:t>
      </w:r>
    </w:p>
    <w:p w14:paraId="420DF5D8" w14:textId="77777777" w:rsidR="00622E39" w:rsidRPr="00692BC4" w:rsidRDefault="00622E39" w:rsidP="00622E39"/>
    <w:p w14:paraId="403A3EEF" w14:textId="52C6B59C" w:rsidR="009B0A4B" w:rsidRPr="009B0A4B" w:rsidRDefault="00622E39" w:rsidP="004C4D49">
      <w:pPr>
        <w:pStyle w:val="ListParagraph"/>
        <w:numPr>
          <w:ilvl w:val="0"/>
          <w:numId w:val="39"/>
        </w:numPr>
        <w:spacing w:line="259" w:lineRule="auto"/>
      </w:pPr>
      <w:r w:rsidRPr="00622E39">
        <w:rPr>
          <w:b/>
          <w:bCs/>
        </w:rPr>
        <w:t>Supporting the CMU.</w:t>
      </w:r>
      <w:r w:rsidRPr="00692BC4">
        <w:t xml:space="preserve"> A post-trade CT for bonds strengthens EU capital markets by linking together the disparate trading venues and APAs across the EU, enhancing retail and institutional investor confidence due to increased transparency in the market. Stronger and more liquid EU capital markets promotes economic growth.</w:t>
      </w:r>
      <w:r>
        <w:t xml:space="preserve"> </w:t>
      </w:r>
      <w:bookmarkEnd w:id="3"/>
    </w:p>
    <w:p w14:paraId="4A4CF699" w14:textId="6B9B3422" w:rsidR="00A8728B" w:rsidRDefault="0042137D" w:rsidP="00A8728B">
      <w:r w:rsidRPr="0042137D">
        <w:rPr>
          <w:b/>
          <w:bCs/>
        </w:rPr>
        <w:t xml:space="preserve"> </w:t>
      </w:r>
      <w:r w:rsidRPr="0042137D">
        <w:t xml:space="preserve"> </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lastRenderedPageBreak/>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06BDC5BF" w14:textId="77777777" w:rsidR="00622E39" w:rsidRPr="00692BC4" w:rsidRDefault="00622E39" w:rsidP="002945E0">
      <w:permStart w:id="1066216518" w:edGrp="everyone"/>
      <w:r w:rsidRPr="00692BC4">
        <w:t xml:space="preserve">The Taskforce does not believe a full-scale change is needed in regard to pre-trade transparency.  A few small changes may be required to make the current system more workable but that is all. One suggestion for a targeted change or ‘tweak’ follows: </w:t>
      </w:r>
    </w:p>
    <w:p w14:paraId="3957EF54" w14:textId="77777777" w:rsidR="00622E39" w:rsidRPr="00692BC4" w:rsidRDefault="00622E39" w:rsidP="002945E0">
      <w:pPr>
        <w:rPr>
          <w:b/>
          <w:bCs/>
        </w:rPr>
      </w:pPr>
    </w:p>
    <w:p w14:paraId="7D85332B" w14:textId="77777777" w:rsidR="00622E39" w:rsidRPr="00692BC4" w:rsidRDefault="00622E39" w:rsidP="00622E39">
      <w:pPr>
        <w:pStyle w:val="ListParagraph"/>
        <w:numPr>
          <w:ilvl w:val="0"/>
          <w:numId w:val="45"/>
        </w:numPr>
        <w:spacing w:line="259" w:lineRule="auto"/>
      </w:pPr>
      <w:r w:rsidRPr="00692BC4">
        <w:t xml:space="preserve">ICMA members believe there is a lack of anonymity for individual SI quotes compared with trading venues where published quotes are at the venue level rather than the individual risk-taker level. ICMA members propose SIs should have the possibility to anonymise their quotes should they wish to. </w:t>
      </w:r>
      <w:proofErr w:type="gramStart"/>
      <w:r w:rsidRPr="00692BC4">
        <w:t>Also</w:t>
      </w:r>
      <w:proofErr w:type="gramEnd"/>
      <w:r w:rsidRPr="00692BC4">
        <w:t xml:space="preserve"> worth noting that the SI pre-trade reporting could only be anonymised if the additional obligations under Article 18 (5), Article 18 (6) and Article 18 (7) are deleted.</w:t>
      </w:r>
    </w:p>
    <w:p w14:paraId="7A08E7A9" w14:textId="77777777" w:rsidR="00622E39" w:rsidRPr="00692BC4" w:rsidRDefault="00622E39" w:rsidP="002945E0"/>
    <w:p w14:paraId="5E634CF7" w14:textId="77777777" w:rsidR="00622E39" w:rsidRDefault="00622E39" w:rsidP="00A8728B">
      <w:r w:rsidRPr="00692BC4">
        <w:t xml:space="preserve">ICMA Taskforce members have observed pre-trade transparency, from an investor perspective point of view, use market pre-trade transparency such as axes and inventory for price discovery and not </w:t>
      </w:r>
      <w:proofErr w:type="spellStart"/>
      <w:r w:rsidRPr="00692BC4">
        <w:t>MiFIR</w:t>
      </w:r>
      <w:proofErr w:type="spellEnd"/>
      <w:r w:rsidRPr="00692BC4">
        <w:t xml:space="preserve"> based pre-trade quotes </w:t>
      </w:r>
      <w:proofErr w:type="spellStart"/>
      <w:r w:rsidRPr="00692BC4">
        <w:t>e.g</w:t>
      </w:r>
      <w:proofErr w:type="spellEnd"/>
      <w:r w:rsidRPr="00692BC4">
        <w:t xml:space="preserve"> SI quotes</w:t>
      </w:r>
    </w:p>
    <w:p w14:paraId="0528C4CC" w14:textId="77777777" w:rsidR="00622E39" w:rsidRDefault="00622E39" w:rsidP="00A8728B"/>
    <w:p w14:paraId="56253F07" w14:textId="77777777" w:rsidR="00622E39" w:rsidRPr="00692BC4" w:rsidRDefault="00622E39" w:rsidP="00622E39">
      <w:r w:rsidRPr="00692BC4">
        <w:t xml:space="preserve">There is concern amongst Taskforce members in regard to the term ‘simplification’. A waiver regime or rule could be simplified in such a way that the obligation is so simplified that it damages liquidity provision with the consequence of reversing what the regulation intended. </w:t>
      </w:r>
    </w:p>
    <w:p w14:paraId="6DEFE5A1" w14:textId="77777777" w:rsidR="00622E39" w:rsidRPr="00692BC4" w:rsidRDefault="00622E39" w:rsidP="00622E39"/>
    <w:p w14:paraId="27493585" w14:textId="77777777" w:rsidR="00622E39" w:rsidRPr="00692BC4" w:rsidRDefault="00622E39" w:rsidP="00622E39">
      <w:r w:rsidRPr="00692BC4">
        <w:t xml:space="preserve">Pre-trade transparency waivers in review, </w:t>
      </w:r>
      <w:bookmarkStart w:id="4" w:name="_Hlk42163832"/>
      <w:proofErr w:type="spellStart"/>
      <w:r w:rsidRPr="00692BC4">
        <w:t>MiFIR</w:t>
      </w:r>
      <w:proofErr w:type="spellEnd"/>
      <w:r w:rsidRPr="00692BC4">
        <w:t xml:space="preserve"> Article 9 (1) (b), </w:t>
      </w:r>
      <w:proofErr w:type="spellStart"/>
      <w:r w:rsidRPr="00692BC4">
        <w:t>MiFIR</w:t>
      </w:r>
      <w:proofErr w:type="spellEnd"/>
      <w:r w:rsidRPr="00692BC4">
        <w:t xml:space="preserve"> recognises the role and existence of RFQ and voice trading systems and defines the SSTI waiver to </w:t>
      </w:r>
      <w:r w:rsidRPr="00692BC4">
        <w:rPr>
          <w:u w:val="single"/>
        </w:rPr>
        <w:t>protect liquidity providers from undue risks</w:t>
      </w:r>
      <w:r w:rsidRPr="00692BC4">
        <w:t xml:space="preserve">. Similarly, for trading with systematic </w:t>
      </w:r>
      <w:proofErr w:type="spellStart"/>
      <w:r w:rsidRPr="00692BC4">
        <w:t>internalisers</w:t>
      </w:r>
      <w:proofErr w:type="spellEnd"/>
      <w:r w:rsidRPr="00692BC4">
        <w:t xml:space="preserve">, </w:t>
      </w:r>
      <w:proofErr w:type="spellStart"/>
      <w:r w:rsidRPr="00692BC4">
        <w:t>MiFIR</w:t>
      </w:r>
      <w:proofErr w:type="spellEnd"/>
      <w:r w:rsidRPr="00692BC4">
        <w:t xml:space="preserve"> Article 18 (10) limits the quote transparency requirement when dealing in sizes above SSTI, itself referring to </w:t>
      </w:r>
      <w:proofErr w:type="spellStart"/>
      <w:r w:rsidRPr="00692BC4">
        <w:t>MiFIR</w:t>
      </w:r>
      <w:proofErr w:type="spellEnd"/>
      <w:r w:rsidRPr="00692BC4">
        <w:t xml:space="preserve"> Article 9 (5) (d), to protect liquidity providers from undue risks.</w:t>
      </w:r>
    </w:p>
    <w:p w14:paraId="3E96F5AD" w14:textId="77777777" w:rsidR="00622E39" w:rsidRPr="00692BC4" w:rsidRDefault="00622E39" w:rsidP="00622E39"/>
    <w:bookmarkEnd w:id="4"/>
    <w:p w14:paraId="108232FE" w14:textId="598D80A4" w:rsidR="00A8728B" w:rsidRDefault="00622E39" w:rsidP="00A8728B">
      <w:r w:rsidRPr="00692BC4">
        <w:t>Therefore, waiver simplification change, for change sake, is not needed as market participants and particularly investors are getting the pre-trade quote-based information they need, and liquidity provide</w:t>
      </w:r>
      <w:r w:rsidR="00CB1E3A">
        <w:t>rs</w:t>
      </w:r>
      <w:r w:rsidRPr="00692BC4">
        <w:t xml:space="preserve"> are protected.  Just a few targeted changes as </w:t>
      </w:r>
      <w:r w:rsidR="00CB1E3A">
        <w:t xml:space="preserve">the one </w:t>
      </w:r>
      <w:r w:rsidRPr="00692BC4">
        <w:t>mentioned above are required</w:t>
      </w:r>
      <w:proofErr w:type="gramStart"/>
      <w:r w:rsidRPr="00692BC4">
        <w:t>.</w:t>
      </w:r>
      <w:r>
        <w:t xml:space="preserve"> </w:t>
      </w:r>
      <w:r w:rsidR="0042137D">
        <w:t>.</w:t>
      </w:r>
      <w:permEnd w:id="1066216518"/>
      <w:proofErr w:type="gramEnd"/>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0A64FE8" w14:textId="77777777" w:rsidR="00622E39" w:rsidRPr="00692BC4" w:rsidRDefault="00622E39" w:rsidP="00622E39">
      <w:permStart w:id="473446270" w:edGrp="everyone"/>
      <w:r w:rsidRPr="00692BC4">
        <w:t xml:space="preserve">ICMA Taskforce members do not agree with the proposal to delete pre-trade SSTI-waiver. As mentioned in the answer to question 1, </w:t>
      </w:r>
      <w:proofErr w:type="spellStart"/>
      <w:r w:rsidRPr="00692BC4">
        <w:t>MiFIR</w:t>
      </w:r>
      <w:proofErr w:type="spellEnd"/>
      <w:r w:rsidRPr="00692BC4">
        <w:t xml:space="preserve"> Article 9 (1) (b), </w:t>
      </w:r>
      <w:proofErr w:type="spellStart"/>
      <w:r w:rsidRPr="00692BC4">
        <w:t>MiFIR</w:t>
      </w:r>
      <w:proofErr w:type="spellEnd"/>
      <w:r w:rsidRPr="00692BC4">
        <w:t xml:space="preserve"> recognises the role and existence of RFQ and voice trading systems and defines the SSTI waiver to </w:t>
      </w:r>
      <w:r w:rsidRPr="00692BC4">
        <w:rPr>
          <w:u w:val="single"/>
        </w:rPr>
        <w:t>protect liquidity providers from undue risks</w:t>
      </w:r>
      <w:r w:rsidRPr="00692BC4">
        <w:t xml:space="preserve">. </w:t>
      </w:r>
    </w:p>
    <w:p w14:paraId="275435A0" w14:textId="77777777" w:rsidR="00622E39" w:rsidRPr="00692BC4" w:rsidRDefault="00622E39" w:rsidP="00622E39"/>
    <w:p w14:paraId="6499F365" w14:textId="43994196" w:rsidR="00622E39" w:rsidRDefault="00622E39" w:rsidP="00622E39">
      <w:r w:rsidRPr="00692BC4">
        <w:t xml:space="preserve">Similarly, for trading with systematic </w:t>
      </w:r>
      <w:proofErr w:type="spellStart"/>
      <w:r w:rsidRPr="00692BC4">
        <w:t>internalisers</w:t>
      </w:r>
      <w:proofErr w:type="spellEnd"/>
      <w:r w:rsidRPr="00692BC4">
        <w:t xml:space="preserve">, </w:t>
      </w:r>
      <w:proofErr w:type="spellStart"/>
      <w:r w:rsidRPr="00692BC4">
        <w:t>MiFIR</w:t>
      </w:r>
      <w:proofErr w:type="spellEnd"/>
      <w:r w:rsidRPr="00692BC4">
        <w:t xml:space="preserve"> Article 18 (10) limits the quote transparency requirement when dealing in sizes above SSTI, itself referring to </w:t>
      </w:r>
      <w:proofErr w:type="spellStart"/>
      <w:r w:rsidRPr="00692BC4">
        <w:t>MiFIR</w:t>
      </w:r>
      <w:proofErr w:type="spellEnd"/>
      <w:r w:rsidRPr="00692BC4">
        <w:t xml:space="preserve"> Article 9 (5) (d), to protect liquidity providers from undue risks.</w:t>
      </w:r>
    </w:p>
    <w:p w14:paraId="6975F38A" w14:textId="00096174" w:rsidR="00622E39" w:rsidRDefault="00622E39" w:rsidP="00622E39"/>
    <w:p w14:paraId="4121C3BF" w14:textId="77777777" w:rsidR="00622E39" w:rsidRPr="00692BC4" w:rsidRDefault="00622E39" w:rsidP="00622E39">
      <w:pPr>
        <w:pStyle w:val="BNPP"/>
        <w:rPr>
          <w:color w:val="auto"/>
          <w:sz w:val="22"/>
          <w:szCs w:val="22"/>
        </w:rPr>
      </w:pPr>
      <w:r w:rsidRPr="00692BC4">
        <w:rPr>
          <w:color w:val="auto"/>
          <w:sz w:val="22"/>
          <w:szCs w:val="22"/>
        </w:rPr>
        <w:lastRenderedPageBreak/>
        <w:t xml:space="preserve">As mentioned, ICMA members are not supportive of deleting the pre-trade SSTI waiver. As per ICMA’s answer in Q2, Taskforce members believe the </w:t>
      </w:r>
      <w:proofErr w:type="spellStart"/>
      <w:r w:rsidRPr="00692BC4">
        <w:rPr>
          <w:color w:val="auto"/>
          <w:sz w:val="22"/>
          <w:szCs w:val="22"/>
        </w:rPr>
        <w:t>MiFIR</w:t>
      </w:r>
      <w:proofErr w:type="spellEnd"/>
      <w:r w:rsidRPr="00692BC4">
        <w:rPr>
          <w:color w:val="auto"/>
          <w:sz w:val="22"/>
          <w:szCs w:val="22"/>
        </w:rPr>
        <w:t xml:space="preserve"> principle to protect liquidity providers from undue risk is sensible and guarantees the provision and access to liquidity.</w:t>
      </w:r>
    </w:p>
    <w:p w14:paraId="475F44B0" w14:textId="77777777" w:rsidR="00622E39" w:rsidRPr="00692BC4" w:rsidRDefault="00622E39" w:rsidP="00622E39">
      <w:pPr>
        <w:pStyle w:val="BNPP"/>
        <w:rPr>
          <w:color w:val="auto"/>
          <w:sz w:val="22"/>
          <w:szCs w:val="22"/>
        </w:rPr>
      </w:pPr>
    </w:p>
    <w:p w14:paraId="02EC5804" w14:textId="0091C4C8" w:rsidR="00622E39" w:rsidRPr="00692BC4" w:rsidRDefault="00622E39" w:rsidP="00622E39">
      <w:pPr>
        <w:pStyle w:val="BNPP"/>
        <w:rPr>
          <w:color w:val="auto"/>
        </w:rPr>
      </w:pPr>
      <w:r w:rsidRPr="00692BC4">
        <w:rPr>
          <w:color w:val="auto"/>
          <w:sz w:val="22"/>
          <w:szCs w:val="22"/>
        </w:rPr>
        <w:t xml:space="preserve">Market participants would like ESMA’s focus to be aimed at necessary changes to the post-trade transparency regime instead of pre-trade transparency regime. ESMA should adopt </w:t>
      </w:r>
      <w:r w:rsidRPr="00692BC4">
        <w:rPr>
          <w:color w:val="auto"/>
          <w:sz w:val="22"/>
          <w:szCs w:val="22"/>
          <w:lang w:val="en-US"/>
        </w:rPr>
        <w:t xml:space="preserve">sensible, workable post-trade practices and market structure that would benefit the whole market, including small and/or retail investors by providing a centralised, high quality, affordable, trustworthy data source, offering a comprehensive market view. The way forward is an EU bond consolidated tape. </w:t>
      </w:r>
    </w:p>
    <w:permEnd w:id="473446270"/>
    <w:p w14:paraId="27C12B76" w14:textId="49609FF2"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3C40DBFA" w:rsidR="002E1760" w:rsidRDefault="00622E39" w:rsidP="002E1760">
      <w:permStart w:id="1101743476" w:edGrp="everyone"/>
      <w:r w:rsidRPr="00692BC4">
        <w:t>ICMA supports the retention of SSTI for SI quotes as stated in Option 1.  However, ICMA also believes that the concept of SSTI should also be retained for trading venue pre-trade transparency as well, as in this context SSTI and LIS complement each other.  Below SSTI, trading venues and S</w:t>
      </w:r>
      <w:r w:rsidR="00381F5D">
        <w:t>I</w:t>
      </w:r>
      <w:r w:rsidRPr="00692BC4">
        <w:t xml:space="preserve">s provide transparency on individual quotes; while between SSTI and LIS, they provide an aggregate of all quotes provided in response to a given RFQ. </w:t>
      </w:r>
      <w:r w:rsidR="002E1760">
        <w:t xml:space="preserve"> </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0D284959" w:rsidR="00227C1A" w:rsidRDefault="00381F5D" w:rsidP="00227C1A">
      <w:permStart w:id="1725855520" w:edGrp="everyone"/>
      <w:r>
        <w:t>N/A</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303B45DB" w:rsidR="0062022D" w:rsidRDefault="00622E39" w:rsidP="0062022D">
      <w:permStart w:id="203298670" w:edGrp="everyone"/>
      <w:r w:rsidRPr="00692BC4">
        <w:t>ICMA considers there is no need for ESMA to issue opinions regarding each new trading system. RTS 2 under MiFID II/R is set out properly. It is the responsibility of individual NCAs to determine if investment firms are not abiding by MiFID II/R obligations and set of practices.</w:t>
      </w:r>
      <w:r w:rsidR="0062022D">
        <w:t xml:space="preserve"> </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lastRenderedPageBreak/>
        <w:t>&lt;ESMA_QUESTION_CP</w:t>
      </w:r>
      <w:r w:rsidR="007254DD">
        <w:t>_MIFID_NQT</w:t>
      </w:r>
      <w:r w:rsidR="00F107EF">
        <w:t>_</w:t>
      </w:r>
      <w:r>
        <w:t>7&gt;</w:t>
      </w:r>
    </w:p>
    <w:p w14:paraId="1A57EAF2" w14:textId="58EC683E" w:rsidR="009B0A4B" w:rsidRPr="00692BC4" w:rsidRDefault="009B0A4B" w:rsidP="00381F5D">
      <w:pPr>
        <w:pStyle w:val="BNPP-Bullet1"/>
        <w:numPr>
          <w:ilvl w:val="0"/>
          <w:numId w:val="0"/>
        </w:numPr>
        <w:ind w:left="45"/>
        <w:rPr>
          <w:color w:val="auto"/>
          <w:sz w:val="22"/>
          <w:szCs w:val="22"/>
          <w:lang w:val="en-US"/>
        </w:rPr>
      </w:pPr>
      <w:permStart w:id="795872801" w:edGrp="everyone"/>
      <w:r w:rsidRPr="00692BC4">
        <w:rPr>
          <w:color w:val="auto"/>
          <w:sz w:val="22"/>
          <w:szCs w:val="22"/>
          <w:lang w:val="en-US"/>
        </w:rPr>
        <w:t xml:space="preserve">ICMA’s Taskforce </w:t>
      </w:r>
      <w:r w:rsidR="00381F5D">
        <w:rPr>
          <w:color w:val="auto"/>
          <w:sz w:val="22"/>
          <w:szCs w:val="22"/>
          <w:lang w:val="en-US"/>
        </w:rPr>
        <w:t>members believe</w:t>
      </w:r>
      <w:r w:rsidRPr="00692BC4">
        <w:rPr>
          <w:color w:val="auto"/>
          <w:sz w:val="22"/>
          <w:szCs w:val="22"/>
          <w:lang w:val="en-US"/>
        </w:rPr>
        <w:t xml:space="preserve"> ESMA does not need to provide further guidance regarding hybrid systems.</w:t>
      </w:r>
      <w:r w:rsidR="00381F5D">
        <w:rPr>
          <w:color w:val="auto"/>
          <w:sz w:val="22"/>
          <w:szCs w:val="22"/>
          <w:lang w:val="en-US"/>
        </w:rPr>
        <w:t xml:space="preserve"> </w:t>
      </w:r>
      <w:r w:rsidRPr="00692BC4">
        <w:rPr>
          <w:color w:val="auto"/>
          <w:sz w:val="22"/>
          <w:szCs w:val="22"/>
          <w:lang w:val="en-US"/>
        </w:rPr>
        <w:t>The trading systems described in RTS 2 are adequate and NCAs determine whether firms are meeting their MiFID II/R obligations. Any further definitions by ESMA could end up stifling innovation and the advancement and evolution of bond market trading practices.</w:t>
      </w:r>
      <w:r w:rsidR="00622E39">
        <w:rPr>
          <w:color w:val="auto"/>
          <w:sz w:val="22"/>
          <w:szCs w:val="22"/>
          <w:lang w:val="en-US"/>
        </w:rPr>
        <w:t xml:space="preserve"> </w:t>
      </w:r>
    </w:p>
    <w:p w14:paraId="14896476" w14:textId="7625635A" w:rsidR="00A263DF" w:rsidRDefault="00A263DF" w:rsidP="00A263DF">
      <w:r>
        <w:t xml:space="preserve"> </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485086A" w14:textId="28D1FA6B" w:rsidR="009B0A4B" w:rsidRDefault="009B0A4B" w:rsidP="009B0A4B">
      <w:pPr>
        <w:rPr>
          <w:color w:val="00B050"/>
        </w:rPr>
      </w:pPr>
      <w:permStart w:id="1747589383" w:edGrp="everyone"/>
      <w:r w:rsidRPr="00692BC4">
        <w:t>The ICMA Taskforce understands ESMA</w:t>
      </w:r>
      <w:r w:rsidR="00381F5D">
        <w:t>’s</w:t>
      </w:r>
      <w:r w:rsidRPr="00692BC4">
        <w:t xml:space="preserve"> Q&amp;A has provided clear instructions to bond market participants regarding making data available, after 15 minutes: “ESMA expects trading venues, APAs and CTPs to make post-trade data, as well as pre-trade data, available free of charge 15 minutes after publication in an easily accessible manner for all potential users using a format that can be easily read, used and copied.”</w:t>
      </w:r>
      <w:r>
        <w:rPr>
          <w:color w:val="00B050"/>
        </w:rPr>
        <w:t xml:space="preserve"> </w:t>
      </w:r>
      <w:hyperlink r:id="rId19" w:history="1">
        <w:r w:rsidRPr="0054114E">
          <w:rPr>
            <w:rStyle w:val="Hyperlink"/>
          </w:rPr>
          <w:t>https://www.esma.europa.eu/sites/default/files/library/esma70-872942901-35_qas_transparency_issues.pdf</w:t>
        </w:r>
      </w:hyperlink>
    </w:p>
    <w:p w14:paraId="3EA0AE3D" w14:textId="77777777" w:rsidR="009B0A4B" w:rsidRPr="00692BC4" w:rsidRDefault="009B0A4B" w:rsidP="009B0A4B">
      <w:r w:rsidRPr="00692BC4">
        <w:t>The Taskforce view is there should be a level playing field for all market participants regarding access to pre- and post-trade data, data should also be both machine readable and downloadable.</w:t>
      </w:r>
    </w:p>
    <w:p w14:paraId="43D46422" w14:textId="25671694" w:rsidR="00A263DF" w:rsidRDefault="009B0A4B" w:rsidP="00A263DF">
      <w:r w:rsidRPr="00692BC4">
        <w:t>Lastly, in regard to post-trade transparency, a centralised view of trustworthy bond data through a</w:t>
      </w:r>
      <w:r w:rsidR="00381F5D">
        <w:t>n affordable</w:t>
      </w:r>
      <w:r w:rsidRPr="00692BC4">
        <w:t xml:space="preserve"> consolidated tape will allow bond market end users to have an overview of post-trade bond data, allowing market participants to carry out market analysis to assist in decision making.</w:t>
      </w:r>
      <w:r w:rsidR="00A263DF">
        <w:t xml:space="preserve"> </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4339564" w14:textId="0CDC5F92" w:rsidR="009B0A4B" w:rsidRPr="00692BC4" w:rsidRDefault="009B0A4B" w:rsidP="009B0A4B">
      <w:permStart w:id="1400726192" w:edGrp="everyone"/>
      <w:r w:rsidRPr="00692BC4">
        <w:t>The ICMA Taskforce does not view standardi</w:t>
      </w:r>
      <w:r w:rsidR="00381F5D">
        <w:t>s</w:t>
      </w:r>
      <w:r w:rsidRPr="00692BC4">
        <w:t>ing of pre-trade transparency information as a useful exercise. The focus should be on post-trade transparency.</w:t>
      </w:r>
    </w:p>
    <w:p w14:paraId="19F6DCA5" w14:textId="77777777" w:rsidR="009B0A4B" w:rsidRPr="00692BC4" w:rsidRDefault="009B0A4B" w:rsidP="009B0A4B"/>
    <w:p w14:paraId="2E7B6C13" w14:textId="77777777" w:rsidR="009B0A4B" w:rsidRPr="00692BC4" w:rsidRDefault="009B0A4B" w:rsidP="009B0A4B">
      <w:r w:rsidRPr="00692BC4">
        <w:t xml:space="preserve">Furthermore, the Taskforce considers there would not be any benefit to either institutional or retail market participants by increasing </w:t>
      </w:r>
      <w:proofErr w:type="spellStart"/>
      <w:r w:rsidRPr="00692BC4">
        <w:t>MiFIR</w:t>
      </w:r>
      <w:proofErr w:type="spellEnd"/>
      <w:r w:rsidRPr="00692BC4">
        <w:t xml:space="preserve"> based pre-trade transparency. Currently, market participants source liquidity through axes and inventory. This seems to be working for institutional investors. </w:t>
      </w:r>
    </w:p>
    <w:p w14:paraId="4FEDEF57" w14:textId="77777777" w:rsidR="009B0A4B" w:rsidRPr="00692BC4" w:rsidRDefault="009B0A4B" w:rsidP="009B0A4B"/>
    <w:p w14:paraId="7603BFA8" w14:textId="77777777" w:rsidR="009B0A4B" w:rsidRPr="00692BC4" w:rsidRDefault="009B0A4B" w:rsidP="009B0A4B">
      <w:r w:rsidRPr="00692BC4">
        <w:t xml:space="preserve">Post-trade transparency would benefit institutional investors and retail investors more than </w:t>
      </w:r>
      <w:proofErr w:type="spellStart"/>
      <w:r w:rsidRPr="00692BC4">
        <w:t>MiFIR</w:t>
      </w:r>
      <w:proofErr w:type="spellEnd"/>
      <w:r w:rsidRPr="00692BC4">
        <w:t xml:space="preserve"> based pre-trade transparency. Retail end users could have access to a consolidated view of prices in bond markets and institutional investors will have this important tool in its toolbox for price formation and transaction cost analysis.</w:t>
      </w:r>
    </w:p>
    <w:p w14:paraId="08DC952F" w14:textId="77777777" w:rsidR="009B0A4B" w:rsidRPr="00692BC4" w:rsidRDefault="009B0A4B" w:rsidP="009B0A4B"/>
    <w:p w14:paraId="1B5C745B" w14:textId="0179AB36" w:rsidR="002E1760" w:rsidRDefault="009B0A4B" w:rsidP="002E1760">
      <w:r w:rsidRPr="00692BC4">
        <w:t>Today, retail investors trade liquid bonds so any illiquid waivers that mask prices for pre-trade transparency would not be detrimental to retail end users. Whereas, increased post-trade transparency through phased liquidity stage progression and a consolidated view of post-trade bond data through a consolidated tape (CT) would benefit retail investors.</w:t>
      </w:r>
      <w:r w:rsidR="002E1760">
        <w:t xml:space="preserve"> </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 xml:space="preserve">Do you agree with ESMA’s assessment of the level of post-trade transparency and with the need of a more streamlined and uniform post-trade regime which does not </w:t>
      </w:r>
      <w:r w:rsidRPr="001129F9">
        <w:lastRenderedPageBreak/>
        <w:t>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4CAA81AB" w14:textId="77777777" w:rsidR="009B0A4B" w:rsidRPr="00692BC4" w:rsidRDefault="009B0A4B" w:rsidP="009B0A4B">
      <w:permStart w:id="929114806" w:edGrp="everyone"/>
      <w:r w:rsidRPr="00692BC4">
        <w:t xml:space="preserve">The Taskforce agrees there should be a uniform post-trade deferral regime under MiFID II/R and is in favour of a level 1 change to create a harmonised EU deferral regime, which protects liquidity providers and investors and is consistent with CMU goals. However, the Taskforce believes ESMA should administer the post-trade deferral regime, as the view is it would be easier to administer if it were managed centrally.  </w:t>
      </w:r>
    </w:p>
    <w:p w14:paraId="443D547D" w14:textId="77777777" w:rsidR="009B0A4B" w:rsidRPr="00692BC4" w:rsidRDefault="009B0A4B" w:rsidP="009B0A4B"/>
    <w:p w14:paraId="7FDF114E" w14:textId="77777777" w:rsidR="009B0A4B" w:rsidRPr="00692BC4" w:rsidRDefault="009B0A4B" w:rsidP="009B0A4B">
      <w:r w:rsidRPr="00692BC4">
        <w:t xml:space="preserve">Important to note, any harmonisation of deferral regime should not be uniformly set at the lowest level of available post-trade transparency thresholds under MiFID II/R. Instead, the uniform deferral regime should be based on the existing MiFID II/R deferral regime experienced by most market participants today. </w:t>
      </w:r>
    </w:p>
    <w:p w14:paraId="2BA7CBA2" w14:textId="77777777" w:rsidR="009B0A4B" w:rsidRPr="00692BC4" w:rsidRDefault="009B0A4B" w:rsidP="009B0A4B"/>
    <w:p w14:paraId="5F3BC7B6" w14:textId="77777777" w:rsidR="009B0A4B" w:rsidRPr="00692BC4" w:rsidRDefault="009B0A4B" w:rsidP="009B0A4B">
      <w:r w:rsidRPr="00692BC4">
        <w:t xml:space="preserve">Yet, as ESMA set out in point 130, industry participants should be allowed, as an exception, to set up agreements whereby transparency levels are set at higher levels of transparency exposure than the uniform post-trade MiFID II/R based transparency regime across the EU. As the example in point 130 states, the banking industry in Denmark has reached an agreement to ‘maintain the level of transparency available before MiFID II’ for some instruments. For mortgage bonds, market participants commit to publish information about transactions, as soon as possible after the trade is concluded for trade in sizes below max (DKK 120m, SSTI) and end of day above. </w:t>
      </w:r>
    </w:p>
    <w:p w14:paraId="1369845C" w14:textId="77777777" w:rsidR="009B0A4B" w:rsidRPr="00692BC4" w:rsidRDefault="009B0A4B" w:rsidP="009B0A4B"/>
    <w:p w14:paraId="7F574030" w14:textId="07707F1C" w:rsidR="008418E3" w:rsidRDefault="009B0A4B" w:rsidP="008418E3">
      <w:r w:rsidRPr="00692BC4">
        <w:t>The ICMA Taskforce considers this regional nuanced approach to be a niche country-specific exception to the rule of uniform and harmonised EU post-trade deferral regime based on current MiFID II/R deferrals.</w:t>
      </w:r>
      <w:r w:rsidR="008418E3">
        <w:t xml:space="preserve"> </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62354DEA" w14:textId="77777777" w:rsidR="001D2807" w:rsidRDefault="009B0A4B" w:rsidP="009B0A4B">
      <w:permStart w:id="675495160" w:edGrp="everyone"/>
      <w:r w:rsidRPr="00692BC4">
        <w:t>As stated in the answers to questions 3 and 4, the Taskforce is not in favour of wholescale deletion of SSTI, nor the SSTI tweaking unlevel options. However, the Taskforce could agree to potentially lowering the post-trade LIS threshold, if the LIS threshold is based on (industry verified and agreed) granular sub-asset class threshold levels. Bond thresholds should be based on (individual) sub-asset class MiFID II/R bond types.</w:t>
      </w:r>
    </w:p>
    <w:p w14:paraId="1FC4BFDA" w14:textId="5A7C00BE" w:rsidR="009B0A4B" w:rsidRPr="00692BC4" w:rsidRDefault="009B0A4B" w:rsidP="009B0A4B">
      <w:r w:rsidRPr="00692BC4">
        <w:t xml:space="preserve"> </w:t>
      </w:r>
    </w:p>
    <w:p w14:paraId="5A00DC58" w14:textId="77777777" w:rsidR="009B0A4B" w:rsidRPr="00692BC4" w:rsidRDefault="009B0A4B" w:rsidP="009B0A4B">
      <w:r w:rsidRPr="00692BC4">
        <w:t>Note: Currently bond sub-asset classes are based on MiFID II/R bond types: corporate, covered, convertible, sovereign and other public bonds.</w:t>
      </w:r>
    </w:p>
    <w:p w14:paraId="6E12071D" w14:textId="77777777" w:rsidR="009B0A4B" w:rsidRPr="00692BC4" w:rsidRDefault="009B0A4B" w:rsidP="009B0A4B"/>
    <w:p w14:paraId="44A7D9FF" w14:textId="77777777" w:rsidR="009B0A4B" w:rsidRPr="00692BC4" w:rsidRDefault="009B0A4B" w:rsidP="009B0A4B">
      <w:r w:rsidRPr="00692BC4">
        <w:t>Furthermore, ICMA Taskforce members would be in favour of carrying out in-depth analysis for a study into the impact on accuracy and potential benefits (or detriments to liquidity providers or investors) of increased transparency for a transparency regime based on investment grade/non-investment grade categories of bonds. In addition, the analysis would cover the impact of technology costs on market participants.</w:t>
      </w:r>
    </w:p>
    <w:p w14:paraId="7662EC37" w14:textId="77777777" w:rsidR="009B0A4B" w:rsidRPr="00692BC4" w:rsidRDefault="009B0A4B" w:rsidP="009B0A4B"/>
    <w:p w14:paraId="4C0CFF5A" w14:textId="03D325A3" w:rsidR="009B0A4B" w:rsidRPr="00692BC4" w:rsidRDefault="009B0A4B" w:rsidP="009B0A4B">
      <w:r w:rsidRPr="00692BC4">
        <w:t xml:space="preserve">The Taskforce view is that the best transparency regime is one that is not overly complicated or overengineered and </w:t>
      </w:r>
      <w:r w:rsidR="001D2807">
        <w:t xml:space="preserve">is </w:t>
      </w:r>
      <w:r w:rsidRPr="00692BC4">
        <w:t xml:space="preserve">in fact a transparency regime that works for all market participants in practice. Therefore, the Taskforce considers it appropriate to investigate IG/non-IG based LIS thresholds (without SSTI) as this could potentially prove to be a better and more workable transparency regime, easier for both industry participants and regulators. </w:t>
      </w:r>
    </w:p>
    <w:p w14:paraId="29AD05D3" w14:textId="77777777" w:rsidR="009B0A4B" w:rsidRPr="00692BC4" w:rsidRDefault="009B0A4B" w:rsidP="009B0A4B"/>
    <w:p w14:paraId="6DC5393B" w14:textId="77777777" w:rsidR="009B0A4B" w:rsidRPr="00692BC4" w:rsidRDefault="009B0A4B" w:rsidP="009B0A4B">
      <w:r w:rsidRPr="00692BC4">
        <w:lastRenderedPageBreak/>
        <w:t xml:space="preserve">In future, after proper analysis carried out by a representative group (banks, buy-sides, trading venues/APAs and data providers), </w:t>
      </w:r>
      <w:proofErr w:type="spellStart"/>
      <w:r w:rsidRPr="00692BC4">
        <w:t>MiFIR</w:t>
      </w:r>
      <w:proofErr w:type="spellEnd"/>
      <w:r w:rsidRPr="00692BC4">
        <w:t xml:space="preserve"> transparency regime could migrate to bond sub asset classes broken down to granular IG: corporate, sovereign, financial and Non-IG: emerging markets, high yield bonds.</w:t>
      </w:r>
    </w:p>
    <w:p w14:paraId="42317482" w14:textId="77777777" w:rsidR="009B0A4B" w:rsidRPr="00692BC4" w:rsidRDefault="009B0A4B" w:rsidP="009B0A4B"/>
    <w:p w14:paraId="7E4F849A" w14:textId="6E5DC777" w:rsidR="009B0A4B" w:rsidRPr="00692BC4" w:rsidRDefault="009B0A4B" w:rsidP="009B0A4B">
      <w:r w:rsidRPr="00692BC4">
        <w:t xml:space="preserve">ICMA would welcome working with its members to produce a study for ESMA (and the Commission if requested) into an investment grade/non-investment grade-based transparency regime. Ideally, analysing LIS bond thresholds with the aim of finding a balanced transparency regime, </w:t>
      </w:r>
      <w:r w:rsidR="00213CE1">
        <w:t xml:space="preserve">which </w:t>
      </w:r>
      <w:r w:rsidRPr="00692BC4">
        <w:t>protects liquidity providers and investors</w:t>
      </w:r>
      <w:r w:rsidR="00213CE1">
        <w:t xml:space="preserve"> and</w:t>
      </w:r>
      <w:r w:rsidRPr="00692BC4">
        <w:t xml:space="preserve"> is simpler to implement</w:t>
      </w:r>
      <w:r w:rsidR="00213CE1">
        <w:t>,</w:t>
      </w:r>
      <w:r w:rsidRPr="00692BC4">
        <w:t xml:space="preserve"> and potentially more accurate.</w:t>
      </w:r>
    </w:p>
    <w:p w14:paraId="4B9EFEEE" w14:textId="77777777" w:rsidR="009B0A4B" w:rsidRPr="00692BC4" w:rsidRDefault="009B0A4B" w:rsidP="009B0A4B"/>
    <w:p w14:paraId="77303C55" w14:textId="51E9C569" w:rsidR="00F469F8" w:rsidRDefault="009B0A4B" w:rsidP="00F469F8">
      <w:r w:rsidRPr="00692BC4">
        <w:t>Nevertheless, any future recommendation for a migration to IG/Non-IG based transparency regime from the current IBIA/COFIA regime would require clear evidence of significant benefits for bond markets.</w:t>
      </w:r>
      <w:r w:rsidR="00F469F8">
        <w:t xml:space="preserve"> </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0CE92916" w14:textId="77777777" w:rsidR="009B0A4B" w:rsidRPr="00692BC4" w:rsidRDefault="009B0A4B" w:rsidP="009B0A4B">
      <w:permStart w:id="227761104" w:edGrp="everyone"/>
      <w:r w:rsidRPr="00692BC4">
        <w:t>The Taskforce does not support any real-time volume or price publication for illiquid, SSTI or LIS transactions.</w:t>
      </w:r>
    </w:p>
    <w:p w14:paraId="67D9D7CE" w14:textId="77777777" w:rsidR="009B0A4B" w:rsidRPr="00692BC4" w:rsidRDefault="009B0A4B" w:rsidP="009B0A4B"/>
    <w:p w14:paraId="1B69D7E6" w14:textId="3EF5EF4F" w:rsidR="00F469F8" w:rsidRDefault="009B0A4B" w:rsidP="00F469F8">
      <w:r w:rsidRPr="00692BC4">
        <w:t>It is important to understand why volume as well as price masking is important to market participants. For example, in Sweden there are very few liquidity providers. This makes the volume and price information very sensitive since other market participants can determine which liquidity provider is carrying the position based on the price/volume information. Not having volume and price masking would result in less aggressive pricing to investors. Therefore, these liquidity providers need the protection of having both price and volume masking.</w:t>
      </w:r>
      <w:r w:rsidR="00F469F8">
        <w:t xml:space="preserve"> </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244B52D4" w14:textId="77777777" w:rsidR="009B0A4B" w:rsidRPr="00692BC4" w:rsidRDefault="009B0A4B" w:rsidP="009B0A4B">
      <w:pPr>
        <w:pStyle w:val="BNPP"/>
        <w:rPr>
          <w:rFonts w:asciiTheme="minorHAnsi" w:hAnsiTheme="minorHAnsi" w:cstheme="minorHAnsi"/>
          <w:color w:val="auto"/>
          <w:sz w:val="22"/>
          <w:szCs w:val="22"/>
          <w:lang w:val="en-US"/>
        </w:rPr>
      </w:pPr>
      <w:permStart w:id="308116658" w:edGrp="everyone"/>
      <w:r w:rsidRPr="00692BC4">
        <w:rPr>
          <w:rFonts w:asciiTheme="minorHAnsi" w:hAnsiTheme="minorHAnsi" w:cstheme="minorHAnsi"/>
          <w:color w:val="auto"/>
          <w:sz w:val="22"/>
          <w:szCs w:val="22"/>
        </w:rPr>
        <w:t xml:space="preserve">Regarding the suggestion to publish </w:t>
      </w:r>
      <w:r w:rsidRPr="00692BC4">
        <w:rPr>
          <w:rFonts w:asciiTheme="minorHAnsi" w:hAnsiTheme="minorHAnsi" w:cstheme="minorHAnsi"/>
          <w:color w:val="auto"/>
          <w:sz w:val="22"/>
          <w:szCs w:val="22"/>
          <w:lang w:val="en-US"/>
        </w:rPr>
        <w:t xml:space="preserve">volume or price information following a transaction, such as two calendar weeks, Taskforce members agree this suggestion would not benefit market participants. Buy-side Taskforce members in particular, believe two-week-old information does not support price formation any better than four-week-old information. </w:t>
      </w:r>
    </w:p>
    <w:p w14:paraId="78B54EED" w14:textId="77777777" w:rsidR="009B0A4B" w:rsidRPr="00692BC4" w:rsidRDefault="009B0A4B" w:rsidP="009B0A4B">
      <w:pPr>
        <w:rPr>
          <w:lang w:val="en-US"/>
        </w:rPr>
      </w:pPr>
    </w:p>
    <w:p w14:paraId="5EA1D7FA" w14:textId="77777777" w:rsidR="009B0A4B" w:rsidRPr="00692BC4" w:rsidRDefault="009B0A4B" w:rsidP="009B0A4B">
      <w:pPr>
        <w:pStyle w:val="BNPP"/>
        <w:ind w:left="0"/>
        <w:rPr>
          <w:rFonts w:asciiTheme="minorHAnsi" w:hAnsiTheme="minorHAnsi" w:cstheme="minorHAnsi"/>
          <w:color w:val="auto"/>
          <w:sz w:val="22"/>
          <w:szCs w:val="22"/>
        </w:rPr>
      </w:pPr>
      <w:r w:rsidRPr="00692BC4">
        <w:rPr>
          <w:rFonts w:asciiTheme="minorHAnsi" w:hAnsiTheme="minorHAnsi" w:cstheme="minorHAnsi"/>
          <w:color w:val="auto"/>
          <w:sz w:val="22"/>
          <w:szCs w:val="22"/>
        </w:rPr>
        <w:t xml:space="preserve">Therefore, ICMA Taskforce members do </w:t>
      </w:r>
      <w:r w:rsidRPr="00692BC4">
        <w:rPr>
          <w:rFonts w:asciiTheme="minorHAnsi" w:hAnsiTheme="minorHAnsi" w:cstheme="minorHAnsi"/>
          <w:color w:val="auto"/>
          <w:sz w:val="22"/>
          <w:szCs w:val="22"/>
          <w:u w:val="single"/>
        </w:rPr>
        <w:t>not</w:t>
      </w:r>
      <w:r w:rsidRPr="00692BC4">
        <w:rPr>
          <w:rFonts w:asciiTheme="minorHAnsi" w:hAnsiTheme="minorHAnsi" w:cstheme="minorHAnsi"/>
          <w:color w:val="auto"/>
          <w:sz w:val="22"/>
          <w:szCs w:val="22"/>
        </w:rPr>
        <w:t xml:space="preserve"> support any change in the volume or price publication for illiquid or LIS transactions and that options 1, 2 and 3 are not appropriate for bond market participants.</w:t>
      </w:r>
    </w:p>
    <w:p w14:paraId="01E771A8" w14:textId="77777777" w:rsidR="009B0A4B" w:rsidRPr="00692BC4" w:rsidRDefault="009B0A4B" w:rsidP="009B0A4B"/>
    <w:p w14:paraId="26FFF9B9" w14:textId="77777777" w:rsidR="009B0A4B" w:rsidRPr="00692BC4" w:rsidRDefault="009B0A4B" w:rsidP="009B0A4B">
      <w:r w:rsidRPr="00692BC4">
        <w:t>Furthermore, the Taskforce agrees that any ESMA decisions relating to modifications to the existing transparency regime should be coordinated with ESMA’s Data Advisory Group “DAG”. This would allow time for the DAG to study and verify ESMA’s transparency data in order to work with ESMA to mutually agree the bond market is ready for any proposed changes to transparency practices.</w:t>
      </w:r>
    </w:p>
    <w:p w14:paraId="451BF0D2" w14:textId="77777777" w:rsidR="009B0A4B" w:rsidRPr="00692BC4" w:rsidRDefault="009B0A4B" w:rsidP="009B0A4B"/>
    <w:p w14:paraId="5BF28520" w14:textId="77777777" w:rsidR="009B0A4B" w:rsidRPr="00692BC4" w:rsidRDefault="009B0A4B" w:rsidP="009B0A4B">
      <w:r w:rsidRPr="00692BC4">
        <w:rPr>
          <w:b/>
          <w:bCs/>
        </w:rPr>
        <w:lastRenderedPageBreak/>
        <w:t xml:space="preserve">DAG: Independently verify bond liquidity and threshold data output with ESMA’s DAG (Data Advisory Group). </w:t>
      </w:r>
      <w:r w:rsidRPr="00692BC4">
        <w:t>The ‘DAG’ as set up by ESMA, has industry ‘operational level’ experts, including trading venues, APAs, data providers, sell-side banks (global and EU headquartered), Institutional Investors (global and EU headquartered) and intermediaries. In addition, the ‘DAG’ should make sure the APA representatives are from the top APA providers as listed on ESMA’s website, as those data repositories should have the most accurate data sets.</w:t>
      </w:r>
    </w:p>
    <w:p w14:paraId="01E9F87E" w14:textId="77777777" w:rsidR="009B0A4B" w:rsidRPr="00692BC4" w:rsidRDefault="009B0A4B" w:rsidP="009B0A4B"/>
    <w:p w14:paraId="07EEA16A" w14:textId="5543A464" w:rsidR="009B0A4B" w:rsidRPr="00692BC4" w:rsidRDefault="009B0A4B" w:rsidP="009B0A4B">
      <w:r w:rsidRPr="00692BC4">
        <w:t xml:space="preserve">The DAG “informs the DSC* on matters of practical implementation of reporting requirements which require clarifications or adaptations”, according to ESMA. ICMA’s Taskforce believes the ‘DAG’ should work alongside Data Standing Committee (DSC) in an interactive actionable manner to collectively produce good quality liquid bond </w:t>
      </w:r>
      <w:r w:rsidR="005F0558">
        <w:t xml:space="preserve">and transparency </w:t>
      </w:r>
      <w:r w:rsidRPr="00692BC4">
        <w:t>data.</w:t>
      </w:r>
    </w:p>
    <w:p w14:paraId="68B3165B" w14:textId="77777777" w:rsidR="009B0A4B" w:rsidRPr="00692BC4" w:rsidRDefault="009B0A4B" w:rsidP="009B0A4B"/>
    <w:p w14:paraId="396D9065" w14:textId="77777777" w:rsidR="009B0A4B" w:rsidRPr="00692BC4" w:rsidRDefault="009B0A4B" w:rsidP="009B0A4B">
      <w:r w:rsidRPr="00692BC4">
        <w:t>The Taskforce also believes no liquidity stage advancement should be considered before the liquid bond data universe, data set and liquidity output are verified as accurate by the ‘DAG’.</w:t>
      </w:r>
    </w:p>
    <w:p w14:paraId="3B493A19" w14:textId="77777777" w:rsidR="009B0A4B" w:rsidRPr="00692BC4" w:rsidRDefault="009B0A4B" w:rsidP="009B0A4B"/>
    <w:p w14:paraId="0346AEE5" w14:textId="7E721090" w:rsidR="009B0A4B" w:rsidRPr="00692BC4" w:rsidRDefault="009B0A4B" w:rsidP="009B0A4B">
      <w:r w:rsidRPr="00692BC4">
        <w:t xml:space="preserve">Data quality and universe is a major issue – The Taskforce assumes ESMA is looking at all APA data and trading venue data (which is not reported to APAs) as the universe of trading venue and OTC bond trades to analyse from. If this is not the universe, this </w:t>
      </w:r>
      <w:r w:rsidR="005F0558">
        <w:t xml:space="preserve">could be a </w:t>
      </w:r>
      <w:r w:rsidRPr="00692BC4">
        <w:t>problem.</w:t>
      </w:r>
    </w:p>
    <w:p w14:paraId="49B04A8D" w14:textId="77777777" w:rsidR="009B0A4B" w:rsidRPr="00692BC4" w:rsidRDefault="009B0A4B" w:rsidP="009B0A4B"/>
    <w:p w14:paraId="0B28E862" w14:textId="77777777" w:rsidR="009B0A4B" w:rsidRPr="00692BC4" w:rsidRDefault="009B0A4B" w:rsidP="009B0A4B">
      <w:r w:rsidRPr="00692BC4">
        <w:t>The Taskforce is concerned the data set is based only on trading venue and exchange data and not using relevant APA data, which encapsulates both TV and OTC and SI trades. If this is the case, SI and OTC data is potentially missing from the liquidity calculations and therefore contributing to the liquidity errors the industry has witnessed.</w:t>
      </w:r>
    </w:p>
    <w:p w14:paraId="3B67A3F6" w14:textId="77777777" w:rsidR="009B0A4B" w:rsidRPr="00692BC4" w:rsidRDefault="009B0A4B" w:rsidP="009B0A4B"/>
    <w:p w14:paraId="1209DC3A" w14:textId="77777777" w:rsidR="009B0A4B" w:rsidRPr="00692BC4" w:rsidRDefault="009B0A4B" w:rsidP="009B0A4B">
      <w:r w:rsidRPr="00692BC4">
        <w:t>Actions the DAG, working alongside the DSC could take:</w:t>
      </w:r>
    </w:p>
    <w:p w14:paraId="1F5257F7" w14:textId="77777777" w:rsidR="009B0A4B" w:rsidRPr="00692BC4" w:rsidRDefault="009B0A4B" w:rsidP="009B0A4B">
      <w:pPr>
        <w:pStyle w:val="ListParagraph"/>
        <w:numPr>
          <w:ilvl w:val="0"/>
          <w:numId w:val="43"/>
        </w:numPr>
        <w:spacing w:line="259" w:lineRule="auto"/>
      </w:pPr>
      <w:r w:rsidRPr="00692BC4">
        <w:t>Be able to detect outliers / data quality errors</w:t>
      </w:r>
    </w:p>
    <w:p w14:paraId="35056FBB" w14:textId="77777777" w:rsidR="009B0A4B" w:rsidRPr="00692BC4" w:rsidRDefault="009B0A4B" w:rsidP="009B0A4B">
      <w:pPr>
        <w:pStyle w:val="ListParagraph"/>
        <w:numPr>
          <w:ilvl w:val="1"/>
          <w:numId w:val="43"/>
        </w:numPr>
        <w:spacing w:line="259" w:lineRule="auto"/>
      </w:pPr>
      <w:r w:rsidRPr="00692BC4">
        <w:t>For example, by comparing with third party market data</w:t>
      </w:r>
    </w:p>
    <w:p w14:paraId="2C9C19F9" w14:textId="77777777" w:rsidR="009B0A4B" w:rsidRPr="00692BC4" w:rsidRDefault="009B0A4B" w:rsidP="009B0A4B">
      <w:pPr>
        <w:pStyle w:val="ListParagraph"/>
        <w:numPr>
          <w:ilvl w:val="0"/>
          <w:numId w:val="43"/>
        </w:numPr>
        <w:spacing w:line="259" w:lineRule="auto"/>
      </w:pPr>
      <w:proofErr w:type="gramStart"/>
      <w:r w:rsidRPr="00692BC4">
        <w:t>Take action</w:t>
      </w:r>
      <w:proofErr w:type="gramEnd"/>
      <w:r w:rsidRPr="00692BC4">
        <w:t xml:space="preserve"> against those outliers</w:t>
      </w:r>
    </w:p>
    <w:p w14:paraId="7B9D3268" w14:textId="77777777" w:rsidR="009B0A4B" w:rsidRPr="00692BC4" w:rsidRDefault="009B0A4B" w:rsidP="009B0A4B">
      <w:pPr>
        <w:pStyle w:val="ListParagraph"/>
        <w:numPr>
          <w:ilvl w:val="1"/>
          <w:numId w:val="43"/>
        </w:numPr>
        <w:spacing w:line="259" w:lineRule="auto"/>
      </w:pPr>
      <w:r w:rsidRPr="00692BC4">
        <w:t>= not taking them into account in calculations</w:t>
      </w:r>
    </w:p>
    <w:p w14:paraId="58A3AE86" w14:textId="77777777" w:rsidR="009B0A4B" w:rsidRPr="00692BC4" w:rsidRDefault="009B0A4B" w:rsidP="009B0A4B">
      <w:pPr>
        <w:pStyle w:val="ListParagraph"/>
        <w:numPr>
          <w:ilvl w:val="1"/>
          <w:numId w:val="43"/>
        </w:numPr>
        <w:spacing w:line="259" w:lineRule="auto"/>
      </w:pPr>
      <w:r w:rsidRPr="00692BC4">
        <w:t>+ follow up with outliers data provider (supervision)</w:t>
      </w:r>
    </w:p>
    <w:p w14:paraId="1A6B3681" w14:textId="77777777" w:rsidR="009B0A4B" w:rsidRPr="00692BC4" w:rsidRDefault="009B0A4B" w:rsidP="009B0A4B">
      <w:pPr>
        <w:pStyle w:val="ListParagraph"/>
        <w:numPr>
          <w:ilvl w:val="0"/>
          <w:numId w:val="43"/>
        </w:numPr>
        <w:spacing w:line="259" w:lineRule="auto"/>
      </w:pPr>
      <w:r w:rsidRPr="00692BC4">
        <w:t>Analyse data to detect missing data</w:t>
      </w:r>
    </w:p>
    <w:p w14:paraId="1E16B4F4" w14:textId="77777777" w:rsidR="009B0A4B" w:rsidRPr="00692BC4" w:rsidRDefault="009B0A4B" w:rsidP="009B0A4B">
      <w:pPr>
        <w:pStyle w:val="ListParagraph"/>
        <w:numPr>
          <w:ilvl w:val="1"/>
          <w:numId w:val="43"/>
        </w:numPr>
        <w:spacing w:line="259" w:lineRule="auto"/>
      </w:pPr>
      <w:r w:rsidRPr="00692BC4">
        <w:t>For example, compare with third party market data, they could find the top 100 most traded bonds on the data provider with the most bond data.</w:t>
      </w:r>
    </w:p>
    <w:p w14:paraId="6828B00E" w14:textId="77777777" w:rsidR="009B0A4B" w:rsidRPr="00692BC4" w:rsidRDefault="009B0A4B" w:rsidP="009B0A4B">
      <w:pPr>
        <w:pStyle w:val="ListParagraph"/>
        <w:numPr>
          <w:ilvl w:val="1"/>
          <w:numId w:val="43"/>
        </w:numPr>
        <w:spacing w:line="259" w:lineRule="auto"/>
      </w:pPr>
      <w:r w:rsidRPr="00692BC4">
        <w:t>If not, investigate / challenge TV, APAs, Investment firms</w:t>
      </w:r>
    </w:p>
    <w:p w14:paraId="7BF70ADC" w14:textId="77777777" w:rsidR="009B0A4B" w:rsidRPr="00692BC4" w:rsidRDefault="009B0A4B" w:rsidP="009B0A4B"/>
    <w:p w14:paraId="4F688AD7" w14:textId="4B7C766B" w:rsidR="009B0A4B" w:rsidRPr="00692BC4" w:rsidRDefault="009B0A4B" w:rsidP="009B0A4B">
      <w:r w:rsidRPr="00692BC4">
        <w:t>ESMA proactively working alongside the DAG, including taking all necessary actions to resolve data quality issues including using ‘outlier advanced analytics</w:t>
      </w:r>
      <w:r w:rsidR="005F0558">
        <w:t>’</w:t>
      </w:r>
      <w:r w:rsidRPr="00692BC4">
        <w:t xml:space="preserve"> will improve bond data quality and liquidity assessments.</w:t>
      </w:r>
    </w:p>
    <w:p w14:paraId="78A329C0" w14:textId="77777777" w:rsidR="009B0A4B" w:rsidRPr="00692BC4" w:rsidRDefault="009B0A4B" w:rsidP="009B0A4B"/>
    <w:p w14:paraId="2685AE2D" w14:textId="77777777" w:rsidR="009B0A4B" w:rsidRPr="00692BC4" w:rsidRDefault="009B0A4B" w:rsidP="009B0A4B">
      <w:pPr>
        <w:rPr>
          <w:b/>
          <w:bCs/>
        </w:rPr>
      </w:pPr>
      <w:r w:rsidRPr="00692BC4">
        <w:t xml:space="preserve">Important to note, if the ‘DAG’ reviewed the liquidity data output and worked with ESMA to dynamically rectify and correct the data and then verify the data was correct, the industry could rely more on the list of liquid bonds. </w:t>
      </w:r>
      <w:r w:rsidRPr="00692BC4">
        <w:rPr>
          <w:b/>
          <w:bCs/>
        </w:rPr>
        <w:t>This would lead industry to potentially feel more comfortable with simplifying transparency regime, including thresholds and deferral periods.</w:t>
      </w:r>
    </w:p>
    <w:p w14:paraId="7177BEE6" w14:textId="77777777" w:rsidR="009B0A4B" w:rsidRPr="00692BC4" w:rsidRDefault="009B0A4B" w:rsidP="009B0A4B">
      <w:pPr>
        <w:rPr>
          <w:b/>
          <w:bCs/>
        </w:rPr>
      </w:pPr>
    </w:p>
    <w:p w14:paraId="19E3737F" w14:textId="77777777" w:rsidR="009B0A4B" w:rsidRDefault="009B0A4B" w:rsidP="009B0A4B">
      <w:pPr>
        <w:rPr>
          <w:color w:val="00B050"/>
        </w:rPr>
      </w:pPr>
      <w:r w:rsidRPr="00692BC4">
        <w:t>*</w:t>
      </w:r>
      <w:r w:rsidRPr="00692BC4">
        <w:rPr>
          <w:b/>
          <w:bCs/>
        </w:rPr>
        <w:t xml:space="preserve">Data Standing Committee: </w:t>
      </w:r>
      <w:hyperlink r:id="rId20" w:history="1">
        <w:r w:rsidRPr="005B1EEA">
          <w:rPr>
            <w:rStyle w:val="Hyperlink"/>
          </w:rPr>
          <w:t>https://www.esma.europea.eu/about-esma/working-methods/standing-committees</w:t>
        </w:r>
      </w:hyperlink>
    </w:p>
    <w:p w14:paraId="45D27F04" w14:textId="77777777" w:rsidR="009B0A4B" w:rsidRDefault="009B0A4B" w:rsidP="009B0A4B">
      <w:pPr>
        <w:rPr>
          <w:color w:val="00B050"/>
        </w:rPr>
      </w:pPr>
    </w:p>
    <w:p w14:paraId="375F98EA" w14:textId="3D37F6B7" w:rsidR="009B0A4B" w:rsidRPr="00692BC4" w:rsidRDefault="009B0A4B" w:rsidP="009B0A4B">
      <w:r w:rsidRPr="00692BC4">
        <w:t xml:space="preserve">In addition, and as mentioned in the answer to question 11, the Taskforce view is that the best transparency regime is one that is not overly complicated or overengineered and in fact is a transparency regime that works for all market participants in practice. Therefore, the Taskforce considers it appropriate to investigate IG/non-IG based LIS thresholds (without SSTI) as this could potentially prove to be a better and more workable transparency regime, easier for both industry participants and regulators. In future, after proper analysis </w:t>
      </w:r>
      <w:r w:rsidR="005F0558">
        <w:t xml:space="preserve">is </w:t>
      </w:r>
      <w:r w:rsidRPr="00692BC4">
        <w:t xml:space="preserve">carried out by a representative group (banks, buy-sides, trading venues/APAs and data providers),  </w:t>
      </w:r>
      <w:proofErr w:type="spellStart"/>
      <w:r w:rsidRPr="00692BC4">
        <w:t>MiFIR</w:t>
      </w:r>
      <w:proofErr w:type="spellEnd"/>
      <w:r w:rsidRPr="00692BC4">
        <w:t xml:space="preserve"> transparency regime could migrate to bond sub asset classes broken down to granular IG: corporate, sovereign, financial and Non-IG: emerging markets, high yield bonds.</w:t>
      </w:r>
    </w:p>
    <w:p w14:paraId="697A2864" w14:textId="77777777" w:rsidR="009B0A4B" w:rsidRPr="00692BC4" w:rsidRDefault="009B0A4B" w:rsidP="009B0A4B"/>
    <w:p w14:paraId="0E6C66F0" w14:textId="77777777" w:rsidR="009B0A4B" w:rsidRPr="00692BC4" w:rsidRDefault="009B0A4B" w:rsidP="009B0A4B">
      <w:r w:rsidRPr="00692BC4">
        <w:lastRenderedPageBreak/>
        <w:t>ICMA would welcome working with its members to produce a study for ESMA (and the Commission if requested) into an investment grade/non-investment grade-based transparency regime. Ideally, analysing LIS bond thresholds with the aim of finding a balanced transparency regime, which protects liquidity providers and investors, that is simpler to implement and is potentially more accurate.</w:t>
      </w:r>
    </w:p>
    <w:p w14:paraId="6FB5BA29" w14:textId="77777777" w:rsidR="009B0A4B" w:rsidRPr="00692BC4" w:rsidRDefault="009B0A4B" w:rsidP="009B0A4B"/>
    <w:p w14:paraId="536EE512" w14:textId="5541B671" w:rsidR="00646C30" w:rsidRDefault="009B0A4B" w:rsidP="00646C30">
      <w:r w:rsidRPr="00692BC4">
        <w:t>Nevertheless, any future recommendation for a migration to IG/Non-IG based transparency regime from the current IBIA/COFIA regime would require clear evidence of significant benefits for bond markets.</w:t>
      </w:r>
      <w:r w:rsidR="00646C30">
        <w:t xml:space="preserve"> </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7178C2DD" w:rsidR="00646C30" w:rsidRDefault="009B0A4B" w:rsidP="00646C30">
      <w:permStart w:id="699085938" w:edGrp="everyone"/>
      <w:r w:rsidRPr="00692BC4">
        <w:t xml:space="preserve">ICMA’s Taskforce disagrees. There should not be a stronger focus on enforcement. Enforcement will not improve the </w:t>
      </w:r>
      <w:proofErr w:type="spellStart"/>
      <w:r w:rsidRPr="00692BC4">
        <w:t>MiFIR</w:t>
      </w:r>
      <w:proofErr w:type="spellEnd"/>
      <w:r w:rsidRPr="00692BC4">
        <w:t xml:space="preserve"> reporting field ambiguity that exists today. Instead, ICMA believes ESMA’s focus should be on industry interaction and engagement. Currently, there is not enough industry participation with ESMA. The belief is the more input from industry experts and two-way communication, the more dynamic improvement to ESMA specifications and industry participant interpretation. Resulting in more clarity for market participants overall.</w:t>
      </w:r>
      <w:r w:rsidR="00646C30">
        <w:t xml:space="preserve"> </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65E1AC78" w14:textId="77777777" w:rsidR="009B0A4B" w:rsidRPr="00692BC4" w:rsidRDefault="009B0A4B" w:rsidP="009B0A4B">
      <w:permStart w:id="1271415520" w:edGrp="everyone"/>
      <w:r w:rsidRPr="00692BC4">
        <w:t>A uniform harmonised deferral regime across the EU would help with the quality of a bond consolidated tape. Data quality and changes to MiFID II/R level one will also improve the workability of a bond consolidated tape.</w:t>
      </w:r>
    </w:p>
    <w:p w14:paraId="1DA26D02" w14:textId="77777777" w:rsidR="009B0A4B" w:rsidRPr="00692BC4" w:rsidRDefault="009B0A4B" w:rsidP="009B0A4B"/>
    <w:p w14:paraId="7B3CB167" w14:textId="77777777" w:rsidR="009B0A4B" w:rsidRPr="00692BC4" w:rsidRDefault="009B0A4B" w:rsidP="009B0A4B">
      <w:r w:rsidRPr="00692BC4">
        <w:t>The responsibility for data feed provision should be changed from the CTP’s obligation to ‘obtain’ data, to stating that trading venues and APAs have an obligation to ‘provide’ data to the CTP. This obligation would be extended to self-reporting firms as applicable.</w:t>
      </w:r>
    </w:p>
    <w:p w14:paraId="626EA7CA" w14:textId="77777777" w:rsidR="009B0A4B" w:rsidRPr="00692BC4" w:rsidRDefault="009B0A4B" w:rsidP="009B0A4B"/>
    <w:p w14:paraId="4A27D576" w14:textId="77777777" w:rsidR="009B0A4B" w:rsidRPr="00692BC4" w:rsidRDefault="009B0A4B" w:rsidP="009B0A4B">
      <w:r w:rsidRPr="00692BC4">
        <w:t xml:space="preserve">Data quality and data standardisation are key elements for a good quality and usable bond consolidated tape. For example, the following data quality improvements need to be addressed in order to create a reliable consolidated tape: misclassification of CFI codes, notional vs quantity field interpretations, flag instructions, publication of zero price trades, incorrect timestamps and publication of aggregated trades. </w:t>
      </w:r>
    </w:p>
    <w:p w14:paraId="7534EAFA" w14:textId="77777777" w:rsidR="009B0A4B" w:rsidRPr="00692BC4" w:rsidRDefault="009B0A4B" w:rsidP="009B0A4B"/>
    <w:p w14:paraId="0C11162E" w14:textId="02A3A5A3" w:rsidR="00646C30" w:rsidRDefault="009B0A4B" w:rsidP="00646C30">
      <w:r w:rsidRPr="00692BC4">
        <w:t xml:space="preserve">More information regarding what is required to create an EU bond consolidated tape can be found in ICMA’s report to the European Commission on EU CT for bond markets. </w:t>
      </w:r>
      <w:hyperlink r:id="rId21" w:history="1">
        <w:r w:rsidRPr="00B62AB1">
          <w:rPr>
            <w:rStyle w:val="Hyperlink"/>
          </w:rPr>
          <w:t>https://www.icmagroup.org/News/news-in-brief/icma-publishes-an-in-depth-report-on-consolidated-tape-for-greater-post-trade-transparency-in-the-eu-bond-markets/</w:t>
        </w:r>
      </w:hyperlink>
      <w:r w:rsidR="00646C30">
        <w:t xml:space="preserve"> </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lastRenderedPageBreak/>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1D3CFD21" w:rsidR="00646C30" w:rsidRDefault="009119D7" w:rsidP="00646C30">
      <w:permStart w:id="2130212544" w:edGrp="everyone"/>
      <w:r>
        <w:t>N/A</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20C80100" w:rsidR="00646C30" w:rsidRDefault="009119D7" w:rsidP="00646C30">
      <w:permStart w:id="96027498" w:edGrp="everyone"/>
      <w:r>
        <w:t>N/A</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15DEE585" w:rsidR="00646C30" w:rsidRDefault="009119D7" w:rsidP="00646C30">
      <w:permStart w:id="70923797" w:edGrp="everyone"/>
      <w:r>
        <w:t>N/A</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4A4EB697" w:rsidR="00646C30" w:rsidRDefault="009B0A4B" w:rsidP="00646C30">
      <w:permStart w:id="1628391240" w:edGrp="everyone"/>
      <w:r w:rsidRPr="00692BC4">
        <w:t>The taskforce view is that this backstop is there for extreme market conditions, while the backstop has never been used, it could be necessary in future and therefore should not be deleted.</w:t>
      </w:r>
      <w:r w:rsidR="00646C30">
        <w:t xml:space="preserve"> </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DFA8CD8" w:rsidR="001129F9" w:rsidRDefault="009119D7" w:rsidP="001129F9">
      <w:permStart w:id="951131482" w:edGrp="everyone"/>
      <w:r>
        <w:t>N/A</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5B5E2975" w:rsidR="00646C30" w:rsidRDefault="009119D7" w:rsidP="00646C30">
      <w:permStart w:id="37382354" w:edGrp="everyone"/>
      <w:r>
        <w:t>N/A</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5A4A78A9" w:rsidR="00646C30" w:rsidRDefault="009119D7" w:rsidP="00646C30">
      <w:permStart w:id="71373738" w:edGrp="everyone"/>
      <w:r>
        <w:t>N/A</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63D0FF82" w:rsidR="00646C30" w:rsidRDefault="009119D7" w:rsidP="00646C30">
      <w:permStart w:id="2102155623" w:edGrp="everyone"/>
      <w:r>
        <w:t>N/A</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66278E5A" w:rsidR="00646C30" w:rsidRDefault="009119D7" w:rsidP="00646C30">
      <w:permStart w:id="160242055" w:edGrp="everyone"/>
      <w:r>
        <w:t>N/A</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7E92EA3A" w14:textId="728B1534" w:rsidR="009B0A4B" w:rsidRPr="00692BC4" w:rsidRDefault="009B0A4B" w:rsidP="009B0A4B">
      <w:permStart w:id="203690501" w:edGrp="everyone"/>
      <w:r w:rsidRPr="00692BC4">
        <w:t xml:space="preserve">The liquidity calculation for bonds or ‘methodology’ is not complex per se as you can see below: </w:t>
      </w:r>
    </w:p>
    <w:p w14:paraId="6530B658" w14:textId="77777777" w:rsidR="009B0A4B" w:rsidRPr="00692BC4" w:rsidRDefault="009B0A4B" w:rsidP="009B0A4B"/>
    <w:p w14:paraId="18D030CD" w14:textId="77777777" w:rsidR="009B0A4B" w:rsidRPr="00692BC4" w:rsidRDefault="009B0A4B" w:rsidP="009B0A4B">
      <w:pPr>
        <w:rPr>
          <w:b/>
          <w:bCs/>
        </w:rPr>
      </w:pPr>
      <w:r w:rsidRPr="00692BC4">
        <w:rPr>
          <w:b/>
          <w:bCs/>
        </w:rPr>
        <w:t xml:space="preserve">‘Liquidity Test’ (Floors) - </w:t>
      </w:r>
      <w:r w:rsidRPr="00692BC4">
        <w:t>(Liquidity test is by Class (COFIA) for new issues)</w:t>
      </w:r>
    </w:p>
    <w:p w14:paraId="05ECF25B" w14:textId="77777777" w:rsidR="009B0A4B" w:rsidRPr="00692BC4" w:rsidRDefault="009B0A4B" w:rsidP="009B0A4B">
      <w:r w:rsidRPr="00692BC4">
        <w:t>Above 100k on 80% of days</w:t>
      </w:r>
    </w:p>
    <w:p w14:paraId="6E1A4447" w14:textId="77777777" w:rsidR="009B0A4B" w:rsidRPr="00692BC4" w:rsidRDefault="009B0A4B" w:rsidP="009B0A4B"/>
    <w:p w14:paraId="00BA52FB" w14:textId="77777777" w:rsidR="009B0A4B" w:rsidRPr="00692BC4" w:rsidRDefault="009B0A4B" w:rsidP="009B0A4B">
      <w:pPr>
        <w:rPr>
          <w:b/>
          <w:bCs/>
        </w:rPr>
      </w:pPr>
      <w:r w:rsidRPr="00692BC4">
        <w:rPr>
          <w:b/>
          <w:bCs/>
        </w:rPr>
        <w:t>Phased-in ‘liquidity test’ (advancement subject to ESMA assessment):</w:t>
      </w:r>
    </w:p>
    <w:p w14:paraId="070E0BFA" w14:textId="77777777" w:rsidR="009B0A4B" w:rsidRPr="00692BC4" w:rsidRDefault="009B0A4B" w:rsidP="009B0A4B">
      <w:pPr>
        <w:pStyle w:val="ListParagraph"/>
        <w:numPr>
          <w:ilvl w:val="0"/>
          <w:numId w:val="40"/>
        </w:numPr>
        <w:spacing w:line="259" w:lineRule="auto"/>
        <w:rPr>
          <w:b/>
          <w:bCs/>
        </w:rPr>
      </w:pPr>
      <w:r w:rsidRPr="00692BC4">
        <w:rPr>
          <w:b/>
          <w:bCs/>
        </w:rPr>
        <w:t>Year 1 (2018)</w:t>
      </w:r>
    </w:p>
    <w:p w14:paraId="40EE306A" w14:textId="77777777" w:rsidR="009B0A4B" w:rsidRPr="00692BC4" w:rsidRDefault="009B0A4B" w:rsidP="009B0A4B">
      <w:pPr>
        <w:ind w:firstLine="720"/>
        <w:rPr>
          <w:b/>
          <w:bCs/>
        </w:rPr>
      </w:pPr>
      <w:r w:rsidRPr="00692BC4">
        <w:rPr>
          <w:b/>
          <w:bCs/>
        </w:rPr>
        <w:t>-15 trades per/day</w:t>
      </w:r>
    </w:p>
    <w:p w14:paraId="0CC43980" w14:textId="77777777" w:rsidR="009B0A4B" w:rsidRPr="00692BC4" w:rsidRDefault="009B0A4B" w:rsidP="009B0A4B">
      <w:pPr>
        <w:rPr>
          <w:b/>
          <w:bCs/>
        </w:rPr>
      </w:pPr>
    </w:p>
    <w:p w14:paraId="5EDE9D58" w14:textId="77777777" w:rsidR="009B0A4B" w:rsidRPr="00692BC4" w:rsidRDefault="009B0A4B" w:rsidP="009B0A4B">
      <w:pPr>
        <w:pStyle w:val="ListParagraph"/>
        <w:numPr>
          <w:ilvl w:val="0"/>
          <w:numId w:val="40"/>
        </w:numPr>
        <w:spacing w:line="259" w:lineRule="auto"/>
        <w:rPr>
          <w:b/>
          <w:bCs/>
        </w:rPr>
      </w:pPr>
      <w:r w:rsidRPr="00692BC4">
        <w:rPr>
          <w:b/>
          <w:bCs/>
        </w:rPr>
        <w:t>Year 2 (2019)</w:t>
      </w:r>
    </w:p>
    <w:p w14:paraId="1D471B80" w14:textId="77777777" w:rsidR="009B0A4B" w:rsidRPr="00692BC4" w:rsidRDefault="009B0A4B" w:rsidP="009B0A4B">
      <w:pPr>
        <w:pStyle w:val="ListParagraph"/>
        <w:rPr>
          <w:b/>
          <w:bCs/>
        </w:rPr>
      </w:pPr>
      <w:r w:rsidRPr="00692BC4">
        <w:rPr>
          <w:b/>
          <w:bCs/>
        </w:rPr>
        <w:t>-10 trades per/day</w:t>
      </w:r>
    </w:p>
    <w:p w14:paraId="4BF6D1DE" w14:textId="77777777" w:rsidR="009B0A4B" w:rsidRPr="00692BC4" w:rsidRDefault="009B0A4B" w:rsidP="009B0A4B">
      <w:pPr>
        <w:rPr>
          <w:b/>
          <w:bCs/>
        </w:rPr>
      </w:pPr>
    </w:p>
    <w:p w14:paraId="56DE1FB8" w14:textId="77777777" w:rsidR="009B0A4B" w:rsidRPr="00692BC4" w:rsidRDefault="009B0A4B" w:rsidP="009B0A4B">
      <w:pPr>
        <w:pStyle w:val="ListParagraph"/>
        <w:numPr>
          <w:ilvl w:val="0"/>
          <w:numId w:val="40"/>
        </w:numPr>
        <w:spacing w:line="259" w:lineRule="auto"/>
        <w:rPr>
          <w:b/>
          <w:bCs/>
        </w:rPr>
      </w:pPr>
      <w:r w:rsidRPr="00692BC4">
        <w:rPr>
          <w:b/>
          <w:bCs/>
        </w:rPr>
        <w:t>Year 3 (2020)</w:t>
      </w:r>
    </w:p>
    <w:p w14:paraId="2273A92B" w14:textId="77777777" w:rsidR="009B0A4B" w:rsidRPr="00692BC4" w:rsidRDefault="009B0A4B" w:rsidP="009B0A4B">
      <w:pPr>
        <w:pStyle w:val="ListParagraph"/>
        <w:rPr>
          <w:b/>
          <w:bCs/>
        </w:rPr>
      </w:pPr>
      <w:r w:rsidRPr="00692BC4">
        <w:rPr>
          <w:b/>
          <w:bCs/>
        </w:rPr>
        <w:t>-7 trades per/day</w:t>
      </w:r>
    </w:p>
    <w:p w14:paraId="4A2D897F" w14:textId="77777777" w:rsidR="009B0A4B" w:rsidRPr="00692BC4" w:rsidRDefault="009B0A4B" w:rsidP="009B0A4B">
      <w:pPr>
        <w:rPr>
          <w:b/>
          <w:bCs/>
        </w:rPr>
      </w:pPr>
    </w:p>
    <w:p w14:paraId="5000B3CA" w14:textId="77777777" w:rsidR="009B0A4B" w:rsidRPr="00692BC4" w:rsidRDefault="009B0A4B" w:rsidP="009B0A4B">
      <w:pPr>
        <w:pStyle w:val="ListParagraph"/>
        <w:numPr>
          <w:ilvl w:val="0"/>
          <w:numId w:val="40"/>
        </w:numPr>
        <w:spacing w:line="259" w:lineRule="auto"/>
        <w:rPr>
          <w:b/>
          <w:bCs/>
        </w:rPr>
      </w:pPr>
      <w:r w:rsidRPr="00692BC4">
        <w:rPr>
          <w:b/>
          <w:bCs/>
        </w:rPr>
        <w:t>Year 4 (2021)</w:t>
      </w:r>
    </w:p>
    <w:p w14:paraId="45FE2061" w14:textId="77777777" w:rsidR="009B0A4B" w:rsidRPr="00692BC4" w:rsidRDefault="009B0A4B" w:rsidP="009B0A4B">
      <w:pPr>
        <w:pStyle w:val="ListParagraph"/>
        <w:rPr>
          <w:b/>
          <w:bCs/>
        </w:rPr>
      </w:pPr>
      <w:r w:rsidRPr="00692BC4">
        <w:rPr>
          <w:b/>
          <w:bCs/>
        </w:rPr>
        <w:t>-2 trades per/day</w:t>
      </w:r>
    </w:p>
    <w:p w14:paraId="412CF477" w14:textId="77777777" w:rsidR="009B0A4B" w:rsidRPr="00692BC4" w:rsidRDefault="009B0A4B" w:rsidP="009B0A4B">
      <w:pPr>
        <w:rPr>
          <w:highlight w:val="yellow"/>
        </w:rPr>
      </w:pPr>
    </w:p>
    <w:p w14:paraId="74AB6127" w14:textId="168D1333" w:rsidR="009B0A4B" w:rsidRDefault="009B0A4B" w:rsidP="009B0A4B">
      <w:r w:rsidRPr="00692BC4">
        <w:t xml:space="preserve">The Taskforce believes the complexity lies within data quality, </w:t>
      </w:r>
      <w:proofErr w:type="gramStart"/>
      <w:r w:rsidRPr="00692BC4">
        <w:t>standardisation</w:t>
      </w:r>
      <w:proofErr w:type="gramEnd"/>
      <w:r w:rsidRPr="00692BC4">
        <w:t xml:space="preserve"> and unverified data sets. Making these calculations simpler is not necessary. What is necessary is better quality data and a </w:t>
      </w:r>
      <w:r w:rsidRPr="00692BC4">
        <w:rPr>
          <w:b/>
          <w:bCs/>
        </w:rPr>
        <w:t>verifiable data set.</w:t>
      </w:r>
      <w:r w:rsidRPr="00692BC4">
        <w:t xml:space="preserve"> </w:t>
      </w:r>
    </w:p>
    <w:p w14:paraId="3D2652B6" w14:textId="77777777" w:rsidR="009119D7" w:rsidRPr="00692BC4" w:rsidRDefault="009119D7" w:rsidP="009B0A4B"/>
    <w:p w14:paraId="6DBB12E5" w14:textId="77777777" w:rsidR="009B0A4B" w:rsidRPr="00692BC4" w:rsidRDefault="009B0A4B" w:rsidP="009B0A4B">
      <w:r w:rsidRPr="00692BC4">
        <w:t>In order to attain accurate and verifiable liquidity calibration for bonds, ESMA should consider verifying the liquidity data output and data set with ESMA’s Data Advisory Group (DAG). More detail follows on ‘DAG’:</w:t>
      </w:r>
    </w:p>
    <w:p w14:paraId="3CD0D39A" w14:textId="77777777" w:rsidR="009B0A4B" w:rsidRPr="00692BC4" w:rsidRDefault="009B0A4B" w:rsidP="009B0A4B">
      <w:pPr>
        <w:rPr>
          <w:lang w:val="en-US"/>
        </w:rPr>
      </w:pPr>
      <w:r w:rsidRPr="00692BC4">
        <w:rPr>
          <w:b/>
          <w:bCs/>
          <w:lang w:val="en-US"/>
        </w:rPr>
        <w:lastRenderedPageBreak/>
        <w:t xml:space="preserve">DAG: Independently verify bond liquidity and threshold data output with ESMA’s DAG (Data Advisory Group). </w:t>
      </w:r>
      <w:r w:rsidRPr="00692BC4">
        <w:rPr>
          <w:lang w:val="en-US"/>
        </w:rPr>
        <w:t xml:space="preserve">The ‘DAG’ as set up by ESMA, has industry ‘operational level’ experts, including trading venues, APAs, data providers, sell-side banks (global and EU headquartered), Institutional Investors (global and EU headquartered) and intermediaries. In addition, the ‘DAG’ should make sure the APA representatives are from the top APA providers as listed on ESMA’s website, as those data repositories should have the most accurate data sets.  </w:t>
      </w:r>
    </w:p>
    <w:p w14:paraId="325290E4" w14:textId="77777777" w:rsidR="009B0A4B" w:rsidRPr="00692BC4" w:rsidRDefault="009B0A4B" w:rsidP="009B0A4B">
      <w:pPr>
        <w:rPr>
          <w:lang w:val="en-US"/>
        </w:rPr>
      </w:pPr>
    </w:p>
    <w:p w14:paraId="248D3B6B" w14:textId="77777777" w:rsidR="009B0A4B" w:rsidRPr="00692BC4" w:rsidRDefault="009B0A4B" w:rsidP="009B0A4B">
      <w:r w:rsidRPr="00692BC4">
        <w:rPr>
          <w:lang w:val="en-US"/>
        </w:rPr>
        <w:t xml:space="preserve">The DAG “informs the DSC* on matters of practical implementation of reporting requirements which require clarifications or adaptations”, according to ESMA. </w:t>
      </w:r>
      <w:r w:rsidRPr="00692BC4">
        <w:t xml:space="preserve">ICMA’s Taskforce believes the ‘DAG’ should work alongside Data Standing Committee (DSC) in an interactive actionable manner to collectively produce good quality liquid bond data. </w:t>
      </w:r>
    </w:p>
    <w:p w14:paraId="592D4160" w14:textId="77777777" w:rsidR="009B0A4B" w:rsidRPr="00692BC4" w:rsidRDefault="009B0A4B" w:rsidP="009B0A4B"/>
    <w:p w14:paraId="3831E0FC" w14:textId="77777777" w:rsidR="009B0A4B" w:rsidRPr="00692BC4" w:rsidRDefault="009B0A4B" w:rsidP="009B0A4B">
      <w:r w:rsidRPr="00692BC4">
        <w:t xml:space="preserve">The Taskforce also believes no liquidity stage advancement should be considered before the liquid bond data universe, data set and liquidity output are verified as accurate by the ‘DAG’. </w:t>
      </w:r>
    </w:p>
    <w:p w14:paraId="6C90E69B" w14:textId="77777777" w:rsidR="009B0A4B" w:rsidRPr="00692BC4" w:rsidRDefault="009B0A4B" w:rsidP="009B0A4B">
      <w:pPr>
        <w:rPr>
          <w:b/>
          <w:bCs/>
          <w:lang w:val="en-US"/>
        </w:rPr>
      </w:pPr>
    </w:p>
    <w:p w14:paraId="0DEBB7F5" w14:textId="12F1A2A5" w:rsidR="009B0A4B" w:rsidRPr="00692BC4" w:rsidRDefault="009B0A4B" w:rsidP="009B0A4B">
      <w:pPr>
        <w:rPr>
          <w:lang w:val="en-US"/>
        </w:rPr>
      </w:pPr>
      <w:r w:rsidRPr="00692BC4">
        <w:rPr>
          <w:lang w:val="en-US"/>
        </w:rPr>
        <w:t xml:space="preserve">Data quality and universe is a major issue – The Taskforce assumes ESMA is looking at all APA data and trading venue data (which is not reported to APAs) as the universe of trading venue and OTC bond trades to analyse from. If this is not the universe, this </w:t>
      </w:r>
      <w:r w:rsidR="009119D7">
        <w:rPr>
          <w:lang w:val="en-US"/>
        </w:rPr>
        <w:t xml:space="preserve">could be a </w:t>
      </w:r>
      <w:r w:rsidRPr="00692BC4">
        <w:rPr>
          <w:lang w:val="en-US"/>
        </w:rPr>
        <w:t xml:space="preserve">problem. </w:t>
      </w:r>
    </w:p>
    <w:p w14:paraId="26FCD7FF" w14:textId="77777777" w:rsidR="009B0A4B" w:rsidRPr="00692BC4" w:rsidRDefault="009B0A4B" w:rsidP="009B0A4B">
      <w:pPr>
        <w:rPr>
          <w:lang w:val="en-US"/>
        </w:rPr>
      </w:pPr>
    </w:p>
    <w:p w14:paraId="4CF708A2" w14:textId="77777777" w:rsidR="009B0A4B" w:rsidRPr="00692BC4" w:rsidRDefault="009B0A4B" w:rsidP="009B0A4B">
      <w:pPr>
        <w:rPr>
          <w:lang w:val="en-US"/>
        </w:rPr>
      </w:pPr>
      <w:r w:rsidRPr="00692BC4">
        <w:rPr>
          <w:lang w:val="en-US"/>
        </w:rPr>
        <w:t xml:space="preserve">The Taskforce is concerned the data set is based only on trading venue and exchange data and not using relevant APA data, which encapsulates both TV and OTC and SI trades. If this is the case, SI and OTC data is potentially missing from the liquidity calculations and therefore contributing to the liquidity errors the industry has witnessed. </w:t>
      </w:r>
    </w:p>
    <w:p w14:paraId="3C131521" w14:textId="77777777" w:rsidR="009B0A4B" w:rsidRPr="00692BC4" w:rsidRDefault="009B0A4B" w:rsidP="009B0A4B"/>
    <w:p w14:paraId="431E6A81" w14:textId="77777777" w:rsidR="009B0A4B" w:rsidRPr="00692BC4" w:rsidRDefault="009B0A4B" w:rsidP="009B0A4B">
      <w:pPr>
        <w:contextualSpacing/>
        <w:rPr>
          <w:lang w:val="en-US"/>
        </w:rPr>
      </w:pPr>
      <w:r w:rsidRPr="00692BC4">
        <w:rPr>
          <w:lang w:val="en-US"/>
        </w:rPr>
        <w:t>Actions the DAG, working alongside the DSC could take:</w:t>
      </w:r>
    </w:p>
    <w:p w14:paraId="00E8B6B3" w14:textId="77777777" w:rsidR="009B0A4B" w:rsidRPr="00692BC4" w:rsidRDefault="009B0A4B" w:rsidP="009B0A4B">
      <w:pPr>
        <w:rPr>
          <w:rFonts w:cs="Arial"/>
          <w:szCs w:val="20"/>
        </w:rPr>
      </w:pPr>
    </w:p>
    <w:p w14:paraId="7AB5B0B7" w14:textId="77777777" w:rsidR="009B0A4B" w:rsidRPr="00692BC4" w:rsidRDefault="009B0A4B" w:rsidP="009B0A4B">
      <w:pPr>
        <w:numPr>
          <w:ilvl w:val="0"/>
          <w:numId w:val="41"/>
        </w:numPr>
        <w:contextualSpacing/>
        <w:rPr>
          <w:rFonts w:cs="Arial"/>
          <w:szCs w:val="20"/>
        </w:rPr>
      </w:pPr>
      <w:r w:rsidRPr="00692BC4">
        <w:rPr>
          <w:rFonts w:cs="Arial"/>
          <w:szCs w:val="20"/>
        </w:rPr>
        <w:t xml:space="preserve">Be able to detect </w:t>
      </w:r>
      <w:r w:rsidRPr="00692BC4">
        <w:rPr>
          <w:rFonts w:cs="Arial"/>
          <w:szCs w:val="20"/>
          <w:u w:val="single"/>
        </w:rPr>
        <w:t>outliers</w:t>
      </w:r>
      <w:r w:rsidRPr="00692BC4">
        <w:rPr>
          <w:rFonts w:cs="Arial"/>
          <w:szCs w:val="20"/>
        </w:rPr>
        <w:t xml:space="preserve"> / data quality errors</w:t>
      </w:r>
    </w:p>
    <w:p w14:paraId="27494575" w14:textId="77777777" w:rsidR="009B0A4B" w:rsidRPr="00692BC4" w:rsidRDefault="009B0A4B" w:rsidP="009B0A4B">
      <w:pPr>
        <w:numPr>
          <w:ilvl w:val="1"/>
          <w:numId w:val="42"/>
        </w:numPr>
        <w:contextualSpacing/>
        <w:rPr>
          <w:rFonts w:cs="Arial"/>
          <w:szCs w:val="20"/>
        </w:rPr>
      </w:pPr>
      <w:r w:rsidRPr="00692BC4">
        <w:rPr>
          <w:rFonts w:cs="Arial"/>
          <w:szCs w:val="20"/>
        </w:rPr>
        <w:t>for example, by comparing with third party market data</w:t>
      </w:r>
    </w:p>
    <w:p w14:paraId="40FA6AF4" w14:textId="77777777" w:rsidR="009B0A4B" w:rsidRPr="00692BC4" w:rsidRDefault="009B0A4B" w:rsidP="009B0A4B">
      <w:pPr>
        <w:ind w:left="1440"/>
        <w:contextualSpacing/>
        <w:rPr>
          <w:rFonts w:cs="Arial"/>
          <w:szCs w:val="20"/>
        </w:rPr>
      </w:pPr>
    </w:p>
    <w:p w14:paraId="61E5D720" w14:textId="77777777" w:rsidR="009B0A4B" w:rsidRPr="00692BC4" w:rsidRDefault="009B0A4B" w:rsidP="009B0A4B">
      <w:pPr>
        <w:numPr>
          <w:ilvl w:val="0"/>
          <w:numId w:val="41"/>
        </w:numPr>
        <w:contextualSpacing/>
        <w:rPr>
          <w:rFonts w:cs="Arial"/>
          <w:szCs w:val="20"/>
        </w:rPr>
      </w:pPr>
      <w:proofErr w:type="gramStart"/>
      <w:r w:rsidRPr="00692BC4">
        <w:rPr>
          <w:rFonts w:cs="Arial"/>
          <w:szCs w:val="20"/>
          <w:u w:val="single"/>
        </w:rPr>
        <w:t>Take action</w:t>
      </w:r>
      <w:proofErr w:type="gramEnd"/>
      <w:r w:rsidRPr="00692BC4">
        <w:rPr>
          <w:rFonts w:cs="Arial"/>
          <w:szCs w:val="20"/>
        </w:rPr>
        <w:t xml:space="preserve"> against those outliers</w:t>
      </w:r>
    </w:p>
    <w:p w14:paraId="497AC137" w14:textId="77777777" w:rsidR="009B0A4B" w:rsidRPr="00692BC4" w:rsidRDefault="009B0A4B" w:rsidP="009B0A4B">
      <w:pPr>
        <w:numPr>
          <w:ilvl w:val="1"/>
          <w:numId w:val="42"/>
        </w:numPr>
        <w:contextualSpacing/>
        <w:rPr>
          <w:rFonts w:cs="Arial"/>
          <w:szCs w:val="20"/>
        </w:rPr>
      </w:pPr>
      <w:r w:rsidRPr="00692BC4">
        <w:rPr>
          <w:rFonts w:cs="Arial"/>
          <w:szCs w:val="20"/>
        </w:rPr>
        <w:t>= not taking them into account in calculations</w:t>
      </w:r>
    </w:p>
    <w:p w14:paraId="0553259D" w14:textId="77777777" w:rsidR="009B0A4B" w:rsidRPr="00692BC4" w:rsidRDefault="009B0A4B" w:rsidP="009B0A4B">
      <w:pPr>
        <w:numPr>
          <w:ilvl w:val="1"/>
          <w:numId w:val="42"/>
        </w:numPr>
        <w:contextualSpacing/>
        <w:rPr>
          <w:rFonts w:cs="Arial"/>
          <w:szCs w:val="20"/>
        </w:rPr>
      </w:pPr>
      <w:r w:rsidRPr="00692BC4">
        <w:rPr>
          <w:rFonts w:cs="Arial"/>
          <w:szCs w:val="20"/>
        </w:rPr>
        <w:t>+ follow up with outlier data provider (supervision)</w:t>
      </w:r>
    </w:p>
    <w:p w14:paraId="61D6A836" w14:textId="77777777" w:rsidR="009B0A4B" w:rsidRPr="00692BC4" w:rsidRDefault="009B0A4B" w:rsidP="009B0A4B">
      <w:pPr>
        <w:ind w:left="1440"/>
        <w:contextualSpacing/>
        <w:rPr>
          <w:rFonts w:cs="Arial"/>
          <w:szCs w:val="20"/>
        </w:rPr>
      </w:pPr>
    </w:p>
    <w:p w14:paraId="030017F5" w14:textId="77777777" w:rsidR="009B0A4B" w:rsidRPr="00692BC4" w:rsidRDefault="009B0A4B" w:rsidP="009B0A4B">
      <w:pPr>
        <w:numPr>
          <w:ilvl w:val="0"/>
          <w:numId w:val="41"/>
        </w:numPr>
        <w:contextualSpacing/>
        <w:rPr>
          <w:rFonts w:cs="Arial"/>
          <w:szCs w:val="20"/>
        </w:rPr>
      </w:pPr>
      <w:r w:rsidRPr="00692BC4">
        <w:rPr>
          <w:rFonts w:cs="Arial"/>
          <w:szCs w:val="20"/>
        </w:rPr>
        <w:t xml:space="preserve">Analyse data to </w:t>
      </w:r>
      <w:r w:rsidRPr="00692BC4">
        <w:rPr>
          <w:rFonts w:cs="Arial"/>
          <w:szCs w:val="20"/>
          <w:u w:val="single"/>
        </w:rPr>
        <w:t>detect missing data</w:t>
      </w:r>
    </w:p>
    <w:p w14:paraId="35A3BA8B" w14:textId="77777777" w:rsidR="009B0A4B" w:rsidRPr="00692BC4" w:rsidRDefault="009B0A4B" w:rsidP="009B0A4B">
      <w:pPr>
        <w:numPr>
          <w:ilvl w:val="1"/>
          <w:numId w:val="42"/>
        </w:numPr>
        <w:contextualSpacing/>
        <w:rPr>
          <w:rFonts w:cs="Arial"/>
          <w:szCs w:val="20"/>
        </w:rPr>
      </w:pPr>
      <w:r w:rsidRPr="00692BC4">
        <w:rPr>
          <w:rFonts w:cs="Arial"/>
          <w:szCs w:val="20"/>
        </w:rPr>
        <w:t>For example, compare with third party market data, they could find the top 100 most traded bonds on the data provider with the most bond data.</w:t>
      </w:r>
    </w:p>
    <w:p w14:paraId="6538243D" w14:textId="77777777" w:rsidR="009B0A4B" w:rsidRPr="00692BC4" w:rsidRDefault="009B0A4B" w:rsidP="009B0A4B">
      <w:pPr>
        <w:numPr>
          <w:ilvl w:val="1"/>
          <w:numId w:val="42"/>
        </w:numPr>
        <w:contextualSpacing/>
        <w:rPr>
          <w:rFonts w:cs="Arial"/>
          <w:szCs w:val="20"/>
        </w:rPr>
      </w:pPr>
      <w:r w:rsidRPr="00692BC4">
        <w:rPr>
          <w:rFonts w:cs="Arial"/>
          <w:szCs w:val="20"/>
        </w:rPr>
        <w:t>If not, investigate / challenge TV, APAs, Investment firms</w:t>
      </w:r>
    </w:p>
    <w:p w14:paraId="35D31C6A" w14:textId="77777777" w:rsidR="009B0A4B" w:rsidRPr="00692BC4" w:rsidRDefault="009B0A4B" w:rsidP="009B0A4B"/>
    <w:p w14:paraId="7EF5E9B1" w14:textId="77777777" w:rsidR="009B0A4B" w:rsidRPr="00692BC4" w:rsidRDefault="009B0A4B" w:rsidP="009B0A4B">
      <w:pPr>
        <w:rPr>
          <w:lang w:val="en-US"/>
        </w:rPr>
      </w:pPr>
      <w:r w:rsidRPr="00692BC4">
        <w:rPr>
          <w:lang w:val="en-US"/>
        </w:rPr>
        <w:t>ESMA proactively working alongside the DAG, including taking all necessary actions to resolve data quality issues including using ‘</w:t>
      </w:r>
      <w:r w:rsidRPr="00692BC4">
        <w:t>outlier advanced analytics will improve bond data quality and liquidity assessments.</w:t>
      </w:r>
    </w:p>
    <w:p w14:paraId="3B132DAD" w14:textId="77777777" w:rsidR="009B0A4B" w:rsidRPr="00692BC4" w:rsidRDefault="009B0A4B" w:rsidP="009B0A4B">
      <w:pPr>
        <w:rPr>
          <w:lang w:val="en-US"/>
        </w:rPr>
      </w:pPr>
    </w:p>
    <w:p w14:paraId="69CC21C8" w14:textId="77777777" w:rsidR="009B0A4B" w:rsidRPr="00692BC4" w:rsidRDefault="009B0A4B" w:rsidP="009B0A4B">
      <w:pPr>
        <w:rPr>
          <w:lang w:val="en-US"/>
        </w:rPr>
      </w:pPr>
      <w:r w:rsidRPr="00692BC4">
        <w:rPr>
          <w:lang w:val="en-US"/>
        </w:rPr>
        <w:t xml:space="preserve">Important to note, if the ‘DAG’ reviewed the liquidity data output and worked with ESMA to dynamically rectify and correct the data and then verify the data was correct, the industry could rely more on the list of liquid bonds. </w:t>
      </w:r>
      <w:r w:rsidRPr="00692BC4">
        <w:rPr>
          <w:b/>
          <w:bCs/>
          <w:lang w:val="en-US"/>
        </w:rPr>
        <w:t>This would lead industry to potentially feel more comfortable with simplifying transparency regime, including thresholds and deferral periods.</w:t>
      </w:r>
    </w:p>
    <w:p w14:paraId="5738F0FD" w14:textId="77777777" w:rsidR="009B0A4B" w:rsidRPr="00692BC4" w:rsidRDefault="009B0A4B" w:rsidP="009B0A4B">
      <w:pPr>
        <w:rPr>
          <w:lang w:val="en-US"/>
        </w:rPr>
      </w:pPr>
    </w:p>
    <w:p w14:paraId="3E81F300" w14:textId="77777777" w:rsidR="009B0A4B" w:rsidRPr="00EF5EDB" w:rsidRDefault="009B0A4B" w:rsidP="009B0A4B">
      <w:pPr>
        <w:rPr>
          <w:color w:val="00B050"/>
          <w:lang w:val="en-US"/>
        </w:rPr>
      </w:pPr>
      <w:r w:rsidRPr="00692BC4">
        <w:rPr>
          <w:lang w:val="en-US"/>
        </w:rPr>
        <w:t>*</w:t>
      </w:r>
      <w:r w:rsidRPr="00692BC4">
        <w:rPr>
          <w:b/>
          <w:bCs/>
          <w:lang w:val="en-US"/>
        </w:rPr>
        <w:t>Data Standing Committee:</w:t>
      </w:r>
      <w:r w:rsidRPr="00EF5EDB">
        <w:rPr>
          <w:b/>
          <w:bCs/>
          <w:color w:val="00B050"/>
          <w:lang w:val="en-US"/>
        </w:rPr>
        <w:t xml:space="preserve"> </w:t>
      </w:r>
      <w:hyperlink r:id="rId22" w:history="1">
        <w:r w:rsidRPr="00EF5EDB">
          <w:rPr>
            <w:rStyle w:val="Hyperlink"/>
            <w:lang w:val="en-US"/>
          </w:rPr>
          <w:t>https://www.esma.europa.eu/about-esma/working-methods/standing-committees</w:t>
        </w:r>
      </w:hyperlink>
    </w:p>
    <w:p w14:paraId="1A541FB8" w14:textId="77777777" w:rsidR="009B0A4B" w:rsidRDefault="009B0A4B" w:rsidP="009B0A4B">
      <w:pPr>
        <w:rPr>
          <w:color w:val="00B050"/>
        </w:rPr>
      </w:pPr>
    </w:p>
    <w:p w14:paraId="28518BB8" w14:textId="77777777" w:rsidR="009B0A4B" w:rsidRPr="00692BC4" w:rsidRDefault="009B0A4B" w:rsidP="009B0A4B">
      <w:pPr>
        <w:rPr>
          <w:lang w:val="en-US"/>
        </w:rPr>
      </w:pPr>
      <w:r w:rsidRPr="00692BC4">
        <w:rPr>
          <w:lang w:val="en-US"/>
        </w:rPr>
        <w:t xml:space="preserve">In addition, the Taskforce view is that the best liquidity assessment method is one that is not overly complicated or overengineered and is in fact a methodology that is accurate and works for all market participants in practice. Therefore, the Taskforce considers it appropriate to investigate whether an IG/non-IG based liquidity assessment methodology could potentially prove to be a better and more workable liquidity calculation regime, easier for both industry participants and regulators. </w:t>
      </w:r>
    </w:p>
    <w:p w14:paraId="5B69DC52" w14:textId="77777777" w:rsidR="009B0A4B" w:rsidRPr="00692BC4" w:rsidRDefault="009B0A4B" w:rsidP="009B0A4B">
      <w:pPr>
        <w:rPr>
          <w:lang w:val="en-US"/>
        </w:rPr>
      </w:pPr>
    </w:p>
    <w:p w14:paraId="073624C3" w14:textId="77777777" w:rsidR="009B0A4B" w:rsidRPr="00692BC4" w:rsidRDefault="009B0A4B" w:rsidP="009B0A4B">
      <w:pPr>
        <w:rPr>
          <w:lang w:val="en-US"/>
        </w:rPr>
      </w:pPr>
      <w:r w:rsidRPr="00692BC4">
        <w:rPr>
          <w:lang w:val="en-US"/>
        </w:rPr>
        <w:lastRenderedPageBreak/>
        <w:t xml:space="preserve">ICMA would welcome working with its members to produce a study for ESMA (and the Commission if requested) into an investment grade/non-investment grade-based liquidity assessment regime. Ideally, analysing liquidity bond threshold levels (granular IG: corporate, sovereign, financial and Non-IG: emerging markets, high yield). </w:t>
      </w:r>
    </w:p>
    <w:p w14:paraId="432D00B1" w14:textId="77777777" w:rsidR="009B0A4B" w:rsidRPr="00692BC4" w:rsidRDefault="009B0A4B" w:rsidP="009B0A4B">
      <w:pPr>
        <w:rPr>
          <w:lang w:val="en-US"/>
        </w:rPr>
      </w:pPr>
    </w:p>
    <w:p w14:paraId="30805474" w14:textId="48CDC115" w:rsidR="009B0A4B" w:rsidRPr="00692BC4" w:rsidRDefault="009B0A4B" w:rsidP="009B0A4B">
      <w:pPr>
        <w:rPr>
          <w:lang w:val="en-US"/>
        </w:rPr>
      </w:pPr>
      <w:r w:rsidRPr="00692BC4">
        <w:rPr>
          <w:lang w:val="en-US"/>
        </w:rPr>
        <w:t>The aim of the study would be to find a more accurate, viable, and easier to implement liquidity assessment system. A balanced bond liquidity determination regime, which protects liquidity providers while providing investors with necessary information for price formation</w:t>
      </w:r>
      <w:r w:rsidR="00AC7783">
        <w:rPr>
          <w:lang w:val="en-US"/>
        </w:rPr>
        <w:t xml:space="preserve"> would benefit EU bond markets.</w:t>
      </w:r>
      <w:r w:rsidRPr="00692BC4">
        <w:rPr>
          <w:lang w:val="en-US"/>
        </w:rPr>
        <w:t xml:space="preserve"> </w:t>
      </w:r>
    </w:p>
    <w:p w14:paraId="4634AAED" w14:textId="77777777" w:rsidR="009B0A4B" w:rsidRPr="00692BC4" w:rsidRDefault="009B0A4B" w:rsidP="009B0A4B">
      <w:pPr>
        <w:rPr>
          <w:lang w:val="en-US"/>
        </w:rPr>
      </w:pPr>
    </w:p>
    <w:p w14:paraId="6D8E1632" w14:textId="77777777" w:rsidR="009B0A4B" w:rsidRPr="00692BC4" w:rsidRDefault="009B0A4B" w:rsidP="009B0A4B">
      <w:pPr>
        <w:rPr>
          <w:lang w:val="en-US"/>
        </w:rPr>
      </w:pPr>
      <w:r w:rsidRPr="00692BC4">
        <w:rPr>
          <w:lang w:val="en-US"/>
        </w:rPr>
        <w:t>As the IG/Non-IG rating assessment methodology would be based on credit rating and sub-asset class thresholds, the scope of the study would disregard average daily number of trades and trade percentiles. The scope of the proposed study would be both pre- and post-trade.</w:t>
      </w:r>
    </w:p>
    <w:p w14:paraId="7EF65CAB" w14:textId="77777777" w:rsidR="009B0A4B" w:rsidRPr="00692BC4" w:rsidRDefault="009B0A4B" w:rsidP="009B0A4B">
      <w:pPr>
        <w:rPr>
          <w:lang w:val="en-US"/>
        </w:rPr>
      </w:pPr>
    </w:p>
    <w:p w14:paraId="4C4E0A86" w14:textId="77777777" w:rsidR="009B0A4B" w:rsidRPr="00692BC4" w:rsidRDefault="009B0A4B" w:rsidP="009B0A4B">
      <w:pPr>
        <w:rPr>
          <w:lang w:val="en-US"/>
        </w:rPr>
      </w:pPr>
      <w:r w:rsidRPr="00692BC4">
        <w:rPr>
          <w:lang w:val="en-US"/>
        </w:rPr>
        <w:t xml:space="preserve">In future, after proper analysis is carried out by a representative group (banks, buy-sides, trading venues/APAs and data providers), and analysis proves IG/Non-IG based liquidity assessment meets the needs of EU bond markets better and is more robust than existing liquidity assessment methods,  </w:t>
      </w:r>
      <w:proofErr w:type="spellStart"/>
      <w:r w:rsidRPr="00692BC4">
        <w:rPr>
          <w:lang w:val="en-US"/>
        </w:rPr>
        <w:t>MiFIR</w:t>
      </w:r>
      <w:proofErr w:type="spellEnd"/>
      <w:r w:rsidRPr="00692BC4">
        <w:rPr>
          <w:lang w:val="en-US"/>
        </w:rPr>
        <w:t xml:space="preserve"> liquidity calculation methodology could migrate from IBIA/COFIA liquidity determination to credit rating based MiFID II/R liquidity based determination. </w:t>
      </w:r>
    </w:p>
    <w:p w14:paraId="68F6A100" w14:textId="77777777" w:rsidR="009B0A4B" w:rsidRPr="00692BC4" w:rsidRDefault="009B0A4B" w:rsidP="009B0A4B">
      <w:pPr>
        <w:rPr>
          <w:lang w:val="en-US"/>
        </w:rPr>
      </w:pPr>
    </w:p>
    <w:p w14:paraId="3D6B6F67" w14:textId="04848E7C" w:rsidR="00646C30" w:rsidRDefault="009B0A4B" w:rsidP="00646C30">
      <w:r w:rsidRPr="00692BC4">
        <w:rPr>
          <w:lang w:val="en-US"/>
        </w:rPr>
        <w:t>Nevertheless, any future recommendation for a migration to IG/Non-IG based liquidity determination regime from the current IBIA/COFIA regime would require clear evidence of significant benefits for bond markets.</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1F40712" w14:textId="77777777" w:rsidR="009B0A4B" w:rsidRPr="00692BC4" w:rsidRDefault="009B0A4B" w:rsidP="009B0A4B">
      <w:permStart w:id="1935441367" w:edGrp="everyone"/>
      <w:r w:rsidRPr="00692BC4">
        <w:t xml:space="preserve">Providing ESMA’s ‘DAG’ independently verifies calculations, the Taskforce would agree to move to stage 2 but </w:t>
      </w:r>
      <w:r w:rsidRPr="00692BC4">
        <w:rPr>
          <w:b/>
          <w:bCs/>
          <w:u w:val="single"/>
        </w:rPr>
        <w:t>absolutely not before independent verification from the ‘DAG’ for accuracy</w:t>
      </w:r>
      <w:r w:rsidRPr="00692BC4">
        <w:t xml:space="preserve"> (see Q.25 for more information on ESMA’s ‘DAG). The Taskforce believes no liquidity stage advancement should be considered before the liquid bond data universe, data set and liquidity output are verified as accurate by the ‘DAG’.</w:t>
      </w:r>
    </w:p>
    <w:p w14:paraId="09BFFA03" w14:textId="77777777" w:rsidR="009B0A4B" w:rsidRPr="00692BC4" w:rsidRDefault="009B0A4B" w:rsidP="009B0A4B"/>
    <w:p w14:paraId="00430256" w14:textId="60524652" w:rsidR="00646C30" w:rsidRDefault="009B0A4B" w:rsidP="00646C30">
      <w:r w:rsidRPr="00692BC4">
        <w:t xml:space="preserve">Furthermore, as Stage 2 will incorporate the Covid-19 period of volatility, verifiable liquid bond data is considered mandatory. This is particularly the case for corporate bonds. Please see ICMA’s report on “The European IG corporate bond secondary market &amp; COVID-19 Crisis report” (May 2020). </w:t>
      </w:r>
      <w:hyperlink r:id="rId23" w:history="1">
        <w:r w:rsidRPr="009D78CE">
          <w:rPr>
            <w:color w:val="0000FF"/>
            <w:u w:val="single"/>
          </w:rPr>
          <w:t>https://www.icmagroup.org/assets/documents/Regulatory/Secondary-markets/The-European-investment-grade-corporate-bond-secondary-market-and-the-COVID-19-crisis-280520.pdf</w:t>
        </w:r>
      </w:hyperlink>
      <w:r w:rsidR="00646C30">
        <w:t xml:space="preserve"> </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38A539C9" w:rsidR="00646C30" w:rsidRDefault="00561B81" w:rsidP="00646C30">
      <w:permStart w:id="1284132493" w:edGrp="everyone"/>
      <w:r>
        <w:t>N/A</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lastRenderedPageBreak/>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0368173B" w14:textId="77777777" w:rsidR="009B0A4B" w:rsidRPr="00692BC4" w:rsidRDefault="009B0A4B" w:rsidP="009B0A4B">
      <w:permStart w:id="1735202609" w:edGrp="everyone"/>
      <w:r w:rsidRPr="00692BC4">
        <w:t>The ICMA taskforce does not agree with ESMA’s proposal to move to stage 2 for determination of pre-trade SSTI thresholds for bonds. Any stage 2 assessment would cover the stressed Covid-19 unique market conditions. This assessment would be atypical and would not reflect post-Coronavirus normal market conditions.</w:t>
      </w:r>
    </w:p>
    <w:p w14:paraId="4B4FF379" w14:textId="77777777" w:rsidR="009B0A4B" w:rsidRPr="00692BC4" w:rsidRDefault="009B0A4B" w:rsidP="009B0A4B"/>
    <w:p w14:paraId="15305155" w14:textId="7B6806B5" w:rsidR="00646C30" w:rsidRDefault="009B0A4B" w:rsidP="00646C30">
      <w:r w:rsidRPr="00692BC4">
        <w:t>Similarly, the UK is in a transition period before what could likely be a disruptive cliff edge Brexit. Post- Brexit market conditions are unknown, but most believe conditions will be stressed. Any assessment carried out today would be based on pre- market stressed conditions, this would be unwise.</w:t>
      </w:r>
      <w:r w:rsidR="00646C30">
        <w:t xml:space="preserve"> </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0D809B17" w:rsidR="00646C30" w:rsidRDefault="00561B81" w:rsidP="00646C30">
      <w:permStart w:id="1113393043" w:edGrp="everyone"/>
      <w:r>
        <w:t>N/A</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21BDFF7C" w:rsidR="00646C30" w:rsidRDefault="00561B81" w:rsidP="00646C30">
      <w:permStart w:id="547110296" w:edGrp="everyone"/>
      <w:r>
        <w:t>N/A</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4CDF8125" w:rsidR="00B27E7B" w:rsidRDefault="00561B81" w:rsidP="00B27E7B">
      <w:permStart w:id="1615734835" w:edGrp="everyone"/>
      <w:r>
        <w:t>N/A</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B61CE" w14:textId="77777777" w:rsidR="00B341F8" w:rsidRDefault="00B341F8">
      <w:r>
        <w:separator/>
      </w:r>
    </w:p>
    <w:p w14:paraId="47C3DCB9" w14:textId="77777777" w:rsidR="00B341F8" w:rsidRDefault="00B341F8"/>
  </w:endnote>
  <w:endnote w:type="continuationSeparator" w:id="0">
    <w:p w14:paraId="168C6D1E" w14:textId="77777777" w:rsidR="00B341F8" w:rsidRDefault="00B341F8">
      <w:r>
        <w:continuationSeparator/>
      </w:r>
    </w:p>
    <w:p w14:paraId="2442DC76" w14:textId="77777777" w:rsidR="00B341F8" w:rsidRDefault="00B341F8"/>
  </w:endnote>
  <w:endnote w:type="continuationNotice" w:id="1">
    <w:p w14:paraId="71C26A51" w14:textId="77777777" w:rsidR="00B341F8" w:rsidRDefault="00B34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FreeSan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3B967" w14:textId="77777777" w:rsidR="00B341F8" w:rsidRDefault="00B341F8">
      <w:r>
        <w:separator/>
      </w:r>
    </w:p>
    <w:p w14:paraId="3DFC623C" w14:textId="77777777" w:rsidR="00B341F8" w:rsidRDefault="00B341F8"/>
  </w:footnote>
  <w:footnote w:type="continuationSeparator" w:id="0">
    <w:p w14:paraId="4CA9CC97" w14:textId="77777777" w:rsidR="00B341F8" w:rsidRDefault="00B341F8">
      <w:r>
        <w:continuationSeparator/>
      </w:r>
    </w:p>
    <w:p w14:paraId="291A8F5A" w14:textId="77777777" w:rsidR="00B341F8" w:rsidRDefault="00B341F8"/>
  </w:footnote>
  <w:footnote w:type="continuationNotice" w:id="1">
    <w:p w14:paraId="6ECFBF58" w14:textId="77777777" w:rsidR="00B341F8" w:rsidRDefault="00B34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05B5D"/>
    <w:multiLevelType w:val="hybridMultilevel"/>
    <w:tmpl w:val="8116B79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B1228A"/>
    <w:multiLevelType w:val="hybridMultilevel"/>
    <w:tmpl w:val="8FB6B228"/>
    <w:lvl w:ilvl="0" w:tplc="54222EDE">
      <w:start w:val="1"/>
      <w:numFmt w:val="bullet"/>
      <w:pStyle w:val="BNPP-Bullet1"/>
      <w:lvlText w:val=""/>
      <w:lvlJc w:val="left"/>
      <w:pPr>
        <w:ind w:left="405" w:hanging="360"/>
      </w:pPr>
      <w:rPr>
        <w:rFonts w:ascii="Symbol" w:hAnsi="Symbol" w:hint="default"/>
      </w:rPr>
    </w:lvl>
    <w:lvl w:ilvl="1" w:tplc="0F74320E">
      <w:start w:val="1"/>
      <w:numFmt w:val="bullet"/>
      <w:pStyle w:val="BNPP-Bullet2"/>
      <w:lvlText w:val="o"/>
      <w:lvlJc w:val="left"/>
      <w:pPr>
        <w:ind w:left="1440" w:hanging="360"/>
      </w:pPr>
      <w:rPr>
        <w:rFonts w:ascii="Courier New" w:hAnsi="Courier New" w:cs="Courier New" w:hint="default"/>
      </w:rPr>
    </w:lvl>
    <w:lvl w:ilvl="2" w:tplc="152A6E0C">
      <w:start w:val="1"/>
      <w:numFmt w:val="bullet"/>
      <w:pStyle w:val="BNPP-Bullet3"/>
      <w:lvlText w:val=""/>
      <w:lvlJc w:val="left"/>
      <w:pPr>
        <w:ind w:left="2160" w:hanging="360"/>
      </w:pPr>
      <w:rPr>
        <w:rFonts w:ascii="Wingdings" w:hAnsi="Wingdings" w:hint="default"/>
      </w:rPr>
    </w:lvl>
    <w:lvl w:ilvl="3" w:tplc="1578E038">
      <w:start w:val="1"/>
      <w:numFmt w:val="bullet"/>
      <w:pStyle w:val="BNPP-Bullet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5842A57"/>
    <w:multiLevelType w:val="hybridMultilevel"/>
    <w:tmpl w:val="31CE1916"/>
    <w:lvl w:ilvl="0" w:tplc="99D880E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852C9"/>
    <w:multiLevelType w:val="hybridMultilevel"/>
    <w:tmpl w:val="FE583F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730F8"/>
    <w:multiLevelType w:val="hybridMultilevel"/>
    <w:tmpl w:val="9C4A3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26903E8"/>
    <w:multiLevelType w:val="hybridMultilevel"/>
    <w:tmpl w:val="FE583F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716712"/>
    <w:multiLevelType w:val="hybridMultilevel"/>
    <w:tmpl w:val="C6A2EB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4"/>
  </w:num>
  <w:num w:numId="18">
    <w:abstractNumId w:val="15"/>
  </w:num>
  <w:num w:numId="19">
    <w:abstractNumId w:val="17"/>
  </w:num>
  <w:num w:numId="20">
    <w:abstractNumId w:val="29"/>
  </w:num>
  <w:num w:numId="21">
    <w:abstractNumId w:val="39"/>
  </w:num>
  <w:num w:numId="22">
    <w:abstractNumId w:val="27"/>
  </w:num>
  <w:num w:numId="23">
    <w:abstractNumId w:val="9"/>
  </w:num>
  <w:num w:numId="24">
    <w:abstractNumId w:val="32"/>
  </w:num>
  <w:num w:numId="25">
    <w:abstractNumId w:val="31"/>
  </w:num>
  <w:num w:numId="26">
    <w:abstractNumId w:val="21"/>
  </w:num>
  <w:num w:numId="27">
    <w:abstractNumId w:val="35"/>
  </w:num>
  <w:num w:numId="28">
    <w:abstractNumId w:val="43"/>
  </w:num>
  <w:num w:numId="29">
    <w:abstractNumId w:val="7"/>
  </w:num>
  <w:num w:numId="30">
    <w:abstractNumId w:val="3"/>
  </w:num>
  <w:num w:numId="31">
    <w:abstractNumId w:val="24"/>
  </w:num>
  <w:num w:numId="32">
    <w:abstractNumId w:val="22"/>
  </w:num>
  <w:num w:numId="33">
    <w:abstractNumId w:val="37"/>
  </w:num>
  <w:num w:numId="34">
    <w:abstractNumId w:val="36"/>
  </w:num>
  <w:num w:numId="35">
    <w:abstractNumId w:val="5"/>
  </w:num>
  <w:num w:numId="36">
    <w:abstractNumId w:val="38"/>
  </w:num>
  <w:num w:numId="37">
    <w:abstractNumId w:val="22"/>
    <w:lvlOverride w:ilvl="0">
      <w:startOverride w:val="1"/>
    </w:lvlOverride>
  </w:num>
  <w:num w:numId="38">
    <w:abstractNumId w:val="22"/>
  </w:num>
  <w:num w:numId="39">
    <w:abstractNumId w:val="23"/>
  </w:num>
  <w:num w:numId="40">
    <w:abstractNumId w:val="2"/>
  </w:num>
  <w:num w:numId="41">
    <w:abstractNumId w:val="40"/>
  </w:num>
  <w:num w:numId="42">
    <w:abstractNumId w:val="20"/>
  </w:num>
  <w:num w:numId="43">
    <w:abstractNumId w:val="19"/>
  </w:num>
  <w:num w:numId="44">
    <w:abstractNumId w:val="11"/>
  </w:num>
  <w:num w:numId="45">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2807"/>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3CE1"/>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5D"/>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563C"/>
    <w:rsid w:val="0041634D"/>
    <w:rsid w:val="00416ABC"/>
    <w:rsid w:val="00417EF7"/>
    <w:rsid w:val="0042137D"/>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1B81"/>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558"/>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2E39"/>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639D"/>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19D7"/>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4B"/>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C7783"/>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0C8F"/>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1F8"/>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1E3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60FD"/>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1E3"/>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Catch All,Heading III,Bullet List,FooterText,numbered,Bulletr List Paragraph,列出段落,列出段落1,Listeafsnit1,Parágrafo da Lista1,List Paragraph21,Párrafo de lista1,リスト段落1,Bullet list,Foot"/>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Catch All Char,Heading III Char,Bullet List Char,FooterText Char,numbered Char,Bulletr List Paragraph Char,列出段落 Char,列出段落1 Char,Listeafsnit1 Char,Foot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BNPP">
    <w:name w:val="BNPP"/>
    <w:basedOn w:val="Normal"/>
    <w:qFormat/>
    <w:rsid w:val="009B0A4B"/>
    <w:pPr>
      <w:autoSpaceDE w:val="0"/>
      <w:autoSpaceDN w:val="0"/>
      <w:adjustRightInd w:val="0"/>
      <w:ind w:left="45"/>
      <w:contextualSpacing/>
      <w:jc w:val="both"/>
    </w:pPr>
    <w:rPr>
      <w:rFonts w:ascii="FreeSans" w:eastAsiaTheme="minorHAnsi" w:hAnsi="FreeSans" w:cs="FreeSans"/>
      <w:color w:val="7030A0"/>
      <w:szCs w:val="20"/>
      <w:lang w:eastAsia="en-US"/>
    </w:rPr>
  </w:style>
  <w:style w:type="paragraph" w:customStyle="1" w:styleId="BNPP-Bullet1">
    <w:name w:val="BNPP - Bullet 1"/>
    <w:basedOn w:val="ListParagraph"/>
    <w:qFormat/>
    <w:rsid w:val="009B0A4B"/>
    <w:pPr>
      <w:numPr>
        <w:numId w:val="44"/>
      </w:numPr>
      <w:tabs>
        <w:tab w:val="num" w:pos="360"/>
      </w:tabs>
      <w:autoSpaceDE w:val="0"/>
      <w:autoSpaceDN w:val="0"/>
      <w:adjustRightInd w:val="0"/>
      <w:ind w:left="283" w:hanging="238"/>
      <w:jc w:val="both"/>
    </w:pPr>
    <w:rPr>
      <w:rFonts w:ascii="FreeSans" w:eastAsiaTheme="minorHAnsi" w:hAnsi="FreeSans" w:cs="FreeSans"/>
      <w:color w:val="7030A0"/>
      <w:szCs w:val="20"/>
      <w:lang w:eastAsia="en-US"/>
    </w:rPr>
  </w:style>
  <w:style w:type="paragraph" w:customStyle="1" w:styleId="BNPP-Bullet2">
    <w:name w:val="BNPP - Bullet 2"/>
    <w:basedOn w:val="ListParagraph"/>
    <w:qFormat/>
    <w:rsid w:val="009B0A4B"/>
    <w:pPr>
      <w:numPr>
        <w:ilvl w:val="1"/>
        <w:numId w:val="44"/>
      </w:numPr>
      <w:tabs>
        <w:tab w:val="num" w:pos="360"/>
      </w:tabs>
      <w:autoSpaceDE w:val="0"/>
      <w:autoSpaceDN w:val="0"/>
      <w:adjustRightInd w:val="0"/>
      <w:ind w:left="851" w:hanging="284"/>
    </w:pPr>
    <w:rPr>
      <w:rFonts w:ascii="FreeSans" w:eastAsiaTheme="minorHAnsi" w:hAnsi="FreeSans" w:cs="FreeSans"/>
      <w:color w:val="7030A0"/>
      <w:szCs w:val="20"/>
      <w:lang w:eastAsia="en-US"/>
    </w:rPr>
  </w:style>
  <w:style w:type="paragraph" w:customStyle="1" w:styleId="BNPP-Bullet3">
    <w:name w:val="BNPP - Bullet 3"/>
    <w:basedOn w:val="BNPP-Bullet2"/>
    <w:qFormat/>
    <w:rsid w:val="009B0A4B"/>
    <w:pPr>
      <w:numPr>
        <w:ilvl w:val="2"/>
      </w:numPr>
      <w:tabs>
        <w:tab w:val="num" w:pos="360"/>
      </w:tabs>
      <w:ind w:left="1418" w:hanging="284"/>
    </w:pPr>
  </w:style>
  <w:style w:type="paragraph" w:customStyle="1" w:styleId="BNPP-Bullet4">
    <w:name w:val="BNPP - Bullet 4"/>
    <w:basedOn w:val="BNPP-Bullet3"/>
    <w:qFormat/>
    <w:rsid w:val="009B0A4B"/>
    <w:pPr>
      <w:numPr>
        <w:ilvl w:val="3"/>
      </w:numPr>
      <w:tabs>
        <w:tab w:val="num" w:pos="360"/>
      </w:tabs>
      <w:ind w:left="198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cmagroup.org/News/news-in-brief/icma-publishes-an-in-depth-report-on-consolidated-tape-for-greater-post-trade-transparency-in-the-eu-bond-marke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sma.europea.eu/about-esma/working-methods/standing-committ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cmagroup.org/assets/documents/Regulatory/Secondary-markets/The-European-investment-grade-corporate-bond-secondary-market-and-the-COVID-19-crisis-280520.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sites/default/files/library/esma70-872942901-35_qas_transparency_issu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sma.europa.eu/about-esma/working-methods/standing-committe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D60E44-1D21-4BF8-B7BD-E5B5F064B683}">
  <ds:schemaRefs>
    <ds:schemaRef ds:uri="http://schemas.openxmlformats.org/officeDocument/2006/bibliography"/>
  </ds:schemaRefs>
</ds:datastoreItem>
</file>

<file path=customXml/itemProps2.xml><?xml version="1.0" encoding="utf-8"?>
<ds:datastoreItem xmlns:ds="http://schemas.openxmlformats.org/officeDocument/2006/customXml" ds:itemID="{4E9B853E-B024-4650-BB8A-865A310655ED}">
  <ds:schemaRefs>
    <ds:schemaRef ds:uri="http://schemas.openxmlformats.org/officeDocument/2006/bibliography"/>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6126</Words>
  <Characters>36989</Characters>
  <Application>Microsoft Office Word</Application>
  <DocSecurity>12</DocSecurity>
  <Lines>308</Lines>
  <Paragraphs>86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43029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Mathilde Babel</cp:lastModifiedBy>
  <cp:revision>2</cp:revision>
  <cp:lastPrinted>2020-06-12T09:58:00Z</cp:lastPrinted>
  <dcterms:created xsi:type="dcterms:W3CDTF">2020-06-12T11:35:00Z</dcterms:created>
  <dcterms:modified xsi:type="dcterms:W3CDTF">2020-06-12T11:35:00Z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