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49704470" w14:textId="77777777" w:rsidTr="00315E96">
        <w:trPr>
          <w:trHeight w:val="284"/>
        </w:trPr>
        <w:tc>
          <w:tcPr>
            <w:tcW w:w="9412" w:type="dxa"/>
          </w:tcPr>
          <w:p w14:paraId="46FBEAEC" w14:textId="77777777" w:rsidR="00C2094B" w:rsidRPr="00F10D35" w:rsidRDefault="00F10D35" w:rsidP="00AF38AF">
            <w:pPr>
              <w:pStyle w:val="00bDBInfo"/>
              <w:rPr>
                <w:rFonts w:cs="Arial"/>
              </w:rPr>
            </w:pPr>
            <w:r w:rsidRPr="00F10D35">
              <w:rPr>
                <w:rFonts w:cs="Arial"/>
              </w:rPr>
              <w:t>2</w:t>
            </w:r>
            <w:r w:rsidR="00C3081F">
              <w:rPr>
                <w:rFonts w:cs="Arial"/>
              </w:rPr>
              <w:t>7</w:t>
            </w:r>
            <w:r w:rsidRPr="00F10D35">
              <w:rPr>
                <w:rFonts w:cs="Arial"/>
              </w:rPr>
              <w:t xml:space="preserve"> </w:t>
            </w:r>
            <w:r w:rsidR="002C27F9">
              <w:rPr>
                <w:rFonts w:cs="Arial"/>
              </w:rPr>
              <w:t>March 2020</w:t>
            </w:r>
          </w:p>
        </w:tc>
      </w:tr>
    </w:tbl>
    <w:p w14:paraId="72FE5B52"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28BBA106" w14:textId="77777777" w:rsidTr="002C27F9">
        <w:trPr>
          <w:trHeight w:hRule="exact" w:val="2137"/>
        </w:trPr>
        <w:tc>
          <w:tcPr>
            <w:tcW w:w="9646" w:type="dxa"/>
            <w:vAlign w:val="bottom"/>
          </w:tcPr>
          <w:p w14:paraId="23024271" w14:textId="77777777" w:rsidR="006F4535" w:rsidRPr="009A053D" w:rsidRDefault="006F4535" w:rsidP="002C27F9">
            <w:pPr>
              <w:pStyle w:val="01aDBTitle"/>
              <w:jc w:val="left"/>
              <w:rPr>
                <w:rFonts w:cs="Arial"/>
                <w:sz w:val="32"/>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Consultation Paper on</w:t>
            </w:r>
            <w:r w:rsidR="002C27F9">
              <w:t xml:space="preserve"> </w:t>
            </w:r>
            <w:r w:rsidR="002C27F9" w:rsidRPr="002C27F9">
              <w:rPr>
                <w:rFonts w:cs="Arial"/>
                <w:szCs w:val="56"/>
              </w:rPr>
              <w:t xml:space="preserve">post trade risk reduction services with regards to the clearing obligation (EMIR Article 85(3a)) </w:t>
            </w:r>
            <w:r w:rsidR="006A24D5" w:rsidRPr="006F4535">
              <w:rPr>
                <w:rFonts w:cs="Arial"/>
                <w:sz w:val="32"/>
              </w:rPr>
              <w:t xml:space="preserve"> </w:t>
            </w:r>
            <w:r w:rsidRPr="006F4535">
              <w:rPr>
                <w:rFonts w:cs="Arial"/>
                <w:sz w:val="32"/>
              </w:rPr>
              <w:t xml:space="preserve"> </w:t>
            </w:r>
          </w:p>
        </w:tc>
      </w:tr>
      <w:tr w:rsidR="006F4535" w:rsidRPr="00616B9B" w14:paraId="7CB8B05E" w14:textId="77777777" w:rsidTr="002C27F9">
        <w:trPr>
          <w:trHeight w:hRule="exact" w:val="1237"/>
        </w:trPr>
        <w:tc>
          <w:tcPr>
            <w:tcW w:w="9646" w:type="dxa"/>
            <w:tcMar>
              <w:top w:w="142" w:type="dxa"/>
            </w:tcMar>
          </w:tcPr>
          <w:p w14:paraId="411D30F5"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17EBEF50" w14:textId="77777777" w:rsidR="00F10D35" w:rsidRDefault="00F10D35" w:rsidP="00F10D35"/>
          <w:p w14:paraId="51488E67" w14:textId="77777777" w:rsidR="006F4535" w:rsidRDefault="006F4535" w:rsidP="00F10D35">
            <w:pPr>
              <w:jc w:val="center"/>
            </w:pPr>
          </w:p>
          <w:p w14:paraId="678BE40D" w14:textId="77777777" w:rsidR="002C27F9" w:rsidRPr="002C27F9" w:rsidRDefault="002C27F9" w:rsidP="002C27F9">
            <w:pPr>
              <w:jc w:val="right"/>
            </w:pPr>
          </w:p>
        </w:tc>
      </w:tr>
    </w:tbl>
    <w:p w14:paraId="54530AB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1D1D911" w14:textId="77777777" w:rsidTr="00315E96">
        <w:trPr>
          <w:trHeight w:hRule="exact" w:val="964"/>
        </w:trPr>
        <w:tc>
          <w:tcPr>
            <w:tcW w:w="2325" w:type="dxa"/>
          </w:tcPr>
          <w:p w14:paraId="10CE34F2" w14:textId="77777777" w:rsidR="00620D7C" w:rsidRPr="004E49B0" w:rsidRDefault="00620D7C" w:rsidP="00F10D35">
            <w:pPr>
              <w:pStyle w:val="02Date"/>
              <w:rPr>
                <w:rFonts w:cs="Arial"/>
              </w:rPr>
            </w:pPr>
            <w:r w:rsidRPr="00F10D35">
              <w:rPr>
                <w:rFonts w:cs="Arial"/>
              </w:rPr>
              <w:lastRenderedPageBreak/>
              <w:t xml:space="preserve">Date: </w:t>
            </w:r>
            <w:r w:rsidR="00F10D35" w:rsidRPr="00F10D35">
              <w:rPr>
                <w:rFonts w:cs="Arial"/>
              </w:rPr>
              <w:t>2</w:t>
            </w:r>
            <w:r w:rsidR="00C3081F">
              <w:rPr>
                <w:rFonts w:cs="Arial"/>
              </w:rPr>
              <w:t>7</w:t>
            </w:r>
            <w:r w:rsidR="002C27F9">
              <w:rPr>
                <w:rFonts w:cs="Arial"/>
              </w:rPr>
              <w:t xml:space="preserve"> March </w:t>
            </w:r>
            <w:r w:rsidR="005738DE" w:rsidRPr="00F10D35">
              <w:rPr>
                <w:rFonts w:cs="Arial"/>
              </w:rPr>
              <w:t>20</w:t>
            </w:r>
            <w:r w:rsidR="002C27F9">
              <w:rPr>
                <w:rFonts w:cs="Arial"/>
              </w:rPr>
              <w:t>20</w:t>
            </w:r>
          </w:p>
        </w:tc>
      </w:tr>
    </w:tbl>
    <w:p w14:paraId="7A814101"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BA7CFC7" w14:textId="77777777" w:rsidR="006301E3" w:rsidRDefault="009A3017" w:rsidP="006301E3">
      <w:pPr>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014A67">
        <w:rPr>
          <w:rStyle w:val="SubtleEmphasis"/>
          <w:b w:val="0"/>
          <w:sz w:val="22"/>
        </w:rPr>
        <w:t xml:space="preserve">on the Report on </w:t>
      </w:r>
      <w:r w:rsidR="00014A67" w:rsidRPr="003D4677">
        <w:rPr>
          <w:rFonts w:cs="Arial"/>
        </w:rPr>
        <w:t xml:space="preserve">post trade risk reduction services </w:t>
      </w:r>
      <w:r w:rsidR="00014A67">
        <w:rPr>
          <w:rFonts w:cs="Arial"/>
        </w:rPr>
        <w:t xml:space="preserve">with regards to the clearing obligation </w:t>
      </w:r>
      <w:r w:rsidR="006301E3" w:rsidRPr="006301E3">
        <w:rPr>
          <w:rStyle w:val="SubtleEmphasis"/>
          <w:b w:val="0"/>
          <w:sz w:val="22"/>
        </w:rPr>
        <w:t xml:space="preserve">that ESMA is drafting under Article </w:t>
      </w:r>
      <w:r w:rsidR="00014A67" w:rsidRPr="003D4677">
        <w:rPr>
          <w:rFonts w:cs="Arial"/>
        </w:rPr>
        <w:t xml:space="preserve">85(3a) </w:t>
      </w:r>
      <w:r w:rsidR="006301E3" w:rsidRPr="006301E3">
        <w:rPr>
          <w:rStyle w:val="SubtleEmphasis"/>
          <w:b w:val="0"/>
          <w:sz w:val="22"/>
        </w:rPr>
        <w:t>of the Regulation (EU) No 648/2012 of the European Parliament and Council on OTC derivatives, central counterparties and trade repositories (EMIR</w:t>
      </w:r>
      <w:r w:rsidR="00014A67">
        <w:rPr>
          <w:rStyle w:val="SubtleEmphasis"/>
          <w:b w:val="0"/>
          <w:sz w:val="22"/>
        </w:rPr>
        <w:t>, as amended by Refit</w:t>
      </w:r>
      <w:r w:rsidR="006301E3" w:rsidRPr="006301E3">
        <w:rPr>
          <w:rStyle w:val="SubtleEmphasis"/>
          <w:b w:val="0"/>
          <w:sz w:val="22"/>
        </w:rPr>
        <w:t xml:space="preserve">). </w:t>
      </w:r>
    </w:p>
    <w:p w14:paraId="7FDAEE6A" w14:textId="77777777" w:rsidR="006301E3" w:rsidRDefault="006301E3" w:rsidP="006301E3">
      <w:pPr>
        <w:jc w:val="both"/>
        <w:rPr>
          <w:rStyle w:val="SubtleEmphasis"/>
          <w:b w:val="0"/>
          <w:sz w:val="22"/>
        </w:rPr>
      </w:pPr>
    </w:p>
    <w:p w14:paraId="0CF952A5"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53E43A6A" w14:textId="77777777" w:rsidR="00AF38AF" w:rsidRPr="00E40A5C" w:rsidRDefault="00AF38AF" w:rsidP="00AF38AF">
      <w:pPr>
        <w:rPr>
          <w:rStyle w:val="SubtleEmphasis"/>
          <w:b w:val="0"/>
          <w:sz w:val="22"/>
        </w:rPr>
      </w:pPr>
    </w:p>
    <w:p w14:paraId="75A1D05E"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5BC39A8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7A0B70D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3F620B0"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3450B5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1744B814"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2569A7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0F71118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C93A9C">
        <w:rPr>
          <w:rStyle w:val="SubtleEmphasis"/>
          <w:b w:val="0"/>
          <w:sz w:val="22"/>
        </w:rPr>
        <w:t>PTRR</w:t>
      </w:r>
      <w:r w:rsidRPr="00E40A5C">
        <w:rPr>
          <w:rStyle w:val="SubtleEmphasis"/>
          <w:b w:val="0"/>
          <w:sz w:val="22"/>
        </w:rPr>
        <w:t>_1&gt;. Your response to each question has to be framed by the two tags corresponding to the question.</w:t>
      </w:r>
    </w:p>
    <w:p w14:paraId="7FBA9F1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35762BE5"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C93A9C">
        <w:rPr>
          <w:rStyle w:val="SubtleEmphasis"/>
          <w:b w:val="0"/>
          <w:sz w:val="22"/>
        </w:rPr>
        <w:t>PTRR</w:t>
      </w:r>
      <w:r w:rsidRPr="00E40A5C">
        <w:rPr>
          <w:rStyle w:val="SubtleEmphasis"/>
          <w:b w:val="0"/>
          <w:sz w:val="22"/>
        </w:rPr>
        <w:t>_nameofrespondent_RESPONSEFORM. For example, for a respondent named ABCD, the response form would be entitled ESMA_</w:t>
      </w:r>
      <w:r w:rsidR="00C93A9C">
        <w:rPr>
          <w:rStyle w:val="SubtleEmphasis"/>
          <w:b w:val="0"/>
          <w:sz w:val="22"/>
        </w:rPr>
        <w:t>PTRR</w:t>
      </w:r>
      <w:r w:rsidRPr="00E40A5C">
        <w:rPr>
          <w:rStyle w:val="SubtleEmphasis"/>
          <w:b w:val="0"/>
          <w:sz w:val="22"/>
        </w:rPr>
        <w:t>_ABCD_RESPONSEFORM.</w:t>
      </w:r>
    </w:p>
    <w:p w14:paraId="117EB175" w14:textId="77777777" w:rsidR="009A3017" w:rsidRPr="00E40A5C" w:rsidRDefault="009A3017" w:rsidP="006301E3">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C3081F" w:rsidRPr="00F10D35">
        <w:rPr>
          <w:rFonts w:cs="Arial"/>
          <w:szCs w:val="56"/>
        </w:rPr>
        <w:t>Consultation Paper on</w:t>
      </w:r>
      <w:r w:rsidR="00C3081F">
        <w:t xml:space="preserve"> </w:t>
      </w:r>
      <w:r w:rsidR="00C3081F" w:rsidRPr="002C27F9">
        <w:rPr>
          <w:rFonts w:cs="Arial"/>
          <w:szCs w:val="56"/>
        </w:rPr>
        <w:t>post trade risk reduction services with regards to the clearing obligation (EMIR Article 85(3a))</w:t>
      </w:r>
      <w:r w:rsidR="006E0A4F" w:rsidRPr="006301E3">
        <w:rPr>
          <w:rStyle w:val="SubtleEmphasis"/>
          <w:b w:val="0"/>
          <w:sz w:val="22"/>
        </w:rPr>
        <w:t>”</w:t>
      </w:r>
      <w:r w:rsidRPr="001D5360">
        <w:rPr>
          <w:rStyle w:val="SubtleEmphasis"/>
          <w:b w:val="0"/>
          <w:sz w:val="22"/>
        </w:rPr>
        <w:t>.</w:t>
      </w:r>
    </w:p>
    <w:p w14:paraId="446A90FF"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7496904"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w:t>
      </w:r>
      <w:r w:rsidRPr="00E40A5C">
        <w:rPr>
          <w:rStyle w:val="SubtleEmphasis"/>
          <w:b w:val="0"/>
          <w:sz w:val="22"/>
          <w:lang w:eastAsia="en-GB"/>
        </w:rPr>
        <w:lastRenderedPageBreak/>
        <w:t>response may be requested from us in accordance with ESMA’s rules on access to documents. We may consult you if we receive such a request. Any decision we make not to disclose the response is reviewable by ESMA’s Board of Appeal and the European Ombudsman.</w:t>
      </w:r>
    </w:p>
    <w:p w14:paraId="664EAB3F"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30C8632"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4285251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14:paraId="08ED1085" w14:textId="77777777" w:rsidR="00332304" w:rsidRPr="00C3081F" w:rsidRDefault="006301E3" w:rsidP="006301E3">
      <w:pPr>
        <w:jc w:val="both"/>
        <w:rPr>
          <w:sz w:val="22"/>
          <w:szCs w:val="22"/>
        </w:rPr>
      </w:pPr>
      <w:r w:rsidRPr="00C3081F">
        <w:rPr>
          <w:sz w:val="22"/>
          <w:szCs w:val="22"/>
        </w:rPr>
        <w:t xml:space="preserve">All interested stakeholders are invited to respond to this consultation paper. In particular, responses are sought from financial and non-financial counterparties of OTC derivative transactions as well as central counterparties (CCPs) and clearing members. </w:t>
      </w:r>
      <w:r w:rsidR="00332304" w:rsidRPr="00C3081F">
        <w:rPr>
          <w:sz w:val="22"/>
          <w:szCs w:val="22"/>
        </w:rPr>
        <w:br w:type="page"/>
      </w:r>
    </w:p>
    <w:p w14:paraId="099F6907" w14:textId="77777777" w:rsidR="00B327E9" w:rsidRPr="00AB6D88" w:rsidRDefault="00B327E9" w:rsidP="00B327E9">
      <w:pPr>
        <w:pStyle w:val="Heading1"/>
        <w:numPr>
          <w:ilvl w:val="0"/>
          <w:numId w:val="0"/>
        </w:numPr>
      </w:pPr>
      <w:r w:rsidRPr="00AB6D88">
        <w:lastRenderedPageBreak/>
        <w:t>General information about respondent</w:t>
      </w:r>
    </w:p>
    <w:p w14:paraId="438CF98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41A67442" w14:textId="77777777" w:rsidTr="00A949CE">
        <w:tc>
          <w:tcPr>
            <w:tcW w:w="3929" w:type="dxa"/>
            <w:shd w:val="clear" w:color="auto" w:fill="auto"/>
          </w:tcPr>
          <w:p w14:paraId="124E5F0E" w14:textId="77777777" w:rsidR="00B327E9" w:rsidRPr="00E40A5C" w:rsidRDefault="00B327E9" w:rsidP="00A949CE">
            <w:pPr>
              <w:rPr>
                <w:rFonts w:cs="Arial"/>
                <w:sz w:val="22"/>
              </w:rPr>
            </w:pPr>
            <w:permStart w:id="928275840" w:edGrp="everyone" w:colFirst="1" w:colLast="1"/>
            <w:r w:rsidRPr="00E40A5C">
              <w:rPr>
                <w:rFonts w:cs="Arial"/>
                <w:sz w:val="22"/>
              </w:rPr>
              <w:t>Name of the company / organisation</w:t>
            </w:r>
          </w:p>
        </w:tc>
        <w:sdt>
          <w:sdtPr>
            <w:rPr>
              <w:rStyle w:val="PlaceholderText"/>
              <w:rFonts w:cs="Arial"/>
            </w:rPr>
            <w:id w:val="-1905066999"/>
            <w:text/>
          </w:sdtPr>
          <w:sdtContent>
            <w:tc>
              <w:tcPr>
                <w:tcW w:w="5595" w:type="dxa"/>
                <w:shd w:val="clear" w:color="auto" w:fill="auto"/>
              </w:tcPr>
              <w:p w14:paraId="63A164D7" w14:textId="6CC9E389" w:rsidR="00B327E9" w:rsidRPr="00AB6D88" w:rsidRDefault="00F1418A" w:rsidP="00A949CE">
                <w:pPr>
                  <w:rPr>
                    <w:rStyle w:val="PlaceholderText"/>
                    <w:rFonts w:cs="Arial"/>
                  </w:rPr>
                </w:pPr>
                <w:r>
                  <w:rPr>
                    <w:rStyle w:val="PlaceholderText"/>
                    <w:rFonts w:cs="Arial"/>
                  </w:rPr>
                  <w:t>LSEG</w:t>
                </w:r>
              </w:p>
            </w:tc>
          </w:sdtContent>
        </w:sdt>
      </w:tr>
      <w:tr w:rsidR="00B327E9" w:rsidRPr="00AB6D88" w14:paraId="7278200D" w14:textId="77777777" w:rsidTr="00A949CE">
        <w:tc>
          <w:tcPr>
            <w:tcW w:w="3929" w:type="dxa"/>
            <w:shd w:val="clear" w:color="auto" w:fill="auto"/>
          </w:tcPr>
          <w:p w14:paraId="29C6CDE3" w14:textId="77777777" w:rsidR="00B327E9" w:rsidRPr="00E40A5C" w:rsidRDefault="00B327E9" w:rsidP="00A949CE">
            <w:pPr>
              <w:rPr>
                <w:rFonts w:cs="Arial"/>
                <w:sz w:val="22"/>
              </w:rPr>
            </w:pPr>
            <w:permStart w:id="1846757496" w:edGrp="everyone" w:colFirst="1" w:colLast="1"/>
            <w:permEnd w:id="928275840"/>
            <w:r w:rsidRPr="00E40A5C">
              <w:rPr>
                <w:rFonts w:cs="Arial"/>
                <w:sz w:val="22"/>
              </w:rPr>
              <w:t>Activity</w:t>
            </w:r>
          </w:p>
        </w:tc>
        <w:tc>
          <w:tcPr>
            <w:tcW w:w="5595" w:type="dxa"/>
            <w:shd w:val="clear" w:color="auto" w:fill="auto"/>
          </w:tcPr>
          <w:p w14:paraId="4AD542FF" w14:textId="7EB715D5" w:rsidR="00B327E9" w:rsidRPr="00AB6D88" w:rsidRDefault="00A949CE" w:rsidP="00A949C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1418A">
                  <w:rPr>
                    <w:rFonts w:cs="Arial"/>
                  </w:rPr>
                  <w:t>Central Counterparty</w:t>
                </w:r>
              </w:sdtContent>
            </w:sdt>
          </w:p>
        </w:tc>
      </w:tr>
      <w:tr w:rsidR="00B327E9" w:rsidRPr="00AB6D88" w14:paraId="6B22BA1E" w14:textId="77777777" w:rsidTr="00A949CE">
        <w:tc>
          <w:tcPr>
            <w:tcW w:w="3929" w:type="dxa"/>
            <w:shd w:val="clear" w:color="auto" w:fill="auto"/>
          </w:tcPr>
          <w:p w14:paraId="057296C0" w14:textId="77777777" w:rsidR="00B327E9" w:rsidRPr="00E40A5C" w:rsidRDefault="00B327E9" w:rsidP="00A949CE">
            <w:pPr>
              <w:rPr>
                <w:rFonts w:cs="Arial"/>
                <w:sz w:val="22"/>
              </w:rPr>
            </w:pPr>
            <w:permStart w:id="251072045" w:edGrp="everyone" w:colFirst="1" w:colLast="1"/>
            <w:permEnd w:id="1846757496"/>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Content>
            <w:tc>
              <w:tcPr>
                <w:tcW w:w="5595" w:type="dxa"/>
                <w:shd w:val="clear" w:color="auto" w:fill="auto"/>
              </w:tcPr>
              <w:p w14:paraId="180DF954" w14:textId="59D4948C" w:rsidR="00B327E9" w:rsidRPr="00AB6D88" w:rsidRDefault="00F1418A" w:rsidP="00A949CE">
                <w:pPr>
                  <w:rPr>
                    <w:rFonts w:cs="Arial"/>
                  </w:rPr>
                </w:pPr>
                <w:r>
                  <w:rPr>
                    <w:rFonts w:ascii="MS Gothic" w:eastAsia="MS Gothic" w:hAnsi="MS Gothic" w:cs="Arial" w:hint="eastAsia"/>
                  </w:rPr>
                  <w:t>☐</w:t>
                </w:r>
              </w:p>
            </w:tc>
          </w:sdtContent>
        </w:sdt>
        <w:bookmarkStart w:id="1" w:name="_GoBack"/>
        <w:bookmarkEnd w:id="1"/>
      </w:tr>
      <w:tr w:rsidR="00B327E9" w:rsidRPr="00AB6D88" w14:paraId="100DE941" w14:textId="77777777" w:rsidTr="00A949CE">
        <w:tc>
          <w:tcPr>
            <w:tcW w:w="3929" w:type="dxa"/>
            <w:shd w:val="clear" w:color="auto" w:fill="auto"/>
          </w:tcPr>
          <w:p w14:paraId="2E4B105A" w14:textId="77777777" w:rsidR="00B327E9" w:rsidRPr="00E40A5C" w:rsidRDefault="00B327E9" w:rsidP="00A949CE">
            <w:pPr>
              <w:rPr>
                <w:rFonts w:cs="Arial"/>
                <w:sz w:val="22"/>
              </w:rPr>
            </w:pPr>
            <w:permStart w:id="2095864987" w:edGrp="everyone" w:colFirst="1" w:colLast="1"/>
            <w:permEnd w:id="251072045"/>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BF257D" w14:textId="295BAF9F" w:rsidR="00B327E9" w:rsidRPr="00AB6D88" w:rsidRDefault="00F1418A" w:rsidP="00A949CE">
                <w:pPr>
                  <w:rPr>
                    <w:rFonts w:cs="Arial"/>
                  </w:rPr>
                </w:pPr>
                <w:r>
                  <w:rPr>
                    <w:rFonts w:cs="Arial"/>
                  </w:rPr>
                  <w:t>UK</w:t>
                </w:r>
              </w:p>
            </w:tc>
          </w:sdtContent>
        </w:sdt>
      </w:tr>
      <w:permEnd w:id="2095864987"/>
    </w:tbl>
    <w:p w14:paraId="00BA28FA" w14:textId="77777777" w:rsidR="00B327E9" w:rsidRDefault="00B327E9" w:rsidP="00B327E9">
      <w:pPr>
        <w:spacing w:after="120" w:line="264" w:lineRule="auto"/>
      </w:pPr>
    </w:p>
    <w:p w14:paraId="00C2A171" w14:textId="77777777" w:rsidR="00B327E9" w:rsidRDefault="00B327E9" w:rsidP="00B327E9">
      <w:pPr>
        <w:pStyle w:val="Heading1"/>
        <w:numPr>
          <w:ilvl w:val="0"/>
          <w:numId w:val="0"/>
        </w:numPr>
        <w:ind w:left="431" w:hanging="431"/>
      </w:pPr>
      <w:r>
        <w:t>Introduction</w:t>
      </w:r>
    </w:p>
    <w:p w14:paraId="45B81C61"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4325A0A5" w14:textId="77777777" w:rsidR="00B327E9" w:rsidRPr="00BF28DA" w:rsidRDefault="00B327E9" w:rsidP="00B327E9"/>
    <w:p w14:paraId="1590BEA6" w14:textId="77777777" w:rsidR="00B327E9" w:rsidRPr="006F4535" w:rsidRDefault="00B327E9" w:rsidP="00B327E9">
      <w:r w:rsidRPr="006F4535">
        <w:t>&lt;ESMA_COMMENT_</w:t>
      </w:r>
      <w:r w:rsidR="00C93A9C">
        <w:rPr>
          <w:rFonts w:cs="Arial"/>
        </w:rPr>
        <w:t>PTRR</w:t>
      </w:r>
      <w:r w:rsidRPr="006F4535">
        <w:t>_1&gt;</w:t>
      </w:r>
    </w:p>
    <w:p w14:paraId="22202729" w14:textId="77777777" w:rsidR="00E130B2" w:rsidRDefault="00E130B2" w:rsidP="00E130B2">
      <w:pPr>
        <w:jc w:val="both"/>
        <w:rPr>
          <w:rFonts w:cstheme="minorHAnsi"/>
          <w:szCs w:val="20"/>
        </w:rPr>
      </w:pPr>
      <w:permStart w:id="868368305" w:edGrp="everyone"/>
      <w:r w:rsidRPr="00C74F7B">
        <w:rPr>
          <w:rFonts w:cstheme="minorHAnsi"/>
          <w:szCs w:val="20"/>
        </w:rPr>
        <w:t xml:space="preserve">LSEG welcomes the opportunity to </w:t>
      </w:r>
      <w:r>
        <w:rPr>
          <w:rFonts w:cstheme="minorHAnsi"/>
          <w:szCs w:val="20"/>
        </w:rPr>
        <w:t xml:space="preserve">comment on ESMA’s </w:t>
      </w:r>
      <w:r w:rsidRPr="00CC4675">
        <w:rPr>
          <w:rFonts w:cstheme="minorHAnsi"/>
          <w:szCs w:val="20"/>
        </w:rPr>
        <w:t>Consultation Paper</w:t>
      </w:r>
      <w:r>
        <w:rPr>
          <w:rFonts w:cstheme="minorHAnsi"/>
          <w:szCs w:val="20"/>
        </w:rPr>
        <w:t xml:space="preserve"> (“CP”)</w:t>
      </w:r>
      <w:r w:rsidRPr="00CC4675">
        <w:rPr>
          <w:rFonts w:cstheme="minorHAnsi"/>
          <w:szCs w:val="20"/>
        </w:rPr>
        <w:t xml:space="preserve"> on </w:t>
      </w:r>
      <w:r w:rsidRPr="00CF4258">
        <w:rPr>
          <w:rFonts w:cstheme="minorHAnsi"/>
          <w:szCs w:val="20"/>
        </w:rPr>
        <w:t>post trade risk reduction services</w:t>
      </w:r>
      <w:r>
        <w:rPr>
          <w:rFonts w:cstheme="minorHAnsi"/>
          <w:szCs w:val="20"/>
        </w:rPr>
        <w:t xml:space="preserve"> (“PTRRS”)</w:t>
      </w:r>
      <w:r w:rsidRPr="00CF4258">
        <w:rPr>
          <w:rFonts w:cstheme="minorHAnsi"/>
          <w:szCs w:val="20"/>
        </w:rPr>
        <w:t xml:space="preserve"> with regards to the clearing obligation (EMIR Article 85(3a))</w:t>
      </w:r>
      <w:r>
        <w:rPr>
          <w:rFonts w:cstheme="minorHAnsi"/>
          <w:szCs w:val="20"/>
        </w:rPr>
        <w:t>. After reviewing the CP, we would like to note the following key comments:</w:t>
      </w:r>
    </w:p>
    <w:p w14:paraId="468B0C36" w14:textId="77777777" w:rsidR="00E130B2" w:rsidRDefault="00E130B2" w:rsidP="00E130B2">
      <w:pPr>
        <w:jc w:val="both"/>
        <w:rPr>
          <w:rFonts w:cstheme="minorHAnsi"/>
          <w:szCs w:val="20"/>
        </w:rPr>
      </w:pPr>
    </w:p>
    <w:p w14:paraId="5F6055EC" w14:textId="77777777" w:rsidR="00E130B2" w:rsidRDefault="00E130B2" w:rsidP="00E130B2">
      <w:pPr>
        <w:pStyle w:val="ListParagraph"/>
        <w:numPr>
          <w:ilvl w:val="0"/>
          <w:numId w:val="43"/>
        </w:numPr>
        <w:spacing w:after="200"/>
        <w:jc w:val="both"/>
        <w:rPr>
          <w:rFonts w:cstheme="minorHAnsi"/>
          <w:szCs w:val="20"/>
        </w:rPr>
      </w:pPr>
      <w:r>
        <w:rPr>
          <w:rFonts w:cstheme="minorHAnsi"/>
          <w:szCs w:val="20"/>
        </w:rPr>
        <w:t xml:space="preserve">We believe that, although clearing is an important tool towards minimising systemic risk from OTC derivatives and with important benefits in terms of </w:t>
      </w:r>
      <w:r w:rsidRPr="004D0779">
        <w:rPr>
          <w:rFonts w:cstheme="minorHAnsi"/>
          <w:szCs w:val="20"/>
        </w:rPr>
        <w:t>resource optimisation, operational risk and default management</w:t>
      </w:r>
      <w:r>
        <w:rPr>
          <w:rFonts w:cstheme="minorHAnsi"/>
          <w:szCs w:val="20"/>
        </w:rPr>
        <w:t>, not all products are suitable for clearing which is why market participants maintain portfolios of both cleared and non-cleared products.</w:t>
      </w:r>
    </w:p>
    <w:p w14:paraId="0DCD2491" w14:textId="77777777" w:rsidR="00E130B2" w:rsidRDefault="00E130B2" w:rsidP="00E130B2">
      <w:pPr>
        <w:pStyle w:val="ListParagraph"/>
        <w:numPr>
          <w:ilvl w:val="0"/>
          <w:numId w:val="43"/>
        </w:numPr>
        <w:spacing w:after="200"/>
        <w:jc w:val="both"/>
        <w:rPr>
          <w:rFonts w:cstheme="minorHAnsi"/>
          <w:szCs w:val="20"/>
        </w:rPr>
      </w:pPr>
      <w:r>
        <w:rPr>
          <w:rFonts w:cstheme="minorHAnsi"/>
          <w:szCs w:val="20"/>
        </w:rPr>
        <w:t>PTRRS can equally be applied to cleared and non-cleared portfolios and can significantly reduce systemic risk by minimising risk for each institution across both types of portfolios rather than targeting maximum use of clearing per se.</w:t>
      </w:r>
    </w:p>
    <w:p w14:paraId="12007C63" w14:textId="77777777" w:rsidR="00E130B2" w:rsidRPr="00A21D2B" w:rsidRDefault="00E130B2" w:rsidP="00E130B2">
      <w:pPr>
        <w:pStyle w:val="ListParagraph"/>
        <w:numPr>
          <w:ilvl w:val="0"/>
          <w:numId w:val="43"/>
        </w:numPr>
        <w:spacing w:after="200"/>
        <w:jc w:val="both"/>
        <w:rPr>
          <w:rFonts w:cstheme="minorHAnsi"/>
          <w:szCs w:val="20"/>
        </w:rPr>
      </w:pPr>
      <w:r>
        <w:rPr>
          <w:rFonts w:cstheme="minorHAnsi"/>
          <w:szCs w:val="20"/>
        </w:rPr>
        <w:t>LSEG believes that, it may be prudent to enable limited exemptions from clearing for transactions generated by PTRRS where it can be shown to reduce the overall risk of an institution’s total exposure profile in a bilateral portfolio and enhance financial stability.</w:t>
      </w:r>
    </w:p>
    <w:p w14:paraId="37B08DCC" w14:textId="77777777" w:rsidR="00E130B2" w:rsidRDefault="00E130B2" w:rsidP="00E130B2">
      <w:pPr>
        <w:pStyle w:val="ListParagraph"/>
        <w:jc w:val="both"/>
        <w:rPr>
          <w:rFonts w:cstheme="minorHAnsi"/>
          <w:szCs w:val="20"/>
        </w:rPr>
      </w:pPr>
      <w:bookmarkStart w:id="2" w:name="_Hlk14268422"/>
    </w:p>
    <w:bookmarkEnd w:id="2"/>
    <w:p w14:paraId="0B3CAEEB" w14:textId="77777777" w:rsidR="00E130B2" w:rsidRDefault="00E130B2" w:rsidP="00E130B2">
      <w:pPr>
        <w:jc w:val="both"/>
        <w:rPr>
          <w:rFonts w:cstheme="minorHAnsi"/>
          <w:szCs w:val="20"/>
        </w:rPr>
      </w:pPr>
      <w:r>
        <w:rPr>
          <w:rFonts w:cstheme="minorHAnsi"/>
          <w:szCs w:val="20"/>
        </w:rPr>
        <w:t>Below we set out our responses to each of the questions raised in the CP.</w:t>
      </w:r>
    </w:p>
    <w:permEnd w:id="868368305"/>
    <w:p w14:paraId="1946570E" w14:textId="77777777" w:rsidR="00B327E9" w:rsidRPr="00BF28DA" w:rsidRDefault="00B327E9" w:rsidP="00B327E9">
      <w:r w:rsidRPr="00BF28DA">
        <w:t>&lt;ESMA_COMMENT_</w:t>
      </w:r>
      <w:r w:rsidR="00C93A9C">
        <w:rPr>
          <w:rFonts w:cs="Arial"/>
        </w:rPr>
        <w:t>PTRR</w:t>
      </w:r>
      <w:r w:rsidR="000A58BE">
        <w:t>_</w:t>
      </w:r>
      <w:r w:rsidRPr="00BF28DA">
        <w:t>1&gt;</w:t>
      </w:r>
    </w:p>
    <w:p w14:paraId="3A866C0F" w14:textId="77777777" w:rsidR="002E7113" w:rsidRDefault="002E7113" w:rsidP="002E7113">
      <w:pPr>
        <w:pStyle w:val="Heading1"/>
        <w:numPr>
          <w:ilvl w:val="0"/>
          <w:numId w:val="0"/>
        </w:numPr>
      </w:pPr>
    </w:p>
    <w:p w14:paraId="51EC4939" w14:textId="77777777" w:rsidR="00F31E57" w:rsidRPr="00BF28DA" w:rsidRDefault="00F31E57" w:rsidP="00D34282"/>
    <w:p w14:paraId="70C1FE60" w14:textId="77777777" w:rsidR="00CC49EE" w:rsidRDefault="00F31E57" w:rsidP="00014A67">
      <w:pPr>
        <w:pStyle w:val="Questionstyle"/>
      </w:pPr>
      <w:r w:rsidRPr="0075015C">
        <w:br w:type="page"/>
      </w:r>
    </w:p>
    <w:p w14:paraId="5D488D94" w14:textId="77777777" w:rsidR="00CC49EE" w:rsidRDefault="00014A67" w:rsidP="00014A67">
      <w:pPr>
        <w:pStyle w:val="Questionstyle"/>
        <w:numPr>
          <w:ilvl w:val="0"/>
          <w:numId w:val="41"/>
        </w:numPr>
      </w:pPr>
      <w:r>
        <w:lastRenderedPageBreak/>
        <w:t xml:space="preserve">: </w:t>
      </w:r>
      <w:r w:rsidRPr="00014A67">
        <w:t>Would you agree with the description of the benefits (i.e. reduced risks) derived from PTRR services? Are there any missing? Could PTRR services instead increase any of those risks? Are there any other risks you see involved in using PTRR services?</w:t>
      </w:r>
    </w:p>
    <w:p w14:paraId="436C4566" w14:textId="77777777" w:rsidR="00CD3899" w:rsidRDefault="00CD3899" w:rsidP="00CD3899">
      <w:pPr>
        <w:rPr>
          <w:lang w:eastAsia="en-US"/>
        </w:rPr>
      </w:pPr>
      <w:r>
        <w:rPr>
          <w:lang w:eastAsia="en-US"/>
        </w:rPr>
        <w:t>&lt;ESMA_QUESTION_</w:t>
      </w:r>
      <w:r w:rsidR="00C93A9C">
        <w:rPr>
          <w:lang w:eastAsia="en-US"/>
        </w:rPr>
        <w:t>PTRR</w:t>
      </w:r>
      <w:r>
        <w:rPr>
          <w:lang w:eastAsia="en-US"/>
        </w:rPr>
        <w:t>_1&gt;</w:t>
      </w:r>
    </w:p>
    <w:p w14:paraId="04A4A22A" w14:textId="4C265A82" w:rsidR="00E130B2" w:rsidRPr="004902A0" w:rsidRDefault="00E130B2" w:rsidP="00E130B2">
      <w:pPr>
        <w:jc w:val="both"/>
        <w:rPr>
          <w:szCs w:val="20"/>
        </w:rPr>
      </w:pPr>
      <w:permStart w:id="1603627043" w:edGrp="everyone"/>
      <w:r w:rsidRPr="004902A0">
        <w:rPr>
          <w:szCs w:val="20"/>
        </w:rPr>
        <w:t xml:space="preserve">We agree with the description of the benefits derived from PTRR services. We would add that, </w:t>
      </w:r>
      <w:r>
        <w:rPr>
          <w:szCs w:val="20"/>
        </w:rPr>
        <w:t>in contrast</w:t>
      </w:r>
      <w:r w:rsidRPr="004902A0">
        <w:rPr>
          <w:szCs w:val="20"/>
        </w:rPr>
        <w:t xml:space="preserve"> to any compression service </w:t>
      </w:r>
      <w:r>
        <w:rPr>
          <w:szCs w:val="20"/>
        </w:rPr>
        <w:t xml:space="preserve">solely </w:t>
      </w:r>
      <w:r w:rsidRPr="004902A0">
        <w:rPr>
          <w:szCs w:val="20"/>
        </w:rPr>
        <w:t>aim</w:t>
      </w:r>
      <w:r>
        <w:rPr>
          <w:szCs w:val="20"/>
        </w:rPr>
        <w:t>ed</w:t>
      </w:r>
      <w:r w:rsidRPr="004902A0">
        <w:rPr>
          <w:szCs w:val="20"/>
        </w:rPr>
        <w:t xml:space="preserve"> at reducing the number of trades and/or notional, portfolio rebalancing can be a strong risk mitigant </w:t>
      </w:r>
      <w:r>
        <w:rPr>
          <w:szCs w:val="20"/>
        </w:rPr>
        <w:t xml:space="preserve">while at the same time </w:t>
      </w:r>
      <w:r w:rsidRPr="004902A0">
        <w:rPr>
          <w:szCs w:val="20"/>
        </w:rPr>
        <w:t>it may (</w:t>
      </w:r>
      <w:r>
        <w:rPr>
          <w:szCs w:val="20"/>
        </w:rPr>
        <w:t xml:space="preserve">but </w:t>
      </w:r>
      <w:r w:rsidRPr="004902A0">
        <w:rPr>
          <w:szCs w:val="20"/>
        </w:rPr>
        <w:t xml:space="preserve">does not have to) involve the overlay of additional risk-reducing trades into a portfolio. PTRR services </w:t>
      </w:r>
      <w:proofErr w:type="gramStart"/>
      <w:r w:rsidRPr="004902A0">
        <w:rPr>
          <w:szCs w:val="20"/>
        </w:rPr>
        <w:t>by definition can</w:t>
      </w:r>
      <w:proofErr w:type="gramEnd"/>
      <w:r w:rsidRPr="004902A0">
        <w:rPr>
          <w:szCs w:val="20"/>
        </w:rPr>
        <w:t xml:space="preserve"> only lead to a reduction of overall risk such as credit, counterparty and</w:t>
      </w:r>
      <w:r>
        <w:rPr>
          <w:szCs w:val="20"/>
        </w:rPr>
        <w:t>/or</w:t>
      </w:r>
      <w:r w:rsidRPr="004902A0">
        <w:rPr>
          <w:szCs w:val="20"/>
        </w:rPr>
        <w:t xml:space="preserve"> operational risk. Therefore, we don’t believe that trades resulting from those services should be subject to a clearing obligation if they manage </w:t>
      </w:r>
      <w:r>
        <w:rPr>
          <w:szCs w:val="20"/>
        </w:rPr>
        <w:t xml:space="preserve">both </w:t>
      </w:r>
      <w:r w:rsidRPr="004902A0">
        <w:rPr>
          <w:szCs w:val="20"/>
        </w:rPr>
        <w:t>to reduce overall risk in a</w:t>
      </w:r>
      <w:r>
        <w:rPr>
          <w:szCs w:val="20"/>
        </w:rPr>
        <w:t>t least one</w:t>
      </w:r>
      <w:r w:rsidRPr="004902A0">
        <w:rPr>
          <w:szCs w:val="20"/>
        </w:rPr>
        <w:t xml:space="preserve"> bilateral portfolio and </w:t>
      </w:r>
      <w:r>
        <w:rPr>
          <w:szCs w:val="20"/>
        </w:rPr>
        <w:t xml:space="preserve">to </w:t>
      </w:r>
      <w:r w:rsidRPr="004902A0">
        <w:rPr>
          <w:szCs w:val="20"/>
        </w:rPr>
        <w:t>enhance financial stability.</w:t>
      </w:r>
    </w:p>
    <w:permEnd w:id="1603627043"/>
    <w:p w14:paraId="7DC52E92" w14:textId="77777777" w:rsidR="00CD3899" w:rsidRPr="00CD3899" w:rsidRDefault="00CD3899" w:rsidP="00CD3899">
      <w:pPr>
        <w:rPr>
          <w:lang w:eastAsia="en-US"/>
        </w:rPr>
      </w:pPr>
      <w:r>
        <w:rPr>
          <w:lang w:eastAsia="en-US"/>
        </w:rPr>
        <w:t>&lt;ESMA_QUESTION_</w:t>
      </w:r>
      <w:r w:rsidR="00C93A9C">
        <w:rPr>
          <w:lang w:eastAsia="en-US"/>
        </w:rPr>
        <w:t>PTRR</w:t>
      </w:r>
      <w:r>
        <w:rPr>
          <w:lang w:eastAsia="en-US"/>
        </w:rPr>
        <w:t>_1&gt;</w:t>
      </w:r>
    </w:p>
    <w:p w14:paraId="1098A39C" w14:textId="77777777" w:rsidR="00014A67" w:rsidRPr="00014A67" w:rsidRDefault="00014A67" w:rsidP="00014A67">
      <w:pPr>
        <w:rPr>
          <w:lang w:eastAsia="en-US"/>
        </w:rPr>
      </w:pPr>
    </w:p>
    <w:p w14:paraId="4AC941DB" w14:textId="77777777" w:rsidR="00AF38AF" w:rsidRDefault="00170D44" w:rsidP="00014A67">
      <w:pPr>
        <w:pStyle w:val="Questionstyle"/>
      </w:pPr>
      <w:r w:rsidRPr="00CC49EE">
        <w:t xml:space="preserve">: </w:t>
      </w:r>
      <w:r w:rsidR="00014A67" w:rsidRPr="00C2164A">
        <w:t xml:space="preserve">Would you agree with this description of </w:t>
      </w:r>
      <w:r w:rsidR="00014A67">
        <w:t xml:space="preserve">portfolio </w:t>
      </w:r>
      <w:r w:rsidR="00014A67" w:rsidRPr="00C2164A">
        <w:t>compression? Please explain the different compression services that are offered and how they may differ from the description above.</w:t>
      </w:r>
      <w:r w:rsidR="00014A67">
        <w:t xml:space="preserve">  Are</w:t>
      </w:r>
      <w:r w:rsidR="00014A67" w:rsidRPr="008355E5">
        <w:t xml:space="preserve"> there </w:t>
      </w:r>
      <w:r w:rsidR="00014A67">
        <w:t xml:space="preserve">today </w:t>
      </w:r>
      <w:r w:rsidR="00014A67" w:rsidRPr="008355E5">
        <w:t>viable alternative</w:t>
      </w:r>
      <w:r w:rsidR="00014A67">
        <w:t>s</w:t>
      </w:r>
      <w:r w:rsidR="00014A67" w:rsidRPr="008355E5">
        <w:t xml:space="preserve"> to using PTRR services to achieve a similar outcome</w:t>
      </w:r>
      <w:r w:rsidR="00014A67">
        <w:t>?</w:t>
      </w:r>
      <w:r w:rsidR="00014A67" w:rsidRPr="008355E5">
        <w:t xml:space="preserve">  </w:t>
      </w:r>
    </w:p>
    <w:p w14:paraId="25F05284" w14:textId="77777777" w:rsidR="00CC38E9" w:rsidRDefault="00CC38E9" w:rsidP="00CC38E9">
      <w:bookmarkStart w:id="3" w:name="_Hlk35514199"/>
      <w:r>
        <w:t>&lt;ESMA_</w:t>
      </w:r>
      <w:r w:rsidR="00C93A9C">
        <w:t>QUESTION_PTRR_</w:t>
      </w:r>
      <w:r w:rsidR="00CD3899">
        <w:t>2</w:t>
      </w:r>
      <w:r>
        <w:t>&gt;</w:t>
      </w:r>
    </w:p>
    <w:p w14:paraId="1819EC5D" w14:textId="77777777" w:rsidR="00E130B2" w:rsidRPr="004902A0" w:rsidRDefault="00E130B2" w:rsidP="00E130B2">
      <w:pPr>
        <w:rPr>
          <w:szCs w:val="20"/>
        </w:rPr>
      </w:pPr>
      <w:permStart w:id="32452557" w:edGrp="everyone"/>
      <w:r w:rsidRPr="004902A0">
        <w:rPr>
          <w:szCs w:val="20"/>
        </w:rPr>
        <w:t>LSEG agrees with ESMA’s description of portfolio compression.</w:t>
      </w:r>
    </w:p>
    <w:permEnd w:id="32452557"/>
    <w:p w14:paraId="2E2C8A33" w14:textId="77777777" w:rsidR="00CC38E9" w:rsidRDefault="00CC38E9" w:rsidP="00CC38E9">
      <w:r>
        <w:t>&lt;ESMA_</w:t>
      </w:r>
      <w:r w:rsidR="00C93A9C">
        <w:t>QUESTION_PTRR_</w:t>
      </w:r>
      <w:r w:rsidR="00CD3899">
        <w:t>2</w:t>
      </w:r>
      <w:r>
        <w:t>&gt;</w:t>
      </w:r>
    </w:p>
    <w:bookmarkEnd w:id="3"/>
    <w:p w14:paraId="7DBEA0F6" w14:textId="77777777" w:rsidR="00CC38E9" w:rsidRDefault="00CC38E9" w:rsidP="00170D44">
      <w:pPr>
        <w:rPr>
          <w:b/>
        </w:rPr>
      </w:pPr>
    </w:p>
    <w:p w14:paraId="153206CA" w14:textId="77777777" w:rsidR="00CC49EE" w:rsidRPr="00170D44" w:rsidRDefault="00CC49EE" w:rsidP="00170D44">
      <w:pPr>
        <w:rPr>
          <w:b/>
        </w:rPr>
      </w:pPr>
    </w:p>
    <w:p w14:paraId="3B3B2BF4" w14:textId="77777777" w:rsidR="00CC38E9" w:rsidRPr="00014A67" w:rsidRDefault="00170D44" w:rsidP="00014A67">
      <w:pPr>
        <w:pStyle w:val="Questionstyle"/>
      </w:pPr>
      <w:r w:rsidRPr="00CC49EE">
        <w:t xml:space="preserve">: </w:t>
      </w:r>
      <w:r w:rsidR="00014A67">
        <w:t>W</w:t>
      </w:r>
      <w:r w:rsidR="00014A67" w:rsidRPr="009B6240">
        <w:t>ithout changing the market risk of the portfolios</w:t>
      </w:r>
      <w:r w:rsidR="00014A67">
        <w:t>, how different can the transactions included in the portfolio compression exercise be? Would the market risk be changed at all by the applied tolerances and if yes, how can the portfolio remain market neutral? What tolerance levels are often applied and</w:t>
      </w:r>
      <w:r w:rsidR="00014A67" w:rsidRPr="00A97283">
        <w:t xml:space="preserve"> could/should </w:t>
      </w:r>
      <w:r w:rsidR="00014A67" w:rsidRPr="00D93994">
        <w:t>restrictions be placed on tolerances?</w:t>
      </w:r>
    </w:p>
    <w:p w14:paraId="68120ECC" w14:textId="77777777" w:rsidR="00CC38E9" w:rsidRDefault="00CC38E9" w:rsidP="00CC38E9">
      <w:r>
        <w:t>&lt;ESMA_</w:t>
      </w:r>
      <w:r w:rsidR="00C93A9C">
        <w:t>QUESTION_PTRR_</w:t>
      </w:r>
      <w:r w:rsidR="00CD3899">
        <w:t>3</w:t>
      </w:r>
      <w:r>
        <w:t>&gt;</w:t>
      </w:r>
    </w:p>
    <w:p w14:paraId="0DB338D5" w14:textId="4D67CC96" w:rsidR="00E130B2" w:rsidRPr="004902A0" w:rsidRDefault="00E130B2" w:rsidP="00E130B2">
      <w:pPr>
        <w:jc w:val="both"/>
        <w:rPr>
          <w:rFonts w:cstheme="minorHAnsi"/>
          <w:szCs w:val="20"/>
        </w:rPr>
      </w:pPr>
      <w:permStart w:id="440750008" w:edGrp="everyone"/>
      <w:r w:rsidRPr="004902A0">
        <w:rPr>
          <w:rFonts w:cstheme="minorHAnsi"/>
          <w:szCs w:val="20"/>
        </w:rPr>
        <w:t>We believe that, in order to maintain a market-risk-neutral portfolio</w:t>
      </w:r>
      <w:r>
        <w:rPr>
          <w:rFonts w:cstheme="minorHAnsi"/>
          <w:szCs w:val="20"/>
        </w:rPr>
        <w:t>,</w:t>
      </w:r>
      <w:r w:rsidRPr="004902A0">
        <w:rPr>
          <w:rFonts w:cstheme="minorHAnsi"/>
          <w:szCs w:val="20"/>
        </w:rPr>
        <w:t xml:space="preserve"> compression cycles should be performed by </w:t>
      </w:r>
      <w:r>
        <w:rPr>
          <w:rFonts w:cstheme="minorHAnsi"/>
          <w:szCs w:val="20"/>
        </w:rPr>
        <w:t>service providers</w:t>
      </w:r>
      <w:r w:rsidRPr="004902A0">
        <w:rPr>
          <w:rFonts w:cstheme="minorHAnsi"/>
          <w:szCs w:val="20"/>
        </w:rPr>
        <w:t>. Having said that, it is important that PTRR service providers take under consideration predefined members’ tolerances</w:t>
      </w:r>
      <w:r>
        <w:rPr>
          <w:rFonts w:cstheme="minorHAnsi"/>
          <w:szCs w:val="20"/>
        </w:rPr>
        <w:t>,</w:t>
      </w:r>
      <w:r w:rsidRPr="004902A0">
        <w:rPr>
          <w:rFonts w:cstheme="minorHAnsi"/>
          <w:szCs w:val="20"/>
        </w:rPr>
        <w:t xml:space="preserve"> </w:t>
      </w:r>
      <w:r>
        <w:rPr>
          <w:rFonts w:cstheme="minorHAnsi"/>
          <w:szCs w:val="20"/>
        </w:rPr>
        <w:t>as</w:t>
      </w:r>
      <w:r w:rsidRPr="004902A0">
        <w:rPr>
          <w:rFonts w:cstheme="minorHAnsi"/>
          <w:szCs w:val="20"/>
        </w:rPr>
        <w:t xml:space="preserve"> we believe that a pre-define</w:t>
      </w:r>
      <w:r>
        <w:rPr>
          <w:rFonts w:cstheme="minorHAnsi"/>
          <w:szCs w:val="20"/>
        </w:rPr>
        <w:t>d</w:t>
      </w:r>
      <w:r w:rsidRPr="004902A0">
        <w:rPr>
          <w:rFonts w:cstheme="minorHAnsi"/>
          <w:szCs w:val="20"/>
        </w:rPr>
        <w:t xml:space="preserve"> set of tolerances agreed by counterparties prior any PTRR cycle is performed</w:t>
      </w:r>
      <w:r>
        <w:rPr>
          <w:rFonts w:cstheme="minorHAnsi"/>
          <w:szCs w:val="20"/>
        </w:rPr>
        <w:t>,</w:t>
      </w:r>
      <w:r w:rsidRPr="004902A0">
        <w:rPr>
          <w:rFonts w:cstheme="minorHAnsi"/>
          <w:szCs w:val="20"/>
        </w:rPr>
        <w:t xml:space="preserve"> would enable the process to work in the most efficient manner (i.e. reduce overall risk) and ensure that the risk profile is kept unchanged. Restrictions could then apply by PTRR service providers by only allowing participants to either accept or reject PTRR results.</w:t>
      </w:r>
    </w:p>
    <w:permEnd w:id="440750008"/>
    <w:p w14:paraId="6C4A2BAF" w14:textId="77777777" w:rsidR="00CC38E9" w:rsidRDefault="00CC38E9" w:rsidP="00CC38E9">
      <w:r>
        <w:t>&lt;ESMA_</w:t>
      </w:r>
      <w:r w:rsidR="00C93A9C">
        <w:t>QUESTION_PTRR_</w:t>
      </w:r>
      <w:r w:rsidR="00CD3899">
        <w:t>3</w:t>
      </w:r>
      <w:r>
        <w:t>&gt;</w:t>
      </w:r>
    </w:p>
    <w:p w14:paraId="747AC165" w14:textId="77777777" w:rsidR="00CC38E9" w:rsidRDefault="00CC38E9" w:rsidP="00170D44">
      <w:pPr>
        <w:rPr>
          <w:b/>
        </w:rPr>
      </w:pPr>
    </w:p>
    <w:p w14:paraId="245A4464" w14:textId="77777777" w:rsidR="00014A67" w:rsidRDefault="00014A67" w:rsidP="00014A67">
      <w:pPr>
        <w:pStyle w:val="Questionstyle"/>
      </w:pPr>
      <w:r>
        <w:t xml:space="preserve">: </w:t>
      </w:r>
      <w:r w:rsidRPr="00D93994">
        <w:t>Should there be a</w:t>
      </w:r>
      <w:r>
        <w:t xml:space="preserve"> clearing</w:t>
      </w:r>
      <w:r w:rsidRPr="00D93994">
        <w:t xml:space="preserve"> exemption for PTRR trades that are a direct result from a portfolio compression? If not, why? Is there a difference between bilateral and multilateral portfolio compression for the sake of an exemption?</w:t>
      </w:r>
      <w:r w:rsidRPr="00E056B7">
        <w:t xml:space="preserve">   </w:t>
      </w:r>
    </w:p>
    <w:p w14:paraId="35FE7E2E" w14:textId="77777777" w:rsidR="003331A2"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38A4764A" w14:textId="77777777" w:rsidR="00E130B2" w:rsidRPr="004902A0" w:rsidRDefault="00E130B2" w:rsidP="00A949CE">
      <w:pPr>
        <w:jc w:val="both"/>
        <w:rPr>
          <w:rFonts w:cstheme="minorHAnsi"/>
          <w:szCs w:val="20"/>
        </w:rPr>
      </w:pPr>
      <w:permStart w:id="20606022" w:edGrp="everyone"/>
      <w:r w:rsidRPr="004902A0">
        <w:rPr>
          <w:rFonts w:cstheme="minorHAnsi"/>
          <w:szCs w:val="20"/>
        </w:rPr>
        <w:t>We are of the view that, there should be a clearing exemption for PTRR trades that are a direct result of the compression exercise (be that bilateral or multilateral) conducted over a non-cleared portfolio, where compression is the sole objective of this exercise and only where it manages to reduce overall risk. Activities aimed at reducing risk in the market should be welcomed, and CCPs do regularly perform compression activities for cleared trades which are beneficial in terms of resource optimisation, operational risk and the default management process. We encourage ESMA to consider significant reductions in bilateral counterparty risk</w:t>
      </w:r>
      <w:r>
        <w:rPr>
          <w:rFonts w:cstheme="minorHAnsi"/>
          <w:szCs w:val="20"/>
        </w:rPr>
        <w:t xml:space="preserve"> as well as in the run to the transformation of IBOR trades to RFR-equivalent</w:t>
      </w:r>
      <w:r w:rsidRPr="004902A0">
        <w:rPr>
          <w:rFonts w:cstheme="minorHAnsi"/>
          <w:szCs w:val="20"/>
        </w:rPr>
        <w:t xml:space="preserve"> that can be derived from the use of PTRR services.</w:t>
      </w:r>
    </w:p>
    <w:p w14:paraId="27C39922" w14:textId="1D738EB4" w:rsidR="00014A67" w:rsidRDefault="00E130B2" w:rsidP="003331A2">
      <w:pPr>
        <w:rPr>
          <w:lang w:eastAsia="en-US"/>
        </w:rPr>
      </w:pPr>
      <w:r w:rsidRPr="004902A0">
        <w:rPr>
          <w:rFonts w:cstheme="minorHAnsi"/>
          <w:szCs w:val="20"/>
        </w:rPr>
        <w:lastRenderedPageBreak/>
        <w:t>It is also worth noting that trades in the context of PTRR services aim at managing a portfolio more efficiently and with reduced risk for the individual firm and for the system. An obligation to clear could undermine their efficiency and therefore constrain otherwise risk-reducing activity across the system</w:t>
      </w:r>
      <w:r>
        <w:rPr>
          <w:rFonts w:cstheme="minorHAnsi"/>
          <w:szCs w:val="20"/>
        </w:rPr>
        <w:t xml:space="preserve">. </w:t>
      </w:r>
      <w:permEnd w:id="20606022"/>
      <w:proofErr w:type="gramStart"/>
      <w:r w:rsidR="003331A2">
        <w:rPr>
          <w:lang w:eastAsia="en-US"/>
        </w:rPr>
        <w:t>&lt;</w:t>
      </w:r>
      <w:proofErr w:type="gramEnd"/>
      <w:r w:rsidR="003331A2">
        <w:rPr>
          <w:lang w:eastAsia="en-US"/>
        </w:rPr>
        <w:t>ESMA_</w:t>
      </w:r>
      <w:r w:rsidR="00C93A9C">
        <w:rPr>
          <w:lang w:eastAsia="en-US"/>
        </w:rPr>
        <w:t>QUESTION_PTRR_</w:t>
      </w:r>
      <w:r w:rsidR="00CD3899">
        <w:rPr>
          <w:lang w:eastAsia="en-US"/>
        </w:rPr>
        <w:t>4</w:t>
      </w:r>
      <w:r w:rsidR="003331A2">
        <w:rPr>
          <w:lang w:eastAsia="en-US"/>
        </w:rPr>
        <w:t>&gt;</w:t>
      </w:r>
    </w:p>
    <w:p w14:paraId="15D66613" w14:textId="77777777" w:rsidR="003331A2" w:rsidRPr="00014A67" w:rsidRDefault="003331A2" w:rsidP="00014A67">
      <w:pPr>
        <w:rPr>
          <w:lang w:eastAsia="en-US"/>
        </w:rPr>
      </w:pPr>
    </w:p>
    <w:p w14:paraId="5D16ADA2" w14:textId="77777777" w:rsidR="00014A67" w:rsidRDefault="00014A67" w:rsidP="00014A67">
      <w:pPr>
        <w:pStyle w:val="Questionstyle"/>
      </w:pPr>
      <w:r>
        <w:t xml:space="preserve">: </w:t>
      </w:r>
      <w:r w:rsidRPr="003D4677">
        <w:t>Would you agree with th</w:t>
      </w:r>
      <w:r>
        <w:t>is</w:t>
      </w:r>
      <w:r w:rsidRPr="003D4677">
        <w:t xml:space="preserve"> description of PTRR Services? </w:t>
      </w:r>
      <w:r w:rsidRPr="008355E5">
        <w:t xml:space="preserve">What other forms of PTRR services exist? What do they do? How do they work? </w:t>
      </w:r>
      <w:r w:rsidRPr="000779B6">
        <w:t>Are there any other viable alternatives to PTRR services</w:t>
      </w:r>
      <w:r>
        <w:t>, if yes, w</w:t>
      </w:r>
      <w:r w:rsidRPr="000779B6">
        <w:t>hy are they not sufficient?</w:t>
      </w:r>
    </w:p>
    <w:p w14:paraId="4A100BAC"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3634B44C" w14:textId="77777777" w:rsidR="00E130B2" w:rsidRDefault="00E130B2" w:rsidP="00E130B2">
      <w:pPr>
        <w:jc w:val="both"/>
        <w:rPr>
          <w:rFonts w:cstheme="minorHAnsi"/>
          <w:szCs w:val="20"/>
        </w:rPr>
      </w:pPr>
      <w:permStart w:id="411251101" w:edGrp="everyone"/>
      <w:r w:rsidRPr="004902A0">
        <w:rPr>
          <w:rFonts w:cstheme="minorHAnsi"/>
          <w:szCs w:val="20"/>
        </w:rPr>
        <w:t>LSEG agrees with the simplified description of PTRR service as illustrated in the report</w:t>
      </w:r>
      <w:r>
        <w:rPr>
          <w:rFonts w:cstheme="minorHAnsi"/>
          <w:szCs w:val="20"/>
        </w:rPr>
        <w:t>,</w:t>
      </w:r>
      <w:r w:rsidRPr="004902A0">
        <w:rPr>
          <w:rFonts w:cstheme="minorHAnsi"/>
          <w:szCs w:val="20"/>
        </w:rPr>
        <w:t xml:space="preserve"> </w:t>
      </w:r>
      <w:r>
        <w:rPr>
          <w:rFonts w:cstheme="minorHAnsi"/>
          <w:szCs w:val="20"/>
        </w:rPr>
        <w:t>h</w:t>
      </w:r>
      <w:r w:rsidRPr="004902A0">
        <w:rPr>
          <w:rFonts w:cstheme="minorHAnsi"/>
          <w:szCs w:val="20"/>
        </w:rPr>
        <w:t>owever</w:t>
      </w:r>
      <w:r>
        <w:rPr>
          <w:rFonts w:cstheme="minorHAnsi"/>
          <w:szCs w:val="20"/>
        </w:rPr>
        <w:t xml:space="preserve"> </w:t>
      </w:r>
      <w:r w:rsidRPr="004902A0">
        <w:rPr>
          <w:rFonts w:cstheme="minorHAnsi"/>
          <w:szCs w:val="20"/>
        </w:rPr>
        <w:t xml:space="preserve">we believe that </w:t>
      </w:r>
      <w:r>
        <w:rPr>
          <w:rFonts w:cstheme="minorHAnsi"/>
          <w:szCs w:val="20"/>
        </w:rPr>
        <w:t xml:space="preserve">in practice </w:t>
      </w:r>
      <w:r w:rsidRPr="004902A0">
        <w:rPr>
          <w:rFonts w:cstheme="minorHAnsi"/>
          <w:szCs w:val="20"/>
        </w:rPr>
        <w:t xml:space="preserve">the need for rebalancing on a regular basis is </w:t>
      </w:r>
      <w:r>
        <w:rPr>
          <w:rFonts w:cstheme="minorHAnsi"/>
          <w:szCs w:val="20"/>
        </w:rPr>
        <w:t>due to the non-linear nature of many non-cleared transactions.</w:t>
      </w:r>
      <w:r w:rsidRPr="004902A0">
        <w:rPr>
          <w:rFonts w:cstheme="minorHAnsi"/>
          <w:szCs w:val="20"/>
        </w:rPr>
        <w:t xml:space="preserve"> For example, </w:t>
      </w:r>
      <w:r>
        <w:rPr>
          <w:rFonts w:cstheme="minorHAnsi"/>
          <w:szCs w:val="20"/>
        </w:rPr>
        <w:t xml:space="preserve">the </w:t>
      </w:r>
      <w:r w:rsidRPr="004902A0">
        <w:rPr>
          <w:rFonts w:cstheme="minorHAnsi"/>
          <w:szCs w:val="20"/>
        </w:rPr>
        <w:t xml:space="preserve">outstanding risks </w:t>
      </w:r>
      <w:r>
        <w:rPr>
          <w:rFonts w:cstheme="minorHAnsi"/>
          <w:szCs w:val="20"/>
        </w:rPr>
        <w:t xml:space="preserve">of </w:t>
      </w:r>
      <w:r w:rsidRPr="004902A0">
        <w:rPr>
          <w:rFonts w:cstheme="minorHAnsi"/>
          <w:szCs w:val="20"/>
        </w:rPr>
        <w:t xml:space="preserve">a swaption portfolio </w:t>
      </w:r>
      <w:r>
        <w:rPr>
          <w:rFonts w:cstheme="minorHAnsi"/>
          <w:szCs w:val="20"/>
        </w:rPr>
        <w:t>will</w:t>
      </w:r>
      <w:r w:rsidRPr="004902A0">
        <w:rPr>
          <w:rFonts w:cstheme="minorHAnsi"/>
          <w:szCs w:val="20"/>
        </w:rPr>
        <w:t xml:space="preserve"> likely change as time passes in response to changing market prices; one such risk is known as “delta risk”; and “delta risk” is best hedged with a swap</w:t>
      </w:r>
      <w:r>
        <w:rPr>
          <w:rFonts w:cstheme="minorHAnsi"/>
          <w:szCs w:val="20"/>
        </w:rPr>
        <w:t>. E</w:t>
      </w:r>
      <w:r w:rsidRPr="004902A0">
        <w:rPr>
          <w:rFonts w:cstheme="minorHAnsi"/>
          <w:szCs w:val="20"/>
        </w:rPr>
        <w:t xml:space="preserve">nabling a swap hedging a swaption portfolio’s newly emerged “delta risk” to remain in the same portfolio as the swaptions it hedges (i.e. non-cleared) can </w:t>
      </w:r>
      <w:r>
        <w:rPr>
          <w:rFonts w:cstheme="minorHAnsi"/>
          <w:szCs w:val="20"/>
        </w:rPr>
        <w:t xml:space="preserve">therefore </w:t>
      </w:r>
      <w:r w:rsidRPr="004902A0">
        <w:rPr>
          <w:rFonts w:cstheme="minorHAnsi"/>
          <w:szCs w:val="20"/>
        </w:rPr>
        <w:t xml:space="preserve">reduce systemic risk. </w:t>
      </w:r>
    </w:p>
    <w:p w14:paraId="6DF0D3C2" w14:textId="77777777" w:rsidR="00E130B2" w:rsidRDefault="00E130B2" w:rsidP="00E130B2">
      <w:pPr>
        <w:jc w:val="both"/>
        <w:rPr>
          <w:rFonts w:cstheme="minorHAnsi"/>
          <w:szCs w:val="20"/>
        </w:rPr>
      </w:pPr>
    </w:p>
    <w:p w14:paraId="1EF595E9" w14:textId="50FBFB9F" w:rsidR="00E130B2" w:rsidRPr="004902A0" w:rsidRDefault="00E130B2" w:rsidP="00E130B2">
      <w:pPr>
        <w:jc w:val="both"/>
        <w:rPr>
          <w:rFonts w:cstheme="minorHAnsi"/>
          <w:szCs w:val="20"/>
        </w:rPr>
      </w:pPr>
      <w:r w:rsidRPr="004902A0">
        <w:rPr>
          <w:rFonts w:cstheme="minorHAnsi"/>
          <w:szCs w:val="20"/>
        </w:rPr>
        <w:t xml:space="preserve">With regards to other viable alternatives to PTRR services, one could argue that extending the clearing obligation to encompass all products that are currently handled bilaterally would be the only other alternative. However, extending scope of clearing to complex trades, which are often non-standard and highly illiquid, will have significant impacts </w:t>
      </w:r>
      <w:r>
        <w:rPr>
          <w:rFonts w:cstheme="minorHAnsi"/>
          <w:szCs w:val="20"/>
        </w:rPr>
        <w:t>on</w:t>
      </w:r>
      <w:r w:rsidRPr="004902A0">
        <w:rPr>
          <w:rFonts w:cstheme="minorHAnsi"/>
          <w:szCs w:val="20"/>
        </w:rPr>
        <w:t xml:space="preserve"> the risk profile of a CCP which is why were not included in the clearing obligation in the first place. Hence, PTRR services </w:t>
      </w:r>
      <w:r>
        <w:rPr>
          <w:rFonts w:cstheme="minorHAnsi"/>
          <w:szCs w:val="20"/>
        </w:rPr>
        <w:t xml:space="preserve">can </w:t>
      </w:r>
      <w:r w:rsidRPr="004902A0">
        <w:rPr>
          <w:rFonts w:cstheme="minorHAnsi"/>
          <w:szCs w:val="20"/>
        </w:rPr>
        <w:t>play a</w:t>
      </w:r>
      <w:r>
        <w:rPr>
          <w:rFonts w:cstheme="minorHAnsi"/>
          <w:szCs w:val="20"/>
        </w:rPr>
        <w:t>n</w:t>
      </w:r>
      <w:r w:rsidRPr="004902A0">
        <w:rPr>
          <w:rFonts w:cstheme="minorHAnsi"/>
          <w:szCs w:val="20"/>
        </w:rPr>
        <w:t xml:space="preserve"> </w:t>
      </w:r>
      <w:r>
        <w:rPr>
          <w:rFonts w:cstheme="minorHAnsi"/>
          <w:szCs w:val="20"/>
        </w:rPr>
        <w:t>important</w:t>
      </w:r>
      <w:r w:rsidRPr="004902A0">
        <w:rPr>
          <w:rFonts w:cstheme="minorHAnsi"/>
          <w:szCs w:val="20"/>
        </w:rPr>
        <w:t xml:space="preserve"> part in </w:t>
      </w:r>
      <w:r>
        <w:rPr>
          <w:rFonts w:cstheme="minorHAnsi"/>
          <w:szCs w:val="20"/>
        </w:rPr>
        <w:t>reducing</w:t>
      </w:r>
      <w:r w:rsidRPr="004902A0">
        <w:rPr>
          <w:rFonts w:cstheme="minorHAnsi"/>
          <w:szCs w:val="20"/>
        </w:rPr>
        <w:t xml:space="preserve"> risks in the bilateral </w:t>
      </w:r>
      <w:r>
        <w:rPr>
          <w:rFonts w:cstheme="minorHAnsi"/>
          <w:szCs w:val="20"/>
        </w:rPr>
        <w:t>markets</w:t>
      </w:r>
      <w:r w:rsidRPr="004902A0">
        <w:rPr>
          <w:rFonts w:cstheme="minorHAnsi"/>
          <w:szCs w:val="20"/>
        </w:rPr>
        <w:t xml:space="preserve"> by enabling firms to effectively manage that risk in the most efficient way.</w:t>
      </w:r>
    </w:p>
    <w:permEnd w:id="411251101"/>
    <w:p w14:paraId="69C98B9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73FD94B8" w14:textId="77777777" w:rsidR="003331A2" w:rsidRPr="003331A2" w:rsidRDefault="003331A2" w:rsidP="003331A2">
      <w:pPr>
        <w:rPr>
          <w:lang w:eastAsia="en-US"/>
        </w:rPr>
      </w:pPr>
    </w:p>
    <w:p w14:paraId="623F47C2" w14:textId="77777777" w:rsidR="00014A67" w:rsidRPr="00014A67" w:rsidRDefault="00014A67" w:rsidP="00014A67">
      <w:pPr>
        <w:rPr>
          <w:lang w:eastAsia="en-US"/>
        </w:rPr>
      </w:pPr>
    </w:p>
    <w:p w14:paraId="30B0D37D" w14:textId="77777777" w:rsidR="00014A67" w:rsidRDefault="00014A67" w:rsidP="00014A67">
      <w:pPr>
        <w:pStyle w:val="Questionstyle"/>
      </w:pPr>
      <w:r>
        <w:t>: W</w:t>
      </w:r>
      <w:r w:rsidRPr="00A065AD">
        <w:t>ithout changing the market risk of the portfolios</w:t>
      </w:r>
      <w:r w:rsidRPr="00E44F3D">
        <w:t xml:space="preserve">, how different can the transactions included in the </w:t>
      </w:r>
      <w:r>
        <w:t>PTRR exercise</w:t>
      </w:r>
      <w:r w:rsidRPr="00E44F3D">
        <w:t xml:space="preserve"> be? What tolerance levels are often applied and</w:t>
      </w:r>
      <w:r>
        <w:t xml:space="preserve"> w</w:t>
      </w:r>
      <w:r w:rsidRPr="00E44F3D">
        <w:t>hat restrictions could/should restrictions be placed on tolerances</w:t>
      </w:r>
      <w:r>
        <w:t xml:space="preserve"> (if applies)</w:t>
      </w:r>
      <w:r w:rsidRPr="00E44F3D">
        <w:t>?</w:t>
      </w:r>
    </w:p>
    <w:p w14:paraId="0AAE3F7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3F40A4B1" w14:textId="77777777" w:rsidR="00E130B2" w:rsidRPr="004902A0" w:rsidRDefault="00E130B2" w:rsidP="00E130B2">
      <w:pPr>
        <w:jc w:val="both"/>
        <w:rPr>
          <w:rFonts w:cstheme="minorHAnsi"/>
          <w:szCs w:val="20"/>
        </w:rPr>
      </w:pPr>
      <w:permStart w:id="1556350294" w:edGrp="everyone"/>
      <w:r w:rsidRPr="004902A0">
        <w:rPr>
          <w:rFonts w:cstheme="minorHAnsi"/>
          <w:szCs w:val="20"/>
        </w:rPr>
        <w:t xml:space="preserve">Transactions included in PTRR services can be very different to those </w:t>
      </w:r>
      <w:r>
        <w:rPr>
          <w:rFonts w:cstheme="minorHAnsi"/>
          <w:szCs w:val="20"/>
        </w:rPr>
        <w:t>already</w:t>
      </w:r>
      <w:r w:rsidRPr="004902A0">
        <w:rPr>
          <w:rFonts w:cstheme="minorHAnsi"/>
          <w:szCs w:val="20"/>
        </w:rPr>
        <w:t xml:space="preserve"> included </w:t>
      </w:r>
      <w:proofErr w:type="gramStart"/>
      <w:r w:rsidRPr="004902A0">
        <w:rPr>
          <w:rFonts w:cstheme="minorHAnsi"/>
          <w:szCs w:val="20"/>
        </w:rPr>
        <w:t>in a given</w:t>
      </w:r>
      <w:proofErr w:type="gramEnd"/>
      <w:r w:rsidRPr="004902A0">
        <w:rPr>
          <w:rFonts w:cstheme="minorHAnsi"/>
          <w:szCs w:val="20"/>
        </w:rPr>
        <w:t xml:space="preserve"> portfolio, often illiquid and primarily uncleared, which is also the reason why PTRR</w:t>
      </w:r>
      <w:r>
        <w:rPr>
          <w:rFonts w:cstheme="minorHAnsi"/>
          <w:szCs w:val="20"/>
        </w:rPr>
        <w:t xml:space="preserve"> services </w:t>
      </w:r>
      <w:r w:rsidRPr="004902A0">
        <w:rPr>
          <w:rFonts w:cstheme="minorHAnsi"/>
          <w:szCs w:val="20"/>
        </w:rPr>
        <w:t xml:space="preserve">play an important role in managing bilateral exposures more effectively. Instead of looking at </w:t>
      </w:r>
      <w:proofErr w:type="gramStart"/>
      <w:r w:rsidRPr="004902A0">
        <w:rPr>
          <w:rFonts w:cstheme="minorHAnsi"/>
          <w:szCs w:val="20"/>
        </w:rPr>
        <w:t>particular transactions</w:t>
      </w:r>
      <w:proofErr w:type="gramEnd"/>
      <w:r w:rsidRPr="004902A0">
        <w:rPr>
          <w:rFonts w:cstheme="minorHAnsi"/>
          <w:szCs w:val="20"/>
        </w:rPr>
        <w:t>, we believe that, it is important to consider an institution’s portfolio in its entirety</w:t>
      </w:r>
      <w:r>
        <w:rPr>
          <w:rFonts w:cstheme="minorHAnsi"/>
          <w:szCs w:val="20"/>
        </w:rPr>
        <w:t xml:space="preserve">. </w:t>
      </w:r>
      <w:r w:rsidRPr="004902A0">
        <w:rPr>
          <w:rFonts w:cstheme="minorHAnsi"/>
          <w:szCs w:val="20"/>
        </w:rPr>
        <w:t>In other words, to think of Party A’s portfolio with Party B and Party C as two sub-portfolios in Party A’s total portfolio. The object of a PTRR cycle can legitimately be to change (increase or decrease) the market risk in each sub-portfolio but the overall risk within Party’s A portfolio will be reduced. This could be achieved by using vanilla, clearable transactions that neutralize the delta risk in the uncleared portfolio and book equal and opposite transactions (on a net basis) into a CCP</w:t>
      </w:r>
      <w:r>
        <w:rPr>
          <w:rFonts w:cstheme="minorHAnsi"/>
          <w:szCs w:val="20"/>
        </w:rPr>
        <w:t xml:space="preserve"> for monitoring purposes</w:t>
      </w:r>
      <w:r w:rsidRPr="004902A0">
        <w:rPr>
          <w:rFonts w:cstheme="minorHAnsi"/>
          <w:szCs w:val="20"/>
        </w:rPr>
        <w:t xml:space="preserve">. This process would not need to consider </w:t>
      </w:r>
      <w:proofErr w:type="gramStart"/>
      <w:r w:rsidRPr="004902A0">
        <w:rPr>
          <w:rFonts w:cstheme="minorHAnsi"/>
          <w:szCs w:val="20"/>
        </w:rPr>
        <w:t>particular tolerances</w:t>
      </w:r>
      <w:proofErr w:type="gramEnd"/>
      <w:r w:rsidRPr="004902A0">
        <w:rPr>
          <w:rFonts w:cstheme="minorHAnsi"/>
          <w:szCs w:val="20"/>
        </w:rPr>
        <w:t xml:space="preserve"> as long as the overall risk of the entire portfolio is reduced. </w:t>
      </w:r>
    </w:p>
    <w:permEnd w:id="1556350294"/>
    <w:p w14:paraId="14B0E46D"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6137E191" w14:textId="77777777" w:rsidR="003331A2" w:rsidRPr="003331A2" w:rsidRDefault="003331A2" w:rsidP="003331A2">
      <w:pPr>
        <w:rPr>
          <w:lang w:eastAsia="en-US"/>
        </w:rPr>
      </w:pPr>
    </w:p>
    <w:p w14:paraId="37D56BD1" w14:textId="77777777" w:rsidR="00014A67" w:rsidRPr="00014A67" w:rsidRDefault="00014A67" w:rsidP="00014A67">
      <w:pPr>
        <w:rPr>
          <w:lang w:eastAsia="en-US"/>
        </w:rPr>
      </w:pPr>
    </w:p>
    <w:p w14:paraId="1195F93C" w14:textId="77777777" w:rsidR="00014A67" w:rsidRDefault="00014A67" w:rsidP="00014A67">
      <w:pPr>
        <w:pStyle w:val="Questionstyle"/>
      </w:pPr>
      <w:r>
        <w:t xml:space="preserve">: </w:t>
      </w:r>
      <w:r w:rsidRPr="00F8024A">
        <w:t xml:space="preserve">Is the requirement under EMIR </w:t>
      </w:r>
      <w:r>
        <w:t xml:space="preserve">of portfolio compression </w:t>
      </w:r>
      <w:r w:rsidRPr="00F8024A">
        <w:t xml:space="preserve">sufficient to mitigate the risk of build-up of transactions and how is the market managing this risk today? </w:t>
      </w:r>
    </w:p>
    <w:p w14:paraId="41873123"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3407210F" w14:textId="77777777" w:rsidR="00E130B2" w:rsidRPr="004902A0" w:rsidRDefault="00E130B2" w:rsidP="00E130B2">
      <w:pPr>
        <w:jc w:val="both"/>
        <w:rPr>
          <w:rFonts w:cstheme="minorHAnsi"/>
          <w:szCs w:val="20"/>
        </w:rPr>
      </w:pPr>
      <w:permStart w:id="309662450" w:edGrp="everyone"/>
      <w:r w:rsidRPr="004902A0">
        <w:rPr>
          <w:rFonts w:cstheme="minorHAnsi"/>
          <w:szCs w:val="20"/>
        </w:rPr>
        <w:t xml:space="preserve">We believe that although compression is an important mitigant to address the risk of build-up of transactions, rebalancing should also be included in the scope. Portfolio rebalancing resulting in the transfer of market participants’ exposure allocation between existing or new counterparties without changing it substantially, can either reduce risk held against a </w:t>
      </w:r>
      <w:proofErr w:type="gramStart"/>
      <w:r w:rsidRPr="004902A0">
        <w:rPr>
          <w:rFonts w:cstheme="minorHAnsi"/>
          <w:szCs w:val="20"/>
        </w:rPr>
        <w:t>particular counterparty</w:t>
      </w:r>
      <w:proofErr w:type="gramEnd"/>
      <w:r w:rsidRPr="004902A0">
        <w:rPr>
          <w:rFonts w:cstheme="minorHAnsi"/>
          <w:szCs w:val="20"/>
        </w:rPr>
        <w:t xml:space="preserve"> or bring overall exposures down. </w:t>
      </w:r>
    </w:p>
    <w:permEnd w:id="309662450"/>
    <w:p w14:paraId="724F41F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65A31884" w14:textId="77777777" w:rsidR="003331A2" w:rsidRPr="003331A2" w:rsidRDefault="003331A2" w:rsidP="003331A2">
      <w:pPr>
        <w:rPr>
          <w:lang w:eastAsia="en-US"/>
        </w:rPr>
      </w:pPr>
    </w:p>
    <w:p w14:paraId="3CF0742B" w14:textId="77777777" w:rsidR="00014A67" w:rsidRPr="00014A67" w:rsidRDefault="00014A67" w:rsidP="00014A67">
      <w:pPr>
        <w:rPr>
          <w:lang w:eastAsia="en-US"/>
        </w:rPr>
      </w:pPr>
    </w:p>
    <w:p w14:paraId="6FA564E5" w14:textId="77777777" w:rsidR="00014A67" w:rsidRDefault="00014A67" w:rsidP="00014A67">
      <w:pPr>
        <w:pStyle w:val="Questionstyle"/>
      </w:pPr>
      <w:r>
        <w:t xml:space="preserve">: </w:t>
      </w:r>
      <w:r w:rsidRPr="00197B74">
        <w:t xml:space="preserve">Based on all of the above, how would you define </w:t>
      </w:r>
      <w:r>
        <w:t>(</w:t>
      </w:r>
      <w:r w:rsidRPr="007A122B">
        <w:t xml:space="preserve">algorithm based, second </w:t>
      </w:r>
      <w:r w:rsidRPr="00D93994">
        <w:t>order risk, market neutral) PTRR services that cover all of the relevant aspects?</w:t>
      </w:r>
    </w:p>
    <w:p w14:paraId="371C85C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1598ED47" w14:textId="77777777" w:rsidR="00E130B2" w:rsidRPr="004902A0" w:rsidRDefault="00E130B2" w:rsidP="00E130B2">
      <w:pPr>
        <w:rPr>
          <w:rFonts w:cstheme="minorHAnsi"/>
          <w:szCs w:val="20"/>
        </w:rPr>
      </w:pPr>
      <w:permStart w:id="1234653657" w:edGrp="everyone"/>
      <w:r>
        <w:rPr>
          <w:rFonts w:cstheme="minorHAnsi"/>
          <w:szCs w:val="20"/>
        </w:rPr>
        <w:t>LSEG refers to PTRR service providers to provide a description of the services offered.</w:t>
      </w:r>
    </w:p>
    <w:permEnd w:id="1234653657"/>
    <w:p w14:paraId="58B94C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57AC92E5" w14:textId="77777777" w:rsidR="00C93A9C" w:rsidRDefault="00C93A9C" w:rsidP="003331A2">
      <w:pPr>
        <w:rPr>
          <w:lang w:eastAsia="en-US"/>
        </w:rPr>
      </w:pPr>
    </w:p>
    <w:p w14:paraId="128C43A5" w14:textId="77777777" w:rsidR="003331A2" w:rsidRPr="00014A67" w:rsidRDefault="003331A2" w:rsidP="00014A67">
      <w:pPr>
        <w:rPr>
          <w:lang w:eastAsia="en-US"/>
        </w:rPr>
      </w:pPr>
    </w:p>
    <w:p w14:paraId="2A0BCC5C" w14:textId="77777777" w:rsidR="00014A67" w:rsidRDefault="00014A67" w:rsidP="00014A67">
      <w:pPr>
        <w:pStyle w:val="Questionstyle"/>
      </w:pPr>
      <w:r>
        <w:t xml:space="preserve">: </w:t>
      </w:r>
      <w:r w:rsidRPr="00D93994">
        <w:t>Should there be an exemption from the clearing obligation for PTRR trades (other than portfolio compression) that are a direct result from a PTRR exercise? If not, why?</w:t>
      </w:r>
      <w:r>
        <w:t xml:space="preserve">  </w:t>
      </w:r>
    </w:p>
    <w:p w14:paraId="21ABC0D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1D8F7163" w14:textId="77777777" w:rsidR="00E130B2" w:rsidRPr="004902A0" w:rsidRDefault="00E130B2" w:rsidP="00E130B2">
      <w:pPr>
        <w:jc w:val="both"/>
        <w:rPr>
          <w:rFonts w:cstheme="minorHAnsi"/>
          <w:szCs w:val="20"/>
        </w:rPr>
      </w:pPr>
      <w:permStart w:id="1828742086" w:edGrp="everyone"/>
      <w:r w:rsidRPr="004902A0">
        <w:rPr>
          <w:rFonts w:cstheme="minorHAnsi"/>
          <w:szCs w:val="20"/>
        </w:rPr>
        <w:t xml:space="preserve">As alluded to in the previous question, we believe that an exemption from the clearing obligation for trades resulting from PTRR services would be justified if they enable the reduction of risk in a bilateral portfolio </w:t>
      </w:r>
      <w:r>
        <w:rPr>
          <w:rFonts w:cstheme="minorHAnsi"/>
          <w:szCs w:val="20"/>
        </w:rPr>
        <w:t>in</w:t>
      </w:r>
      <w:r w:rsidRPr="004902A0">
        <w:rPr>
          <w:rFonts w:cstheme="minorHAnsi"/>
          <w:szCs w:val="20"/>
        </w:rPr>
        <w:t xml:space="preserve"> its entirety. Furthermore, we are of the opinion that portfolio rebalancing should also benefit from an exemption from the clearing obligation similarly to portfolio compression. Portfolio rebalancing resulting in the transfer of market participants’ exposure allocation between existing counterparties can </w:t>
      </w:r>
      <w:r>
        <w:rPr>
          <w:rFonts w:cstheme="minorHAnsi"/>
          <w:szCs w:val="20"/>
        </w:rPr>
        <w:t>both</w:t>
      </w:r>
      <w:r w:rsidRPr="004902A0">
        <w:rPr>
          <w:rFonts w:cstheme="minorHAnsi"/>
          <w:szCs w:val="20"/>
        </w:rPr>
        <w:t xml:space="preserve"> reduce risk held against a</w:t>
      </w:r>
      <w:r>
        <w:rPr>
          <w:rFonts w:cstheme="minorHAnsi"/>
          <w:szCs w:val="20"/>
        </w:rPr>
        <w:t>n individual</w:t>
      </w:r>
      <w:r w:rsidRPr="004902A0">
        <w:rPr>
          <w:rFonts w:cstheme="minorHAnsi"/>
          <w:szCs w:val="20"/>
        </w:rPr>
        <w:t xml:space="preserve"> counterparty </w:t>
      </w:r>
      <w:r>
        <w:rPr>
          <w:rFonts w:cstheme="minorHAnsi"/>
          <w:szCs w:val="20"/>
        </w:rPr>
        <w:t>and reduce</w:t>
      </w:r>
      <w:r w:rsidRPr="004902A0">
        <w:rPr>
          <w:rFonts w:cstheme="minorHAnsi"/>
          <w:szCs w:val="20"/>
        </w:rPr>
        <w:t xml:space="preserve"> exposures </w:t>
      </w:r>
      <w:r>
        <w:rPr>
          <w:rFonts w:cstheme="minorHAnsi"/>
          <w:szCs w:val="20"/>
        </w:rPr>
        <w:t>across a network of counterparties which is why we believe it</w:t>
      </w:r>
      <w:r w:rsidRPr="004902A0">
        <w:rPr>
          <w:rFonts w:cstheme="minorHAnsi"/>
          <w:szCs w:val="20"/>
        </w:rPr>
        <w:t xml:space="preserve"> should also benefit from an exemption. </w:t>
      </w:r>
    </w:p>
    <w:p w14:paraId="502F92FA" w14:textId="77777777" w:rsidR="00F1418A" w:rsidRDefault="00F1418A" w:rsidP="00E130B2">
      <w:pPr>
        <w:jc w:val="both"/>
        <w:rPr>
          <w:rFonts w:cstheme="minorHAnsi"/>
          <w:szCs w:val="20"/>
        </w:rPr>
      </w:pPr>
    </w:p>
    <w:p w14:paraId="22FDA248" w14:textId="742F2872" w:rsidR="00E130B2" w:rsidRPr="004902A0" w:rsidRDefault="00E130B2" w:rsidP="00E130B2">
      <w:pPr>
        <w:jc w:val="both"/>
        <w:rPr>
          <w:rFonts w:cstheme="minorHAnsi"/>
          <w:szCs w:val="20"/>
        </w:rPr>
      </w:pPr>
      <w:r>
        <w:rPr>
          <w:rFonts w:cstheme="minorHAnsi"/>
          <w:szCs w:val="20"/>
        </w:rPr>
        <w:t>A</w:t>
      </w:r>
      <w:r w:rsidRPr="004902A0">
        <w:rPr>
          <w:rFonts w:cstheme="minorHAnsi"/>
          <w:szCs w:val="20"/>
        </w:rPr>
        <w:t>n exemption to the clearing obligation could be granted on the basis that some preconditions are met such as:</w:t>
      </w:r>
    </w:p>
    <w:p w14:paraId="77476A49" w14:textId="77777777" w:rsidR="00E130B2"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 xml:space="preserve">PTRR services are conducted by </w:t>
      </w:r>
      <w:r>
        <w:rPr>
          <w:rFonts w:cstheme="minorHAnsi"/>
          <w:szCs w:val="20"/>
        </w:rPr>
        <w:t>service providers</w:t>
      </w:r>
      <w:r w:rsidRPr="004902A0">
        <w:rPr>
          <w:rFonts w:cstheme="minorHAnsi"/>
          <w:szCs w:val="20"/>
        </w:rPr>
        <w:t xml:space="preserve"> bound by regulation to apply parameters that will only aim at reducing risks. Participating firms would either accept or reject results of compression runs</w:t>
      </w:r>
    </w:p>
    <w:p w14:paraId="09C57353" w14:textId="77777777" w:rsidR="00E130B2" w:rsidRPr="00881763" w:rsidRDefault="00E130B2" w:rsidP="00E130B2">
      <w:pPr>
        <w:pStyle w:val="ListParagraph"/>
        <w:numPr>
          <w:ilvl w:val="0"/>
          <w:numId w:val="44"/>
        </w:numPr>
        <w:spacing w:after="200" w:line="276" w:lineRule="auto"/>
        <w:jc w:val="both"/>
        <w:rPr>
          <w:rFonts w:cstheme="minorHAnsi"/>
          <w:szCs w:val="20"/>
        </w:rPr>
      </w:pPr>
      <w:r w:rsidRPr="00881763">
        <w:rPr>
          <w:rFonts w:cstheme="minorHAnsi"/>
          <w:szCs w:val="20"/>
        </w:rPr>
        <w:t xml:space="preserve">Trades resulting from PTRR services could be subject to an “automatic” treatment </w:t>
      </w:r>
      <w:r>
        <w:rPr>
          <w:rFonts w:cstheme="minorHAnsi"/>
          <w:szCs w:val="20"/>
        </w:rPr>
        <w:t xml:space="preserve">by CCPs </w:t>
      </w:r>
      <w:r w:rsidRPr="00881763">
        <w:rPr>
          <w:rFonts w:cstheme="minorHAnsi"/>
          <w:szCs w:val="20"/>
        </w:rPr>
        <w:t xml:space="preserve">thus further removing the likelihood of circumventing the clearing obligation.  </w:t>
      </w:r>
    </w:p>
    <w:p w14:paraId="76E5F3EB"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A risk reducing (equal and of opposite risk) to be placed with a CCP ensuring that the overall risk is effectively monitored, and the clearing obligation is not circumvented when a transaction subject to the clearing obligation is used to reduce bilateral risk</w:t>
      </w:r>
    </w:p>
    <w:p w14:paraId="6ECB641F" w14:textId="77777777" w:rsidR="00E130B2" w:rsidRPr="004902A0" w:rsidRDefault="00E130B2" w:rsidP="00E130B2">
      <w:pPr>
        <w:jc w:val="both"/>
        <w:rPr>
          <w:rFonts w:cstheme="minorHAnsi"/>
          <w:szCs w:val="20"/>
        </w:rPr>
      </w:pPr>
      <w:r w:rsidRPr="004902A0">
        <w:rPr>
          <w:rFonts w:cstheme="minorHAnsi"/>
          <w:szCs w:val="20"/>
        </w:rPr>
        <w:t xml:space="preserve">The abovementioned preconditions </w:t>
      </w:r>
      <w:r>
        <w:rPr>
          <w:rFonts w:cstheme="minorHAnsi"/>
          <w:szCs w:val="20"/>
        </w:rPr>
        <w:t>should</w:t>
      </w:r>
      <w:r w:rsidRPr="004902A0">
        <w:rPr>
          <w:rFonts w:cstheme="minorHAnsi"/>
          <w:szCs w:val="20"/>
        </w:rPr>
        <w:t xml:space="preserve"> enable the reduction of bilateral risk and its effective management while ensuring that when transactions subject to the clearing obligation are used by providers to offset those risks, they continue to be subject to clearing.</w:t>
      </w:r>
    </w:p>
    <w:p w14:paraId="0BCCECE1" w14:textId="77777777" w:rsidR="00E130B2" w:rsidRPr="004902A0" w:rsidRDefault="00E130B2" w:rsidP="00E130B2">
      <w:pPr>
        <w:jc w:val="both"/>
        <w:rPr>
          <w:rFonts w:cstheme="minorHAnsi"/>
          <w:szCs w:val="20"/>
        </w:rPr>
      </w:pPr>
      <w:r>
        <w:rPr>
          <w:rFonts w:cstheme="minorHAnsi"/>
          <w:szCs w:val="20"/>
        </w:rPr>
        <w:t>In determining the scope of any exemption, we believe ESMA should carefully assess asset classes individually, including the maturity and level of clearing of these asset classes. W</w:t>
      </w:r>
      <w:r w:rsidRPr="004902A0">
        <w:rPr>
          <w:rFonts w:cstheme="minorHAnsi"/>
          <w:szCs w:val="20"/>
        </w:rPr>
        <w:t>e believe that for some products such as credit derivatives an exemption might not be required as the clearing obligation is only limited to a small subset of the credit market all of which should be already cleared (</w:t>
      </w:r>
      <w:proofErr w:type="spellStart"/>
      <w:r w:rsidRPr="004902A0">
        <w:rPr>
          <w:rFonts w:cstheme="minorHAnsi"/>
          <w:szCs w:val="20"/>
        </w:rPr>
        <w:t>iTraxx</w:t>
      </w:r>
      <w:proofErr w:type="spellEnd"/>
      <w:r w:rsidRPr="004902A0">
        <w:rPr>
          <w:rFonts w:cstheme="minorHAnsi"/>
          <w:szCs w:val="20"/>
        </w:rPr>
        <w:t xml:space="preserve"> Main/</w:t>
      </w:r>
      <w:proofErr w:type="spellStart"/>
      <w:r w:rsidRPr="004902A0">
        <w:rPr>
          <w:rFonts w:cstheme="minorHAnsi"/>
          <w:szCs w:val="20"/>
        </w:rPr>
        <w:t>iTraxx</w:t>
      </w:r>
      <w:proofErr w:type="spellEnd"/>
      <w:r w:rsidRPr="004902A0">
        <w:rPr>
          <w:rFonts w:cstheme="minorHAnsi"/>
          <w:szCs w:val="20"/>
        </w:rPr>
        <w:t xml:space="preserve"> Crossover OTR &amp; OTR-1). </w:t>
      </w:r>
    </w:p>
    <w:p w14:paraId="1AB95244" w14:textId="77777777" w:rsidR="00E130B2" w:rsidRDefault="00E130B2" w:rsidP="00E130B2">
      <w:pPr>
        <w:jc w:val="both"/>
        <w:rPr>
          <w:rFonts w:cstheme="minorHAnsi"/>
          <w:szCs w:val="20"/>
        </w:rPr>
      </w:pPr>
    </w:p>
    <w:p w14:paraId="4FA831B4" w14:textId="7729D410" w:rsidR="00E130B2" w:rsidRPr="004902A0" w:rsidRDefault="00E130B2" w:rsidP="00E130B2">
      <w:pPr>
        <w:jc w:val="both"/>
        <w:rPr>
          <w:rFonts w:cstheme="minorHAnsi"/>
          <w:szCs w:val="20"/>
        </w:rPr>
      </w:pPr>
      <w:r w:rsidRPr="004902A0">
        <w:rPr>
          <w:rFonts w:cstheme="minorHAnsi"/>
          <w:szCs w:val="20"/>
        </w:rPr>
        <w:t xml:space="preserve">On the contrary, an expansion of the clearing obligation to include all series of </w:t>
      </w:r>
      <w:proofErr w:type="spellStart"/>
      <w:r w:rsidRPr="004902A0">
        <w:rPr>
          <w:rFonts w:cstheme="minorHAnsi"/>
          <w:szCs w:val="20"/>
        </w:rPr>
        <w:t>iTraxx</w:t>
      </w:r>
      <w:proofErr w:type="spellEnd"/>
      <w:r w:rsidRPr="004902A0">
        <w:rPr>
          <w:rFonts w:cstheme="minorHAnsi"/>
          <w:szCs w:val="20"/>
        </w:rPr>
        <w:t xml:space="preserve"> Main, Crossover and also include Senior Financial index as well as US Indices (CDX.NA IG and CDX.NA HY) should also be considered, as it would allow much greater compression efficiency, price transparency and reduced counterparty risk. Such expansion should include single name constituents of these indexes to the clearing obligation would further help to stop the arbitrage of Initial Margins between bilateral margins exchanged under UMR using ISDA SIMM and CCP margins, which are typically more conservative.</w:t>
      </w:r>
    </w:p>
    <w:permEnd w:id="1828742086"/>
    <w:p w14:paraId="1FA5DF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396FE42B" w14:textId="77777777" w:rsidR="00C93A9C" w:rsidRDefault="00C93A9C" w:rsidP="003331A2">
      <w:pPr>
        <w:rPr>
          <w:lang w:eastAsia="en-US"/>
        </w:rPr>
      </w:pPr>
    </w:p>
    <w:p w14:paraId="14911426" w14:textId="77777777" w:rsidR="003331A2" w:rsidRPr="00014A67" w:rsidRDefault="003331A2" w:rsidP="00014A67">
      <w:pPr>
        <w:rPr>
          <w:lang w:eastAsia="en-US"/>
        </w:rPr>
      </w:pPr>
    </w:p>
    <w:p w14:paraId="1CBEB712" w14:textId="77777777" w:rsidR="00014A67" w:rsidRDefault="00014A67" w:rsidP="00014A67">
      <w:pPr>
        <w:pStyle w:val="Questionstyle"/>
      </w:pPr>
      <w:r>
        <w:t xml:space="preserve">: </w:t>
      </w:r>
      <w:r w:rsidRPr="00014A67">
        <w:t>Is there a PTRR service today including offsetting transactions with a CCP?</w:t>
      </w:r>
    </w:p>
    <w:p w14:paraId="5B81E908" w14:textId="77777777" w:rsidR="003331A2" w:rsidRDefault="003331A2" w:rsidP="003331A2">
      <w:pPr>
        <w:rPr>
          <w:lang w:eastAsia="en-US"/>
        </w:rPr>
      </w:pPr>
      <w:r>
        <w:rPr>
          <w:lang w:eastAsia="en-US"/>
        </w:rPr>
        <w:lastRenderedPageBreak/>
        <w:t>&lt;ESMA_</w:t>
      </w:r>
      <w:r w:rsidR="00C93A9C">
        <w:rPr>
          <w:lang w:eastAsia="en-US"/>
        </w:rPr>
        <w:t>QUESTION_PTRR_</w:t>
      </w:r>
      <w:r>
        <w:rPr>
          <w:lang w:eastAsia="en-US"/>
        </w:rPr>
        <w:t>1</w:t>
      </w:r>
      <w:r w:rsidR="00CD3899">
        <w:rPr>
          <w:lang w:eastAsia="en-US"/>
        </w:rPr>
        <w:t>0</w:t>
      </w:r>
      <w:r>
        <w:rPr>
          <w:lang w:eastAsia="en-US"/>
        </w:rPr>
        <w:t>&gt;</w:t>
      </w:r>
    </w:p>
    <w:p w14:paraId="5EDB06C3" w14:textId="77777777" w:rsidR="00E130B2" w:rsidRPr="004902A0" w:rsidRDefault="00E130B2" w:rsidP="00E130B2">
      <w:pPr>
        <w:jc w:val="both"/>
        <w:rPr>
          <w:rFonts w:cstheme="minorHAnsi"/>
          <w:szCs w:val="20"/>
        </w:rPr>
      </w:pPr>
      <w:permStart w:id="1301767296" w:edGrp="everyone"/>
      <w:r w:rsidRPr="004902A0">
        <w:rPr>
          <w:rFonts w:cstheme="minorHAnsi"/>
          <w:szCs w:val="20"/>
        </w:rPr>
        <w:t xml:space="preserve">LCH’s </w:t>
      </w:r>
      <w:proofErr w:type="spellStart"/>
      <w:r w:rsidRPr="004902A0">
        <w:rPr>
          <w:rFonts w:cstheme="minorHAnsi"/>
          <w:szCs w:val="20"/>
        </w:rPr>
        <w:t>SwapClear</w:t>
      </w:r>
      <w:proofErr w:type="spellEnd"/>
      <w:r w:rsidRPr="004902A0">
        <w:rPr>
          <w:rFonts w:cstheme="minorHAnsi"/>
          <w:szCs w:val="20"/>
        </w:rPr>
        <w:t xml:space="preserve"> service can receive and process valid compression proposals created by Approved Compression Service Providers (ACSP). Existing service providers for </w:t>
      </w:r>
      <w:proofErr w:type="spellStart"/>
      <w:r w:rsidRPr="004902A0">
        <w:rPr>
          <w:rFonts w:cstheme="minorHAnsi"/>
          <w:szCs w:val="20"/>
        </w:rPr>
        <w:t>SwapClear</w:t>
      </w:r>
      <w:proofErr w:type="spellEnd"/>
      <w:r w:rsidRPr="004902A0">
        <w:rPr>
          <w:rFonts w:cstheme="minorHAnsi"/>
          <w:szCs w:val="20"/>
        </w:rPr>
        <w:t xml:space="preserve"> are </w:t>
      </w:r>
      <w:proofErr w:type="spellStart"/>
      <w:r w:rsidRPr="004902A0">
        <w:rPr>
          <w:rFonts w:cstheme="minorHAnsi"/>
          <w:szCs w:val="20"/>
        </w:rPr>
        <w:t>TriOptima</w:t>
      </w:r>
      <w:proofErr w:type="spellEnd"/>
      <w:r w:rsidRPr="004902A0">
        <w:rPr>
          <w:rFonts w:cstheme="minorHAnsi"/>
          <w:szCs w:val="20"/>
        </w:rPr>
        <w:t xml:space="preserve"> AB, Quantile Technologies Limited and </w:t>
      </w:r>
      <w:proofErr w:type="spellStart"/>
      <w:r w:rsidRPr="004902A0">
        <w:rPr>
          <w:rFonts w:cstheme="minorHAnsi"/>
          <w:szCs w:val="20"/>
        </w:rPr>
        <w:t>Capitalab</w:t>
      </w:r>
      <w:proofErr w:type="spellEnd"/>
      <w:r w:rsidRPr="004902A0">
        <w:rPr>
          <w:rFonts w:cstheme="minorHAnsi"/>
          <w:szCs w:val="20"/>
        </w:rPr>
        <w:t>. To become an LCH ACSP, LCH requires firms to meet the following criteria:</w:t>
      </w:r>
    </w:p>
    <w:p w14:paraId="139F61CD"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 xml:space="preserve">Meets the definition of </w:t>
      </w:r>
      <w:proofErr w:type="spellStart"/>
      <w:r w:rsidRPr="004902A0">
        <w:rPr>
          <w:rFonts w:cstheme="minorHAnsi"/>
          <w:szCs w:val="20"/>
        </w:rPr>
        <w:t>SwapClear</w:t>
      </w:r>
      <w:proofErr w:type="spellEnd"/>
      <w:r w:rsidRPr="004902A0">
        <w:rPr>
          <w:rFonts w:cstheme="minorHAnsi"/>
          <w:szCs w:val="20"/>
        </w:rPr>
        <w:t xml:space="preserve"> compression services as per LCH rulebook</w:t>
      </w:r>
      <w:r>
        <w:rPr>
          <w:rFonts w:cstheme="minorHAnsi"/>
          <w:szCs w:val="20"/>
        </w:rPr>
        <w:t>;</w:t>
      </w:r>
    </w:p>
    <w:p w14:paraId="6477ABB8"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Potential ACSP has robust legal framework under which to provide such compression service</w:t>
      </w:r>
      <w:r>
        <w:rPr>
          <w:rFonts w:cstheme="minorHAnsi"/>
          <w:szCs w:val="20"/>
        </w:rPr>
        <w:t>;</w:t>
      </w:r>
    </w:p>
    <w:p w14:paraId="5E039F2A"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Potential ACSP can demonstrate robust controls and operational capability</w:t>
      </w:r>
      <w:r>
        <w:rPr>
          <w:rFonts w:cstheme="minorHAnsi"/>
          <w:szCs w:val="20"/>
        </w:rPr>
        <w:t>;</w:t>
      </w:r>
    </w:p>
    <w:p w14:paraId="4BFDE89F"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LCH can operationally support the proposed compression service;</w:t>
      </w:r>
    </w:p>
    <w:p w14:paraId="66D1F7D9" w14:textId="77777777" w:rsidR="00E130B2" w:rsidRDefault="00E130B2" w:rsidP="00E130B2">
      <w:pPr>
        <w:pStyle w:val="ListParagraph"/>
        <w:jc w:val="both"/>
        <w:rPr>
          <w:rFonts w:cstheme="minorHAnsi"/>
          <w:szCs w:val="20"/>
        </w:rPr>
      </w:pPr>
      <w:r w:rsidRPr="00CF08DD">
        <w:rPr>
          <w:rFonts w:cstheme="minorHAnsi"/>
          <w:szCs w:val="20"/>
        </w:rPr>
        <w:t xml:space="preserve">Potential ACSP has written confirmation of commitment from at least six </w:t>
      </w:r>
      <w:proofErr w:type="spellStart"/>
      <w:r w:rsidRPr="00CF08DD">
        <w:rPr>
          <w:rFonts w:cstheme="minorHAnsi"/>
          <w:szCs w:val="20"/>
        </w:rPr>
        <w:t>SwapClear</w:t>
      </w:r>
      <w:proofErr w:type="spellEnd"/>
      <w:r w:rsidRPr="00CF08DD">
        <w:rPr>
          <w:rFonts w:cstheme="minorHAnsi"/>
          <w:szCs w:val="20"/>
        </w:rPr>
        <w:t xml:space="preserve"> members to use their services</w:t>
      </w:r>
      <w:r>
        <w:rPr>
          <w:rFonts w:cstheme="minorHAnsi"/>
          <w:szCs w:val="20"/>
        </w:rPr>
        <w:t>;</w:t>
      </w:r>
    </w:p>
    <w:p w14:paraId="201E22BD" w14:textId="77777777" w:rsidR="00E130B2" w:rsidRPr="004902A0" w:rsidRDefault="00E130B2" w:rsidP="00E130B2">
      <w:pPr>
        <w:pStyle w:val="ListParagraph"/>
        <w:numPr>
          <w:ilvl w:val="0"/>
          <w:numId w:val="44"/>
        </w:numPr>
        <w:spacing w:after="200" w:line="276" w:lineRule="auto"/>
        <w:jc w:val="both"/>
        <w:rPr>
          <w:rFonts w:cstheme="minorHAnsi"/>
          <w:szCs w:val="20"/>
          <w:u w:val="single"/>
        </w:rPr>
      </w:pPr>
      <w:r>
        <w:rPr>
          <w:rFonts w:cstheme="minorHAnsi"/>
          <w:szCs w:val="20"/>
        </w:rPr>
        <w:t>P</w:t>
      </w:r>
      <w:r w:rsidRPr="00CF08DD">
        <w:rPr>
          <w:rFonts w:cstheme="minorHAnsi"/>
          <w:szCs w:val="20"/>
        </w:rPr>
        <w:t xml:space="preserve">otential ACSP can demonstrate successful testing of its services with </w:t>
      </w:r>
      <w:proofErr w:type="gramStart"/>
      <w:r w:rsidRPr="00CF08DD">
        <w:rPr>
          <w:rFonts w:cstheme="minorHAnsi"/>
          <w:szCs w:val="20"/>
        </w:rPr>
        <w:t>a number of</w:t>
      </w:r>
      <w:proofErr w:type="gramEnd"/>
      <w:r w:rsidRPr="00CF08DD">
        <w:rPr>
          <w:rFonts w:cstheme="minorHAnsi"/>
          <w:szCs w:val="20"/>
        </w:rPr>
        <w:t xml:space="preserve"> potential participants</w:t>
      </w:r>
      <w:r>
        <w:rPr>
          <w:rFonts w:cstheme="minorHAnsi"/>
          <w:szCs w:val="20"/>
        </w:rPr>
        <w:t>.</w:t>
      </w:r>
    </w:p>
    <w:permEnd w:id="1301767296"/>
    <w:p w14:paraId="1F586F51" w14:textId="77777777" w:rsidR="00014A67"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1EB34660" w14:textId="77777777" w:rsidR="00C93A9C" w:rsidRDefault="00C93A9C" w:rsidP="003331A2">
      <w:pPr>
        <w:rPr>
          <w:lang w:eastAsia="en-US"/>
        </w:rPr>
      </w:pPr>
    </w:p>
    <w:p w14:paraId="5E9FA372" w14:textId="77777777" w:rsidR="003331A2" w:rsidRPr="00014A67" w:rsidRDefault="003331A2" w:rsidP="00014A67">
      <w:pPr>
        <w:rPr>
          <w:lang w:eastAsia="en-US"/>
        </w:rPr>
      </w:pPr>
    </w:p>
    <w:p w14:paraId="2D4E2CB3" w14:textId="77777777" w:rsidR="00014A67" w:rsidRDefault="00014A67" w:rsidP="00014A67">
      <w:pPr>
        <w:pStyle w:val="Questionstyle"/>
      </w:pPr>
      <w:r>
        <w:t xml:space="preserve">: Assuming there would be an exemption to the clearing obligation: </w:t>
      </w:r>
    </w:p>
    <w:p w14:paraId="2B15922A" w14:textId="77777777" w:rsidR="00014A67" w:rsidRPr="003446D5" w:rsidRDefault="00014A67" w:rsidP="00014A67">
      <w:pPr>
        <w:pStyle w:val="Questionstyle"/>
        <w:numPr>
          <w:ilvl w:val="0"/>
          <w:numId w:val="42"/>
        </w:numPr>
        <w:contextualSpacing w:val="0"/>
      </w:pPr>
      <w:r>
        <w:t xml:space="preserve">Could PTRR services conduct </w:t>
      </w:r>
      <w:r w:rsidRPr="0058307A">
        <w:t>offsetting opposite trade</w:t>
      </w:r>
      <w:r>
        <w:t>s</w:t>
      </w:r>
      <w:r w:rsidRPr="0058307A">
        <w:t xml:space="preserve"> in the counterparty’s cleared portfolio</w:t>
      </w:r>
      <w:r>
        <w:t xml:space="preserve"> </w:t>
      </w:r>
      <w:r w:rsidRPr="003446D5">
        <w:t xml:space="preserve">and if yes, should </w:t>
      </w:r>
      <w:r>
        <w:t>it</w:t>
      </w:r>
      <w:r w:rsidRPr="003446D5">
        <w:t xml:space="preserve"> be mandatory</w:t>
      </w:r>
      <w:r>
        <w:t xml:space="preserve"> to enter into such </w:t>
      </w:r>
      <w:r w:rsidRPr="00A065AD">
        <w:t>offsetting transactions</w:t>
      </w:r>
      <w:r w:rsidRPr="003446D5">
        <w:t xml:space="preserve">? </w:t>
      </w:r>
    </w:p>
    <w:p w14:paraId="75952581" w14:textId="77777777" w:rsidR="00014A67" w:rsidRDefault="00014A67" w:rsidP="00014A67">
      <w:pPr>
        <w:pStyle w:val="Questionstyle"/>
        <w:numPr>
          <w:ilvl w:val="0"/>
          <w:numId w:val="42"/>
        </w:numPr>
        <w:contextualSpacing w:val="0"/>
      </w:pPr>
      <w:r w:rsidRPr="003446D5">
        <w:t>Would the PTRR transaction in the non-cleared portfolio then remain between the counterparties or be terminated</w:t>
      </w:r>
      <w:r>
        <w:t xml:space="preserve"> (netted)</w:t>
      </w:r>
      <w:r w:rsidRPr="003446D5">
        <w:t xml:space="preserve">?  </w:t>
      </w:r>
    </w:p>
    <w:p w14:paraId="75CCB44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42C143C5" w14:textId="22BD1836" w:rsidR="00E130B2" w:rsidRDefault="00E130B2" w:rsidP="00E130B2">
      <w:pPr>
        <w:jc w:val="both"/>
        <w:rPr>
          <w:rFonts w:cstheme="minorHAnsi"/>
          <w:szCs w:val="20"/>
        </w:rPr>
      </w:pPr>
      <w:permStart w:id="1124749071" w:edGrp="everyone"/>
      <w:r w:rsidRPr="004902A0">
        <w:rPr>
          <w:rFonts w:cstheme="minorHAnsi"/>
          <w:szCs w:val="20"/>
        </w:rPr>
        <w:t>As noted in question 9, two firms wanting to reduce their bilateral risk could enter a</w:t>
      </w:r>
      <w:r>
        <w:rPr>
          <w:rFonts w:cstheme="minorHAnsi"/>
          <w:szCs w:val="20"/>
        </w:rPr>
        <w:t>n</w:t>
      </w:r>
      <w:r w:rsidRPr="004902A0">
        <w:rPr>
          <w:rFonts w:cstheme="minorHAnsi"/>
          <w:szCs w:val="20"/>
        </w:rPr>
        <w:t xml:space="preserve"> interest rate swap into their bilateral portfolio. Then, a second interest rate swap would be placed with a CCP. This risk reducing transaction (equal and of opposite risk) placed with a CCP would ensure that the overall risk in the bilateral portfolio is effectively monitored</w:t>
      </w:r>
      <w:r>
        <w:rPr>
          <w:rFonts w:cstheme="minorHAnsi"/>
          <w:szCs w:val="20"/>
        </w:rPr>
        <w:t>.</w:t>
      </w:r>
    </w:p>
    <w:p w14:paraId="4B56A722" w14:textId="13E8A5C8" w:rsidR="00E130B2" w:rsidRDefault="00E130B2" w:rsidP="00E130B2">
      <w:pPr>
        <w:jc w:val="both"/>
        <w:rPr>
          <w:rFonts w:cstheme="minorHAnsi"/>
          <w:szCs w:val="20"/>
        </w:rPr>
      </w:pPr>
    </w:p>
    <w:p w14:paraId="5F2CA838" w14:textId="55269351" w:rsidR="00E130B2" w:rsidRPr="004902A0" w:rsidRDefault="00E130B2" w:rsidP="00E130B2">
      <w:pPr>
        <w:jc w:val="both"/>
        <w:rPr>
          <w:rFonts w:cstheme="minorHAnsi"/>
          <w:szCs w:val="20"/>
        </w:rPr>
      </w:pPr>
      <w:r w:rsidRPr="004902A0">
        <w:rPr>
          <w:rFonts w:cstheme="minorHAnsi"/>
          <w:szCs w:val="20"/>
        </w:rPr>
        <w:t>The transaction resulting from PTRR service would need to remain outstanding, as it would be performing a risk-reducing role in that sub-portfolio</w:t>
      </w:r>
      <w:r>
        <w:rPr>
          <w:rFonts w:cstheme="minorHAnsi"/>
          <w:szCs w:val="20"/>
        </w:rPr>
        <w:t>.</w:t>
      </w:r>
    </w:p>
    <w:permEnd w:id="1124749071"/>
    <w:p w14:paraId="065B54F4"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78D6D586" w14:textId="77777777" w:rsidR="003331A2" w:rsidRPr="003331A2" w:rsidRDefault="003331A2" w:rsidP="003331A2">
      <w:pPr>
        <w:rPr>
          <w:lang w:eastAsia="en-US"/>
        </w:rPr>
      </w:pPr>
    </w:p>
    <w:p w14:paraId="64CA816B" w14:textId="77777777" w:rsidR="00014A67" w:rsidRPr="00014A67" w:rsidRDefault="00014A67" w:rsidP="00014A67">
      <w:pPr>
        <w:rPr>
          <w:lang w:eastAsia="en-US"/>
        </w:rPr>
      </w:pPr>
    </w:p>
    <w:p w14:paraId="47D3DCEF" w14:textId="77777777" w:rsidR="00014A67" w:rsidRDefault="00014A67" w:rsidP="00014A67">
      <w:pPr>
        <w:pStyle w:val="Questionstyle"/>
      </w:pPr>
      <w:r>
        <w:t xml:space="preserve">: </w:t>
      </w:r>
      <w:r w:rsidRPr="00014A67">
        <w:t>Please provide data (number of trades and notional compressed, amount of initial margin reduction, number of counterparties regularly using PTRR services, other metrics) per type of PTRR service, with as much granularity as possible (per entity, per asset class/currency, per run, over the years and over the past year, etc.) and the related explanations on how PTRR services are used.</w:t>
      </w:r>
    </w:p>
    <w:p w14:paraId="25CF885B"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3C374FE1" w14:textId="77777777" w:rsidR="00E130B2" w:rsidRPr="004902A0" w:rsidRDefault="00E130B2" w:rsidP="00E130B2">
      <w:pPr>
        <w:jc w:val="both"/>
        <w:rPr>
          <w:rFonts w:cstheme="minorHAnsi"/>
          <w:szCs w:val="20"/>
        </w:rPr>
      </w:pPr>
      <w:permStart w:id="851969642" w:edGrp="everyone"/>
      <w:r w:rsidRPr="004902A0">
        <w:rPr>
          <w:rFonts w:cstheme="minorHAnsi"/>
          <w:szCs w:val="20"/>
        </w:rPr>
        <w:t>Between January 2016 to October 2019, LCH has compress</w:t>
      </w:r>
      <w:r>
        <w:rPr>
          <w:rFonts w:cstheme="minorHAnsi"/>
          <w:szCs w:val="20"/>
        </w:rPr>
        <w:t>ed</w:t>
      </w:r>
      <w:r w:rsidRPr="004902A0">
        <w:rPr>
          <w:rFonts w:cstheme="minorHAnsi"/>
          <w:szCs w:val="20"/>
        </w:rPr>
        <w:t xml:space="preserve"> approx. 13 million trades with a total notional of $2.4 quadrillion</w:t>
      </w:r>
      <w:r w:rsidRPr="004902A0">
        <w:rPr>
          <w:rStyle w:val="FootnoteReference"/>
          <w:rFonts w:cstheme="minorHAnsi"/>
          <w:szCs w:val="20"/>
        </w:rPr>
        <w:footnoteReference w:id="2"/>
      </w:r>
      <w:r w:rsidRPr="004902A0">
        <w:rPr>
          <w:rFonts w:cstheme="minorHAnsi"/>
          <w:szCs w:val="20"/>
        </w:rPr>
        <w:t xml:space="preserve">. In 2018, </w:t>
      </w:r>
      <w:proofErr w:type="spellStart"/>
      <w:r w:rsidRPr="004902A0">
        <w:rPr>
          <w:rFonts w:cstheme="minorHAnsi"/>
          <w:szCs w:val="20"/>
        </w:rPr>
        <w:t>SwapClear</w:t>
      </w:r>
      <w:proofErr w:type="spellEnd"/>
      <w:r w:rsidRPr="004902A0">
        <w:rPr>
          <w:rFonts w:cstheme="minorHAnsi"/>
          <w:szCs w:val="20"/>
        </w:rPr>
        <w:t xml:space="preserve"> compressed the equivalent of 72% of the total notional it cleared. The effects of compression on outstanding notional increased only by $17 trillion while producing combined reductions in notional of over 1$ quadrillion. The service available to our clearing members and their clients include:</w:t>
      </w:r>
    </w:p>
    <w:p w14:paraId="31004BB2"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Termination of their own offsetting trades, regardless of counterparties;</w:t>
      </w:r>
    </w:p>
    <w:p w14:paraId="7364C726"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lastRenderedPageBreak/>
        <w:t>Compression of any trade with the same remaining cash flow dates</w:t>
      </w:r>
      <w:r>
        <w:rPr>
          <w:rFonts w:cstheme="minorHAnsi"/>
          <w:szCs w:val="20"/>
        </w:rPr>
        <w:t>;</w:t>
      </w:r>
    </w:p>
    <w:p w14:paraId="7C38F4B0"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A matching service identifying mutual compression opportunities between a pair of members enabling them to trade out the opportunities and replicate the original risk in a more notional-efficient way</w:t>
      </w:r>
      <w:r>
        <w:rPr>
          <w:rFonts w:cstheme="minorHAnsi"/>
          <w:szCs w:val="20"/>
        </w:rPr>
        <w:t>;</w:t>
      </w:r>
    </w:p>
    <w:p w14:paraId="300FF5C1"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Multilateral compression to members and clients through its proprietary offering or through an ACSP.</w:t>
      </w:r>
    </w:p>
    <w:p w14:paraId="6F53C3A7" w14:textId="77777777" w:rsidR="00E130B2" w:rsidRPr="004902A0" w:rsidRDefault="00E130B2" w:rsidP="00E130B2">
      <w:pPr>
        <w:jc w:val="both"/>
        <w:rPr>
          <w:rFonts w:cstheme="minorHAnsi"/>
          <w:szCs w:val="20"/>
        </w:rPr>
      </w:pPr>
      <w:r w:rsidRPr="004902A0">
        <w:rPr>
          <w:rFonts w:cstheme="minorHAnsi"/>
          <w:szCs w:val="20"/>
        </w:rPr>
        <w:t xml:space="preserve">As a result of compression services offered by LCH, members and their clients </w:t>
      </w:r>
      <w:proofErr w:type="gramStart"/>
      <w:r w:rsidRPr="004902A0">
        <w:rPr>
          <w:rFonts w:cstheme="minorHAnsi"/>
          <w:szCs w:val="20"/>
        </w:rPr>
        <w:t>are able to</w:t>
      </w:r>
      <w:proofErr w:type="gramEnd"/>
      <w:r w:rsidRPr="004902A0">
        <w:rPr>
          <w:rFonts w:cstheme="minorHAnsi"/>
          <w:szCs w:val="20"/>
        </w:rPr>
        <w:t xml:space="preserve"> benefit from:</w:t>
      </w:r>
    </w:p>
    <w:p w14:paraId="7B85D600"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 xml:space="preserve">Capital optimisation: The level of capital needed by financial institutions to support their derivatives exposure to the </w:t>
      </w:r>
      <w:r>
        <w:rPr>
          <w:rFonts w:cstheme="minorHAnsi"/>
          <w:szCs w:val="20"/>
        </w:rPr>
        <w:t xml:space="preserve">CCP </w:t>
      </w:r>
      <w:r w:rsidRPr="004902A0">
        <w:rPr>
          <w:rFonts w:cstheme="minorHAnsi"/>
          <w:szCs w:val="20"/>
        </w:rPr>
        <w:t>is based on notional outstanding, which can be significantly reduced through compression</w:t>
      </w:r>
      <w:r>
        <w:rPr>
          <w:rFonts w:cstheme="minorHAnsi"/>
          <w:szCs w:val="20"/>
        </w:rPr>
        <w:t>;</w:t>
      </w:r>
    </w:p>
    <w:p w14:paraId="586FB369"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Reduction of operational risk: Eliminating line items lowers the administrative burden by reducing the number of reconciliations needed, as well as streamlining portfolio management</w:t>
      </w:r>
      <w:r>
        <w:rPr>
          <w:rFonts w:cstheme="minorHAnsi"/>
          <w:szCs w:val="20"/>
        </w:rPr>
        <w:t>;</w:t>
      </w:r>
    </w:p>
    <w:p w14:paraId="5042B542"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Porting Capabilities: Increases the likelihood and ease of porting by creating more efficient portfolio transfers in the ordinary course of business and default scenarios</w:t>
      </w:r>
      <w:r>
        <w:rPr>
          <w:rFonts w:cstheme="minorHAnsi"/>
          <w:szCs w:val="20"/>
        </w:rPr>
        <w:t>.</w:t>
      </w:r>
    </w:p>
    <w:permEnd w:id="851969642"/>
    <w:p w14:paraId="3C5A593C"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711E2630" w14:textId="77777777" w:rsidR="00C93A9C" w:rsidRPr="003331A2" w:rsidRDefault="00C93A9C" w:rsidP="003331A2">
      <w:pPr>
        <w:rPr>
          <w:lang w:eastAsia="en-US"/>
        </w:rPr>
      </w:pPr>
    </w:p>
    <w:p w14:paraId="2CAC0603" w14:textId="77777777" w:rsidR="00014A67" w:rsidRPr="00014A67" w:rsidRDefault="00014A67" w:rsidP="00014A67">
      <w:pPr>
        <w:rPr>
          <w:lang w:eastAsia="en-US"/>
        </w:rPr>
      </w:pPr>
    </w:p>
    <w:p w14:paraId="5E6F5D41" w14:textId="77777777" w:rsidR="00014A67" w:rsidRDefault="00014A67" w:rsidP="00014A67">
      <w:pPr>
        <w:pStyle w:val="Questionstyle"/>
      </w:pPr>
      <w:r>
        <w:t xml:space="preserve">: Please also, where possible, </w:t>
      </w:r>
      <w:r w:rsidRPr="00665180">
        <w:t xml:space="preserve">provide data </w:t>
      </w:r>
      <w:r>
        <w:t>whether</w:t>
      </w:r>
      <w:r w:rsidRPr="00665180">
        <w:t xml:space="preserve"> those numbers would be expected to change if </w:t>
      </w:r>
      <w:r>
        <w:t>t</w:t>
      </w:r>
      <w:r w:rsidRPr="00665180">
        <w:t>here was an exemption to the clearing obligation.</w:t>
      </w:r>
    </w:p>
    <w:p w14:paraId="7159815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26828208" w14:textId="1B0EFBA3" w:rsidR="00F968C6" w:rsidRDefault="00E130B2" w:rsidP="003331A2">
      <w:pPr>
        <w:rPr>
          <w:lang w:eastAsia="en-US"/>
        </w:rPr>
      </w:pPr>
      <w:permStart w:id="2058118707" w:edGrp="everyone"/>
      <w:r w:rsidRPr="004902A0">
        <w:rPr>
          <w:rFonts w:cstheme="minorHAnsi"/>
          <w:szCs w:val="20"/>
        </w:rPr>
        <w:t xml:space="preserve">LSEG does not expect any discernible change to these statistics if an exemption from the clearing obligation for limited PTRR-generated trades to be granted. Compression of cleared swaps would continue at its current pace, driven as it is by activity over cleared business volumes that would be unaffected by a limited exemption. Furthermore, we believe that, the need for products such as swaptions would be significantly reduced with an exemption of the clearing obligation grated to PTRR services such as portfolio rebalancing given increased benefits on capital requirements as well as reduced risks associated with central clearing. </w:t>
      </w:r>
      <w:permEnd w:id="2058118707"/>
      <w:r w:rsidR="003331A2">
        <w:rPr>
          <w:lang w:eastAsia="en-US"/>
        </w:rPr>
        <w:t>&lt;ESMA_</w:t>
      </w:r>
      <w:r w:rsidR="00C93A9C">
        <w:rPr>
          <w:lang w:eastAsia="en-US"/>
        </w:rPr>
        <w:t>QUESTION_PTRR_</w:t>
      </w:r>
      <w:r w:rsidR="003331A2">
        <w:rPr>
          <w:lang w:eastAsia="en-US"/>
        </w:rPr>
        <w:t>1</w:t>
      </w:r>
      <w:r w:rsidR="00CD3899">
        <w:rPr>
          <w:lang w:eastAsia="en-US"/>
        </w:rPr>
        <w:t>3</w:t>
      </w:r>
      <w:r w:rsidR="003331A2">
        <w:rPr>
          <w:lang w:eastAsia="en-US"/>
        </w:rPr>
        <w:t>&gt;</w:t>
      </w:r>
    </w:p>
    <w:p w14:paraId="77C326BF" w14:textId="77777777" w:rsidR="00C93A9C" w:rsidRDefault="00C93A9C" w:rsidP="003331A2">
      <w:pPr>
        <w:rPr>
          <w:lang w:eastAsia="en-US"/>
        </w:rPr>
      </w:pPr>
    </w:p>
    <w:p w14:paraId="14B27649" w14:textId="77777777" w:rsidR="003331A2" w:rsidRPr="00F968C6" w:rsidRDefault="003331A2" w:rsidP="00F968C6">
      <w:pPr>
        <w:rPr>
          <w:lang w:eastAsia="en-US"/>
        </w:rPr>
      </w:pPr>
    </w:p>
    <w:p w14:paraId="1D707C9A" w14:textId="77777777" w:rsidR="00014A67" w:rsidRDefault="00CD2986" w:rsidP="00014A67">
      <w:pPr>
        <w:pStyle w:val="Questionstyle"/>
      </w:pPr>
      <w:r>
        <w:t>: D</w:t>
      </w:r>
      <w:r w:rsidRPr="009D2275">
        <w:t>o you think an exemption from the clearing obligation for</w:t>
      </w:r>
      <w:r>
        <w:t xml:space="preserve"> transactions resulting from</w:t>
      </w:r>
      <w:r w:rsidRPr="009D2275">
        <w:t xml:space="preserve"> PTRR </w:t>
      </w:r>
      <w:r>
        <w:t>services would increase the use of PTRR services</w:t>
      </w:r>
      <w:r w:rsidRPr="009D2275">
        <w:t>? Please explain.</w:t>
      </w:r>
    </w:p>
    <w:p w14:paraId="7F68EE9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74AFF525" w14:textId="03F22F32" w:rsidR="00E130B2" w:rsidRDefault="00E130B2" w:rsidP="00E130B2">
      <w:pPr>
        <w:jc w:val="both"/>
        <w:rPr>
          <w:rFonts w:cstheme="minorHAnsi"/>
          <w:szCs w:val="20"/>
        </w:rPr>
      </w:pPr>
      <w:permStart w:id="1259693331" w:edGrp="everyone"/>
      <w:r w:rsidRPr="004902A0">
        <w:rPr>
          <w:rFonts w:cstheme="minorHAnsi"/>
          <w:szCs w:val="20"/>
        </w:rPr>
        <w:t>We believe that an exemption from the clearing obligation for PTRR trades that are a direct result from a PTRR exercise would increase the use of PTRR</w:t>
      </w:r>
      <w:r>
        <w:rPr>
          <w:rFonts w:cstheme="minorHAnsi"/>
          <w:szCs w:val="20"/>
        </w:rPr>
        <w:t xml:space="preserve"> services</w:t>
      </w:r>
      <w:r w:rsidRPr="004902A0">
        <w:rPr>
          <w:rFonts w:cstheme="minorHAnsi"/>
          <w:szCs w:val="20"/>
        </w:rPr>
        <w:t xml:space="preserve"> for the following reasons:</w:t>
      </w:r>
    </w:p>
    <w:p w14:paraId="7D094888" w14:textId="77777777" w:rsidR="00F1418A" w:rsidRPr="004902A0" w:rsidRDefault="00F1418A" w:rsidP="00E130B2">
      <w:pPr>
        <w:jc w:val="both"/>
        <w:rPr>
          <w:rFonts w:cstheme="minorHAnsi"/>
          <w:szCs w:val="20"/>
        </w:rPr>
      </w:pPr>
    </w:p>
    <w:p w14:paraId="1D5C786A"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860252">
        <w:rPr>
          <w:rFonts w:cstheme="minorHAnsi"/>
          <w:szCs w:val="20"/>
          <w:u w:val="single"/>
        </w:rPr>
        <w:t>Resource optimisation</w:t>
      </w:r>
      <w:r w:rsidRPr="004902A0">
        <w:rPr>
          <w:rFonts w:cstheme="minorHAnsi"/>
          <w:szCs w:val="20"/>
        </w:rPr>
        <w:t xml:space="preserve"> – the reduction in notional outstanding and net exposures means that margin, funding and capital requirements are reduced to the benefit of other economic activities that can be undertaken by the same market participants. Compression streamlines the portfolios by eliminating line items making member and client books smaller, cleaner and far more efficient from a margin and capital requirements standpoint.</w:t>
      </w:r>
    </w:p>
    <w:p w14:paraId="7F844A9A"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860252">
        <w:rPr>
          <w:rFonts w:cstheme="minorHAnsi"/>
          <w:szCs w:val="20"/>
          <w:u w:val="single"/>
        </w:rPr>
        <w:t>Reduction in operational risk</w:t>
      </w:r>
      <w:r w:rsidRPr="004902A0">
        <w:rPr>
          <w:rFonts w:cstheme="minorHAnsi"/>
          <w:szCs w:val="20"/>
        </w:rPr>
        <w:t xml:space="preserve"> – as the number of trades is reduced, the potential operational risk linked to dealing with multiple transactions is reduced; counterparty risk may also be reduced, as trades across multiple counterparties can be offset reducing the open risk in bilateral relationships.</w:t>
      </w:r>
    </w:p>
    <w:p w14:paraId="112EFCD2" w14:textId="77777777" w:rsidR="00E130B2" w:rsidRPr="007C497F" w:rsidRDefault="00E130B2" w:rsidP="00E130B2">
      <w:pPr>
        <w:pStyle w:val="ListParagraph"/>
        <w:numPr>
          <w:ilvl w:val="0"/>
          <w:numId w:val="44"/>
        </w:numPr>
        <w:spacing w:after="200" w:line="276" w:lineRule="auto"/>
        <w:jc w:val="both"/>
        <w:rPr>
          <w:rFonts w:cstheme="minorHAnsi"/>
          <w:szCs w:val="20"/>
        </w:rPr>
      </w:pPr>
      <w:r w:rsidRPr="00860252">
        <w:rPr>
          <w:rFonts w:cstheme="minorHAnsi"/>
          <w:szCs w:val="20"/>
          <w:u w:val="single"/>
        </w:rPr>
        <w:t>Enhance financial stability</w:t>
      </w:r>
      <w:r>
        <w:rPr>
          <w:rFonts w:cstheme="minorHAnsi"/>
          <w:szCs w:val="20"/>
        </w:rPr>
        <w:t xml:space="preserve"> – </w:t>
      </w:r>
      <w:r w:rsidRPr="004902A0">
        <w:rPr>
          <w:rFonts w:cstheme="minorHAnsi"/>
          <w:szCs w:val="20"/>
        </w:rPr>
        <w:t>Authorities should also consider the potential effects on financial stability due to the impact on default management, as a result of potentially smaller and ‘cleaner’ portfolios.</w:t>
      </w:r>
    </w:p>
    <w:permEnd w:id="1259693331"/>
    <w:p w14:paraId="7AA56F0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37A25643" w14:textId="77777777" w:rsidR="00C93A9C" w:rsidRPr="003331A2" w:rsidRDefault="00C93A9C" w:rsidP="003331A2">
      <w:pPr>
        <w:rPr>
          <w:lang w:eastAsia="en-US"/>
        </w:rPr>
      </w:pPr>
    </w:p>
    <w:p w14:paraId="69D40AA6" w14:textId="77777777" w:rsidR="00CD2986" w:rsidRPr="00CD2986" w:rsidRDefault="00CD2986" w:rsidP="00CD2986">
      <w:pPr>
        <w:rPr>
          <w:lang w:eastAsia="en-US"/>
        </w:rPr>
      </w:pPr>
    </w:p>
    <w:p w14:paraId="06A978FF" w14:textId="77777777" w:rsidR="00014A67" w:rsidRDefault="00014A67" w:rsidP="00014A67">
      <w:pPr>
        <w:pStyle w:val="Questionstyle"/>
      </w:pPr>
      <w:r>
        <w:t>:</w:t>
      </w:r>
      <w:r w:rsidR="00CD2986">
        <w:t xml:space="preserve"> </w:t>
      </w:r>
      <w:r w:rsidR="00CD2986" w:rsidRPr="009D2275">
        <w:t>Do you think an exemption</w:t>
      </w:r>
      <w:r w:rsidR="00CD2986">
        <w:t xml:space="preserve"> from the clearing obligation is </w:t>
      </w:r>
      <w:r w:rsidR="00CD2986" w:rsidRPr="009D2275">
        <w:t>not</w:t>
      </w:r>
      <w:r w:rsidR="00CD2986">
        <w:t xml:space="preserve"> </w:t>
      </w:r>
      <w:r w:rsidR="00CD2986" w:rsidRPr="009D2275">
        <w:t>needed</w:t>
      </w:r>
      <w:r w:rsidR="00CD2986">
        <w:t xml:space="preserve"> for legacy portfolios and PTRR services generally</w:t>
      </w:r>
      <w:r w:rsidR="00CD2986" w:rsidRPr="009D2275">
        <w:t>?</w:t>
      </w:r>
      <w:r w:rsidR="00CD2986" w:rsidRPr="003D4677">
        <w:t xml:space="preserve"> </w:t>
      </w:r>
      <w:r w:rsidR="00CD2986">
        <w:t>To what extent can the use of plain vanilla transactions in PTRR services be replaced with the use of non-plain vanilla transactions, or should this be avoided?</w:t>
      </w:r>
      <w:r w:rsidR="00CD2986" w:rsidRPr="003D4677">
        <w:t xml:space="preserve"> </w:t>
      </w:r>
      <w:r w:rsidR="00CD2986" w:rsidRPr="009D2275">
        <w:t>Please explain.</w:t>
      </w:r>
    </w:p>
    <w:p w14:paraId="2E93775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425F6D90" w14:textId="77777777" w:rsidR="00E130B2" w:rsidRPr="004902A0" w:rsidRDefault="00E130B2" w:rsidP="00E130B2">
      <w:pPr>
        <w:jc w:val="both"/>
        <w:rPr>
          <w:rFonts w:cstheme="minorHAnsi"/>
          <w:szCs w:val="20"/>
        </w:rPr>
      </w:pPr>
      <w:permStart w:id="1540564002" w:edGrp="everyone"/>
      <w:r w:rsidRPr="004902A0">
        <w:rPr>
          <w:rFonts w:cstheme="minorHAnsi"/>
          <w:szCs w:val="20"/>
        </w:rPr>
        <w:t>We believe that, an exemption is needed in respect of legacy transactions, because changes in market prices can modify the exposure profiles of these legacy portfolios and create risks. The risks generated are often best hedged using clearing eligible / clearing obliged trades even where they originate with clearing-ineligible non-cleared trades (e.g. swaptions generating swap “delta” risk). The risk associated with a swap can be expressed less efficiently by combination of more complex derivatives, but this creates unnecessary operation and technological risk.</w:t>
      </w:r>
    </w:p>
    <w:permEnd w:id="1540564002"/>
    <w:p w14:paraId="6BBC8E6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3BAF50F8" w14:textId="77777777" w:rsidR="00C93A9C" w:rsidRPr="003331A2" w:rsidRDefault="00C93A9C" w:rsidP="003331A2">
      <w:pPr>
        <w:rPr>
          <w:lang w:eastAsia="en-US"/>
        </w:rPr>
      </w:pPr>
    </w:p>
    <w:p w14:paraId="4FC20E3D" w14:textId="77777777" w:rsidR="00CD2986" w:rsidRPr="00CD2986" w:rsidRDefault="00CD2986" w:rsidP="00CD2986">
      <w:pPr>
        <w:rPr>
          <w:lang w:eastAsia="en-US"/>
        </w:rPr>
      </w:pPr>
    </w:p>
    <w:p w14:paraId="62A91353" w14:textId="77777777" w:rsidR="00014A67" w:rsidRDefault="00014A67" w:rsidP="00014A67">
      <w:pPr>
        <w:pStyle w:val="Questionstyle"/>
      </w:pPr>
      <w:r>
        <w:t>:</w:t>
      </w:r>
      <w:r w:rsidR="00CD2986" w:rsidRPr="00CD2986">
        <w:t xml:space="preserve"> </w:t>
      </w:r>
      <w:r w:rsidR="00CD2986" w:rsidRPr="003546FB">
        <w:t xml:space="preserve">Would </w:t>
      </w:r>
      <w:r w:rsidR="00CD2986">
        <w:t xml:space="preserve">an exemption to the clearing obligation contradict </w:t>
      </w:r>
      <w:r w:rsidR="00CD2986" w:rsidRPr="003546FB">
        <w:t>the G20 commitment</w:t>
      </w:r>
      <w:r w:rsidR="00CD2986">
        <w:t>s?</w:t>
      </w:r>
      <w:r w:rsidR="00CD2986" w:rsidRPr="003546FB">
        <w:t xml:space="preserve"> </w:t>
      </w:r>
      <w:r w:rsidR="00CD2986">
        <w:t>Please explain.</w:t>
      </w:r>
    </w:p>
    <w:p w14:paraId="0B5736D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11C20B6B" w14:textId="77777777" w:rsidR="00E130B2" w:rsidRPr="004902A0" w:rsidRDefault="00E130B2" w:rsidP="00E130B2">
      <w:pPr>
        <w:jc w:val="both"/>
        <w:rPr>
          <w:rFonts w:cstheme="minorHAnsi"/>
          <w:szCs w:val="20"/>
        </w:rPr>
      </w:pPr>
      <w:permStart w:id="2131131326" w:edGrp="everyone"/>
      <w:r w:rsidRPr="004902A0">
        <w:rPr>
          <w:rFonts w:cstheme="minorHAnsi"/>
          <w:szCs w:val="20"/>
        </w:rPr>
        <w:t>We don’t believe that an exemption to the clearing obligation contradict the G20 commitments</w:t>
      </w:r>
      <w:r>
        <w:rPr>
          <w:rFonts w:cstheme="minorHAnsi"/>
          <w:szCs w:val="20"/>
        </w:rPr>
        <w:t>.</w:t>
      </w:r>
      <w:r w:rsidRPr="004902A0">
        <w:rPr>
          <w:rFonts w:cstheme="minorHAnsi"/>
          <w:szCs w:val="20"/>
        </w:rPr>
        <w:t xml:space="preserve"> </w:t>
      </w:r>
      <w:r>
        <w:rPr>
          <w:rFonts w:cstheme="minorHAnsi"/>
          <w:szCs w:val="20"/>
        </w:rPr>
        <w:t>O</w:t>
      </w:r>
      <w:r w:rsidRPr="004902A0">
        <w:rPr>
          <w:rFonts w:cstheme="minorHAnsi"/>
          <w:szCs w:val="20"/>
        </w:rPr>
        <w:t>n the contrary we are of the opinion that a</w:t>
      </w:r>
      <w:r>
        <w:rPr>
          <w:rFonts w:cstheme="minorHAnsi"/>
          <w:szCs w:val="20"/>
        </w:rPr>
        <w:t xml:space="preserve"> suitably crafted and necessarily limited </w:t>
      </w:r>
      <w:r w:rsidRPr="004902A0">
        <w:rPr>
          <w:rFonts w:cstheme="minorHAnsi"/>
          <w:szCs w:val="20"/>
        </w:rPr>
        <w:t>exemption to the clearing obligation would reduce systemic risk associated with the use of OTC derivatives. Furthermore, clearing and portfolio compression have been incremental towards fulfilling this objective. We believe that recalibrating provisions relating to PTRR</w:t>
      </w:r>
      <w:r>
        <w:rPr>
          <w:rFonts w:cstheme="minorHAnsi"/>
          <w:szCs w:val="20"/>
        </w:rPr>
        <w:t xml:space="preserve"> services</w:t>
      </w:r>
      <w:r w:rsidRPr="004902A0">
        <w:rPr>
          <w:rFonts w:cstheme="minorHAnsi"/>
          <w:szCs w:val="20"/>
        </w:rPr>
        <w:t xml:space="preserve"> and specifically to portfolio rebalancing can further strengthen the financial system and improve systemic resilience. </w:t>
      </w:r>
    </w:p>
    <w:p w14:paraId="2DA3E76E" w14:textId="77777777" w:rsidR="00F1418A" w:rsidRDefault="00F1418A" w:rsidP="00E130B2">
      <w:pPr>
        <w:jc w:val="both"/>
        <w:rPr>
          <w:rFonts w:cstheme="minorHAnsi"/>
          <w:szCs w:val="20"/>
        </w:rPr>
      </w:pPr>
    </w:p>
    <w:p w14:paraId="5C3CC4DB" w14:textId="495DC6E4" w:rsidR="00E130B2" w:rsidRPr="004902A0" w:rsidRDefault="00E130B2" w:rsidP="00E130B2">
      <w:pPr>
        <w:jc w:val="both"/>
        <w:rPr>
          <w:rFonts w:cstheme="minorHAnsi"/>
          <w:szCs w:val="20"/>
        </w:rPr>
      </w:pPr>
      <w:r>
        <w:rPr>
          <w:rFonts w:cstheme="minorHAnsi"/>
          <w:szCs w:val="20"/>
        </w:rPr>
        <w:t>For example, where an exemption can give rise to a reduction in aggregate bilateral exposures without changing aggregate cleared exposures, we believe this is supportive of the G20 commitments towards a safer and more efficient financial system.</w:t>
      </w:r>
    </w:p>
    <w:permEnd w:id="2131131326"/>
    <w:p w14:paraId="396BCDC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77C21060" w14:textId="77777777" w:rsidR="00C93A9C" w:rsidRPr="003331A2" w:rsidRDefault="00C93A9C" w:rsidP="003331A2">
      <w:pPr>
        <w:rPr>
          <w:lang w:eastAsia="en-US"/>
        </w:rPr>
      </w:pPr>
    </w:p>
    <w:p w14:paraId="6AFB1ED8" w14:textId="77777777" w:rsidR="00CD2986" w:rsidRPr="00CD2986" w:rsidRDefault="00CD2986" w:rsidP="00CD2986">
      <w:pPr>
        <w:rPr>
          <w:lang w:eastAsia="en-US"/>
        </w:rPr>
      </w:pPr>
    </w:p>
    <w:p w14:paraId="3EDB3AEE" w14:textId="77777777" w:rsidR="00014A67" w:rsidRDefault="00014A67" w:rsidP="00014A67">
      <w:pPr>
        <w:pStyle w:val="Questionstyle"/>
      </w:pPr>
      <w:r>
        <w:t>:</w:t>
      </w:r>
      <w:r w:rsidR="00CD2986" w:rsidRPr="00CD2986">
        <w:t xml:space="preserve"> </w:t>
      </w:r>
      <w:r w:rsidR="00CD2986">
        <w:t xml:space="preserve">How could </w:t>
      </w:r>
      <w:r w:rsidR="00CD2986" w:rsidRPr="00C24FAF">
        <w:t xml:space="preserve">an exemption </w:t>
      </w:r>
      <w:r w:rsidR="00CD2986">
        <w:t>to the clearing obligation for PTRR trades</w:t>
      </w:r>
      <w:r w:rsidR="00CD2986" w:rsidRPr="00C24FAF">
        <w:t xml:space="preserve"> </w:t>
      </w:r>
      <w:r w:rsidR="00CD2986">
        <w:t>lead to a circumvention of the clearing obligation</w:t>
      </w:r>
      <w:r w:rsidR="00CD2986" w:rsidRPr="00C24FAF">
        <w:t>? Please explain.</w:t>
      </w:r>
    </w:p>
    <w:p w14:paraId="7B709D0A"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5A2FF675" w14:textId="719C1102" w:rsidR="00E130B2" w:rsidRDefault="00E130B2" w:rsidP="00E130B2">
      <w:pPr>
        <w:jc w:val="both"/>
        <w:rPr>
          <w:rFonts w:cstheme="minorHAnsi"/>
          <w:szCs w:val="20"/>
        </w:rPr>
      </w:pPr>
      <w:permStart w:id="2021677902" w:edGrp="everyone"/>
      <w:r w:rsidRPr="004902A0">
        <w:rPr>
          <w:rFonts w:cstheme="minorHAnsi"/>
          <w:szCs w:val="20"/>
        </w:rPr>
        <w:t>While we could imagine scenarios in which incentives to perform such activity might be created, we believe that suitably framed and calibrated exemptions can avoid such outcome. This framework would ensure that:</w:t>
      </w:r>
    </w:p>
    <w:p w14:paraId="0B455F68" w14:textId="77777777" w:rsidR="00E130B2" w:rsidRPr="004902A0" w:rsidRDefault="00E130B2" w:rsidP="00E130B2">
      <w:pPr>
        <w:jc w:val="both"/>
        <w:rPr>
          <w:rFonts w:cstheme="minorHAnsi"/>
          <w:szCs w:val="20"/>
        </w:rPr>
      </w:pPr>
    </w:p>
    <w:p w14:paraId="7D0EBC12"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 xml:space="preserve">The compression runs are done by PTRR </w:t>
      </w:r>
      <w:r>
        <w:rPr>
          <w:rFonts w:cstheme="minorHAnsi"/>
          <w:szCs w:val="20"/>
        </w:rPr>
        <w:t xml:space="preserve">service </w:t>
      </w:r>
      <w:r w:rsidRPr="004902A0">
        <w:rPr>
          <w:rFonts w:cstheme="minorHAnsi"/>
          <w:szCs w:val="20"/>
        </w:rPr>
        <w:t>providers and final output would either be accepted or rejected by counterparties to a trade</w:t>
      </w:r>
      <w:r>
        <w:rPr>
          <w:rFonts w:cstheme="minorHAnsi"/>
          <w:szCs w:val="20"/>
        </w:rPr>
        <w:t>;</w:t>
      </w:r>
    </w:p>
    <w:p w14:paraId="3951E903"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Overall portfolio risk is reduced</w:t>
      </w:r>
      <w:r>
        <w:rPr>
          <w:rFonts w:cstheme="minorHAnsi"/>
          <w:szCs w:val="20"/>
        </w:rPr>
        <w:t>;</w:t>
      </w:r>
    </w:p>
    <w:p w14:paraId="1664F647" w14:textId="77777777" w:rsidR="00E130B2" w:rsidRPr="004902A0" w:rsidRDefault="00E130B2" w:rsidP="00E130B2">
      <w:pPr>
        <w:pStyle w:val="ListParagraph"/>
        <w:numPr>
          <w:ilvl w:val="0"/>
          <w:numId w:val="44"/>
        </w:numPr>
        <w:spacing w:after="200" w:line="276" w:lineRule="auto"/>
        <w:jc w:val="both"/>
        <w:rPr>
          <w:rFonts w:cstheme="minorHAnsi"/>
          <w:szCs w:val="20"/>
        </w:rPr>
      </w:pPr>
      <w:r w:rsidRPr="004902A0">
        <w:rPr>
          <w:rFonts w:cstheme="minorHAnsi"/>
          <w:szCs w:val="20"/>
        </w:rPr>
        <w:t>Equal and opposite transaction is booked with a CCP to ensure proper record keeping of risk reductions achieved in the bilateral portfolio</w:t>
      </w:r>
    </w:p>
    <w:permEnd w:id="2021677902"/>
    <w:p w14:paraId="4965A27E"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5B17855A" w14:textId="77777777" w:rsidR="00C93A9C" w:rsidRPr="003331A2" w:rsidRDefault="00C93A9C" w:rsidP="003331A2">
      <w:pPr>
        <w:rPr>
          <w:lang w:eastAsia="en-US"/>
        </w:rPr>
      </w:pPr>
    </w:p>
    <w:p w14:paraId="3063B5C6" w14:textId="77777777" w:rsidR="00CD2986" w:rsidRPr="00CD2986" w:rsidRDefault="00CD2986" w:rsidP="00CD2986">
      <w:pPr>
        <w:rPr>
          <w:lang w:eastAsia="en-US"/>
        </w:rPr>
      </w:pPr>
    </w:p>
    <w:p w14:paraId="7C412BDE" w14:textId="77777777" w:rsidR="00014A67" w:rsidRDefault="00014A67" w:rsidP="00014A67">
      <w:pPr>
        <w:pStyle w:val="Questionstyle"/>
      </w:pPr>
      <w:r>
        <w:t>:</w:t>
      </w:r>
      <w:r w:rsidR="00CD2986">
        <w:t xml:space="preserve"> </w:t>
      </w:r>
      <w:r w:rsidR="00CD2986" w:rsidRPr="003D4677">
        <w:t>Would you consider introducing an exemption to the clearing obligation as an incentive not to clear transactions that technically are covered by the clearing obligation. If yes, why?</w:t>
      </w:r>
    </w:p>
    <w:p w14:paraId="6B3CD3AA" w14:textId="77777777" w:rsidR="003331A2" w:rsidRDefault="003331A2" w:rsidP="003331A2">
      <w:pPr>
        <w:rPr>
          <w:lang w:eastAsia="en-US"/>
        </w:rPr>
      </w:pPr>
      <w:r>
        <w:rPr>
          <w:lang w:eastAsia="en-US"/>
        </w:rPr>
        <w:lastRenderedPageBreak/>
        <w:t>&lt;ESMA_</w:t>
      </w:r>
      <w:r w:rsidR="00C93A9C">
        <w:rPr>
          <w:lang w:eastAsia="en-US"/>
        </w:rPr>
        <w:t>QUESTION_PTRR_</w:t>
      </w:r>
      <w:r>
        <w:rPr>
          <w:lang w:eastAsia="en-US"/>
        </w:rPr>
        <w:t>18&gt;</w:t>
      </w:r>
    </w:p>
    <w:p w14:paraId="0934F0D5" w14:textId="77777777" w:rsidR="00E130B2" w:rsidRPr="004902A0" w:rsidRDefault="00E130B2" w:rsidP="00E130B2">
      <w:pPr>
        <w:jc w:val="both"/>
        <w:rPr>
          <w:rFonts w:cstheme="minorHAnsi"/>
          <w:szCs w:val="20"/>
        </w:rPr>
      </w:pPr>
      <w:permStart w:id="935270702" w:edGrp="everyone"/>
      <w:r w:rsidRPr="004902A0">
        <w:rPr>
          <w:rFonts w:cstheme="minorHAnsi"/>
          <w:szCs w:val="20"/>
        </w:rPr>
        <w:t xml:space="preserve">Provided that it is framed by appropriate conditions, we do not believe that introducing an exemption would enable members to circumvent the clearing obligation. As noted in our previous responses, we view the exemption as an incentive for participants to move some of the bilateral risk to a more strictly regulated and controlled environment while at the same time benefit from improved resource optimisation and from a reduction in operational risk. Consequentially, improved default management processes and smaller/’cleaner’ portfolios would strengthen financial stability which has always been the core objective of EMIR. </w:t>
      </w:r>
    </w:p>
    <w:permEnd w:id="935270702"/>
    <w:p w14:paraId="331AEC9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2AF39CD3" w14:textId="77777777" w:rsidR="00C93A9C" w:rsidRPr="003331A2" w:rsidRDefault="00C93A9C" w:rsidP="003331A2">
      <w:pPr>
        <w:rPr>
          <w:lang w:eastAsia="en-US"/>
        </w:rPr>
      </w:pPr>
    </w:p>
    <w:p w14:paraId="5ED40C10" w14:textId="77777777" w:rsidR="00CD2986" w:rsidRPr="00CD2986" w:rsidRDefault="00CD2986" w:rsidP="00CD2986">
      <w:pPr>
        <w:rPr>
          <w:lang w:eastAsia="en-US"/>
        </w:rPr>
      </w:pPr>
    </w:p>
    <w:p w14:paraId="07DFB19C" w14:textId="77777777" w:rsidR="00014A67" w:rsidRDefault="00014A67" w:rsidP="00014A67">
      <w:pPr>
        <w:pStyle w:val="Questionstyle"/>
      </w:pPr>
      <w:r>
        <w:t>:</w:t>
      </w:r>
      <w:r w:rsidR="00CD2986">
        <w:t xml:space="preserve"> </w:t>
      </w:r>
      <w:r w:rsidR="00CD2986" w:rsidRPr="000A661E">
        <w:t xml:space="preserve">Are there risks with reducing collateral? Even if complying with regulatory requirements, could this lead to such capital being used </w:t>
      </w:r>
      <w:r w:rsidR="00CD2986">
        <w:t xml:space="preserve">to </w:t>
      </w:r>
      <w:r w:rsidR="00CD2986" w:rsidRPr="00586625">
        <w:t>increas</w:t>
      </w:r>
      <w:r w:rsidR="00CD2986">
        <w:t>e</w:t>
      </w:r>
      <w:r w:rsidR="00CD2986" w:rsidRPr="00586625">
        <w:t xml:space="preserve"> risks</w:t>
      </w:r>
      <w:r w:rsidR="00CD2986" w:rsidRPr="005C4D86">
        <w:t>, possibly systemic risks</w:t>
      </w:r>
      <w:r w:rsidR="00CD2986" w:rsidRPr="00586625">
        <w:t>?</w:t>
      </w:r>
    </w:p>
    <w:p w14:paraId="2BAD6173"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1F96538B" w14:textId="77777777" w:rsidR="00E130B2" w:rsidRPr="004902A0" w:rsidRDefault="00E130B2" w:rsidP="00E130B2">
      <w:pPr>
        <w:jc w:val="both"/>
        <w:rPr>
          <w:rFonts w:cstheme="minorHAnsi"/>
          <w:szCs w:val="20"/>
        </w:rPr>
      </w:pPr>
      <w:permStart w:id="1605854710" w:edGrp="everyone"/>
      <w:r w:rsidRPr="004902A0">
        <w:rPr>
          <w:rFonts w:cstheme="minorHAnsi"/>
          <w:szCs w:val="20"/>
        </w:rPr>
        <w:t xml:space="preserve">We agree with ESMA’s observations on market participants’ incentives to optimise or reduce collateral due to costs associated with such risk mitigant. On the other hand, we don’t believe that a reduction of notional amounts would lead to situations where the market is under-collateralised and vulnerable in times of stress. Contrary to this, where exposures can be reduced, such that they attract justifiably lower collateral requirements, the system </w:t>
      </w:r>
      <w:proofErr w:type="gramStart"/>
      <w:r w:rsidRPr="004902A0">
        <w:rPr>
          <w:rFonts w:cstheme="minorHAnsi"/>
          <w:szCs w:val="20"/>
        </w:rPr>
        <w:t>as a whole is</w:t>
      </w:r>
      <w:proofErr w:type="gramEnd"/>
      <w:r w:rsidRPr="004902A0">
        <w:rPr>
          <w:rFonts w:cstheme="minorHAnsi"/>
          <w:szCs w:val="20"/>
        </w:rPr>
        <w:t xml:space="preserve"> safer and less prone to procyclicality.  </w:t>
      </w:r>
    </w:p>
    <w:permEnd w:id="1605854710"/>
    <w:p w14:paraId="14228947"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0BF91228" w14:textId="77777777" w:rsidR="00C93A9C" w:rsidRPr="003331A2" w:rsidRDefault="00C93A9C" w:rsidP="003331A2">
      <w:pPr>
        <w:rPr>
          <w:lang w:eastAsia="en-US"/>
        </w:rPr>
      </w:pPr>
    </w:p>
    <w:p w14:paraId="6D3A4632" w14:textId="77777777" w:rsidR="00CD2986" w:rsidRPr="00CD2986" w:rsidRDefault="00CD2986" w:rsidP="00CD2986">
      <w:pPr>
        <w:rPr>
          <w:lang w:eastAsia="en-US"/>
        </w:rPr>
      </w:pPr>
    </w:p>
    <w:p w14:paraId="6FA3D8CF" w14:textId="77777777" w:rsidR="00014A67" w:rsidRDefault="00014A67" w:rsidP="00014A67">
      <w:pPr>
        <w:pStyle w:val="Questionstyle"/>
        <w:rPr>
          <w:bCs/>
        </w:rPr>
      </w:pPr>
      <w:r>
        <w:t>:</w:t>
      </w:r>
      <w:r w:rsidR="00CD2986">
        <w:t xml:space="preserve"> </w:t>
      </w:r>
      <w:r w:rsidR="00CD2986" w:rsidRPr="00164D55">
        <w:rPr>
          <w:bCs/>
        </w:rPr>
        <w:t>Are there other jurisdictions where PTRR trades have been exempted from the clearing obligation? Please explain the features of any such exemption. Do you use any of those exemptions, and for what type of trades?</w:t>
      </w:r>
    </w:p>
    <w:p w14:paraId="7BC165B9"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4E46383E" w14:textId="556F7B73" w:rsidR="003331A2" w:rsidRDefault="00E130B2" w:rsidP="003331A2">
      <w:pPr>
        <w:rPr>
          <w:lang w:eastAsia="en-US"/>
        </w:rPr>
      </w:pPr>
      <w:permStart w:id="874398551" w:edGrp="everyone"/>
      <w:r>
        <w:rPr>
          <w:rFonts w:cstheme="minorHAnsi"/>
          <w:szCs w:val="20"/>
        </w:rPr>
        <w:t>LSEG is not aware of other jurisdictions where PTRR trades have been exempted from the clearing obligation</w:t>
      </w:r>
      <w:r>
        <w:rPr>
          <w:lang w:eastAsia="en-US"/>
        </w:rPr>
        <w:t xml:space="preserve">. </w:t>
      </w:r>
      <w:permEnd w:id="874398551"/>
      <w:proofErr w:type="gramStart"/>
      <w:r w:rsidR="003331A2">
        <w:rPr>
          <w:lang w:eastAsia="en-US"/>
        </w:rPr>
        <w:t>&lt;</w:t>
      </w:r>
      <w:proofErr w:type="gramEnd"/>
      <w:r w:rsidR="003331A2">
        <w:rPr>
          <w:lang w:eastAsia="en-US"/>
        </w:rPr>
        <w:t>ESMA_</w:t>
      </w:r>
      <w:r w:rsidR="00C93A9C">
        <w:rPr>
          <w:lang w:eastAsia="en-US"/>
        </w:rPr>
        <w:t>QUESTION_PTRR_</w:t>
      </w:r>
      <w:r w:rsidR="003331A2">
        <w:rPr>
          <w:lang w:eastAsia="en-US"/>
        </w:rPr>
        <w:t>20&gt;</w:t>
      </w:r>
    </w:p>
    <w:p w14:paraId="76E8704C" w14:textId="77777777" w:rsidR="00C93A9C" w:rsidRPr="003331A2" w:rsidRDefault="00C93A9C" w:rsidP="003331A2">
      <w:pPr>
        <w:rPr>
          <w:lang w:eastAsia="en-US"/>
        </w:rPr>
      </w:pPr>
    </w:p>
    <w:p w14:paraId="4E290247" w14:textId="77777777" w:rsidR="00CD2986" w:rsidRPr="00CD2986" w:rsidRDefault="00CD2986" w:rsidP="00CD2986">
      <w:pPr>
        <w:rPr>
          <w:lang w:eastAsia="en-US"/>
        </w:rPr>
      </w:pPr>
    </w:p>
    <w:p w14:paraId="16494293" w14:textId="77777777" w:rsidR="00014A67" w:rsidRDefault="00014A67" w:rsidP="00014A67">
      <w:pPr>
        <w:pStyle w:val="Questionstyle"/>
      </w:pPr>
      <w:r>
        <w:t>:</w:t>
      </w:r>
      <w:r w:rsidR="00CD2986">
        <w:t xml:space="preserve"> Should conditions, similar to the ones as outlined above, apply to a possible exemption under EMIR for PTRR transactions? Should other conditions apply? </w:t>
      </w:r>
      <w:r w:rsidR="00CD2986" w:rsidRPr="00157F52">
        <w:t>Would the answer depend on the type of PTRR service? Please explain.</w:t>
      </w:r>
    </w:p>
    <w:p w14:paraId="138BC0A5"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4D1D9F5E" w14:textId="6DE33AE0" w:rsidR="003331A2" w:rsidRDefault="00E130B2" w:rsidP="003331A2">
      <w:pPr>
        <w:rPr>
          <w:lang w:eastAsia="en-US"/>
        </w:rPr>
      </w:pPr>
      <w:permStart w:id="445394873" w:edGrp="everyone"/>
      <w:r w:rsidRPr="004902A0">
        <w:rPr>
          <w:rFonts w:cstheme="minorHAnsi"/>
          <w:szCs w:val="20"/>
        </w:rPr>
        <w:t>LSEG agrees with ESMA’s proposed list of conditions/requirements that could apply where an exemption to the clearing obligation is provided. We believe that these conditions provide a well-structured framework. With regards to the type of PTRR</w:t>
      </w:r>
      <w:r>
        <w:rPr>
          <w:rFonts w:cstheme="minorHAnsi"/>
          <w:szCs w:val="20"/>
        </w:rPr>
        <w:t xml:space="preserve"> services</w:t>
      </w:r>
      <w:r w:rsidRPr="004902A0">
        <w:rPr>
          <w:rFonts w:cstheme="minorHAnsi"/>
          <w:szCs w:val="20"/>
        </w:rPr>
        <w:t>, we would like to add that those conditions should also be applicable to services aiming not only to reduce notional but also total portfolio IM such as portfolio rebalancing. Furthermore, and in line with our responses in previous questions, we believe that requirement under point 5 could be further extended to mandate an “automatic” treatment of new output trades thus further removing the likelihood of circumventing the clearing obligation</w:t>
      </w:r>
      <w:r>
        <w:rPr>
          <w:rFonts w:cstheme="minorHAnsi"/>
          <w:szCs w:val="20"/>
        </w:rPr>
        <w:t xml:space="preserve">. </w:t>
      </w:r>
      <w:permEnd w:id="445394873"/>
      <w:proofErr w:type="gramStart"/>
      <w:r w:rsidR="003331A2">
        <w:rPr>
          <w:lang w:eastAsia="en-US"/>
        </w:rPr>
        <w:t>&lt;</w:t>
      </w:r>
      <w:proofErr w:type="gramEnd"/>
      <w:r w:rsidR="003331A2">
        <w:rPr>
          <w:lang w:eastAsia="en-US"/>
        </w:rPr>
        <w:t>ESMA_</w:t>
      </w:r>
      <w:r w:rsidR="00C93A9C">
        <w:rPr>
          <w:lang w:eastAsia="en-US"/>
        </w:rPr>
        <w:t>QUESTION_PTRR_</w:t>
      </w:r>
      <w:r w:rsidR="003331A2">
        <w:rPr>
          <w:lang w:eastAsia="en-US"/>
        </w:rPr>
        <w:t>21&gt;</w:t>
      </w:r>
    </w:p>
    <w:p w14:paraId="0477BBFC" w14:textId="77777777" w:rsidR="00C93A9C" w:rsidRPr="003331A2" w:rsidRDefault="00C93A9C" w:rsidP="003331A2">
      <w:pPr>
        <w:rPr>
          <w:lang w:eastAsia="en-US"/>
        </w:rPr>
      </w:pPr>
    </w:p>
    <w:p w14:paraId="00735611" w14:textId="77777777" w:rsidR="00CD2986" w:rsidRPr="00CD2986" w:rsidRDefault="00CD2986" w:rsidP="00CD2986">
      <w:pPr>
        <w:rPr>
          <w:lang w:eastAsia="en-US"/>
        </w:rPr>
      </w:pPr>
    </w:p>
    <w:p w14:paraId="63B98165" w14:textId="77777777" w:rsidR="00014A67" w:rsidRDefault="00014A67" w:rsidP="00014A67">
      <w:pPr>
        <w:pStyle w:val="Questionstyle"/>
      </w:pPr>
      <w:r>
        <w:t>:</w:t>
      </w:r>
      <w:r w:rsidR="00CD2986" w:rsidRPr="00CD2986">
        <w:t xml:space="preserve"> </w:t>
      </w:r>
      <w:r w:rsidR="00CD2986" w:rsidRPr="00B3300B">
        <w:t xml:space="preserve">Is there a difference between bilateral and multilateral portfolio compression justifying an exemption </w:t>
      </w:r>
      <w:r w:rsidR="00CD2986">
        <w:t xml:space="preserve">to the clearing obligation </w:t>
      </w:r>
      <w:r w:rsidR="00CD2986" w:rsidRPr="00B3300B">
        <w:t xml:space="preserve">only </w:t>
      </w:r>
      <w:r w:rsidR="00CD2986">
        <w:t>to apply</w:t>
      </w:r>
      <w:r w:rsidR="00CD2986" w:rsidRPr="00B3300B">
        <w:t xml:space="preserve"> for multilateral portfolio compression</w:t>
      </w:r>
      <w:r w:rsidR="00CD2986">
        <w:t>?</w:t>
      </w:r>
    </w:p>
    <w:p w14:paraId="5EA5FAE0"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4ADE3D99" w14:textId="3B8F3A71" w:rsidR="00E130B2" w:rsidRPr="004902A0" w:rsidRDefault="00E130B2" w:rsidP="00E130B2">
      <w:pPr>
        <w:jc w:val="both"/>
        <w:rPr>
          <w:rFonts w:cstheme="minorHAnsi"/>
          <w:szCs w:val="20"/>
        </w:rPr>
      </w:pPr>
      <w:permStart w:id="1573332612" w:edGrp="everyone"/>
      <w:r w:rsidRPr="004902A0">
        <w:rPr>
          <w:rFonts w:cstheme="minorHAnsi"/>
          <w:szCs w:val="20"/>
        </w:rPr>
        <w:t>L</w:t>
      </w:r>
      <w:r w:rsidR="00F1418A">
        <w:rPr>
          <w:rFonts w:cstheme="minorHAnsi"/>
          <w:szCs w:val="20"/>
        </w:rPr>
        <w:t>SEG’s</w:t>
      </w:r>
      <w:r w:rsidRPr="004902A0">
        <w:rPr>
          <w:rFonts w:cstheme="minorHAnsi"/>
          <w:szCs w:val="20"/>
        </w:rPr>
        <w:t xml:space="preserve"> comments in this response regarding portfolio compression relates solely to multilateral portfolio compression services.</w:t>
      </w:r>
    </w:p>
    <w:permEnd w:id="1573332612"/>
    <w:p w14:paraId="3E3B9E37"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10316EC3" w14:textId="77777777" w:rsidR="00C93A9C" w:rsidRPr="003331A2" w:rsidRDefault="00C93A9C" w:rsidP="003331A2">
      <w:pPr>
        <w:rPr>
          <w:lang w:eastAsia="en-US"/>
        </w:rPr>
      </w:pPr>
    </w:p>
    <w:p w14:paraId="5372ECF4" w14:textId="77777777" w:rsidR="00CD2986" w:rsidRPr="00CD2986" w:rsidRDefault="00CD2986" w:rsidP="00CD2986">
      <w:pPr>
        <w:rPr>
          <w:lang w:eastAsia="en-US"/>
        </w:rPr>
      </w:pPr>
    </w:p>
    <w:p w14:paraId="7AF93CBB" w14:textId="77777777" w:rsidR="00014A67" w:rsidRDefault="00014A67" w:rsidP="00014A67">
      <w:pPr>
        <w:pStyle w:val="Questionstyle"/>
      </w:pPr>
      <w:r>
        <w:t>:</w:t>
      </w:r>
      <w:r w:rsidR="00CD2986" w:rsidRPr="00CD2986">
        <w:t xml:space="preserve"> </w:t>
      </w:r>
      <w:r w:rsidR="00CD2986">
        <w:t>Should only uncleared transactions be included in portfolio compression</w:t>
      </w:r>
      <w:r w:rsidR="00CD2986" w:rsidRPr="00392D55">
        <w:t xml:space="preserve"> </w:t>
      </w:r>
      <w:r w:rsidR="00CD2986">
        <w:t>in order to qualify for the clearing exemption? How would a possible limitation to uncleared transactions limit the effectiveness?</w:t>
      </w:r>
    </w:p>
    <w:p w14:paraId="469BC7F2"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44ED9576" w14:textId="77777777" w:rsidR="00E130B2" w:rsidRPr="004902A0" w:rsidRDefault="00E130B2" w:rsidP="00E130B2">
      <w:pPr>
        <w:jc w:val="both"/>
        <w:rPr>
          <w:rFonts w:cstheme="minorHAnsi"/>
          <w:szCs w:val="20"/>
        </w:rPr>
      </w:pPr>
      <w:permStart w:id="561145910" w:edGrp="everyone"/>
      <w:r w:rsidRPr="004902A0">
        <w:rPr>
          <w:rFonts w:cstheme="minorHAnsi"/>
          <w:szCs w:val="20"/>
        </w:rPr>
        <w:t>LSEG believes that only uncleared transactions should be included in a portfolio compression cycle to benefit from a clearing exemption with the sole purpose of reducing overall bilateral risk. We don’t believe that a limitation to only uncleared transactions would result in any discernible change to the services effectiveness.</w:t>
      </w:r>
    </w:p>
    <w:permEnd w:id="561145910"/>
    <w:p w14:paraId="32080019"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77F87C98" w14:textId="77777777" w:rsidR="00C93A9C" w:rsidRPr="003331A2" w:rsidRDefault="00C93A9C" w:rsidP="003331A2">
      <w:pPr>
        <w:rPr>
          <w:lang w:eastAsia="en-US"/>
        </w:rPr>
      </w:pPr>
    </w:p>
    <w:p w14:paraId="12D0D84B" w14:textId="77777777" w:rsidR="00CD2986" w:rsidRPr="00CD2986" w:rsidRDefault="00CD2986" w:rsidP="00CD2986">
      <w:pPr>
        <w:rPr>
          <w:lang w:eastAsia="en-US"/>
        </w:rPr>
      </w:pPr>
    </w:p>
    <w:p w14:paraId="71067F7F" w14:textId="77777777" w:rsidR="00014A67" w:rsidRDefault="00014A67" w:rsidP="00014A67">
      <w:pPr>
        <w:pStyle w:val="Questionstyle"/>
      </w:pPr>
      <w:r>
        <w:t>:</w:t>
      </w:r>
      <w:r w:rsidR="00CD2986" w:rsidRPr="00CD2986">
        <w:t xml:space="preserve"> </w:t>
      </w:r>
      <w:r w:rsidR="00CD2986">
        <w:t>To benefit from an exemption to the clearing obligation, s</w:t>
      </w:r>
      <w:r w:rsidR="00CD2986" w:rsidRPr="00074B2B">
        <w:t>hould PTRR trades be stric</w:t>
      </w:r>
      <w:r w:rsidR="00CD2986">
        <w:t>t</w:t>
      </w:r>
      <w:r w:rsidR="00CD2986" w:rsidRPr="00074B2B">
        <w:t xml:space="preserve"> risk neutral or should there be tolerances for small changes in the risk of portfolios? How would you define what is an acceptably small change in risk?</w:t>
      </w:r>
    </w:p>
    <w:p w14:paraId="21562B91"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743DCC98" w14:textId="645D9EB5" w:rsidR="003331A2" w:rsidRDefault="00E130B2" w:rsidP="003331A2">
      <w:pPr>
        <w:rPr>
          <w:lang w:eastAsia="en-US"/>
        </w:rPr>
      </w:pPr>
      <w:permStart w:id="1798061626" w:edGrp="everyone"/>
      <w:r w:rsidRPr="004902A0">
        <w:rPr>
          <w:rFonts w:cstheme="minorHAnsi"/>
          <w:szCs w:val="20"/>
        </w:rPr>
        <w:t>LSEG agrees with ESMA’s report that PTRR services should not change the market risk of the portfolio and in that respect market-risk-neutrality is a reasonable constraint for rebalancing cycles within tolerances</w:t>
      </w:r>
      <w:r>
        <w:rPr>
          <w:rFonts w:cstheme="minorHAnsi"/>
          <w:szCs w:val="20"/>
        </w:rPr>
        <w:t xml:space="preserve">. </w:t>
      </w:r>
      <w:permEnd w:id="1798061626"/>
      <w:proofErr w:type="gramStart"/>
      <w:r w:rsidR="003331A2">
        <w:rPr>
          <w:lang w:eastAsia="en-US"/>
        </w:rPr>
        <w:t>&lt;</w:t>
      </w:r>
      <w:proofErr w:type="gramEnd"/>
      <w:r w:rsidR="003331A2">
        <w:rPr>
          <w:lang w:eastAsia="en-US"/>
        </w:rPr>
        <w:t>ESMA_</w:t>
      </w:r>
      <w:r w:rsidR="00C93A9C">
        <w:rPr>
          <w:lang w:eastAsia="en-US"/>
        </w:rPr>
        <w:t>QUESTION_PTRR_</w:t>
      </w:r>
      <w:r w:rsidR="003331A2">
        <w:rPr>
          <w:lang w:eastAsia="en-US"/>
        </w:rPr>
        <w:t>24&gt;</w:t>
      </w:r>
    </w:p>
    <w:p w14:paraId="01DED0B2" w14:textId="77777777" w:rsidR="00C93A9C" w:rsidRPr="003331A2" w:rsidRDefault="00C93A9C" w:rsidP="003331A2">
      <w:pPr>
        <w:rPr>
          <w:lang w:eastAsia="en-US"/>
        </w:rPr>
      </w:pPr>
    </w:p>
    <w:p w14:paraId="5BF8EF3D" w14:textId="77777777" w:rsidR="00CD2986" w:rsidRPr="00CD2986" w:rsidRDefault="00CD2986" w:rsidP="00CD2986">
      <w:pPr>
        <w:rPr>
          <w:lang w:eastAsia="en-US"/>
        </w:rPr>
      </w:pPr>
    </w:p>
    <w:p w14:paraId="77FEE84D" w14:textId="77777777" w:rsidR="00014A67" w:rsidRDefault="00014A67" w:rsidP="00014A67">
      <w:pPr>
        <w:pStyle w:val="Questionstyle"/>
      </w:pPr>
      <w:r>
        <w:t>:</w:t>
      </w:r>
      <w:r w:rsidR="00CD2986" w:rsidRPr="00CD2986">
        <w:t xml:space="preserve"> </w:t>
      </w:r>
      <w:r w:rsidR="00CD2986">
        <w:t>To benefit from an exemption to the clearing obligation, to what extent should parties to a PTRR exercise be able to be changed, i.e. not limited to the original counterparties? Would the answer depend on the type of PTRR service? P</w:t>
      </w:r>
      <w:r w:rsidR="00CD2986" w:rsidRPr="008E7AC6">
        <w:t>lease explain</w:t>
      </w:r>
      <w:r w:rsidR="00CD2986">
        <w:t>.</w:t>
      </w:r>
    </w:p>
    <w:p w14:paraId="0922CD75" w14:textId="77777777" w:rsidR="003331A2" w:rsidRDefault="003331A2" w:rsidP="003331A2">
      <w:pPr>
        <w:rPr>
          <w:lang w:eastAsia="en-US"/>
        </w:rPr>
      </w:pPr>
      <w:r>
        <w:rPr>
          <w:lang w:eastAsia="en-US"/>
        </w:rPr>
        <w:t>&lt;ESMA_</w:t>
      </w:r>
      <w:r w:rsidR="00C93A9C">
        <w:rPr>
          <w:lang w:eastAsia="en-US"/>
        </w:rPr>
        <w:t>QUESTION_PTRR_</w:t>
      </w:r>
      <w:r>
        <w:rPr>
          <w:lang w:eastAsia="en-US"/>
        </w:rPr>
        <w:t>25&gt;</w:t>
      </w:r>
    </w:p>
    <w:p w14:paraId="4495BC18" w14:textId="3BB69DC6" w:rsidR="003331A2" w:rsidRPr="003331A2" w:rsidRDefault="00E130B2" w:rsidP="003331A2">
      <w:pPr>
        <w:rPr>
          <w:lang w:eastAsia="en-US"/>
        </w:rPr>
      </w:pPr>
      <w:permStart w:id="1488867321" w:edGrp="everyone"/>
      <w:r w:rsidRPr="004902A0">
        <w:rPr>
          <w:rFonts w:cstheme="minorHAnsi"/>
          <w:szCs w:val="20"/>
        </w:rPr>
        <w:t>LSEG agrees with ESMA’s suggestion that to benefit from an exemption to the clearing obligation, new trades resulting from PTRRS should be limited to the participants and set of relationships with the original input trades</w:t>
      </w:r>
      <w:r>
        <w:rPr>
          <w:rFonts w:cstheme="minorHAnsi"/>
          <w:szCs w:val="20"/>
        </w:rPr>
        <w:t xml:space="preserve">. </w:t>
      </w:r>
      <w:permEnd w:id="1488867321"/>
      <w:proofErr w:type="gramStart"/>
      <w:r w:rsidR="003331A2">
        <w:rPr>
          <w:lang w:eastAsia="en-US"/>
        </w:rPr>
        <w:t>&lt;</w:t>
      </w:r>
      <w:proofErr w:type="gramEnd"/>
      <w:r w:rsidR="003331A2">
        <w:rPr>
          <w:lang w:eastAsia="en-US"/>
        </w:rPr>
        <w:t>ESMA_</w:t>
      </w:r>
      <w:r w:rsidR="00C93A9C">
        <w:rPr>
          <w:lang w:eastAsia="en-US"/>
        </w:rPr>
        <w:t>QUESTION_PTRR_</w:t>
      </w:r>
      <w:r w:rsidR="003331A2">
        <w:rPr>
          <w:lang w:eastAsia="en-US"/>
        </w:rPr>
        <w:t>25&gt;</w:t>
      </w:r>
    </w:p>
    <w:p w14:paraId="3F5DC1B5" w14:textId="77777777" w:rsidR="00CD2986" w:rsidRPr="00CD2986" w:rsidRDefault="00CD2986" w:rsidP="00CD2986">
      <w:pPr>
        <w:rPr>
          <w:lang w:eastAsia="en-US"/>
        </w:rPr>
      </w:pPr>
    </w:p>
    <w:p w14:paraId="0ADD0031" w14:textId="77777777" w:rsidR="00014A67" w:rsidRDefault="00014A67" w:rsidP="00014A67">
      <w:pPr>
        <w:pStyle w:val="Questionstyle"/>
      </w:pPr>
      <w:r>
        <w:t>:</w:t>
      </w:r>
      <w:r w:rsidR="00CD2986" w:rsidRPr="00CD2986">
        <w:t xml:space="preserve"> </w:t>
      </w:r>
      <w:r w:rsidR="00CD2986">
        <w:t xml:space="preserve">Should there be a requirement for PTRR services to reduce risk for a clearing exemption to apply? </w:t>
      </w:r>
      <w:r w:rsidR="00CD2986" w:rsidRPr="0082395B">
        <w:t xml:space="preserve">Should </w:t>
      </w:r>
      <w:r w:rsidR="00CD2986">
        <w:t xml:space="preserve">it </w:t>
      </w:r>
      <w:r w:rsidR="00CD2986" w:rsidRPr="0082395B">
        <w:t xml:space="preserve">apply </w:t>
      </w:r>
      <w:r w:rsidR="00CD2986">
        <w:t xml:space="preserve">to all PTRR services? </w:t>
      </w:r>
      <w:r w:rsidR="00CD2986" w:rsidRPr="0082395B">
        <w:t>If not, please explain why.</w:t>
      </w:r>
      <w:r w:rsidR="00CD2986">
        <w:t xml:space="preserve"> H</w:t>
      </w:r>
      <w:r w:rsidR="00CD2986" w:rsidRPr="003D4677">
        <w:t>ow would a successful PTRR exercise be measured?</w:t>
      </w:r>
    </w:p>
    <w:p w14:paraId="5B5D1D8F" w14:textId="77777777" w:rsidR="003331A2" w:rsidRDefault="003331A2" w:rsidP="003331A2">
      <w:pPr>
        <w:rPr>
          <w:lang w:eastAsia="en-US"/>
        </w:rPr>
      </w:pPr>
      <w:r>
        <w:rPr>
          <w:lang w:eastAsia="en-US"/>
        </w:rPr>
        <w:t>&lt;ESMA_</w:t>
      </w:r>
      <w:r w:rsidR="00C93A9C">
        <w:rPr>
          <w:lang w:eastAsia="en-US"/>
        </w:rPr>
        <w:t>QUESTION_PTRR_</w:t>
      </w:r>
      <w:r>
        <w:rPr>
          <w:lang w:eastAsia="en-US"/>
        </w:rPr>
        <w:t>26&gt;</w:t>
      </w:r>
    </w:p>
    <w:p w14:paraId="21E466E7" w14:textId="1307EA26" w:rsidR="00E130B2" w:rsidRPr="004902A0" w:rsidRDefault="00E130B2" w:rsidP="00E130B2">
      <w:pPr>
        <w:jc w:val="both"/>
        <w:rPr>
          <w:rFonts w:cstheme="minorHAnsi"/>
          <w:szCs w:val="20"/>
        </w:rPr>
      </w:pPr>
      <w:permStart w:id="1740253268" w:edGrp="everyone"/>
      <w:r w:rsidRPr="004902A0">
        <w:rPr>
          <w:rFonts w:cstheme="minorHAnsi"/>
          <w:szCs w:val="20"/>
        </w:rPr>
        <w:t>We agree with ESMA’s proposal that PTRR</w:t>
      </w:r>
      <w:r>
        <w:rPr>
          <w:rFonts w:cstheme="minorHAnsi"/>
          <w:szCs w:val="20"/>
        </w:rPr>
        <w:t xml:space="preserve"> services</w:t>
      </w:r>
      <w:r w:rsidRPr="004902A0">
        <w:rPr>
          <w:rFonts w:cstheme="minorHAnsi"/>
          <w:szCs w:val="20"/>
        </w:rPr>
        <w:t xml:space="preserve"> should lead to a reduction of risk for a clearing exemption to apply. However, we would like to note that, in addition to the notional amount and/or trade count that is proposed as metric, total bilateral margin as calculated under validated independent models such as</w:t>
      </w:r>
      <w:r>
        <w:rPr>
          <w:rFonts w:cstheme="minorHAnsi"/>
          <w:szCs w:val="20"/>
        </w:rPr>
        <w:t xml:space="preserve"> the S</w:t>
      </w:r>
      <w:r w:rsidRPr="002F2F05">
        <w:rPr>
          <w:rFonts w:cstheme="minorHAnsi"/>
          <w:szCs w:val="20"/>
        </w:rPr>
        <w:t xml:space="preserve">tandard </w:t>
      </w:r>
      <w:r>
        <w:rPr>
          <w:rFonts w:cstheme="minorHAnsi"/>
          <w:szCs w:val="20"/>
        </w:rPr>
        <w:t>I</w:t>
      </w:r>
      <w:r w:rsidRPr="002F2F05">
        <w:rPr>
          <w:rFonts w:cstheme="minorHAnsi"/>
          <w:szCs w:val="20"/>
        </w:rPr>
        <w:t xml:space="preserve">nitial </w:t>
      </w:r>
      <w:r>
        <w:rPr>
          <w:rFonts w:cstheme="minorHAnsi"/>
          <w:szCs w:val="20"/>
        </w:rPr>
        <w:t>M</w:t>
      </w:r>
      <w:r w:rsidRPr="002F2F05">
        <w:rPr>
          <w:rFonts w:cstheme="minorHAnsi"/>
          <w:szCs w:val="20"/>
        </w:rPr>
        <w:t xml:space="preserve">argin </w:t>
      </w:r>
      <w:r>
        <w:rPr>
          <w:rFonts w:cstheme="minorHAnsi"/>
          <w:szCs w:val="20"/>
        </w:rPr>
        <w:t>M</w:t>
      </w:r>
      <w:r w:rsidRPr="002F2F05">
        <w:rPr>
          <w:rFonts w:cstheme="minorHAnsi"/>
          <w:szCs w:val="20"/>
        </w:rPr>
        <w:t>odel</w:t>
      </w:r>
      <w:r w:rsidRPr="004902A0">
        <w:rPr>
          <w:rFonts w:cstheme="minorHAnsi"/>
          <w:szCs w:val="20"/>
        </w:rPr>
        <w:t xml:space="preserve"> </w:t>
      </w:r>
      <w:r>
        <w:rPr>
          <w:rFonts w:cstheme="minorHAnsi"/>
          <w:szCs w:val="20"/>
        </w:rPr>
        <w:t>(“</w:t>
      </w:r>
      <w:r w:rsidRPr="004902A0">
        <w:rPr>
          <w:rFonts w:cstheme="minorHAnsi"/>
          <w:szCs w:val="20"/>
        </w:rPr>
        <w:t>SIMM</w:t>
      </w:r>
      <w:r>
        <w:rPr>
          <w:rFonts w:cstheme="minorHAnsi"/>
          <w:szCs w:val="20"/>
        </w:rPr>
        <w:t>”)</w:t>
      </w:r>
      <w:r w:rsidRPr="004902A0">
        <w:rPr>
          <w:rFonts w:cstheme="minorHAnsi"/>
          <w:szCs w:val="20"/>
        </w:rPr>
        <w:t xml:space="preserve"> should also be included as a metric.</w:t>
      </w:r>
    </w:p>
    <w:permEnd w:id="1740253268"/>
    <w:p w14:paraId="2B4BBFF1" w14:textId="77777777" w:rsidR="003331A2" w:rsidRDefault="003331A2" w:rsidP="003331A2">
      <w:pPr>
        <w:rPr>
          <w:lang w:eastAsia="en-US"/>
        </w:rPr>
      </w:pPr>
      <w:r>
        <w:rPr>
          <w:lang w:eastAsia="en-US"/>
        </w:rPr>
        <w:t>&lt;ESMA_</w:t>
      </w:r>
      <w:r w:rsidR="00C93A9C">
        <w:rPr>
          <w:lang w:eastAsia="en-US"/>
        </w:rPr>
        <w:t>QUESTION_PTRR_</w:t>
      </w:r>
      <w:r>
        <w:rPr>
          <w:lang w:eastAsia="en-US"/>
        </w:rPr>
        <w:t>26&gt;</w:t>
      </w:r>
    </w:p>
    <w:p w14:paraId="140F5D77" w14:textId="77777777" w:rsidR="00C93A9C" w:rsidRPr="003331A2" w:rsidRDefault="00C93A9C" w:rsidP="003331A2">
      <w:pPr>
        <w:rPr>
          <w:lang w:eastAsia="en-US"/>
        </w:rPr>
      </w:pPr>
    </w:p>
    <w:p w14:paraId="2C815AB3" w14:textId="77777777" w:rsidR="00CD2986" w:rsidRPr="00CD2986" w:rsidRDefault="00CD2986" w:rsidP="00CD2986">
      <w:pPr>
        <w:rPr>
          <w:lang w:eastAsia="en-US"/>
        </w:rPr>
      </w:pPr>
    </w:p>
    <w:p w14:paraId="79814EE7" w14:textId="77777777" w:rsidR="00014A67" w:rsidRDefault="00014A67" w:rsidP="00014A67">
      <w:pPr>
        <w:pStyle w:val="Questionstyle"/>
      </w:pPr>
      <w:r>
        <w:t>:</w:t>
      </w:r>
      <w:r w:rsidR="00CD2986" w:rsidRPr="00CD2986">
        <w:t xml:space="preserve"> </w:t>
      </w:r>
      <w:r w:rsidR="00CD2986">
        <w:t xml:space="preserve">Could PTRR services increase exposure or risk on a participant basis? </w:t>
      </w:r>
      <w:r w:rsidR="00CD2986" w:rsidRPr="00157F52">
        <w:t>Would the answer depend on the type of PTRR service</w:t>
      </w:r>
      <w:r w:rsidR="00CD2986">
        <w:t xml:space="preserve"> provided</w:t>
      </w:r>
      <w:r w:rsidR="00CD2986" w:rsidRPr="00157F52">
        <w:t xml:space="preserve">? </w:t>
      </w:r>
      <w:r w:rsidR="00CD2986">
        <w:t xml:space="preserve">How should the PTRR service provider limit any possible increase in notional amount or risk? </w:t>
      </w:r>
      <w:r w:rsidR="00CD2986" w:rsidRPr="00157F52">
        <w:t>Please explain.</w:t>
      </w:r>
    </w:p>
    <w:p w14:paraId="70BCF7DD"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1C7DD48B" w14:textId="72110C0B" w:rsidR="00C93A9C" w:rsidRPr="00E130B2" w:rsidRDefault="00E130B2" w:rsidP="00E130B2">
      <w:pPr>
        <w:jc w:val="both"/>
        <w:rPr>
          <w:rFonts w:cstheme="minorHAnsi"/>
          <w:szCs w:val="20"/>
        </w:rPr>
      </w:pPr>
      <w:permStart w:id="157879653" w:edGrp="everyone"/>
      <w:r w:rsidRPr="004902A0">
        <w:rPr>
          <w:rFonts w:cstheme="minorHAnsi"/>
          <w:szCs w:val="20"/>
        </w:rPr>
        <w:t>We agree with ESMA that PTRR</w:t>
      </w:r>
      <w:r>
        <w:rPr>
          <w:rFonts w:cstheme="minorHAnsi"/>
          <w:szCs w:val="20"/>
        </w:rPr>
        <w:t xml:space="preserve"> services</w:t>
      </w:r>
      <w:r w:rsidRPr="004902A0">
        <w:rPr>
          <w:rFonts w:cstheme="minorHAnsi"/>
          <w:szCs w:val="20"/>
        </w:rPr>
        <w:t xml:space="preserve"> should not result in a participant being worse</w:t>
      </w:r>
      <w:r>
        <w:rPr>
          <w:rFonts w:cstheme="minorHAnsi"/>
          <w:szCs w:val="20"/>
        </w:rPr>
        <w:t>-</w:t>
      </w:r>
      <w:r w:rsidRPr="004902A0">
        <w:rPr>
          <w:rFonts w:cstheme="minorHAnsi"/>
          <w:szCs w:val="20"/>
        </w:rPr>
        <w:t xml:space="preserve">off had the exercise not taken place. We would note, however, that under portfolio rebalancing, a sub-portfolio between 2 parties </w:t>
      </w:r>
      <w:r w:rsidRPr="004902A0">
        <w:rPr>
          <w:rFonts w:cstheme="minorHAnsi"/>
          <w:szCs w:val="20"/>
        </w:rPr>
        <w:lastRenderedPageBreak/>
        <w:t>might be allowed to rise provided that both parties experience equal or greater offsetting declines in their sub-portfolios against other counterparties. Therefore, and in line with previous responses, we believe that the overall risk reduction must be considered in such situations to accurately reflect tangible benefits that the portfolio rebalancing can provide to market participants.</w:t>
      </w:r>
    </w:p>
    <w:permEnd w:id="157879653"/>
    <w:p w14:paraId="224FAAB2"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65542C1A" w14:textId="77777777" w:rsidR="00C93A9C" w:rsidRPr="003331A2" w:rsidRDefault="00C93A9C" w:rsidP="003331A2">
      <w:pPr>
        <w:rPr>
          <w:lang w:eastAsia="en-US"/>
        </w:rPr>
      </w:pPr>
    </w:p>
    <w:p w14:paraId="692CDF8C" w14:textId="77777777" w:rsidR="00CD2986" w:rsidRPr="00CD2986" w:rsidRDefault="00CD2986" w:rsidP="00CD2986">
      <w:pPr>
        <w:rPr>
          <w:lang w:eastAsia="en-US"/>
        </w:rPr>
      </w:pPr>
    </w:p>
    <w:p w14:paraId="7988F298" w14:textId="77777777" w:rsidR="00014A67" w:rsidRDefault="00014A67" w:rsidP="00014A67">
      <w:pPr>
        <w:pStyle w:val="Questionstyle"/>
      </w:pPr>
      <w:r>
        <w:t>:</w:t>
      </w:r>
      <w:r w:rsidR="00CD2986" w:rsidRPr="00CD2986">
        <w:t xml:space="preserve"> </w:t>
      </w:r>
      <w:r w:rsidR="00CD2986">
        <w:t>How could a limitation like “no participant worse off” be defined?</w:t>
      </w:r>
    </w:p>
    <w:p w14:paraId="15CFB146"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6AEDA2C2" w14:textId="1872E243" w:rsidR="003331A2" w:rsidRDefault="00E130B2" w:rsidP="003331A2">
      <w:pPr>
        <w:rPr>
          <w:lang w:eastAsia="en-US"/>
        </w:rPr>
      </w:pPr>
      <w:permStart w:id="2079147262" w:edGrp="everyone"/>
      <w:r w:rsidRPr="004902A0">
        <w:rPr>
          <w:rFonts w:cstheme="minorHAnsi"/>
          <w:szCs w:val="20"/>
        </w:rPr>
        <w:t>A successful PTRR cycle must ensure that the overall pre/post risk exposures of any given participant are reduced. By incorporating such metrics into the process, we could limit a situation whereby a participant would be worse-off following the PTRR cycle versus beforehand.</w:t>
      </w:r>
      <w:r>
        <w:rPr>
          <w:rFonts w:cstheme="minorHAnsi"/>
          <w:szCs w:val="20"/>
        </w:rPr>
        <w:t xml:space="preserve"> </w:t>
      </w:r>
      <w:permEnd w:id="2079147262"/>
      <w:proofErr w:type="gramStart"/>
      <w:r w:rsidR="003331A2">
        <w:rPr>
          <w:lang w:eastAsia="en-US"/>
        </w:rPr>
        <w:t>&lt;</w:t>
      </w:r>
      <w:proofErr w:type="gramEnd"/>
      <w:r w:rsidR="003331A2">
        <w:rPr>
          <w:lang w:eastAsia="en-US"/>
        </w:rPr>
        <w:t>ESMA_</w:t>
      </w:r>
      <w:r w:rsidR="00C93A9C">
        <w:rPr>
          <w:lang w:eastAsia="en-US"/>
        </w:rPr>
        <w:t>QUESTION_PTRR_</w:t>
      </w:r>
      <w:r w:rsidR="003331A2">
        <w:rPr>
          <w:lang w:eastAsia="en-US"/>
        </w:rPr>
        <w:t>28&gt;</w:t>
      </w:r>
    </w:p>
    <w:p w14:paraId="3989DC32" w14:textId="77777777" w:rsidR="00C93A9C" w:rsidRPr="003331A2" w:rsidRDefault="00C93A9C" w:rsidP="003331A2">
      <w:pPr>
        <w:rPr>
          <w:lang w:eastAsia="en-US"/>
        </w:rPr>
      </w:pPr>
    </w:p>
    <w:p w14:paraId="78D13D68" w14:textId="77777777" w:rsidR="00CD2986" w:rsidRPr="00CD2986" w:rsidRDefault="00CD2986" w:rsidP="00CD2986">
      <w:pPr>
        <w:rPr>
          <w:lang w:eastAsia="en-US"/>
        </w:rPr>
      </w:pPr>
    </w:p>
    <w:p w14:paraId="0E2DB76B" w14:textId="77777777" w:rsidR="00014A67" w:rsidRDefault="00014A67" w:rsidP="00014A67">
      <w:pPr>
        <w:pStyle w:val="Questionstyle"/>
      </w:pPr>
      <w:r>
        <w:t>:</w:t>
      </w:r>
      <w:r w:rsidR="00CD2986">
        <w:t xml:space="preserve"> How should it be ensured </w:t>
      </w:r>
      <w:r w:rsidR="00CD2986" w:rsidRPr="00175576">
        <w:t>th</w:t>
      </w:r>
      <w:r w:rsidR="00CD2986">
        <w:t>at</w:t>
      </w:r>
      <w:r w:rsidR="00CD2986" w:rsidRPr="00175576">
        <w:t xml:space="preserve"> PTRR service providers are independent in their assessment</w:t>
      </w:r>
      <w:r w:rsidR="00CD2986">
        <w:t xml:space="preserve">? </w:t>
      </w:r>
      <w:r w:rsidR="00CD2986" w:rsidRPr="00B3300B">
        <w:t xml:space="preserve">Should </w:t>
      </w:r>
      <w:r w:rsidR="00CD2986">
        <w:t xml:space="preserve">the conditions </w:t>
      </w:r>
      <w:r w:rsidR="00CD2986" w:rsidRPr="00B3300B">
        <w:t xml:space="preserve">imposed on the providers of PTRR services </w:t>
      </w:r>
      <w:r w:rsidR="00CD2986">
        <w:t xml:space="preserve">include requirements on </w:t>
      </w:r>
      <w:r w:rsidR="00CD2986" w:rsidRPr="00746ACE">
        <w:t>governance of the algorithm</w:t>
      </w:r>
      <w:r w:rsidR="00CD2986">
        <w:t xml:space="preserve">s to ensure the definition and the </w:t>
      </w:r>
      <w:r w:rsidR="00CD2986" w:rsidRPr="00B3300B">
        <w:t xml:space="preserve">setting of parameters </w:t>
      </w:r>
      <w:r w:rsidR="00CD2986">
        <w:t xml:space="preserve">takes place </w:t>
      </w:r>
      <w:r w:rsidR="00CD2986" w:rsidRPr="00B3300B">
        <w:t>with minimum influence from market participants</w:t>
      </w:r>
      <w:r w:rsidR="00CD2986">
        <w:t xml:space="preserve">? Should </w:t>
      </w:r>
      <w:r w:rsidR="00CD2986" w:rsidRPr="00B3300B">
        <w:t>algorithm</w:t>
      </w:r>
      <w:r w:rsidR="00CD2986">
        <w:t>s</w:t>
      </w:r>
      <w:r w:rsidR="00CD2986" w:rsidRPr="00B3300B">
        <w:t xml:space="preserve"> </w:t>
      </w:r>
      <w:r w:rsidR="00CD2986">
        <w:t xml:space="preserve">run </w:t>
      </w:r>
      <w:r w:rsidR="00CD2986" w:rsidRPr="00B3300B">
        <w:t>with minimum manual intervention</w:t>
      </w:r>
      <w:r w:rsidR="00CD2986">
        <w:t>? Any other conditions or structural requirements that should apply?</w:t>
      </w:r>
    </w:p>
    <w:p w14:paraId="0AE2486F"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16EEBA45" w14:textId="77777777" w:rsidR="00E130B2" w:rsidRPr="004902A0" w:rsidRDefault="00E130B2" w:rsidP="00E130B2">
      <w:pPr>
        <w:jc w:val="both"/>
        <w:rPr>
          <w:rFonts w:cstheme="minorHAnsi"/>
          <w:szCs w:val="20"/>
        </w:rPr>
      </w:pPr>
      <w:permStart w:id="762673788" w:edGrp="everyone"/>
      <w:r w:rsidRPr="004902A0">
        <w:rPr>
          <w:rFonts w:cstheme="minorHAnsi"/>
          <w:szCs w:val="20"/>
        </w:rPr>
        <w:t>We believe that one way to ensure that PTRR</w:t>
      </w:r>
      <w:r>
        <w:rPr>
          <w:rFonts w:cstheme="minorHAnsi"/>
          <w:szCs w:val="20"/>
        </w:rPr>
        <w:t xml:space="preserve"> service</w:t>
      </w:r>
      <w:r w:rsidRPr="004902A0">
        <w:rPr>
          <w:rFonts w:cstheme="minorHAnsi"/>
          <w:szCs w:val="20"/>
        </w:rPr>
        <w:t xml:space="preserve"> providers act in an independent manner is to ensure that a suitable initial governance framework is put in place that mandates the “automatic” treatment of outputs (i.e. no manual intervention or de minimis). In addition to that, the service could also be aborted if any test is failed for one participant.</w:t>
      </w:r>
    </w:p>
    <w:permEnd w:id="762673788"/>
    <w:p w14:paraId="236C05D3"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02284693" w14:textId="77777777" w:rsidR="00C93A9C" w:rsidRPr="003331A2" w:rsidRDefault="00C93A9C" w:rsidP="003331A2">
      <w:pPr>
        <w:rPr>
          <w:lang w:eastAsia="en-US"/>
        </w:rPr>
      </w:pPr>
    </w:p>
    <w:p w14:paraId="5E281D7D" w14:textId="77777777" w:rsidR="00CD2986" w:rsidRPr="00CD2986" w:rsidRDefault="00CD2986" w:rsidP="00CD2986">
      <w:pPr>
        <w:rPr>
          <w:lang w:eastAsia="en-US"/>
        </w:rPr>
      </w:pPr>
    </w:p>
    <w:p w14:paraId="44002512" w14:textId="77777777" w:rsidR="00014A67" w:rsidRDefault="00014A67" w:rsidP="00014A67">
      <w:pPr>
        <w:pStyle w:val="Questionstyle"/>
      </w:pPr>
      <w:r>
        <w:t>:</w:t>
      </w:r>
      <w:r w:rsidR="00CD2986" w:rsidRPr="00CD2986">
        <w:t xml:space="preserve"> </w:t>
      </w:r>
      <w:r w:rsidR="00CD2986">
        <w:t>Do</w:t>
      </w:r>
      <w:r w:rsidR="00CD2986" w:rsidRPr="003D4677">
        <w:t xml:space="preserve"> you </w:t>
      </w:r>
      <w:r w:rsidR="00CD2986">
        <w:t>consider</w:t>
      </w:r>
      <w:r w:rsidR="00CD2986" w:rsidRPr="003D4677">
        <w:t xml:space="preserve"> that a PTRR service provider should be </w:t>
      </w:r>
      <w:r w:rsidR="00CD2986">
        <w:t xml:space="preserve">specifically licenced or </w:t>
      </w:r>
      <w:r w:rsidR="00CD2986" w:rsidRPr="003D4677">
        <w:t>authorised</w:t>
      </w:r>
      <w:r w:rsidR="00CD2986">
        <w:t>? Would this depend on the remits of the services provided?</w:t>
      </w:r>
      <w:r w:rsidR="00CD2986" w:rsidRPr="003D4677">
        <w:t xml:space="preserve"> </w:t>
      </w:r>
      <w:r w:rsidR="00CD2986">
        <w:t>Would it be sufficient to provide requirements on the service provided, i.e. on transaction level rather than entity level? What do you see as the benefits of regulating PTRR services? Would this create any impediment or barriers?</w:t>
      </w:r>
    </w:p>
    <w:p w14:paraId="549AFA28"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2002F28A" w14:textId="173547D2" w:rsidR="00E130B2" w:rsidRPr="004902A0" w:rsidRDefault="00E130B2" w:rsidP="00E130B2">
      <w:pPr>
        <w:jc w:val="both"/>
        <w:rPr>
          <w:rFonts w:cstheme="minorHAnsi"/>
          <w:szCs w:val="20"/>
        </w:rPr>
      </w:pPr>
      <w:permStart w:id="1608519516" w:edGrp="everyone"/>
      <w:r w:rsidRPr="004902A0">
        <w:rPr>
          <w:rFonts w:cstheme="minorHAnsi"/>
          <w:szCs w:val="20"/>
        </w:rPr>
        <w:t xml:space="preserve">We agree with ESMA’s report that a PTRR service provider should be licenced or authorised to ensure that all providers </w:t>
      </w:r>
      <w:proofErr w:type="gramStart"/>
      <w:r w:rsidRPr="004902A0">
        <w:rPr>
          <w:rFonts w:cstheme="minorHAnsi"/>
          <w:szCs w:val="20"/>
        </w:rPr>
        <w:t>are allowed to</w:t>
      </w:r>
      <w:proofErr w:type="gramEnd"/>
      <w:r w:rsidRPr="004902A0">
        <w:rPr>
          <w:rFonts w:cstheme="minorHAnsi"/>
          <w:szCs w:val="20"/>
        </w:rPr>
        <w:t xml:space="preserve"> operate on same grounds i.e. reduce overall systemic risk of their clients’ portfolios. It</w:t>
      </w:r>
      <w:r>
        <w:rPr>
          <w:rFonts w:cstheme="minorHAnsi"/>
          <w:szCs w:val="20"/>
        </w:rPr>
        <w:t xml:space="preserve"> i</w:t>
      </w:r>
      <w:r w:rsidRPr="004902A0">
        <w:rPr>
          <w:rFonts w:cstheme="minorHAnsi"/>
          <w:szCs w:val="20"/>
        </w:rPr>
        <w:t>s worth noting that PTRR service providers are regulated entities and that existing frameworks (i.e. EMIR, MiFID) do provide for a comprehensive list of requirements to ensure that firms comply with governance, independence, product development and conflicts of interest regulatory obligations. Furthermore, ensuring that firms are licenced/authorised by local regulators would enable monitoring of the risk reducing transactions placed with CCP through an effective reporting mechanism. Such reporting requirements would ensure that overall risk in bilateral portfolios is reduced to the benefit of financial stability.</w:t>
      </w:r>
    </w:p>
    <w:permEnd w:id="1608519516"/>
    <w:p w14:paraId="1B2151BD"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68497DC6" w14:textId="77777777" w:rsidR="00C93A9C" w:rsidRPr="003331A2" w:rsidRDefault="00C93A9C" w:rsidP="003331A2">
      <w:pPr>
        <w:rPr>
          <w:lang w:eastAsia="en-US"/>
        </w:rPr>
      </w:pPr>
    </w:p>
    <w:p w14:paraId="666B0505" w14:textId="77777777" w:rsidR="00CD2986" w:rsidRPr="00CD2986" w:rsidRDefault="00CD2986" w:rsidP="00CD2986">
      <w:pPr>
        <w:rPr>
          <w:lang w:eastAsia="en-US"/>
        </w:rPr>
      </w:pPr>
    </w:p>
    <w:p w14:paraId="32AC86D4" w14:textId="77777777" w:rsidR="00014A67" w:rsidRDefault="00014A67" w:rsidP="00014A67">
      <w:pPr>
        <w:pStyle w:val="Questionstyle"/>
      </w:pPr>
      <w:r>
        <w:t>:</w:t>
      </w:r>
      <w:r w:rsidR="00CD2986" w:rsidRPr="00CD2986">
        <w:t xml:space="preserve"> </w:t>
      </w:r>
      <w:r w:rsidR="00CD2986" w:rsidRPr="003D4677">
        <w:t xml:space="preserve">What would be the cost-benefit of exempting PTRR </w:t>
      </w:r>
      <w:r w:rsidR="00CD2986">
        <w:t>transactions</w:t>
      </w:r>
      <w:r w:rsidR="00CD2986" w:rsidRPr="003D4677">
        <w:t xml:space="preserve"> (replacement and </w:t>
      </w:r>
      <w:r w:rsidR="00CD2986">
        <w:t>risk mitigation services through offsetting trades such as rebalancing</w:t>
      </w:r>
      <w:r w:rsidR="00CD2986" w:rsidRPr="003D4677">
        <w:t>) from the clearing obligation</w:t>
      </w:r>
      <w:r w:rsidR="00CD2986">
        <w:t>?</w:t>
      </w:r>
    </w:p>
    <w:p w14:paraId="1FBD5014" w14:textId="77777777" w:rsidR="003331A2" w:rsidRDefault="003331A2" w:rsidP="003331A2">
      <w:r>
        <w:t>&lt;ESMA_</w:t>
      </w:r>
      <w:r w:rsidR="00C93A9C">
        <w:t>QUESTION_PTRR_</w:t>
      </w:r>
      <w:r>
        <w:t>31&gt;</w:t>
      </w:r>
    </w:p>
    <w:p w14:paraId="276C5D20" w14:textId="6BBEF120" w:rsidR="003331A2" w:rsidRDefault="00E130B2" w:rsidP="003331A2">
      <w:permStart w:id="41766363" w:edGrp="everyone"/>
      <w:r w:rsidRPr="004902A0">
        <w:rPr>
          <w:rFonts w:cstheme="minorHAnsi"/>
          <w:szCs w:val="20"/>
        </w:rPr>
        <w:lastRenderedPageBreak/>
        <w:t xml:space="preserve">We believe that an exemption from the clearing obligation for PTRR trades that are a direct result from a PTRR exercise </w:t>
      </w:r>
      <w:r>
        <w:rPr>
          <w:rFonts w:cstheme="minorHAnsi"/>
          <w:szCs w:val="20"/>
        </w:rPr>
        <w:t>c</w:t>
      </w:r>
      <w:r w:rsidRPr="004902A0">
        <w:rPr>
          <w:rFonts w:cstheme="minorHAnsi"/>
          <w:szCs w:val="20"/>
        </w:rPr>
        <w:t xml:space="preserve">ould reduce systemic risk. </w:t>
      </w:r>
      <w:r>
        <w:rPr>
          <w:rFonts w:cstheme="minorHAnsi"/>
          <w:szCs w:val="20"/>
        </w:rPr>
        <w:t>The e</w:t>
      </w:r>
      <w:r w:rsidRPr="004902A0">
        <w:rPr>
          <w:rFonts w:cstheme="minorHAnsi"/>
          <w:szCs w:val="20"/>
        </w:rPr>
        <w:t xml:space="preserve">xisting levels of adoption of PTRR service </w:t>
      </w:r>
      <w:r>
        <w:rPr>
          <w:rFonts w:cstheme="minorHAnsi"/>
          <w:szCs w:val="20"/>
        </w:rPr>
        <w:t xml:space="preserve">and </w:t>
      </w:r>
      <w:r w:rsidRPr="004902A0">
        <w:rPr>
          <w:rFonts w:cstheme="minorHAnsi"/>
          <w:szCs w:val="20"/>
        </w:rPr>
        <w:t>reduction in the risk of portfolio</w:t>
      </w:r>
      <w:r>
        <w:rPr>
          <w:rFonts w:cstheme="minorHAnsi"/>
          <w:szCs w:val="20"/>
        </w:rPr>
        <w:t>s</w:t>
      </w:r>
      <w:r w:rsidRPr="004902A0">
        <w:rPr>
          <w:rFonts w:cstheme="minorHAnsi"/>
          <w:szCs w:val="20"/>
        </w:rPr>
        <w:t xml:space="preserve"> </w:t>
      </w:r>
      <w:r>
        <w:rPr>
          <w:rFonts w:cstheme="minorHAnsi"/>
          <w:szCs w:val="20"/>
        </w:rPr>
        <w:t xml:space="preserve">(reflected in the </w:t>
      </w:r>
      <w:r w:rsidRPr="004902A0">
        <w:rPr>
          <w:rFonts w:cstheme="minorHAnsi"/>
          <w:szCs w:val="20"/>
        </w:rPr>
        <w:t>reduction of IM</w:t>
      </w:r>
      <w:r>
        <w:rPr>
          <w:rFonts w:cstheme="minorHAnsi"/>
          <w:szCs w:val="20"/>
        </w:rPr>
        <w:t>)</w:t>
      </w:r>
      <w:r w:rsidRPr="004902A0">
        <w:rPr>
          <w:rFonts w:cstheme="minorHAnsi"/>
          <w:szCs w:val="20"/>
        </w:rPr>
        <w:t xml:space="preserve"> implicitly </w:t>
      </w:r>
      <w:r>
        <w:rPr>
          <w:rFonts w:cstheme="minorHAnsi"/>
          <w:szCs w:val="20"/>
        </w:rPr>
        <w:t xml:space="preserve">illustrate </w:t>
      </w:r>
      <w:r w:rsidRPr="004902A0">
        <w:rPr>
          <w:rFonts w:cstheme="minorHAnsi"/>
          <w:szCs w:val="20"/>
        </w:rPr>
        <w:t>benefits. As noted in previous responses moving more risk in a controlled environment can on one hand bring additional netting efficiencies to market participants and an overall reduction of participants’ risk. An exemption from the clearing obligation under specific conditions and were supported by policymakers would incentivise banks even further to standardise their trades, to charge appropriately where complexity is necessary and seek to reduce the uneconomical complexity in their portfolios.</w:t>
      </w:r>
      <w:r w:rsidR="00A949CE">
        <w:rPr>
          <w:rFonts w:cstheme="minorHAnsi"/>
          <w:szCs w:val="20"/>
        </w:rPr>
        <w:t xml:space="preserve"> </w:t>
      </w:r>
      <w:permEnd w:id="41766363"/>
      <w:proofErr w:type="gramStart"/>
      <w:r w:rsidR="003331A2">
        <w:t>&lt;</w:t>
      </w:r>
      <w:proofErr w:type="gramEnd"/>
      <w:r w:rsidR="003331A2">
        <w:t>ESMA_</w:t>
      </w:r>
      <w:r w:rsidR="00C93A9C">
        <w:t>QUESTION_PTRR_</w:t>
      </w:r>
      <w:r w:rsidR="003331A2">
        <w:t>31&gt;</w:t>
      </w:r>
    </w:p>
    <w:p w14:paraId="033D4C9A"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4B32" w14:textId="77777777" w:rsidR="00A949CE" w:rsidRDefault="00A949CE">
      <w:r>
        <w:separator/>
      </w:r>
    </w:p>
    <w:p w14:paraId="1548AB9C" w14:textId="77777777" w:rsidR="00A949CE" w:rsidRDefault="00A949CE"/>
  </w:endnote>
  <w:endnote w:type="continuationSeparator" w:id="0">
    <w:p w14:paraId="47B75955" w14:textId="77777777" w:rsidR="00A949CE" w:rsidRDefault="00A949CE">
      <w:r>
        <w:continuationSeparator/>
      </w:r>
    </w:p>
    <w:p w14:paraId="5FEAF229" w14:textId="77777777" w:rsidR="00A949CE" w:rsidRDefault="00A949CE"/>
  </w:endnote>
  <w:endnote w:type="continuationNotice" w:id="1">
    <w:p w14:paraId="173E0AF1" w14:textId="77777777" w:rsidR="00A949CE" w:rsidRDefault="00A9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949CE" w:rsidRPr="00616B9B" w14:paraId="301F77E5" w14:textId="77777777" w:rsidTr="00315E96">
      <w:trPr>
        <w:trHeight w:val="284"/>
      </w:trPr>
      <w:tc>
        <w:tcPr>
          <w:tcW w:w="8460" w:type="dxa"/>
        </w:tcPr>
        <w:p w14:paraId="3204D747" w14:textId="77777777" w:rsidR="00A949CE" w:rsidRPr="00315E96" w:rsidRDefault="00A949CE" w:rsidP="00315E96">
          <w:pPr>
            <w:pStyle w:val="00Footer"/>
            <w:rPr>
              <w:lang w:val="fr-FR"/>
            </w:rPr>
          </w:pPr>
        </w:p>
      </w:tc>
      <w:tc>
        <w:tcPr>
          <w:tcW w:w="952" w:type="dxa"/>
        </w:tcPr>
        <w:p w14:paraId="7EC3945C" w14:textId="77777777" w:rsidR="00A949CE" w:rsidRPr="00616B9B" w:rsidRDefault="00A949C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42476A60" w14:textId="77777777" w:rsidR="00A949CE" w:rsidRDefault="00A94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6491" w14:textId="77777777" w:rsidR="00A949CE" w:rsidRDefault="00A94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C579A" w14:textId="77777777" w:rsidR="00A949CE" w:rsidRDefault="00A949CE">
      <w:r>
        <w:separator/>
      </w:r>
    </w:p>
    <w:p w14:paraId="226987AA" w14:textId="77777777" w:rsidR="00A949CE" w:rsidRDefault="00A949CE"/>
  </w:footnote>
  <w:footnote w:type="continuationSeparator" w:id="0">
    <w:p w14:paraId="49842354" w14:textId="77777777" w:rsidR="00A949CE" w:rsidRDefault="00A949CE">
      <w:r>
        <w:continuationSeparator/>
      </w:r>
    </w:p>
    <w:p w14:paraId="6D4C3C7B" w14:textId="77777777" w:rsidR="00A949CE" w:rsidRDefault="00A949CE"/>
  </w:footnote>
  <w:footnote w:type="continuationNotice" w:id="1">
    <w:p w14:paraId="7D23477D" w14:textId="77777777" w:rsidR="00A949CE" w:rsidRDefault="00A949CE"/>
  </w:footnote>
  <w:footnote w:id="2">
    <w:p w14:paraId="2A309752" w14:textId="77777777" w:rsidR="00A949CE" w:rsidRDefault="00A949CE" w:rsidP="00E130B2">
      <w:pPr>
        <w:pStyle w:val="FootnoteText"/>
      </w:pPr>
      <w:r>
        <w:rPr>
          <w:rStyle w:val="FootnoteReference"/>
        </w:rPr>
        <w:footnoteRef/>
      </w:r>
      <w:r>
        <w:t xml:space="preserve"> </w:t>
      </w:r>
      <w:hyperlink r:id="rId1" w:history="1">
        <w:r w:rsidRPr="007E4191">
          <w:rPr>
            <w:rStyle w:val="Hyperlink"/>
          </w:rPr>
          <w:t>https://www.lch.com/sites/default/files/media/files/Compression%20Watch%20Factsheet_0.pdf</w:t>
        </w:r>
      </w:hyperlink>
      <w:r>
        <w:t xml:space="preserve"> - </w:t>
      </w:r>
      <w:proofErr w:type="spellStart"/>
      <w:r>
        <w:t>SwapClear</w:t>
      </w:r>
      <w:proofErr w:type="spellEnd"/>
      <w:r>
        <w:t xml:space="preserve"> Compression Watch Factsheet</w:t>
      </w:r>
    </w:p>
    <w:p w14:paraId="2529DF4F" w14:textId="77777777" w:rsidR="00A949CE" w:rsidRDefault="00A949CE" w:rsidP="00E130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575B" w14:textId="77777777" w:rsidR="00A949CE" w:rsidRDefault="00A949CE">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332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8ED0" w14:textId="77777777" w:rsidR="00A949CE" w:rsidRDefault="00A949CE"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9EA1" w14:textId="77777777" w:rsidR="00A949CE" w:rsidRDefault="00A949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949CE" w:rsidRPr="002F4496" w14:paraId="50DF9FAD" w14:textId="77777777" w:rsidTr="000C06C9">
      <w:trPr>
        <w:trHeight w:val="284"/>
      </w:trPr>
      <w:tc>
        <w:tcPr>
          <w:tcW w:w="8460" w:type="dxa"/>
        </w:tcPr>
        <w:p w14:paraId="6C8E07FC" w14:textId="77777777" w:rsidR="00A949CE" w:rsidRPr="000C3B6D" w:rsidRDefault="00A949CE" w:rsidP="000C06C9">
          <w:pPr>
            <w:pStyle w:val="00Footer"/>
            <w:rPr>
              <w:lang w:val="fr-FR"/>
            </w:rPr>
          </w:pPr>
        </w:p>
      </w:tc>
      <w:tc>
        <w:tcPr>
          <w:tcW w:w="952" w:type="dxa"/>
        </w:tcPr>
        <w:p w14:paraId="1FD531AE" w14:textId="77777777" w:rsidR="00A949CE" w:rsidRPr="00146B34" w:rsidRDefault="00A949CE" w:rsidP="000C06C9">
          <w:pPr>
            <w:pStyle w:val="00aPagenumber"/>
            <w:rPr>
              <w:lang w:val="fr-FR"/>
            </w:rPr>
          </w:pPr>
        </w:p>
      </w:tc>
    </w:tr>
  </w:tbl>
  <w:p w14:paraId="2DFD83EB" w14:textId="77777777" w:rsidR="00A949CE" w:rsidRPr="00DB46C3" w:rsidRDefault="00A949CE">
    <w:pPr>
      <w:rPr>
        <w:lang w:val="fr-FR"/>
      </w:rPr>
    </w:pPr>
  </w:p>
  <w:p w14:paraId="71BAA091" w14:textId="77777777" w:rsidR="00A949CE" w:rsidRPr="002F4496" w:rsidRDefault="00A949CE">
    <w:pPr>
      <w:pStyle w:val="Header"/>
      <w:rPr>
        <w:lang w:val="fr-FR"/>
      </w:rPr>
    </w:pPr>
  </w:p>
  <w:p w14:paraId="1FAEBE7C" w14:textId="77777777" w:rsidR="00A949CE" w:rsidRPr="002F4496" w:rsidRDefault="00A949CE" w:rsidP="000C06C9">
    <w:pPr>
      <w:pStyle w:val="Header"/>
      <w:tabs>
        <w:tab w:val="clear" w:pos="4536"/>
        <w:tab w:val="clear" w:pos="9072"/>
        <w:tab w:val="left" w:pos="8227"/>
      </w:tabs>
      <w:rPr>
        <w:lang w:val="fr-FR"/>
      </w:rPr>
    </w:pPr>
  </w:p>
  <w:p w14:paraId="0DCE4C6E" w14:textId="77777777" w:rsidR="00A949CE" w:rsidRPr="002F4496" w:rsidRDefault="00A949CE" w:rsidP="000C06C9">
    <w:pPr>
      <w:pStyle w:val="Header"/>
      <w:tabs>
        <w:tab w:val="clear" w:pos="4536"/>
        <w:tab w:val="clear" w:pos="9072"/>
        <w:tab w:val="left" w:pos="8227"/>
      </w:tabs>
      <w:rPr>
        <w:lang w:val="fr-FR"/>
      </w:rPr>
    </w:pPr>
  </w:p>
  <w:p w14:paraId="3E56BFF9" w14:textId="77777777" w:rsidR="00A949CE" w:rsidRPr="002F4496" w:rsidRDefault="00A949CE">
    <w:pPr>
      <w:pStyle w:val="Header"/>
      <w:rPr>
        <w:lang w:val="fr-FR"/>
      </w:rPr>
    </w:pPr>
  </w:p>
  <w:p w14:paraId="210F8D26" w14:textId="77777777" w:rsidR="00A949CE" w:rsidRPr="002F4496" w:rsidRDefault="00A949CE">
    <w:pPr>
      <w:pStyle w:val="Header"/>
      <w:rPr>
        <w:lang w:val="fr-FR"/>
      </w:rPr>
    </w:pPr>
  </w:p>
  <w:p w14:paraId="6CA6AE8A" w14:textId="77777777" w:rsidR="00A949CE" w:rsidRPr="002F4496" w:rsidRDefault="00A949CE">
    <w:pPr>
      <w:pStyle w:val="Header"/>
      <w:rPr>
        <w:lang w:val="fr-FR"/>
      </w:rPr>
    </w:pPr>
  </w:p>
  <w:p w14:paraId="5182C5C3" w14:textId="77777777" w:rsidR="00A949CE" w:rsidRPr="002F4496" w:rsidRDefault="00A949CE">
    <w:pPr>
      <w:pStyle w:val="Header"/>
      <w:rPr>
        <w:lang w:val="fr-FR"/>
      </w:rPr>
    </w:pPr>
  </w:p>
  <w:p w14:paraId="20E9BDC2" w14:textId="77777777" w:rsidR="00A949CE" w:rsidRPr="002F4496" w:rsidRDefault="00A949CE">
    <w:pPr>
      <w:pStyle w:val="Header"/>
      <w:rPr>
        <w:highlight w:val="yellow"/>
        <w:lang w:val="fr-FR"/>
      </w:rPr>
    </w:pPr>
  </w:p>
  <w:p w14:paraId="42216EE1" w14:textId="77777777" w:rsidR="00A949CE" w:rsidRDefault="00A949CE">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D01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1DF5722"/>
    <w:multiLevelType w:val="hybridMultilevel"/>
    <w:tmpl w:val="AC024A5E"/>
    <w:lvl w:ilvl="0" w:tplc="72E0637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8E6393"/>
    <w:multiLevelType w:val="hybridMultilevel"/>
    <w:tmpl w:val="ABF42320"/>
    <w:lvl w:ilvl="0" w:tplc="BE6846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29"/>
  </w:num>
  <w:num w:numId="21">
    <w:abstractNumId w:val="39"/>
  </w:num>
  <w:num w:numId="22">
    <w:abstractNumId w:val="27"/>
  </w:num>
  <w:num w:numId="23">
    <w:abstractNumId w:val="7"/>
  </w:num>
  <w:num w:numId="24">
    <w:abstractNumId w:val="33"/>
  </w:num>
  <w:num w:numId="25">
    <w:abstractNumId w:val="32"/>
  </w:num>
  <w:num w:numId="26">
    <w:abstractNumId w:val="21"/>
  </w:num>
  <w:num w:numId="27">
    <w:abstractNumId w:val="36"/>
  </w:num>
  <w:num w:numId="28">
    <w:abstractNumId w:val="42"/>
  </w:num>
  <w:num w:numId="29">
    <w:abstractNumId w:val="5"/>
  </w:num>
  <w:num w:numId="30">
    <w:abstractNumId w:val="2"/>
  </w:num>
  <w:num w:numId="31">
    <w:abstractNumId w:val="23"/>
  </w:num>
  <w:num w:numId="32">
    <w:abstractNumId w:val="22"/>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3"/>
  </w:num>
  <w:num w:numId="40">
    <w:abstractNumId w:val="10"/>
  </w:num>
  <w:num w:numId="41">
    <w:abstractNumId w:val="13"/>
    <w:lvlOverride w:ilvl="0">
      <w:startOverride w:val="1"/>
    </w:lvlOverride>
  </w:num>
  <w:num w:numId="42">
    <w:abstractNumId w:val="41"/>
  </w:num>
  <w:num w:numId="43">
    <w:abstractNumId w:val="30"/>
  </w:num>
  <w:num w:numId="44">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SWWeSU2C2+dmLOdX+Mr+aTrN19X83xXEziGKhdZalTz9/FbW8qc8tZWOfSXwTEnlKQutOJXoOuANvaVxZSqg==" w:salt="g10vAaqYgKS+qCrhxHtJa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85A"/>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BDC"/>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78F3"/>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9B0"/>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1114"/>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49CE"/>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B7FC9"/>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81F"/>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1BE"/>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0B2"/>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18A"/>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2C366ABE"/>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ch.com/sites/default/files/media/files/Compression%20Watch%20Factsheet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ESMA70-151-3035</_dlc_DocId>
    <_dlc_DocIdUrl xmlns="20fbe147-bbda-4e53-b6b1-7e8bbff3fe19">
      <Url>https://sherpa.esma.europa.eu/sites/MKT/PTR/_layouts/15/DocIdRedir.aspx?ID=ESMA70-151-3035</Url>
      <Description>ESMA70-151-3035</Description>
    </_dlc_DocIdUrl>
    <TaxCatchAll xmlns="20fbe147-bbda-4e53-b6b1-7e8bbff3fe19">
      <Value>671</Value>
      <Value>4</Value>
      <Value>25</Value>
      <Value>16</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OTC Dervatives</TermName>
          <TermId xmlns="http://schemas.microsoft.com/office/infopath/2007/PartnerControls">034f863b-e632-4e69-bb42-57a850cee4a2</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PTRRS</TermName>
          <TermId xmlns="http://schemas.microsoft.com/office/infopath/2007/PartnerControls">9ac90dde-a461-416b-9d01-da96688c0f66</TermId>
        </TermInfo>
      </Terms>
    </n644e5dfaa29486bad4a4fc019c6d2df>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C72956E1-D08D-44A4-B147-7A9752AD0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4"/>
    <ds:schemaRef ds:uri="20fbe147-bbda-4e53-b6b1-7e8bbff3fe19"/>
    <ds:schemaRef ds:uri="http://www.w3.org/XML/1998/namespace"/>
    <ds:schemaRef ds:uri="http://purl.org/dc/dcmitype/"/>
  </ds:schemaRefs>
</ds:datastoreItem>
</file>

<file path=customXml/itemProps5.xml><?xml version="1.0" encoding="utf-8"?>
<ds:datastoreItem xmlns:ds="http://schemas.openxmlformats.org/officeDocument/2006/customXml" ds:itemID="{05113870-B9C8-4747-BF81-209E8E3ABBE0}">
  <ds:schemaRefs>
    <ds:schemaRef ds:uri="http://schemas.openxmlformats.org/officeDocument/2006/bibliography"/>
  </ds:schemaRefs>
</ds:datastoreItem>
</file>

<file path=customXml/itemProps6.xml><?xml version="1.0" encoding="utf-8"?>
<ds:datastoreItem xmlns:ds="http://schemas.openxmlformats.org/officeDocument/2006/customXml" ds:itemID="{5BAA4D0D-DB9A-42D6-ABEA-7971DBA6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5033</Words>
  <Characters>28779</Characters>
  <Application>Microsoft Office Word</Application>
  <DocSecurity>8</DocSecurity>
  <Lines>239</Lines>
  <Paragraphs>67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33745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Kagiaras, Athanasios</cp:lastModifiedBy>
  <cp:revision>4</cp:revision>
  <cp:lastPrinted>2015-02-18T11:01:00Z</cp:lastPrinted>
  <dcterms:created xsi:type="dcterms:W3CDTF">2020-06-15T11:54:00Z</dcterms:created>
  <dcterms:modified xsi:type="dcterms:W3CDTF">2020-06-15T12:07:00Z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16;#OTC Dervatives|034f863b-e632-4e69-bb42-57a850cee4a2</vt:lpwstr>
  </property>
  <property fmtid="{D5CDD505-2E9C-101B-9397-08002B2CF9AE}" pid="6" name="SubTopic">
    <vt:lpwstr>671;#PTRRS|9ac90dde-a461-416b-9d01-da96688c0f66</vt:lpwstr>
  </property>
  <property fmtid="{D5CDD505-2E9C-101B-9397-08002B2CF9AE}" pid="7" name="DocumentType">
    <vt:lpwstr>91;#Consultation Paper|c6238baf-c3d7-4bb8-8cf2-f28a89601f52</vt:lpwstr>
  </property>
  <property fmtid="{D5CDD505-2E9C-101B-9397-08002B2CF9AE}" pid="8" name="ConfidentialityLevel">
    <vt:lpwstr>25;#Public|a0c619ff-bd46-48f0-b213-6b7c03fe156d</vt:lpwstr>
  </property>
  <property fmtid="{D5CDD505-2E9C-101B-9397-08002B2CF9AE}" pid="9" name="_dlc_DocIdItemGuid">
    <vt:lpwstr>421e276c-1544-4abc-8594-4025d11688cf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