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lastRenderedPageBreak/>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0E43F50F" w:rsidR="00C2682A" w:rsidRPr="00AB6D88" w:rsidRDefault="00211A3A" w:rsidP="00211A3A">
                <w:pPr>
                  <w:rPr>
                    <w:rStyle w:val="PlaceholderText"/>
                    <w:rFonts w:cs="Arial"/>
                  </w:rPr>
                </w:pPr>
                <w:r>
                  <w:rPr>
                    <w:rStyle w:val="PlaceholderText"/>
                    <w:rFonts w:cs="Arial"/>
                  </w:rPr>
                  <w:t>Nasdaq</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FB90C48" w:rsidR="00C2682A" w:rsidRPr="00AB6D88" w:rsidRDefault="00743DC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11A3A">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D51DE5A" w:rsidR="00C2682A" w:rsidRPr="00AB6D88" w:rsidRDefault="00211A3A"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2B660295" w14:textId="4D3FDE19" w:rsidR="00B61F5A" w:rsidRDefault="00B61F5A" w:rsidP="00764BEF">
      <w:pPr>
        <w:spacing w:after="120"/>
      </w:pPr>
      <w:permStart w:id="1454525006" w:edGrp="everyone"/>
      <w:proofErr w:type="gramStart"/>
      <w:r>
        <w:t>Nasdaq</w:t>
      </w:r>
      <w:proofErr w:type="gramEnd"/>
      <w:r>
        <w:t xml:space="preserve"> operates non-equity markets in several asset classes, such as fixed income, equity derivatives including securities derivatives, as well as commodity markets.</w:t>
      </w:r>
    </w:p>
    <w:p w14:paraId="4BD003E8" w14:textId="26DA9A81" w:rsidR="005D3F61" w:rsidRDefault="00211A3A" w:rsidP="00764BEF">
      <w:pPr>
        <w:spacing w:after="120"/>
      </w:pPr>
      <w:proofErr w:type="gramStart"/>
      <w:r>
        <w:t>Nasdaq</w:t>
      </w:r>
      <w:proofErr w:type="gramEnd"/>
      <w:r w:rsidRPr="00ED19FC">
        <w:t xml:space="preserve"> fully agree</w:t>
      </w:r>
      <w:r>
        <w:t>s</w:t>
      </w:r>
      <w:r w:rsidRPr="00ED19FC">
        <w:t xml:space="preserve"> with the objectives of MiFID II /R to increase pre- and post-trade </w:t>
      </w:r>
      <w:r>
        <w:t>transparency for non-equity. However, so far</w:t>
      </w:r>
      <w:r w:rsidRPr="00ED19FC">
        <w:t xml:space="preserve"> these </w:t>
      </w:r>
      <w:r>
        <w:t xml:space="preserve">objectives </w:t>
      </w:r>
      <w:r w:rsidRPr="00ED19FC">
        <w:t>have no</w:t>
      </w:r>
      <w:r>
        <w:t xml:space="preserve">t materialised. </w:t>
      </w:r>
      <w:r w:rsidR="005D3F61">
        <w:t>We see room for measures in order to increase transparency in non-equity markets. I</w:t>
      </w:r>
      <w:r w:rsidR="00D63AD3">
        <w:t>n general, we support tightening the regime</w:t>
      </w:r>
      <w:r w:rsidR="005D3F61">
        <w:t xml:space="preserve"> and making it less complex. Less complexity should support better implementation </w:t>
      </w:r>
      <w:proofErr w:type="gramStart"/>
      <w:r w:rsidR="005D3F61">
        <w:t>and also</w:t>
      </w:r>
      <w:proofErr w:type="gramEnd"/>
      <w:r w:rsidR="005D3F61">
        <w:t xml:space="preserve"> enforcement of the regime, thereby increasing the likelihood that the regime delivers on its objectives.</w:t>
      </w:r>
    </w:p>
    <w:p w14:paraId="74D35A09" w14:textId="77E94A30" w:rsidR="00D63AD3" w:rsidRDefault="00D63AD3" w:rsidP="00764BEF">
      <w:pPr>
        <w:spacing w:after="120"/>
      </w:pPr>
      <w:r>
        <w:t xml:space="preserve">At the same time, especially for commodity </w:t>
      </w:r>
      <w:proofErr w:type="gramStart"/>
      <w:r>
        <w:t>markets</w:t>
      </w:r>
      <w:proofErr w:type="gramEnd"/>
      <w:r>
        <w:t xml:space="preserve"> the regime has proven especially suboptimal and this consultation reply includes several comments in order to address these shortcomings.</w:t>
      </w:r>
    </w:p>
    <w:p w14:paraId="7494E907" w14:textId="7259A9C8" w:rsidR="00211A3A" w:rsidRPr="00ED19FC" w:rsidRDefault="00211A3A" w:rsidP="00764BEF">
      <w:pPr>
        <w:spacing w:after="120"/>
      </w:pPr>
      <w:r>
        <w:t>W</w:t>
      </w:r>
      <w:r w:rsidRPr="00ED19FC">
        <w:t xml:space="preserve">e suggest the following </w:t>
      </w:r>
      <w:r>
        <w:t>principle changes to improve the situation going forward</w:t>
      </w:r>
      <w:r w:rsidRPr="00ED19FC">
        <w:t>:</w:t>
      </w:r>
    </w:p>
    <w:p w14:paraId="0FBC9FB1" w14:textId="77777777" w:rsidR="00211A3A" w:rsidRPr="00ED19FC" w:rsidRDefault="00211A3A" w:rsidP="00764BEF">
      <w:pPr>
        <w:spacing w:after="120"/>
      </w:pPr>
      <w:r w:rsidRPr="00ED19FC">
        <w:t xml:space="preserve">On pre-trade transparency: </w:t>
      </w:r>
    </w:p>
    <w:p w14:paraId="5246FD60" w14:textId="77777777" w:rsidR="00211A3A" w:rsidRPr="00ED19FC" w:rsidRDefault="00211A3A" w:rsidP="00B5211F">
      <w:pPr>
        <w:pStyle w:val="ListParagraph"/>
        <w:numPr>
          <w:ilvl w:val="0"/>
          <w:numId w:val="37"/>
        </w:numPr>
        <w:spacing w:after="120"/>
        <w:jc w:val="both"/>
        <w:outlineLvl w:val="0"/>
        <w:rPr>
          <w:b/>
          <w:bCs/>
        </w:rPr>
      </w:pPr>
      <w:r>
        <w:rPr>
          <w:bCs/>
        </w:rPr>
        <w:t>W</w:t>
      </w:r>
      <w:r w:rsidRPr="00ED19FC">
        <w:rPr>
          <w:bCs/>
        </w:rPr>
        <w:t xml:space="preserve">e support the proposal to remove the SSTI waiver and to lower the LIS threshold for commodity derivatives and bonds. These measures should be accompanied by removing the SSTI-concept also for the SI-quoting obligation and replacing it by a reference to (a high percentage of) the LIS threshold. </w:t>
      </w:r>
    </w:p>
    <w:p w14:paraId="08732EEF" w14:textId="6D42E430" w:rsidR="00211A3A" w:rsidRPr="004B1E0A" w:rsidRDefault="00211A3A" w:rsidP="00B5211F">
      <w:pPr>
        <w:pStyle w:val="ListParagraph"/>
        <w:numPr>
          <w:ilvl w:val="0"/>
          <w:numId w:val="37"/>
        </w:numPr>
        <w:spacing w:after="120"/>
        <w:jc w:val="both"/>
        <w:outlineLvl w:val="0"/>
        <w:rPr>
          <w:b/>
          <w:bCs/>
        </w:rPr>
      </w:pPr>
      <w:r w:rsidRPr="00ED19FC">
        <w:rPr>
          <w:bCs/>
        </w:rPr>
        <w:t xml:space="preserve">With respect to ETDs markets, we support ESMA’s current approach and </w:t>
      </w:r>
      <w:proofErr w:type="gramStart"/>
      <w:r w:rsidRPr="00ED19FC">
        <w:rPr>
          <w:bCs/>
        </w:rPr>
        <w:t xml:space="preserve">methodology which aims to </w:t>
      </w:r>
      <w:r w:rsidRPr="004B1E0A">
        <w:rPr>
          <w:bCs/>
        </w:rPr>
        <w:t>increase the proportion of lit trading</w:t>
      </w:r>
      <w:proofErr w:type="gramEnd"/>
      <w:r w:rsidRPr="004B1E0A">
        <w:rPr>
          <w:bCs/>
        </w:rPr>
        <w:t xml:space="preserve"> while, preserving the needs of market participants for pre-arranged transactions based on an analysis of the instruments’ liquidity.  </w:t>
      </w:r>
    </w:p>
    <w:p w14:paraId="2D73251C" w14:textId="77777777" w:rsidR="00211A3A" w:rsidRPr="00ED19FC" w:rsidRDefault="00211A3A" w:rsidP="00B5211F">
      <w:pPr>
        <w:pStyle w:val="ListParagraph"/>
        <w:numPr>
          <w:ilvl w:val="0"/>
          <w:numId w:val="37"/>
        </w:numPr>
        <w:spacing w:after="120"/>
        <w:jc w:val="both"/>
        <w:outlineLvl w:val="0"/>
        <w:rPr>
          <w:b/>
          <w:bCs/>
        </w:rPr>
      </w:pPr>
      <w:r>
        <w:rPr>
          <w:bCs/>
        </w:rPr>
        <w:t xml:space="preserve">We agree with ESMA’s proposal to require </w:t>
      </w:r>
      <w:r w:rsidRPr="00ED19FC">
        <w:rPr>
          <w:bCs/>
        </w:rPr>
        <w:t xml:space="preserve">SIs to make available data free of charge 15 minutes after its publication. To improve the quality of published pre-trade transparency information, in particular in traditionally opaque markets, the requirements of SIs should be on the same level as those of trading venues. This would </w:t>
      </w:r>
      <w:r>
        <w:rPr>
          <w:bCs/>
        </w:rPr>
        <w:t xml:space="preserve">importantly </w:t>
      </w:r>
      <w:r w:rsidRPr="00ED19FC">
        <w:rPr>
          <w:bCs/>
        </w:rPr>
        <w:t>improve the overall level of pre-</w:t>
      </w:r>
      <w:r w:rsidRPr="00ED19FC">
        <w:rPr>
          <w:bCs/>
        </w:rPr>
        <w:lastRenderedPageBreak/>
        <w:t>trade transparency in financial markets</w:t>
      </w:r>
      <w:r>
        <w:rPr>
          <w:bCs/>
        </w:rPr>
        <w:t xml:space="preserve">, </w:t>
      </w:r>
      <w:proofErr w:type="gramStart"/>
      <w:r>
        <w:rPr>
          <w:bCs/>
        </w:rPr>
        <w:t>and also</w:t>
      </w:r>
      <w:proofErr w:type="gramEnd"/>
      <w:r>
        <w:rPr>
          <w:bCs/>
        </w:rPr>
        <w:t xml:space="preserve"> improve the </w:t>
      </w:r>
      <w:r w:rsidRPr="00ED19FC">
        <w:rPr>
          <w:bCs/>
        </w:rPr>
        <w:t>level the playing field between SIs and trading venues</w:t>
      </w:r>
      <w:r>
        <w:rPr>
          <w:bCs/>
        </w:rPr>
        <w:t xml:space="preserve"> further</w:t>
      </w:r>
      <w:r w:rsidRPr="00ED19FC">
        <w:rPr>
          <w:bCs/>
        </w:rPr>
        <w:t>.</w:t>
      </w:r>
    </w:p>
    <w:p w14:paraId="3563791E" w14:textId="77777777" w:rsidR="00211A3A" w:rsidRPr="00ED19FC" w:rsidRDefault="00211A3A" w:rsidP="00764BEF">
      <w:pPr>
        <w:spacing w:after="120"/>
        <w:rPr>
          <w:bCs/>
        </w:rPr>
      </w:pPr>
      <w:r w:rsidRPr="00ED19FC">
        <w:rPr>
          <w:bCs/>
        </w:rPr>
        <w:t>On post-trade transparency:</w:t>
      </w:r>
    </w:p>
    <w:p w14:paraId="442A347D" w14:textId="1B4F714B" w:rsidR="00211A3A" w:rsidRPr="00211A3A" w:rsidRDefault="00211A3A" w:rsidP="00B5211F">
      <w:pPr>
        <w:pStyle w:val="ListParagraph"/>
        <w:numPr>
          <w:ilvl w:val="0"/>
          <w:numId w:val="37"/>
        </w:numPr>
        <w:spacing w:after="120"/>
        <w:jc w:val="both"/>
        <w:outlineLvl w:val="0"/>
        <w:rPr>
          <w:rFonts w:cs="Arial"/>
          <w:b/>
          <w:bCs/>
        </w:rPr>
      </w:pPr>
      <w:r w:rsidRPr="00DC68C6">
        <w:rPr>
          <w:bCs/>
        </w:rPr>
        <w:t xml:space="preserve">We share ESMA’s views on the need to create a less complex post-trade transparency regime. </w:t>
      </w:r>
      <w:r>
        <w:rPr>
          <w:bCs/>
        </w:rPr>
        <w:t xml:space="preserve">Less complexity serves the purpose of facilitating implementation for market participants as well as for supervisors, in terms of enforcement, which should allow the regime to deliver on its purposes better. </w:t>
      </w:r>
    </w:p>
    <w:p w14:paraId="222C68EB" w14:textId="26D0F2CD" w:rsidR="00211A3A" w:rsidRPr="00353156" w:rsidRDefault="00211A3A" w:rsidP="00B5211F">
      <w:pPr>
        <w:pStyle w:val="ListParagraph"/>
        <w:numPr>
          <w:ilvl w:val="0"/>
          <w:numId w:val="37"/>
        </w:numPr>
        <w:spacing w:after="120"/>
        <w:jc w:val="both"/>
        <w:outlineLvl w:val="0"/>
        <w:rPr>
          <w:b/>
          <w:bCs/>
        </w:rPr>
      </w:pPr>
      <w:r w:rsidRPr="00211A3A">
        <w:rPr>
          <w:rFonts w:cs="Arial"/>
          <w:bCs/>
        </w:rPr>
        <w:t xml:space="preserve">Only a fraction of all non-equity transactions should be eligible for deferred publication. For bonds, the illiquid and LIS deferrals </w:t>
      </w:r>
      <w:proofErr w:type="gramStart"/>
      <w:r w:rsidRPr="00211A3A">
        <w:rPr>
          <w:rFonts w:cs="Arial"/>
          <w:bCs/>
        </w:rPr>
        <w:t>should be maintained</w:t>
      </w:r>
      <w:proofErr w:type="gramEnd"/>
      <w:r w:rsidRPr="00211A3A">
        <w:rPr>
          <w:rFonts w:cs="Arial"/>
          <w:bCs/>
        </w:rPr>
        <w:t>.</w:t>
      </w:r>
      <w:r>
        <w:rPr>
          <w:rFonts w:cs="Arial"/>
          <w:bCs/>
        </w:rPr>
        <w:t xml:space="preserve"> We </w:t>
      </w:r>
      <w:r w:rsidRPr="00211A3A">
        <w:rPr>
          <w:rFonts w:cs="Arial"/>
          <w:bCs/>
        </w:rPr>
        <w:t xml:space="preserve">suggest that the number of other options available in the post-transparency regime </w:t>
      </w:r>
      <w:proofErr w:type="gramStart"/>
      <w:r w:rsidRPr="00211A3A">
        <w:rPr>
          <w:rFonts w:cs="Arial"/>
          <w:bCs/>
        </w:rPr>
        <w:t>should be reduced</w:t>
      </w:r>
      <w:proofErr w:type="gramEnd"/>
      <w:r w:rsidRPr="00211A3A">
        <w:rPr>
          <w:rFonts w:cs="Arial"/>
          <w:bCs/>
        </w:rPr>
        <w:t>, in particular waivers</w:t>
      </w:r>
      <w:r w:rsidRPr="00DC68C6">
        <w:rPr>
          <w:bCs/>
        </w:rPr>
        <w:t xml:space="preserve"> that enable only partial publication or no publication of trades as well as the 4-week waiver. Instead, we propose to introduce a single regime, requiring the publication of all transaction-related data at the end of the day.</w:t>
      </w:r>
    </w:p>
    <w:p w14:paraId="2CBA03E4" w14:textId="79A6B925" w:rsidR="00353156" w:rsidRPr="00353156" w:rsidRDefault="00353156" w:rsidP="00B5211F">
      <w:pPr>
        <w:pStyle w:val="ListParagraph"/>
        <w:numPr>
          <w:ilvl w:val="0"/>
          <w:numId w:val="37"/>
        </w:numPr>
        <w:spacing w:after="120"/>
        <w:jc w:val="both"/>
        <w:outlineLvl w:val="0"/>
        <w:rPr>
          <w:bCs/>
        </w:rPr>
      </w:pPr>
      <w:r w:rsidRPr="00353156">
        <w:rPr>
          <w:bCs/>
        </w:rPr>
        <w:t xml:space="preserve">Harmonization throughout Europe post-trade transparency </w:t>
      </w:r>
      <w:proofErr w:type="gramStart"/>
      <w:r w:rsidRPr="00353156">
        <w:rPr>
          <w:bCs/>
        </w:rPr>
        <w:t>rules on trades conducted OTC should be a priority</w:t>
      </w:r>
      <w:proofErr w:type="gramEnd"/>
      <w:r w:rsidRPr="00353156">
        <w:rPr>
          <w:bCs/>
        </w:rPr>
        <w:t xml:space="preserve">. There should be consistent deferral rules across </w:t>
      </w:r>
      <w:proofErr w:type="gramStart"/>
      <w:r w:rsidRPr="00353156">
        <w:rPr>
          <w:bCs/>
        </w:rPr>
        <w:t>all the</w:t>
      </w:r>
      <w:proofErr w:type="gramEnd"/>
      <w:r w:rsidRPr="00353156">
        <w:rPr>
          <w:bCs/>
        </w:rPr>
        <w:t xml:space="preserve"> EU and also ensuring that the same instruments in various jurisdictions are labelled and classify the same.</w:t>
      </w:r>
    </w:p>
    <w:p w14:paraId="1CC1BA1E" w14:textId="77777777" w:rsidR="00211A3A" w:rsidRPr="00211A3A" w:rsidRDefault="00211A3A" w:rsidP="00764BEF">
      <w:pPr>
        <w:spacing w:after="120"/>
        <w:rPr>
          <w:rFonts w:cs="Arial"/>
        </w:rPr>
      </w:pPr>
      <w:r w:rsidRPr="00211A3A">
        <w:rPr>
          <w:rFonts w:cs="Arial"/>
        </w:rPr>
        <w:t>On the liquidity calculations for bonds:</w:t>
      </w:r>
    </w:p>
    <w:p w14:paraId="6A22288E" w14:textId="6602E2F7" w:rsidR="00F87897" w:rsidRPr="005D3F61" w:rsidRDefault="00211A3A" w:rsidP="00B5211F">
      <w:pPr>
        <w:pStyle w:val="ListParagraph"/>
        <w:numPr>
          <w:ilvl w:val="0"/>
          <w:numId w:val="42"/>
        </w:numPr>
        <w:rPr>
          <w:rFonts w:cs="Arial"/>
        </w:rPr>
      </w:pPr>
      <w:r w:rsidRPr="005D3F61">
        <w:rPr>
          <w:rFonts w:cs="Arial"/>
        </w:rPr>
        <w:t xml:space="preserve">To enhance transparency, we believe that the criteria for assessing the liquidity of bonds need to change </w:t>
      </w:r>
      <w:proofErr w:type="gramStart"/>
      <w:r w:rsidRPr="005D3F61">
        <w:rPr>
          <w:rFonts w:cs="Arial"/>
        </w:rPr>
        <w:t>so as to</w:t>
      </w:r>
      <w:proofErr w:type="gramEnd"/>
      <w:r w:rsidRPr="005D3F61">
        <w:rPr>
          <w:rFonts w:cs="Arial"/>
        </w:rPr>
        <w:t xml:space="preserve"> increase the number of bonds that are deemed liquid and therefore subject to the transparency requirements. The amended criteria should take into account market reality, as highlighted in our response to Q25.</w:t>
      </w:r>
    </w:p>
    <w:p w14:paraId="7DE93564" w14:textId="0808A4D2" w:rsidR="005D3F61" w:rsidRDefault="005D3F61" w:rsidP="00F87897">
      <w:pPr>
        <w:rPr>
          <w:rFonts w:cs="Arial"/>
        </w:rPr>
      </w:pPr>
    </w:p>
    <w:p w14:paraId="4EA7B606" w14:textId="77C40795" w:rsidR="005D3F61" w:rsidRDefault="005D3F61" w:rsidP="00F87897">
      <w:pPr>
        <w:rPr>
          <w:rFonts w:cs="Arial"/>
        </w:rPr>
      </w:pPr>
      <w:r>
        <w:rPr>
          <w:rFonts w:cs="Arial"/>
        </w:rPr>
        <w:t>Specifically on commodity derivatives:</w:t>
      </w:r>
    </w:p>
    <w:p w14:paraId="487E1482" w14:textId="77777777" w:rsidR="005D3F61" w:rsidRPr="005D3F61" w:rsidRDefault="005D3F61" w:rsidP="00B5211F">
      <w:pPr>
        <w:pStyle w:val="ListParagraph"/>
        <w:numPr>
          <w:ilvl w:val="0"/>
          <w:numId w:val="42"/>
        </w:numPr>
        <w:rPr>
          <w:bCs/>
        </w:rPr>
      </w:pPr>
      <w:r w:rsidRPr="005D3F61">
        <w:rPr>
          <w:bCs/>
        </w:rPr>
        <w:t>We support ESMA’s current methodology on the liquidity calculation for commodity derivatives based on the delivery/cash settlement location, which secures that products listed on two or more exchanges (</w:t>
      </w:r>
      <w:r w:rsidRPr="005D3F61">
        <w:rPr>
          <w:bCs/>
          <w:highlight w:val="yellow"/>
        </w:rPr>
        <w:t xml:space="preserve">with the same underlying) </w:t>
      </w:r>
      <w:proofErr w:type="gramStart"/>
      <w:r w:rsidRPr="005D3F61">
        <w:rPr>
          <w:bCs/>
          <w:highlight w:val="yellow"/>
        </w:rPr>
        <w:t>are treated</w:t>
      </w:r>
      <w:proofErr w:type="gramEnd"/>
      <w:r w:rsidRPr="005D3F61">
        <w:rPr>
          <w:bCs/>
          <w:highlight w:val="yellow"/>
        </w:rPr>
        <w:t xml:space="preserve"> equally. The use of EIC Y Codes are efficient in this matter and creates a levelled playing field for all exchanges listing commodity derivatives with the same physical underlying. However, we believe that a number of relatively illiquid commodity products, have been wrongly classified as liquid based on the two liquidity criteria in table 7.1, Annex III, RTS 2, thus becoming subject to significantly broader transparency requirements and made subject to excessive Large in Scale (“LIS”) thresholds. We therefore recommend certain amendments in the level 2 legislation, which would address the current factors leading to inappropriate thresholds. </w:t>
      </w:r>
    </w:p>
    <w:p w14:paraId="3663C87B" w14:textId="499A88C7" w:rsidR="005D3F61" w:rsidRPr="005D3F61" w:rsidRDefault="005D3F61" w:rsidP="00B5211F">
      <w:pPr>
        <w:pStyle w:val="ListParagraph"/>
        <w:numPr>
          <w:ilvl w:val="0"/>
          <w:numId w:val="42"/>
        </w:numPr>
        <w:rPr>
          <w:bCs/>
        </w:rPr>
      </w:pPr>
      <w:r w:rsidRPr="005D3F61">
        <w:rPr>
          <w:bCs/>
          <w:highlight w:val="yellow"/>
        </w:rPr>
        <w:t xml:space="preserve">Further as </w:t>
      </w:r>
      <w:r>
        <w:rPr>
          <w:bCs/>
          <w:highlight w:val="yellow"/>
        </w:rPr>
        <w:t>for</w:t>
      </w:r>
      <w:r w:rsidRPr="005D3F61">
        <w:rPr>
          <w:bCs/>
          <w:highlight w:val="yellow"/>
        </w:rPr>
        <w:t xml:space="preserve"> level </w:t>
      </w:r>
      <w:proofErr w:type="gramStart"/>
      <w:r w:rsidRPr="005D3F61">
        <w:rPr>
          <w:bCs/>
          <w:highlight w:val="yellow"/>
        </w:rPr>
        <w:t>1</w:t>
      </w:r>
      <w:proofErr w:type="gramEnd"/>
      <w:r w:rsidRPr="005D3F61">
        <w:rPr>
          <w:bCs/>
          <w:highlight w:val="yellow"/>
        </w:rPr>
        <w:t xml:space="preserve"> changes we believe that the hedging exemption available in Art. 8(1) of </w:t>
      </w:r>
      <w:proofErr w:type="spellStart"/>
      <w:r w:rsidRPr="005D3F61">
        <w:rPr>
          <w:bCs/>
          <w:highlight w:val="yellow"/>
        </w:rPr>
        <w:t>MiFIR</w:t>
      </w:r>
      <w:proofErr w:type="spellEnd"/>
      <w:r w:rsidRPr="005D3F61">
        <w:rPr>
          <w:bCs/>
          <w:highlight w:val="yellow"/>
        </w:rPr>
        <w:t xml:space="preserve"> </w:t>
      </w:r>
      <w:proofErr w:type="gramStart"/>
      <w:r w:rsidRPr="005D3F61">
        <w:rPr>
          <w:bCs/>
          <w:highlight w:val="yellow"/>
        </w:rPr>
        <w:t>should be extended</w:t>
      </w:r>
      <w:proofErr w:type="gramEnd"/>
      <w:r w:rsidRPr="005D3F61">
        <w:rPr>
          <w:bCs/>
          <w:highlight w:val="yellow"/>
        </w:rPr>
        <w:t xml:space="preserve"> to cover all market participants managing risks arising from activity in the physical market, including financial counterparties. Such a solution would allow the building of liquidity in the order book to continue, without jeopardising the ability of commodity derivatives markets to fulfil their function.</w:t>
      </w:r>
    </w:p>
    <w:p w14:paraId="6DDD3A44" w14:textId="77777777" w:rsidR="005D3F61" w:rsidRDefault="005D3F61" w:rsidP="00F87897">
      <w:pPr>
        <w:rPr>
          <w:rFonts w:cs="Arial"/>
        </w:rPr>
      </w:pPr>
    </w:p>
    <w:permEnd w:id="1454525006"/>
    <w:p w14:paraId="6447608D" w14:textId="77777777"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36F4278F" w14:textId="5684B92B" w:rsidR="00320F08" w:rsidRPr="00DA03C9" w:rsidRDefault="00211A3A" w:rsidP="00B61F5A">
      <w:pPr>
        <w:spacing w:after="120"/>
        <w:rPr>
          <w:rFonts w:cs="Arial"/>
        </w:rPr>
      </w:pPr>
      <w:permStart w:id="1955866996" w:edGrp="everyone"/>
      <w:r w:rsidRPr="00DA03C9">
        <w:rPr>
          <w:rFonts w:cs="Arial"/>
        </w:rPr>
        <w:t xml:space="preserve">We agree with ESMA </w:t>
      </w:r>
      <w:proofErr w:type="gramStart"/>
      <w:r w:rsidRPr="00DA03C9">
        <w:rPr>
          <w:rFonts w:cs="Arial"/>
        </w:rPr>
        <w:t>that the levels of transparency in non-equity markets have not materialised as intended and is very limited</w:t>
      </w:r>
      <w:proofErr w:type="gramEnd"/>
      <w:r w:rsidRPr="00DA03C9">
        <w:rPr>
          <w:rFonts w:cs="Arial"/>
        </w:rPr>
        <w:t xml:space="preserve">. </w:t>
      </w:r>
      <w:r w:rsidR="00320F08" w:rsidRPr="00DA03C9">
        <w:rPr>
          <w:rFonts w:cs="Arial"/>
        </w:rPr>
        <w:t xml:space="preserve">There are different considerations to </w:t>
      </w:r>
      <w:proofErr w:type="gramStart"/>
      <w:r w:rsidR="00320F08" w:rsidRPr="00DA03C9">
        <w:rPr>
          <w:rFonts w:cs="Arial"/>
        </w:rPr>
        <w:t>be made</w:t>
      </w:r>
      <w:proofErr w:type="gramEnd"/>
      <w:r w:rsidR="00320F08" w:rsidRPr="00DA03C9">
        <w:rPr>
          <w:rFonts w:cs="Arial"/>
        </w:rPr>
        <w:t xml:space="preserve"> for different asset classes however. Please find below comments related first to bonds and securitised derivatives, and then to commodity derivatives.</w:t>
      </w:r>
    </w:p>
    <w:p w14:paraId="3CC07931" w14:textId="2BBC7D2E" w:rsidR="00320F08" w:rsidRPr="00DA03C9" w:rsidRDefault="00320F08" w:rsidP="00B61F5A">
      <w:pPr>
        <w:spacing w:after="120"/>
        <w:rPr>
          <w:rFonts w:cs="Arial"/>
        </w:rPr>
      </w:pPr>
      <w:r w:rsidRPr="00DA03C9">
        <w:rPr>
          <w:rFonts w:cs="Arial"/>
        </w:rPr>
        <w:t>Bonds and securitised instruments:</w:t>
      </w:r>
    </w:p>
    <w:p w14:paraId="624DD6BF" w14:textId="2625FD7D" w:rsidR="00B61F5A" w:rsidRPr="00DA03C9" w:rsidRDefault="00B61F5A" w:rsidP="00B61F5A">
      <w:pPr>
        <w:spacing w:after="120"/>
        <w:rPr>
          <w:rFonts w:cs="Arial"/>
        </w:rPr>
      </w:pPr>
      <w:r w:rsidRPr="00DA03C9">
        <w:rPr>
          <w:rFonts w:cs="Arial"/>
        </w:rPr>
        <w:t xml:space="preserve">Currently, the large majority of bonds and securitised instruments is traded OTC (more than 90% percent of traded nominal is reported by APAs). OTC trading is not accessible to all market participants, and is less transparent compared to multilateral venues. We support initiatives that would shift a significant share of trading of bonds and securitised derivatives to transparent and multilateral trading venues. </w:t>
      </w:r>
    </w:p>
    <w:p w14:paraId="105517C3" w14:textId="23472E5B" w:rsidR="00B61F5A" w:rsidRPr="00DA03C9" w:rsidRDefault="00B61F5A" w:rsidP="00B61F5A">
      <w:pPr>
        <w:spacing w:after="120"/>
        <w:rPr>
          <w:rFonts w:cs="Arial"/>
        </w:rPr>
      </w:pPr>
      <w:r w:rsidRPr="00DA03C9">
        <w:rPr>
          <w:rFonts w:cs="Arial"/>
        </w:rPr>
        <w:t xml:space="preserve">For bonds markets, the biggest benefit would be to provide investors with increased visibility on the most liquid bonds – the ones that actively trade. The aim should be to increase this number so that the trading activity is visible in the market and the advantages of a transparent price formation process </w:t>
      </w:r>
      <w:proofErr w:type="gramStart"/>
      <w:r w:rsidRPr="00DA03C9">
        <w:rPr>
          <w:rFonts w:cs="Arial"/>
        </w:rPr>
        <w:t>can be achieved</w:t>
      </w:r>
      <w:proofErr w:type="gramEnd"/>
      <w:r w:rsidRPr="00DA03C9">
        <w:rPr>
          <w:rFonts w:cs="Arial"/>
        </w:rPr>
        <w:t xml:space="preserve">. This transparency will benefit investors, both professional and importantly retail, </w:t>
      </w:r>
      <w:proofErr w:type="gramStart"/>
      <w:r w:rsidRPr="00DA03C9">
        <w:rPr>
          <w:rFonts w:cs="Arial"/>
        </w:rPr>
        <w:t>and also</w:t>
      </w:r>
      <w:proofErr w:type="gramEnd"/>
      <w:r w:rsidRPr="00DA03C9">
        <w:rPr>
          <w:rFonts w:cs="Arial"/>
        </w:rPr>
        <w:t xml:space="preserve"> pension funds and insurance companies which are very beneficial to the real economy. </w:t>
      </w:r>
      <w:r w:rsidR="00144B42" w:rsidRPr="00DA03C9">
        <w:rPr>
          <w:rFonts w:cs="Arial"/>
        </w:rPr>
        <w:t>Obviously more investor activity would benefit the financing opportunities for companies. Broader financing opportunities for companies is urgently needed more than ever to respond to the financial effects of the pandemic and are main goals of the policy project the Capital Markets Union. Improving transparency of bond markets supports these objectives.</w:t>
      </w:r>
    </w:p>
    <w:p w14:paraId="124C6B0A" w14:textId="180A52CC" w:rsidR="00211A3A" w:rsidRPr="00DA03C9" w:rsidRDefault="00211A3A" w:rsidP="00764BEF">
      <w:pPr>
        <w:spacing w:after="120"/>
        <w:rPr>
          <w:rFonts w:cs="Arial"/>
        </w:rPr>
      </w:pPr>
      <w:r w:rsidRPr="00DA03C9">
        <w:rPr>
          <w:rFonts w:cs="Arial"/>
        </w:rPr>
        <w:t xml:space="preserve">While we appreciate much of ESMA’s analyses, especially on the traded nominal and number of trades executed under a waiver, we believe that two important figures </w:t>
      </w:r>
      <w:proofErr w:type="gramStart"/>
      <w:r w:rsidRPr="00DA03C9">
        <w:rPr>
          <w:rFonts w:cs="Arial"/>
        </w:rPr>
        <w:t>should be added</w:t>
      </w:r>
      <w:proofErr w:type="gramEnd"/>
      <w:r w:rsidRPr="00DA03C9">
        <w:rPr>
          <w:rFonts w:cs="Arial"/>
        </w:rPr>
        <w:t xml:space="preserve"> to properly assess the functioning of the transparency regime, especially for what it concerns bonds and securitised derivatives whose trading remains very opaque. These are:</w:t>
      </w:r>
    </w:p>
    <w:p w14:paraId="18B31C9A" w14:textId="77777777" w:rsidR="00211A3A" w:rsidRPr="00DA03C9" w:rsidRDefault="00211A3A" w:rsidP="00B5211F">
      <w:pPr>
        <w:pStyle w:val="ListParagraph"/>
        <w:numPr>
          <w:ilvl w:val="0"/>
          <w:numId w:val="39"/>
        </w:numPr>
        <w:spacing w:after="120"/>
        <w:jc w:val="both"/>
        <w:outlineLvl w:val="0"/>
        <w:rPr>
          <w:rFonts w:cs="Arial"/>
          <w:b/>
          <w:bCs/>
        </w:rPr>
      </w:pPr>
      <w:r w:rsidRPr="00DA03C9">
        <w:rPr>
          <w:rFonts w:cs="Arial"/>
          <w:bCs/>
        </w:rPr>
        <w:t xml:space="preserve">The ratio of traded nominal and number of trades executed in the dark (i.e. executed OTC, and under a pre-trade transparency waiver) to total traded nominal, and </w:t>
      </w:r>
    </w:p>
    <w:p w14:paraId="2A5CFBBD" w14:textId="77777777" w:rsidR="00211A3A" w:rsidRPr="00DA03C9" w:rsidRDefault="00211A3A" w:rsidP="00B5211F">
      <w:pPr>
        <w:pStyle w:val="ListParagraph"/>
        <w:numPr>
          <w:ilvl w:val="0"/>
          <w:numId w:val="39"/>
        </w:numPr>
        <w:spacing w:after="120"/>
        <w:jc w:val="both"/>
        <w:outlineLvl w:val="0"/>
        <w:rPr>
          <w:rFonts w:cs="Arial"/>
          <w:b/>
          <w:bCs/>
        </w:rPr>
      </w:pPr>
      <w:r w:rsidRPr="00DA03C9">
        <w:rPr>
          <w:rFonts w:cs="Arial"/>
          <w:bCs/>
        </w:rPr>
        <w:t>The number of trades.</w:t>
      </w:r>
    </w:p>
    <w:p w14:paraId="68452337" w14:textId="77777777" w:rsidR="00211A3A" w:rsidRPr="00DA03C9" w:rsidRDefault="00211A3A" w:rsidP="00764BEF">
      <w:pPr>
        <w:spacing w:after="120"/>
        <w:rPr>
          <w:rFonts w:cs="Arial"/>
        </w:rPr>
      </w:pPr>
      <w:r w:rsidRPr="00DA03C9">
        <w:rPr>
          <w:rFonts w:cs="Arial"/>
        </w:rPr>
        <w:t xml:space="preserve">To enhance transparency, we believe that the criteria for assessing the liquidity of bonds needs to change so as to increase the number of bonds that are deemed liquid and therefore subject to the transparency requirements. In addition, in terms of changes to Level 1, we suggest a more simplified waiver regime so that they </w:t>
      </w:r>
      <w:proofErr w:type="gramStart"/>
      <w:r w:rsidRPr="00DA03C9">
        <w:rPr>
          <w:rFonts w:cs="Arial"/>
        </w:rPr>
        <w:t>are used</w:t>
      </w:r>
      <w:proofErr w:type="gramEnd"/>
      <w:r w:rsidRPr="00DA03C9">
        <w:rPr>
          <w:rFonts w:cs="Arial"/>
        </w:rPr>
        <w:t xml:space="preserve"> only where they are clearly necessary.</w:t>
      </w:r>
    </w:p>
    <w:p w14:paraId="3F64DFD4" w14:textId="5945D481" w:rsidR="00211A3A" w:rsidRPr="00DA03C9" w:rsidRDefault="00211A3A" w:rsidP="00764BEF">
      <w:pPr>
        <w:spacing w:after="120"/>
        <w:rPr>
          <w:rFonts w:cs="Arial"/>
        </w:rPr>
      </w:pPr>
      <w:r w:rsidRPr="00DA03C9">
        <w:rPr>
          <w:rFonts w:cs="Arial"/>
        </w:rPr>
        <w:lastRenderedPageBreak/>
        <w:t>F</w:t>
      </w:r>
      <w:r w:rsidR="0022021C" w:rsidRPr="00DA03C9">
        <w:rPr>
          <w:rFonts w:cs="Arial"/>
        </w:rPr>
        <w:t xml:space="preserve">urthermore, we see opportunities for measures specifically with the purpose of developing bond markets beyond the wholesale segment. Currently, market participants </w:t>
      </w:r>
      <w:proofErr w:type="gramStart"/>
      <w:r w:rsidR="0022021C" w:rsidRPr="00DA03C9">
        <w:rPr>
          <w:rFonts w:cs="Arial"/>
        </w:rPr>
        <w:t>are incentivised</w:t>
      </w:r>
      <w:proofErr w:type="gramEnd"/>
      <w:r w:rsidR="0022021C" w:rsidRPr="00DA03C9">
        <w:rPr>
          <w:rFonts w:cs="Arial"/>
        </w:rPr>
        <w:t xml:space="preserve"> to issue bonds with denominations above 100.000 EUR, i.e. to stay in the wholesale segment. Outside the MiFID framework, </w:t>
      </w:r>
      <w:r w:rsidR="00676172" w:rsidRPr="00DA03C9">
        <w:rPr>
          <w:rFonts w:cs="Arial"/>
        </w:rPr>
        <w:t xml:space="preserve">for example </w:t>
      </w:r>
      <w:r w:rsidR="0022021C" w:rsidRPr="00DA03C9">
        <w:rPr>
          <w:rFonts w:cs="Arial"/>
        </w:rPr>
        <w:t xml:space="preserve">the Prospectus Regulation adds extra </w:t>
      </w:r>
      <w:proofErr w:type="gramStart"/>
      <w:r w:rsidR="0022021C" w:rsidRPr="00DA03C9">
        <w:rPr>
          <w:rFonts w:cs="Arial"/>
        </w:rPr>
        <w:t>obligations which</w:t>
      </w:r>
      <w:proofErr w:type="gramEnd"/>
      <w:r w:rsidR="0022021C" w:rsidRPr="00DA03C9">
        <w:rPr>
          <w:rFonts w:cs="Arial"/>
        </w:rPr>
        <w:t xml:space="preserve"> are costly for both issuers and intermediaries, when issuing bonds with denominations lower than 100.000</w:t>
      </w:r>
      <w:r w:rsidR="00676172" w:rsidRPr="00DA03C9">
        <w:rPr>
          <w:rFonts w:cs="Arial"/>
        </w:rPr>
        <w:t xml:space="preserve"> EUR</w:t>
      </w:r>
      <w:r w:rsidR="0022021C" w:rsidRPr="00DA03C9">
        <w:rPr>
          <w:rFonts w:cs="Arial"/>
        </w:rPr>
        <w:t xml:space="preserve">. </w:t>
      </w:r>
      <w:r w:rsidR="00DD33CF" w:rsidRPr="00DA03C9">
        <w:rPr>
          <w:rFonts w:cs="Arial"/>
        </w:rPr>
        <w:t>We have since long advocated for abolishing this threshold in order to even out the differences between the wholesale and retail segments, which are today by incentives preventing a retail segment from</w:t>
      </w:r>
      <w:r w:rsidR="003700E2" w:rsidRPr="00DA03C9">
        <w:rPr>
          <w:rFonts w:cs="Arial"/>
        </w:rPr>
        <w:t xml:space="preserve"> developing</w:t>
      </w:r>
      <w:r w:rsidR="00DD33CF" w:rsidRPr="00DA03C9">
        <w:rPr>
          <w:rFonts w:cs="Arial"/>
        </w:rPr>
        <w:t xml:space="preserve">. We believe a rebalancing between the segments </w:t>
      </w:r>
      <w:proofErr w:type="gramStart"/>
      <w:r w:rsidR="00DD33CF" w:rsidRPr="00DA03C9">
        <w:rPr>
          <w:rFonts w:cs="Arial"/>
        </w:rPr>
        <w:t>should be done</w:t>
      </w:r>
      <w:proofErr w:type="gramEnd"/>
      <w:r w:rsidR="00DD33CF" w:rsidRPr="00DA03C9">
        <w:rPr>
          <w:rFonts w:cs="Arial"/>
        </w:rPr>
        <w:t xml:space="preserve"> by revisiting the requirements for lower denominations, </w:t>
      </w:r>
      <w:r w:rsidR="003700E2" w:rsidRPr="00DA03C9">
        <w:rPr>
          <w:rFonts w:cs="Arial"/>
        </w:rPr>
        <w:t xml:space="preserve">where </w:t>
      </w:r>
      <w:r w:rsidR="00DD33CF" w:rsidRPr="00DA03C9">
        <w:rPr>
          <w:rFonts w:cs="Arial"/>
        </w:rPr>
        <w:t>there is room for adaptation</w:t>
      </w:r>
      <w:r w:rsidR="003700E2" w:rsidRPr="00DA03C9">
        <w:rPr>
          <w:rFonts w:cs="Arial"/>
        </w:rPr>
        <w:t>.</w:t>
      </w:r>
    </w:p>
    <w:p w14:paraId="49F2EC28" w14:textId="32BD0735" w:rsidR="00320F08" w:rsidRPr="00DA03C9" w:rsidRDefault="00320F08" w:rsidP="00764BEF">
      <w:pPr>
        <w:spacing w:after="120"/>
        <w:rPr>
          <w:rFonts w:cs="Arial"/>
          <w:bCs/>
        </w:rPr>
      </w:pPr>
      <w:r w:rsidRPr="00DA03C9">
        <w:rPr>
          <w:rFonts w:cs="Arial"/>
        </w:rPr>
        <w:t>Commodity derivatives:</w:t>
      </w:r>
    </w:p>
    <w:p w14:paraId="72054F21" w14:textId="36CF9381" w:rsidR="00B61F5A" w:rsidRPr="00DA03C9" w:rsidRDefault="007052AA" w:rsidP="00B61F5A">
      <w:pPr>
        <w:spacing w:after="120"/>
        <w:rPr>
          <w:rFonts w:cs="Arial"/>
          <w:bCs/>
          <w:szCs w:val="20"/>
        </w:rPr>
      </w:pPr>
      <w:r w:rsidRPr="00DA03C9">
        <w:rPr>
          <w:rFonts w:cs="Arial"/>
          <w:bCs/>
        </w:rPr>
        <w:t xml:space="preserve">For commodity derivatives, </w:t>
      </w:r>
      <w:r w:rsidR="00B61F5A" w:rsidRPr="00DA03C9">
        <w:rPr>
          <w:rFonts w:cs="Arial"/>
          <w:bCs/>
        </w:rPr>
        <w:t xml:space="preserve">against the background of the review of the </w:t>
      </w:r>
      <w:proofErr w:type="spellStart"/>
      <w:r w:rsidR="00B61F5A" w:rsidRPr="00DA03C9">
        <w:rPr>
          <w:rFonts w:cs="Arial"/>
          <w:bCs/>
        </w:rPr>
        <w:t>MiFIR</w:t>
      </w:r>
      <w:proofErr w:type="spellEnd"/>
      <w:r w:rsidR="00B61F5A" w:rsidRPr="00DA03C9">
        <w:rPr>
          <w:rFonts w:cs="Arial"/>
          <w:bCs/>
        </w:rPr>
        <w:t xml:space="preserve"> pre-trade transparency regime and RTS 2, transparency requirements need to be balanced to avoid damaging liquidity, undermining the price discovery process and pushing market participants towards more bilateral (OTC) trading outside of transparent and regulated venues and outside central clearing. </w:t>
      </w:r>
      <w:r w:rsidR="00B61F5A" w:rsidRPr="00DA03C9">
        <w:rPr>
          <w:rFonts w:cs="Arial"/>
          <w:bCs/>
          <w:szCs w:val="20"/>
        </w:rPr>
        <w:t xml:space="preserve">Such developments clearly contradict the G20 objectives to create more transparent and resilient derivatives markets and go directly against the policy objectives of the MiFID framework. </w:t>
      </w:r>
    </w:p>
    <w:p w14:paraId="34ECBFD9" w14:textId="58435E5F" w:rsidR="00B61F5A" w:rsidRPr="00DA03C9" w:rsidRDefault="00B61F5A" w:rsidP="00B61F5A">
      <w:pPr>
        <w:spacing w:after="120"/>
        <w:rPr>
          <w:rFonts w:cs="Arial"/>
          <w:bCs/>
          <w:szCs w:val="20"/>
        </w:rPr>
      </w:pPr>
      <w:r w:rsidRPr="00DA03C9">
        <w:rPr>
          <w:rFonts w:cs="Arial"/>
          <w:bCs/>
          <w:szCs w:val="20"/>
        </w:rPr>
        <w:t xml:space="preserve">It </w:t>
      </w:r>
      <w:proofErr w:type="gramStart"/>
      <w:r w:rsidRPr="00DA03C9">
        <w:rPr>
          <w:rFonts w:cs="Arial"/>
          <w:bCs/>
          <w:szCs w:val="20"/>
        </w:rPr>
        <w:t>should be taken</w:t>
      </w:r>
      <w:proofErr w:type="gramEnd"/>
      <w:r w:rsidRPr="00DA03C9">
        <w:rPr>
          <w:rFonts w:cs="Arial"/>
          <w:bCs/>
          <w:szCs w:val="20"/>
        </w:rPr>
        <w:t xml:space="preserve"> into account that non-equity markets are fundamentally different from equity markets and that there are significant differences across the underlying non-equity markets themselves. This </w:t>
      </w:r>
      <w:proofErr w:type="gramStart"/>
      <w:r w:rsidRPr="00DA03C9">
        <w:rPr>
          <w:rFonts w:cs="Arial"/>
          <w:bCs/>
          <w:szCs w:val="20"/>
        </w:rPr>
        <w:t>is inter alia reflected</w:t>
      </w:r>
      <w:proofErr w:type="gramEnd"/>
      <w:r w:rsidRPr="00DA03C9">
        <w:rPr>
          <w:rFonts w:cs="Arial"/>
          <w:bCs/>
          <w:szCs w:val="20"/>
        </w:rPr>
        <w:t xml:space="preserve"> in differences such as how market participants use non-equity derivatives instruments for hedging and commercial purposes.</w:t>
      </w:r>
    </w:p>
    <w:p w14:paraId="7406F743" w14:textId="353711CA" w:rsidR="00320F08" w:rsidRPr="00DA03C9" w:rsidRDefault="00320F08" w:rsidP="00320F08">
      <w:pPr>
        <w:spacing w:after="120"/>
        <w:rPr>
          <w:rFonts w:cs="Arial"/>
          <w:bCs/>
          <w:szCs w:val="20"/>
        </w:rPr>
      </w:pPr>
      <w:r w:rsidRPr="00DA03C9">
        <w:rPr>
          <w:rFonts w:cs="Arial"/>
          <w:bCs/>
          <w:szCs w:val="20"/>
        </w:rPr>
        <w:t xml:space="preserve">The below important elements need to </w:t>
      </w:r>
      <w:proofErr w:type="gramStart"/>
      <w:r w:rsidRPr="00DA03C9">
        <w:rPr>
          <w:rFonts w:cs="Arial"/>
          <w:bCs/>
          <w:szCs w:val="20"/>
        </w:rPr>
        <w:t>be taken</w:t>
      </w:r>
      <w:proofErr w:type="gramEnd"/>
      <w:r w:rsidRPr="00DA03C9">
        <w:rPr>
          <w:rFonts w:cs="Arial"/>
          <w:bCs/>
          <w:szCs w:val="20"/>
        </w:rPr>
        <w:t xml:space="preserve"> into account regarding commodity derivatives:</w:t>
      </w:r>
    </w:p>
    <w:p w14:paraId="4A48B49C" w14:textId="77777777"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Compared to other financial instruments, commodity instruments are </w:t>
      </w:r>
      <w:proofErr w:type="gramStart"/>
      <w:r w:rsidRPr="00DA03C9">
        <w:rPr>
          <w:rFonts w:ascii="Arial" w:hAnsi="Arial" w:cs="Arial"/>
          <w:sz w:val="20"/>
          <w:szCs w:val="20"/>
        </w:rPr>
        <w:t>generally less liquid</w:t>
      </w:r>
      <w:proofErr w:type="gramEnd"/>
      <w:r w:rsidRPr="00DA03C9">
        <w:rPr>
          <w:rFonts w:ascii="Arial" w:hAnsi="Arial" w:cs="Arial"/>
          <w:sz w:val="20"/>
          <w:szCs w:val="20"/>
        </w:rPr>
        <w:t xml:space="preserve">. In order to achieve execution, market participants often trade via brokers organising transactions through a pre-executed agreement, subject to and executed under the rules of a specific exchange with immediate clearing at the exchanges’ respective central counterpart (CCP), rather than in a central </w:t>
      </w:r>
      <w:proofErr w:type="spellStart"/>
      <w:r w:rsidRPr="00DA03C9">
        <w:rPr>
          <w:rFonts w:ascii="Arial" w:hAnsi="Arial" w:cs="Arial"/>
          <w:sz w:val="20"/>
          <w:szCs w:val="20"/>
        </w:rPr>
        <w:t>orderbook</w:t>
      </w:r>
      <w:proofErr w:type="spellEnd"/>
      <w:r w:rsidRPr="00DA03C9">
        <w:rPr>
          <w:rFonts w:ascii="Arial" w:hAnsi="Arial" w:cs="Arial"/>
          <w:sz w:val="20"/>
          <w:szCs w:val="20"/>
        </w:rPr>
        <w:t xml:space="preserve"> where a satisfactory execution would be less likely.</w:t>
      </w:r>
    </w:p>
    <w:p w14:paraId="62459478" w14:textId="77777777"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Trades are concluded outside the regulated venues, though according to exchange rules, subject to </w:t>
      </w:r>
      <w:proofErr w:type="gramStart"/>
      <w:r w:rsidRPr="00DA03C9">
        <w:rPr>
          <w:rFonts w:ascii="Arial" w:hAnsi="Arial" w:cs="Arial"/>
          <w:sz w:val="20"/>
          <w:szCs w:val="20"/>
        </w:rPr>
        <w:t>being registered</w:t>
      </w:r>
      <w:proofErr w:type="gramEnd"/>
      <w:r w:rsidRPr="00DA03C9">
        <w:rPr>
          <w:rFonts w:ascii="Arial" w:hAnsi="Arial" w:cs="Arial"/>
          <w:sz w:val="20"/>
          <w:szCs w:val="20"/>
        </w:rPr>
        <w:t xml:space="preserve"> by and cleared in a dedicated venue/clearing house, to ensure maximum transparency for these nascent markets. </w:t>
      </w:r>
    </w:p>
    <w:p w14:paraId="16F827EF" w14:textId="77777777"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Additionally, these markets </w:t>
      </w:r>
      <w:proofErr w:type="gramStart"/>
      <w:r w:rsidRPr="00DA03C9">
        <w:rPr>
          <w:rFonts w:ascii="Arial" w:hAnsi="Arial" w:cs="Arial"/>
          <w:sz w:val="20"/>
          <w:szCs w:val="20"/>
        </w:rPr>
        <w:t>are used</w:t>
      </w:r>
      <w:proofErr w:type="gramEnd"/>
      <w:r w:rsidRPr="00DA03C9">
        <w:rPr>
          <w:rFonts w:ascii="Arial" w:hAnsi="Arial" w:cs="Arial"/>
          <w:sz w:val="20"/>
          <w:szCs w:val="20"/>
        </w:rPr>
        <w:t xml:space="preserve"> by professional investors to hedge risk connected to the production or consumption of an actual commodity. This often requires liaison via a broker to find a counterparty, without incurring undue risk. Alternatively, trades </w:t>
      </w:r>
      <w:proofErr w:type="gramStart"/>
      <w:r w:rsidRPr="00DA03C9">
        <w:rPr>
          <w:rFonts w:ascii="Arial" w:hAnsi="Arial" w:cs="Arial"/>
          <w:sz w:val="20"/>
          <w:szCs w:val="20"/>
        </w:rPr>
        <w:t>can be pre-arranged directly between two parties and reported for clearing for reduced counterparty risk</w:t>
      </w:r>
      <w:proofErr w:type="gramEnd"/>
      <w:r w:rsidRPr="00DA03C9">
        <w:rPr>
          <w:rFonts w:ascii="Arial" w:hAnsi="Arial" w:cs="Arial"/>
          <w:sz w:val="20"/>
          <w:szCs w:val="20"/>
        </w:rPr>
        <w:t>.</w:t>
      </w:r>
    </w:p>
    <w:p w14:paraId="1F0F6940" w14:textId="4D92E215"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Trade registration has been, and still is, essential to bringing more volumes to the cleared market under the exchange rules. We consider that the current pre-trade transparency regime is not fit for purpose and </w:t>
      </w:r>
      <w:proofErr w:type="gramStart"/>
      <w:r w:rsidRPr="00DA03C9">
        <w:rPr>
          <w:rFonts w:ascii="Arial" w:hAnsi="Arial" w:cs="Arial"/>
          <w:sz w:val="20"/>
          <w:szCs w:val="20"/>
        </w:rPr>
        <w:t>cannot be applied</w:t>
      </w:r>
      <w:proofErr w:type="gramEnd"/>
      <w:r w:rsidRPr="00DA03C9">
        <w:rPr>
          <w:rFonts w:ascii="Arial" w:hAnsi="Arial" w:cs="Arial"/>
          <w:sz w:val="20"/>
          <w:szCs w:val="20"/>
        </w:rPr>
        <w:t xml:space="preserve"> to trade registration facilities in energy derivatives </w:t>
      </w:r>
      <w:r w:rsidRPr="00DA03C9">
        <w:rPr>
          <w:rFonts w:ascii="Arial" w:hAnsi="Arial" w:cs="Arial"/>
          <w:sz w:val="20"/>
          <w:szCs w:val="20"/>
        </w:rPr>
        <w:lastRenderedPageBreak/>
        <w:t>markets without compromising their vital role in supporting the hedging activity of commercial market participants and in mitigating wider systemic risks.</w:t>
      </w:r>
    </w:p>
    <w:p w14:paraId="2D458CF3" w14:textId="77777777"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As observed by ESMA in section 3.1.2.1, bullet point 41 of this consultation paper, commodity derivatives stand for 42.87% of </w:t>
      </w:r>
      <w:r w:rsidRPr="00DA03C9">
        <w:rPr>
          <w:rFonts w:ascii="Arial" w:hAnsi="Arial" w:cs="Arial"/>
          <w:bCs/>
          <w:sz w:val="20"/>
          <w:szCs w:val="20"/>
        </w:rPr>
        <w:t>the</w:t>
      </w:r>
      <w:r w:rsidRPr="00DA03C9">
        <w:rPr>
          <w:rFonts w:ascii="Arial" w:hAnsi="Arial" w:cs="Arial"/>
          <w:b/>
          <w:sz w:val="20"/>
          <w:szCs w:val="20"/>
        </w:rPr>
        <w:t xml:space="preserve"> </w:t>
      </w:r>
      <w:r w:rsidRPr="00DA03C9">
        <w:rPr>
          <w:rFonts w:ascii="Arial" w:hAnsi="Arial" w:cs="Arial"/>
          <w:sz w:val="20"/>
          <w:szCs w:val="20"/>
        </w:rPr>
        <w:t xml:space="preserve">number of transactions per asset class in 2018, which is significantly high compared to the other asset classes under the non-equity segment. ESMA rightly concludes that the reason lies in the difference in the average size of the transactions, which is smaller for commodity derivatives (small notional amount and many transactions of small sizes) than, for instance, for interest rates derivatives (high notional amount and few transactions of a high size), which have the second largest share of transactions. This is especially true for the energy derivatives and confirms that commodities are substantially different from the other non-equity asset classes. It also confirms that the current design of pre-trade transparency regime for commodity derivatives is not fit for purpose, especially due to the high LIS threshold floor and the parameters that decide if a market is liquid or not (the Average Daily Notional Amount – ADNA, and the Average Daily Number of Transactions -ADNT). In result, the current vital mix of pre-arranged transactions and order book trading is heavily under threat. As mentioned above, these pre-arranged transactions are often catalysts for volume in the lit order book, especially the case for energy markets. </w:t>
      </w:r>
      <w:proofErr w:type="gramStart"/>
      <w:r w:rsidRPr="00DA03C9">
        <w:rPr>
          <w:rFonts w:ascii="Arial" w:hAnsi="Arial" w:cs="Arial"/>
          <w:sz w:val="20"/>
          <w:szCs w:val="20"/>
        </w:rPr>
        <w:t>Moreover, as the pre-arranged transactions are included in the overall assessment of market liquidity, contributing to both ADNA and ADNT, calculations done in the electricity derivatives space clearly shows that the size of the pre-arranged trades is on average slightly above the average of the order book and that the majority of both pre-arranged and order book transactions in notional value are often below the predetermined LIS minimum floor.</w:t>
      </w:r>
      <w:proofErr w:type="gramEnd"/>
      <w:r w:rsidRPr="00DA03C9">
        <w:rPr>
          <w:rFonts w:ascii="Arial" w:hAnsi="Arial" w:cs="Arial"/>
          <w:sz w:val="20"/>
          <w:szCs w:val="20"/>
        </w:rPr>
        <w:t xml:space="preserve"> Markets could be, and often are, in theoretical terms (based on ADNA and ADNT) liquid. However, as the liquidity in the market </w:t>
      </w:r>
      <w:proofErr w:type="gramStart"/>
      <w:r w:rsidRPr="00DA03C9">
        <w:rPr>
          <w:rFonts w:ascii="Arial" w:hAnsi="Arial" w:cs="Arial"/>
          <w:sz w:val="20"/>
          <w:szCs w:val="20"/>
        </w:rPr>
        <w:t>is based</w:t>
      </w:r>
      <w:proofErr w:type="gramEnd"/>
      <w:r w:rsidRPr="00DA03C9">
        <w:rPr>
          <w:rFonts w:ascii="Arial" w:hAnsi="Arial" w:cs="Arial"/>
          <w:sz w:val="20"/>
          <w:szCs w:val="20"/>
        </w:rPr>
        <w:t xml:space="preserve"> on the symbiosis of pre-arranged and order book transactions, the current regime significantly impairs the liquidity of such vital derivatives contracts. </w:t>
      </w:r>
    </w:p>
    <w:p w14:paraId="603D11CE" w14:textId="77777777"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In addition, the fact that the commodity derivatives are traded in ‘lots’ makes it even more difficult for pre-arranged trades to qualify for a waiver, such as LIS, as the minimum LIS value is Euro denominated. In the commodity derivatives space, the notional value of the contract is of little concern, as stakeholders in the market are concerned about the volume, such as </w:t>
      </w:r>
      <w:proofErr w:type="spellStart"/>
      <w:r w:rsidRPr="00DA03C9">
        <w:rPr>
          <w:rFonts w:ascii="Arial" w:hAnsi="Arial" w:cs="Arial"/>
          <w:sz w:val="20"/>
          <w:szCs w:val="20"/>
        </w:rPr>
        <w:t>therms</w:t>
      </w:r>
      <w:proofErr w:type="spellEnd"/>
      <w:r w:rsidRPr="00DA03C9">
        <w:rPr>
          <w:rFonts w:ascii="Arial" w:hAnsi="Arial" w:cs="Arial"/>
          <w:sz w:val="20"/>
          <w:szCs w:val="20"/>
        </w:rPr>
        <w:t xml:space="preserve">, megawatts or metric tonnes. The notional value is dependent on price, which can fluctuate heavily. Derivatives contracts in the energy space are in most cases also designed as weeks, months, seasons, quarters etc. where the inherent volume in each contract differs substantially. This again results in extremely variable notional values, making the LIS minimum threshold denominated in Euro ill fit for purpose, even though one can convert the notional value to lots. </w:t>
      </w:r>
    </w:p>
    <w:p w14:paraId="21E0E946" w14:textId="40186F0C" w:rsidR="00320F08" w:rsidRPr="00DA03C9" w:rsidRDefault="00320F08" w:rsidP="00B5211F">
      <w:pPr>
        <w:pStyle w:val="Bulletpoints"/>
        <w:numPr>
          <w:ilvl w:val="0"/>
          <w:numId w:val="38"/>
        </w:numPr>
        <w:spacing w:after="120"/>
        <w:rPr>
          <w:rFonts w:ascii="Arial" w:hAnsi="Arial" w:cs="Arial"/>
          <w:sz w:val="20"/>
          <w:szCs w:val="20"/>
        </w:rPr>
      </w:pPr>
      <w:r w:rsidRPr="00DA03C9">
        <w:rPr>
          <w:rFonts w:ascii="Arial" w:hAnsi="Arial" w:cs="Arial"/>
          <w:sz w:val="20"/>
          <w:szCs w:val="20"/>
        </w:rPr>
        <w:t xml:space="preserve">The second observation made by ESMA under bullet point 42 </w:t>
      </w:r>
      <w:proofErr w:type="gramStart"/>
      <w:r w:rsidRPr="00DA03C9">
        <w:rPr>
          <w:rFonts w:ascii="Arial" w:hAnsi="Arial" w:cs="Arial"/>
          <w:sz w:val="20"/>
          <w:szCs w:val="20"/>
        </w:rPr>
        <w:t>is, unfortunately, not reflecting</w:t>
      </w:r>
      <w:proofErr w:type="gramEnd"/>
      <w:r w:rsidRPr="00DA03C9">
        <w:rPr>
          <w:rFonts w:ascii="Arial" w:hAnsi="Arial" w:cs="Arial"/>
          <w:sz w:val="20"/>
          <w:szCs w:val="20"/>
        </w:rPr>
        <w:t xml:space="preserve"> the whole reality. It is stated that ‘</w:t>
      </w:r>
      <w:r w:rsidRPr="00DA03C9">
        <w:rPr>
          <w:rFonts w:ascii="Arial" w:hAnsi="Arial" w:cs="Arial"/>
          <w:i/>
          <w:iCs/>
          <w:sz w:val="20"/>
          <w:szCs w:val="20"/>
        </w:rPr>
        <w:t>With MiFID II being applied for two years it can be concluded that these concerns (impaired available liquidity and market efficiency) have not materialised and that the impact on most market participants from PTT was rather limited’</w:t>
      </w:r>
      <w:r w:rsidRPr="00DA03C9">
        <w:rPr>
          <w:rFonts w:ascii="Arial" w:hAnsi="Arial" w:cs="Arial"/>
          <w:sz w:val="20"/>
          <w:szCs w:val="20"/>
        </w:rPr>
        <w:t xml:space="preserve">. Due to the high </w:t>
      </w:r>
      <w:r w:rsidRPr="00DA03C9">
        <w:rPr>
          <w:rFonts w:ascii="Arial" w:hAnsi="Arial" w:cs="Arial"/>
          <w:sz w:val="20"/>
          <w:szCs w:val="20"/>
        </w:rPr>
        <w:lastRenderedPageBreak/>
        <w:t>likelihood that the current PTT regime would significantly impair available liquidity and undermine the efficient functioning of markets (based on the above argumentation and numerous talks with market participants), a number of energy derivatives exchanges did not impose the PTT regime for liquid markets between 3</w:t>
      </w:r>
      <w:r w:rsidRPr="00DA03C9">
        <w:rPr>
          <w:rFonts w:ascii="Arial" w:hAnsi="Arial" w:cs="Arial"/>
          <w:sz w:val="20"/>
          <w:szCs w:val="20"/>
          <w:vertAlign w:val="superscript"/>
        </w:rPr>
        <w:t>rd</w:t>
      </w:r>
      <w:r w:rsidRPr="00DA03C9">
        <w:rPr>
          <w:rFonts w:ascii="Arial" w:hAnsi="Arial" w:cs="Arial"/>
          <w:sz w:val="20"/>
          <w:szCs w:val="20"/>
        </w:rPr>
        <w:t xml:space="preserve"> January 2018 and 2</w:t>
      </w:r>
      <w:r w:rsidRPr="00DA03C9">
        <w:rPr>
          <w:rFonts w:ascii="Arial" w:hAnsi="Arial" w:cs="Arial"/>
          <w:sz w:val="20"/>
          <w:szCs w:val="20"/>
          <w:vertAlign w:val="superscript"/>
        </w:rPr>
        <w:t>nd</w:t>
      </w:r>
      <w:r w:rsidRPr="00DA03C9">
        <w:rPr>
          <w:rFonts w:ascii="Arial" w:hAnsi="Arial" w:cs="Arial"/>
          <w:sz w:val="20"/>
          <w:szCs w:val="20"/>
        </w:rPr>
        <w:t xml:space="preserve"> January 2020. </w:t>
      </w:r>
    </w:p>
    <w:p w14:paraId="72856A8D" w14:textId="0D1082D1" w:rsidR="00320F08" w:rsidRPr="00DA03C9" w:rsidRDefault="00B61F5A" w:rsidP="00320F08">
      <w:pPr>
        <w:spacing w:after="120"/>
        <w:rPr>
          <w:rFonts w:cs="Arial"/>
          <w:bCs/>
          <w:szCs w:val="20"/>
        </w:rPr>
      </w:pPr>
      <w:r w:rsidRPr="00DA03C9">
        <w:rPr>
          <w:rFonts w:cs="Arial"/>
          <w:bCs/>
        </w:rPr>
        <w:t>While w</w:t>
      </w:r>
      <w:r w:rsidR="00211A3A" w:rsidRPr="00DA03C9">
        <w:rPr>
          <w:rFonts w:cs="Arial"/>
          <w:bCs/>
        </w:rPr>
        <w:t xml:space="preserve">e </w:t>
      </w:r>
      <w:r w:rsidR="007052AA" w:rsidRPr="00DA03C9">
        <w:rPr>
          <w:rFonts w:cs="Arial"/>
          <w:bCs/>
        </w:rPr>
        <w:t xml:space="preserve">clearly </w:t>
      </w:r>
      <w:r w:rsidR="00211A3A" w:rsidRPr="00DA03C9">
        <w:rPr>
          <w:rFonts w:cs="Arial"/>
          <w:bCs/>
        </w:rPr>
        <w:t xml:space="preserve">support the policy aim of the </w:t>
      </w:r>
      <w:r w:rsidR="004E16B7" w:rsidRPr="00DA03C9">
        <w:rPr>
          <w:rFonts w:cs="Arial"/>
          <w:bCs/>
        </w:rPr>
        <w:t>pre-trade transparency regime</w:t>
      </w:r>
      <w:r w:rsidRPr="00DA03C9">
        <w:rPr>
          <w:rFonts w:cs="Arial"/>
          <w:bCs/>
        </w:rPr>
        <w:t>, we</w:t>
      </w:r>
      <w:r w:rsidR="00211A3A" w:rsidRPr="00DA03C9">
        <w:rPr>
          <w:rFonts w:cs="Arial"/>
          <w:bCs/>
        </w:rPr>
        <w:t xml:space="preserve"> b</w:t>
      </w:r>
      <w:r w:rsidRPr="00DA03C9">
        <w:rPr>
          <w:rFonts w:cs="Arial"/>
          <w:bCs/>
        </w:rPr>
        <w:t xml:space="preserve">elieve it </w:t>
      </w:r>
      <w:proofErr w:type="gramStart"/>
      <w:r w:rsidRPr="00DA03C9">
        <w:rPr>
          <w:rFonts w:cs="Arial"/>
          <w:bCs/>
        </w:rPr>
        <w:t>has not been</w:t>
      </w:r>
      <w:r w:rsidR="00211A3A" w:rsidRPr="00DA03C9">
        <w:rPr>
          <w:rFonts w:cs="Arial"/>
          <w:bCs/>
        </w:rPr>
        <w:t xml:space="preserve"> appropriately calibrated</w:t>
      </w:r>
      <w:proofErr w:type="gramEnd"/>
      <w:r w:rsidR="00211A3A" w:rsidRPr="00DA03C9">
        <w:rPr>
          <w:rFonts w:cs="Arial"/>
          <w:bCs/>
        </w:rPr>
        <w:t xml:space="preserve"> for commodity markets. In particular, we believe that a number of relatively illiquid commodity products have been wrongly classified as liquid</w:t>
      </w:r>
      <w:r w:rsidR="00320F08" w:rsidRPr="00DA03C9">
        <w:rPr>
          <w:rFonts w:cs="Arial"/>
        </w:rPr>
        <w:t>.</w:t>
      </w:r>
    </w:p>
    <w:p w14:paraId="72E70635" w14:textId="38483ECD" w:rsidR="00320F08" w:rsidRPr="00DA03C9" w:rsidRDefault="00211A3A" w:rsidP="00320F08">
      <w:pPr>
        <w:spacing w:after="120"/>
        <w:rPr>
          <w:rFonts w:cs="Arial"/>
        </w:rPr>
      </w:pPr>
      <w:r w:rsidRPr="00DA03C9">
        <w:rPr>
          <w:rFonts w:cs="Arial"/>
          <w:bCs/>
        </w:rPr>
        <w:t xml:space="preserve">Art. </w:t>
      </w:r>
      <w:proofErr w:type="gramStart"/>
      <w:r w:rsidRPr="00DA03C9">
        <w:rPr>
          <w:rFonts w:cs="Arial"/>
          <w:bCs/>
        </w:rPr>
        <w:t>8</w:t>
      </w:r>
      <w:proofErr w:type="gramEnd"/>
      <w:r w:rsidRPr="00DA03C9">
        <w:rPr>
          <w:rFonts w:cs="Arial"/>
          <w:bCs/>
        </w:rPr>
        <w:t xml:space="preserve"> of </w:t>
      </w:r>
      <w:proofErr w:type="spellStart"/>
      <w:r w:rsidRPr="00DA03C9">
        <w:rPr>
          <w:rFonts w:cs="Arial"/>
          <w:bCs/>
        </w:rPr>
        <w:t>MiFIR</w:t>
      </w:r>
      <w:proofErr w:type="spellEnd"/>
      <w:r w:rsidRPr="00DA03C9">
        <w:rPr>
          <w:rFonts w:cs="Arial"/>
          <w:bCs/>
        </w:rPr>
        <w:t xml:space="preserve"> rightly recognises that certain exceptions from the general requirements to publish pre-trade transparency data are necessary to preserve an orderly price discovery process and to allow nascent and niche markets to develop. However, </w:t>
      </w:r>
      <w:r w:rsidR="004E16B7" w:rsidRPr="00DA03C9">
        <w:rPr>
          <w:rFonts w:cs="Arial"/>
          <w:bCs/>
        </w:rPr>
        <w:t>we believe</w:t>
      </w:r>
      <w:r w:rsidRPr="00DA03C9">
        <w:rPr>
          <w:rFonts w:cs="Arial"/>
          <w:bCs/>
        </w:rPr>
        <w:t xml:space="preserve"> the current methodology for calculating the Illiquid Instrument (‘IL’) waiver and Large in Scale (‘LIS’) waiver has proven unworkable in practice. The reason for this is that a number of niche and nascent products are incorrectly classified as liquid based on the two liquidity criteria in table 7.1, Annex III, RTS 2, thus becoming subject to significant broader transparency requirements and made subject to excessive LIS thresholds. These thresholds need to be </w:t>
      </w:r>
      <w:proofErr w:type="gramStart"/>
      <w:r w:rsidRPr="00DA03C9">
        <w:rPr>
          <w:rFonts w:cs="Arial"/>
          <w:bCs/>
        </w:rPr>
        <w:t>revisited</w:t>
      </w:r>
      <w:proofErr w:type="gramEnd"/>
      <w:r w:rsidRPr="00DA03C9">
        <w:rPr>
          <w:rFonts w:cs="Arial"/>
          <w:bCs/>
        </w:rPr>
        <w:t xml:space="preserve"> and analysed further to find a proper level that better reflects the n</w:t>
      </w:r>
      <w:r w:rsidR="00320F08" w:rsidRPr="00DA03C9">
        <w:rPr>
          <w:rFonts w:cs="Arial"/>
          <w:bCs/>
        </w:rPr>
        <w:t>ature of the commodity market.</w:t>
      </w:r>
    </w:p>
    <w:p w14:paraId="21932EEE" w14:textId="2144473E" w:rsidR="004E16B7" w:rsidRPr="00DA03C9" w:rsidRDefault="004E16B7" w:rsidP="00764BEF">
      <w:pPr>
        <w:spacing w:after="120"/>
        <w:rPr>
          <w:rFonts w:cs="Arial"/>
          <w:bCs/>
          <w:szCs w:val="20"/>
        </w:rPr>
      </w:pPr>
      <w:r w:rsidRPr="00DA03C9">
        <w:rPr>
          <w:rFonts w:cs="Arial"/>
          <w:bCs/>
          <w:szCs w:val="20"/>
          <w:highlight w:val="yellow"/>
        </w:rPr>
        <w:t>Firstly, in order to mitigate the negative consequences of the currently ill-calibrated IL</w:t>
      </w:r>
      <w:r w:rsidR="00320F08" w:rsidRPr="00DA03C9">
        <w:rPr>
          <w:rFonts w:cs="Arial"/>
          <w:bCs/>
          <w:szCs w:val="20"/>
          <w:highlight w:val="yellow"/>
        </w:rPr>
        <w:t xml:space="preserve"> and LIS waiver thresholds the </w:t>
      </w:r>
      <w:r w:rsidRPr="00DA03C9">
        <w:rPr>
          <w:rFonts w:cs="Arial"/>
          <w:bCs/>
          <w:szCs w:val="20"/>
          <w:highlight w:val="yellow"/>
        </w:rPr>
        <w:t xml:space="preserve">pre-trade transparency regime, changes </w:t>
      </w:r>
      <w:proofErr w:type="gramStart"/>
      <w:r w:rsidRPr="00DA03C9">
        <w:rPr>
          <w:rFonts w:cs="Arial"/>
          <w:bCs/>
          <w:szCs w:val="20"/>
          <w:highlight w:val="yellow"/>
        </w:rPr>
        <w:t>should be made</w:t>
      </w:r>
      <w:proofErr w:type="gramEnd"/>
      <w:r w:rsidRPr="00DA03C9">
        <w:rPr>
          <w:rFonts w:cs="Arial"/>
          <w:bCs/>
          <w:szCs w:val="20"/>
          <w:highlight w:val="yellow"/>
        </w:rPr>
        <w:t xml:space="preserve"> to the Level 2 legislation.</w:t>
      </w:r>
    </w:p>
    <w:p w14:paraId="6E6F37F6" w14:textId="77777777" w:rsidR="009B7A42" w:rsidRPr="00DA03C9" w:rsidRDefault="009B7A42" w:rsidP="009B7A42">
      <w:pPr>
        <w:spacing w:after="120"/>
        <w:rPr>
          <w:rFonts w:cs="Arial"/>
          <w:bCs/>
          <w:szCs w:val="20"/>
          <w:highlight w:val="yellow"/>
        </w:rPr>
      </w:pPr>
      <w:r w:rsidRPr="00DA03C9">
        <w:rPr>
          <w:rFonts w:cs="Arial"/>
          <w:bCs/>
          <w:szCs w:val="20"/>
          <w:highlight w:val="yellow"/>
        </w:rPr>
        <w:t xml:space="preserve">Secondly, as for Level 1, we propose that the hedging exemption available in </w:t>
      </w:r>
      <w:proofErr w:type="spellStart"/>
      <w:r w:rsidRPr="00DA03C9">
        <w:rPr>
          <w:rFonts w:cs="Arial"/>
          <w:bCs/>
          <w:szCs w:val="20"/>
          <w:highlight w:val="yellow"/>
        </w:rPr>
        <w:t>MiFIR</w:t>
      </w:r>
      <w:proofErr w:type="spellEnd"/>
      <w:r w:rsidRPr="00DA03C9">
        <w:rPr>
          <w:rFonts w:cs="Arial"/>
          <w:bCs/>
          <w:szCs w:val="20"/>
          <w:highlight w:val="yellow"/>
        </w:rPr>
        <w:t xml:space="preserve"> Article 8(1) </w:t>
      </w:r>
      <w:proofErr w:type="gramStart"/>
      <w:r w:rsidRPr="00DA03C9">
        <w:rPr>
          <w:rFonts w:cs="Arial"/>
          <w:bCs/>
          <w:szCs w:val="20"/>
          <w:highlight w:val="yellow"/>
        </w:rPr>
        <w:t>is extended</w:t>
      </w:r>
      <w:proofErr w:type="gramEnd"/>
      <w:r w:rsidRPr="00DA03C9">
        <w:rPr>
          <w:rFonts w:cs="Arial"/>
          <w:bCs/>
          <w:szCs w:val="20"/>
          <w:highlight w:val="yellow"/>
        </w:rPr>
        <w:t xml:space="preserve"> to cover all market participants managing risks arising from activity in the physical market, including financial counterparties. Such a solution would allow for more order book liquidity without jeopardising the ability of commodity derivatives markets to fulfil their function. In addition, it would better take into account the important risk management function of commodity derivatives trading.</w:t>
      </w:r>
    </w:p>
    <w:p w14:paraId="4A4CF699" w14:textId="0A79BCA9" w:rsidR="00A8728B" w:rsidRDefault="009B7A42" w:rsidP="00A8728B">
      <w:r w:rsidRPr="00DA03C9">
        <w:rPr>
          <w:rFonts w:cs="Arial"/>
          <w:bCs/>
          <w:szCs w:val="20"/>
          <w:highlight w:val="yellow"/>
        </w:rPr>
        <w:t xml:space="preserve">Further, we strongly support ESMA’s methodology when it comes to deciding liquidity on a market level, based on the delivery/cash settlement location, which secures that products listed on two or more exchanges (with the same underlying) are treated equally in terms of pre trade transparency (PTT). Without this, it could lead to </w:t>
      </w:r>
      <w:proofErr w:type="gramStart"/>
      <w:r w:rsidRPr="00DA03C9">
        <w:rPr>
          <w:rFonts w:cs="Arial"/>
          <w:bCs/>
          <w:szCs w:val="20"/>
          <w:highlight w:val="yellow"/>
        </w:rPr>
        <w:t>short term</w:t>
      </w:r>
      <w:proofErr w:type="gramEnd"/>
      <w:r w:rsidRPr="00DA03C9">
        <w:rPr>
          <w:rFonts w:cs="Arial"/>
          <w:bCs/>
          <w:szCs w:val="20"/>
          <w:highlight w:val="yellow"/>
        </w:rPr>
        <w:t xml:space="preserve"> arbitrage to circumvent PTT. The use of the EIC Y Codes are very efficient in this matter and has created a levelled playing field for all exchanges listing commodity derivatives with the same physical underlying</w:t>
      </w:r>
      <w:r w:rsidR="00E617DE" w:rsidRPr="00ED19FC">
        <w:rPr>
          <w:rFonts w:asciiTheme="minorHAnsi" w:hAnsiTheme="minorHAnsi" w:cstheme="majorHAnsi"/>
        </w:rPr>
        <w:t>.</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w:t>
      </w:r>
      <w:r w:rsidRPr="007254DD">
        <w:lastRenderedPageBreak/>
        <w:t>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69F7BA37" w14:textId="3F140704" w:rsidR="00F8013C" w:rsidRPr="00DA03C9" w:rsidRDefault="00F8013C" w:rsidP="00764BEF">
      <w:pPr>
        <w:spacing w:after="120"/>
        <w:rPr>
          <w:rFonts w:cs="Arial"/>
          <w:bCs/>
        </w:rPr>
      </w:pPr>
      <w:permStart w:id="1066216518" w:edGrp="everyone"/>
      <w:proofErr w:type="gramStart"/>
      <w:r w:rsidRPr="00DA03C9">
        <w:rPr>
          <w:rFonts w:cs="Arial"/>
        </w:rPr>
        <w:t>Nasdaq</w:t>
      </w:r>
      <w:proofErr w:type="gramEnd"/>
      <w:r w:rsidRPr="00DA03C9">
        <w:rPr>
          <w:rFonts w:cs="Arial"/>
        </w:rPr>
        <w:t xml:space="preserve"> believes the pre-trade transparency regime needs to be simplified. Therefore, we support the proposal to remove the SSTI waiver and to lower the LIS threshold for commodity derivatives and bonds. As already mentioned, it is important that the liquidity calculations </w:t>
      </w:r>
      <w:proofErr w:type="gramStart"/>
      <w:r w:rsidRPr="00DA03C9">
        <w:rPr>
          <w:rFonts w:cs="Arial"/>
        </w:rPr>
        <w:t>are</w:t>
      </w:r>
      <w:proofErr w:type="gramEnd"/>
      <w:r w:rsidRPr="00DA03C9">
        <w:rPr>
          <w:rFonts w:cs="Arial"/>
        </w:rPr>
        <w:t xml:space="preserve"> also reviewed so that bonds that actively trade fall within scope of the transparency requirements. This should improve the level of pre-trade transparency available to the benefit of investors and the market in general.</w:t>
      </w:r>
    </w:p>
    <w:p w14:paraId="4569C238" w14:textId="2000BFE1" w:rsidR="00F8013C" w:rsidRPr="009A0721" w:rsidRDefault="00F8013C" w:rsidP="009B7A42">
      <w:pPr>
        <w:spacing w:after="120"/>
        <w:rPr>
          <w:b/>
        </w:rPr>
      </w:pPr>
      <w:r>
        <w:t xml:space="preserve">Furthermore, with respect to the ETD markets, we </w:t>
      </w:r>
      <w:r w:rsidRPr="00C40174">
        <w:t xml:space="preserve">support ESMA’s current approach and </w:t>
      </w:r>
      <w:proofErr w:type="gramStart"/>
      <w:r w:rsidRPr="00C40174">
        <w:t>methodology which</w:t>
      </w:r>
      <w:proofErr w:type="gramEnd"/>
      <w:r w:rsidRPr="00C40174">
        <w:t xml:space="preserve"> aims to increase the proportion of lit trading while preserving the needs of market participants for pre-arranged transactions based on an analysis of the instruments’ liquidity. In light of the recent market conditions and in particular to the Covid-19 crisis, we believe the current </w:t>
      </w:r>
      <w:r w:rsidRPr="00085338">
        <w:rPr>
          <w:bCs/>
        </w:rPr>
        <w:t>rules are</w:t>
      </w:r>
      <w:r w:rsidRPr="00C40174">
        <w:t xml:space="preserve"> appropriate and that higher thresholds would have considerably complicated the situation</w:t>
      </w:r>
      <w:r>
        <w:rPr>
          <w:b/>
        </w:rPr>
        <w:t xml:space="preserve">. </w:t>
      </w:r>
      <w:r w:rsidRPr="00C40174">
        <w:t>Volatility</w:t>
      </w:r>
      <w:r>
        <w:rPr>
          <w:b/>
        </w:rPr>
        <w:t xml:space="preserve">, </w:t>
      </w:r>
      <w:r w:rsidRPr="00085338">
        <w:rPr>
          <w:bCs/>
        </w:rPr>
        <w:t>however</w:t>
      </w:r>
      <w:r>
        <w:rPr>
          <w:b/>
        </w:rPr>
        <w:t xml:space="preserve">, </w:t>
      </w:r>
      <w:proofErr w:type="gramStart"/>
      <w:r>
        <w:t>i</w:t>
      </w:r>
      <w:r w:rsidRPr="00C40174">
        <w:t>mpacted</w:t>
      </w:r>
      <w:proofErr w:type="gramEnd"/>
      <w:r w:rsidRPr="00C40174">
        <w:t xml:space="preserve"> the broader market</w:t>
      </w:r>
      <w:r>
        <w:t>, as well as market makers ability to quote,</w:t>
      </w:r>
      <w:r>
        <w:rPr>
          <w:b/>
        </w:rPr>
        <w:t xml:space="preserve"> </w:t>
      </w:r>
      <w:r w:rsidRPr="00085338">
        <w:rPr>
          <w:bCs/>
        </w:rPr>
        <w:t>and h</w:t>
      </w:r>
      <w:r w:rsidRPr="00C40174">
        <w:t>ence there seem to be two points where some flexibility could benefit to the hedging needs:</w:t>
      </w:r>
    </w:p>
    <w:p w14:paraId="76DF4F9A" w14:textId="71D911A4" w:rsidR="00F96768" w:rsidRDefault="00F96768" w:rsidP="00A8728B">
      <w:r>
        <w:t>(</w:t>
      </w:r>
      <w:proofErr w:type="spellStart"/>
      <w:r>
        <w:t>i</w:t>
      </w:r>
      <w:proofErr w:type="spellEnd"/>
      <w:r>
        <w:t>) S</w:t>
      </w:r>
      <w:r w:rsidR="00F8013C" w:rsidRPr="00C40174">
        <w:t xml:space="preserve">ome flexibility to lower minimum thresholds in </w:t>
      </w:r>
      <w:r w:rsidR="00F8013C" w:rsidRPr="00F96768">
        <w:rPr>
          <w:bCs/>
        </w:rPr>
        <w:t>high volatile market conditions</w:t>
      </w:r>
      <w:r w:rsidR="00F8013C" w:rsidRPr="00C40174">
        <w:t xml:space="preserve"> would facilitate hedging. We suggest</w:t>
      </w:r>
      <w:r w:rsidR="00F8013C">
        <w:t xml:space="preserve"> halving </w:t>
      </w:r>
      <w:r w:rsidR="00F8013C" w:rsidRPr="00C40174">
        <w:t>the existing minimum sizes in these cases. As a reminder</w:t>
      </w:r>
      <w:r w:rsidR="00F8013C">
        <w:t>,</w:t>
      </w:r>
      <w:r w:rsidR="00F8013C" w:rsidRPr="00C40174">
        <w:t xml:space="preserve"> in stressed markets market makers can double the spread and halve the quantities. </w:t>
      </w:r>
    </w:p>
    <w:p w14:paraId="45A3FE53" w14:textId="77777777" w:rsidR="00F96768" w:rsidRDefault="00F96768" w:rsidP="00A8728B"/>
    <w:p w14:paraId="108232FE" w14:textId="7C2E6C91" w:rsidR="00A8728B" w:rsidRDefault="00F96768" w:rsidP="00A8728B">
      <w:r>
        <w:t>(ii) W</w:t>
      </w:r>
      <w:r w:rsidR="00F8013C" w:rsidRPr="00C40174">
        <w:t xml:space="preserve">hatever the market conditions, the liquidity criteria to set the minimum volumes thresholds could be fine-tuned. Considering an option contracts for instance, liquidity does not concentrate equally in function of the strike price or the maturity. Indeed, the level of liquidity if much lower (a) deep </w:t>
      </w:r>
      <w:r w:rsidR="00F8013C">
        <w:t>i</w:t>
      </w:r>
      <w:r w:rsidR="00F8013C" w:rsidRPr="00C40174">
        <w:t>n-/</w:t>
      </w:r>
      <w:r w:rsidR="00F8013C">
        <w:t>o</w:t>
      </w:r>
      <w:r w:rsidR="00F8013C" w:rsidRPr="00C40174">
        <w:t>ut-of-</w:t>
      </w:r>
      <w:r w:rsidR="00F8013C">
        <w:t>t</w:t>
      </w:r>
      <w:r w:rsidR="00F8013C" w:rsidRPr="00C40174">
        <w:t>he-</w:t>
      </w:r>
      <w:r w:rsidR="00F8013C">
        <w:t>m</w:t>
      </w:r>
      <w:r w:rsidR="00F8013C" w:rsidRPr="00C40174">
        <w:t>oney options and (b) Long-dated options. Based on this discrepancy in the distribution of liquidity, we recommend to lower the L</w:t>
      </w:r>
      <w:r w:rsidR="00F8013C">
        <w:t>I</w:t>
      </w:r>
      <w:r w:rsidR="00F8013C" w:rsidRPr="00C40174">
        <w:t xml:space="preserve">S threshold deep </w:t>
      </w:r>
      <w:r w:rsidR="00F8013C">
        <w:t>i</w:t>
      </w:r>
      <w:r w:rsidR="00F8013C" w:rsidRPr="00C40174">
        <w:t>n-/</w:t>
      </w:r>
      <w:r w:rsidR="00F8013C">
        <w:t>o</w:t>
      </w:r>
      <w:r w:rsidR="00F8013C" w:rsidRPr="00C40174">
        <w:t>ut-of-</w:t>
      </w:r>
      <w:r w:rsidR="00F8013C">
        <w:t>t</w:t>
      </w:r>
      <w:r w:rsidR="00F8013C" w:rsidRPr="00C40174">
        <w:t>he-</w:t>
      </w:r>
      <w:r w:rsidR="00F8013C">
        <w:t>m</w:t>
      </w:r>
      <w:r w:rsidR="00F8013C" w:rsidRPr="00C40174">
        <w:t xml:space="preserve">oney options (Strike price </w:t>
      </w:r>
      <w:proofErr w:type="gramStart"/>
      <w:r w:rsidR="00F8013C" w:rsidRPr="00C40174">
        <w:t>&gt;  ±</w:t>
      </w:r>
      <w:proofErr w:type="gramEnd"/>
      <w:r w:rsidR="00F8013C" w:rsidRPr="00C40174">
        <w:t>10% of the opening price) and long-dated options (maturity &gt; 12 months).</w:t>
      </w:r>
    </w:p>
    <w:p w14:paraId="1C07F77B" w14:textId="4C439120" w:rsidR="00A8728B" w:rsidRDefault="00A8728B" w:rsidP="00A8728B"/>
    <w:p w14:paraId="14E074C4" w14:textId="77777777" w:rsidR="00F96768" w:rsidRPr="00CF79F9" w:rsidRDefault="00F96768" w:rsidP="00F96768">
      <w:pPr>
        <w:spacing w:after="120"/>
        <w:rPr>
          <w:bCs/>
          <w:highlight w:val="yellow"/>
        </w:rPr>
      </w:pPr>
      <w:r w:rsidRPr="00CF79F9">
        <w:rPr>
          <w:highlight w:val="yellow"/>
        </w:rPr>
        <w:t xml:space="preserve">For commodity markets the ‘one size fits all’ approach is extremely </w:t>
      </w:r>
      <w:proofErr w:type="gramStart"/>
      <w:r w:rsidRPr="00CF79F9">
        <w:rPr>
          <w:highlight w:val="yellow"/>
        </w:rPr>
        <w:t>damaging</w:t>
      </w:r>
      <w:proofErr w:type="gramEnd"/>
      <w:r w:rsidRPr="00CF79F9">
        <w:rPr>
          <w:highlight w:val="yellow"/>
        </w:rPr>
        <w:t xml:space="preserve"> as they are vastly different from both equity and other non-equity derivatives markets</w:t>
      </w:r>
      <w:r>
        <w:rPr>
          <w:highlight w:val="yellow"/>
        </w:rPr>
        <w:t xml:space="preserve"> (see Q1)</w:t>
      </w:r>
      <w:r w:rsidRPr="00CF79F9">
        <w:rPr>
          <w:highlight w:val="yellow"/>
        </w:rPr>
        <w:t xml:space="preserve">. </w:t>
      </w:r>
      <w:r w:rsidRPr="00CF79F9">
        <w:rPr>
          <w:bCs/>
          <w:highlight w:val="yellow"/>
        </w:rPr>
        <w:t xml:space="preserve">Currently, </w:t>
      </w:r>
      <w:proofErr w:type="spellStart"/>
      <w:r w:rsidRPr="00CF79F9">
        <w:rPr>
          <w:bCs/>
          <w:highlight w:val="yellow"/>
        </w:rPr>
        <w:t>MiFIR</w:t>
      </w:r>
      <w:proofErr w:type="spellEnd"/>
      <w:r w:rsidRPr="00CF79F9">
        <w:rPr>
          <w:bCs/>
          <w:highlight w:val="yellow"/>
        </w:rPr>
        <w:t xml:space="preserve"> rightly recognises that certain exemptions </w:t>
      </w:r>
      <w:proofErr w:type="gramStart"/>
      <w:r w:rsidRPr="00CF79F9">
        <w:rPr>
          <w:bCs/>
          <w:highlight w:val="yellow"/>
        </w:rPr>
        <w:t>can be granted</w:t>
      </w:r>
      <w:proofErr w:type="gramEnd"/>
      <w:r w:rsidRPr="00CF79F9">
        <w:rPr>
          <w:bCs/>
          <w:highlight w:val="yellow"/>
        </w:rPr>
        <w:t xml:space="preserve"> from the general requirements to preserve orderly price discovery processes and allow in particular illiquid and nascent markets to develop. We believe the current calibration of the IL and LIS waiver thresholds severely limits the development of niche and nascent contracts. The reason for this is that a number of niche and nascent products are incorrectly classified as liquid based on the two liquidity criteria in table 7.1, Annex III, RTS 2, thus becoming subject to significant broader transparency requirements and made subject to excessive LIS thresholds. The current shortcomings of the regime </w:t>
      </w:r>
      <w:r w:rsidRPr="00CF79F9">
        <w:rPr>
          <w:bCs/>
          <w:highlight w:val="yellow"/>
        </w:rPr>
        <w:lastRenderedPageBreak/>
        <w:t xml:space="preserve">have sometimes prevented market participants from moving to transparent and regulated venues and central clearing. As outlined in Q1, following the specific market reality and the role of pre-negotiated transactions in energy markets, we recommend a review of the current ill-calibrated IL and LIS waiver thresholds size and methodology. Furthermore, we propose that the hedging exemption in Article 8(1) of </w:t>
      </w:r>
      <w:proofErr w:type="spellStart"/>
      <w:r w:rsidRPr="00CF79F9">
        <w:rPr>
          <w:bCs/>
          <w:highlight w:val="yellow"/>
        </w:rPr>
        <w:t>MiFIR</w:t>
      </w:r>
      <w:proofErr w:type="spellEnd"/>
      <w:r w:rsidRPr="00CF79F9">
        <w:rPr>
          <w:bCs/>
          <w:highlight w:val="yellow"/>
        </w:rPr>
        <w:t xml:space="preserve"> </w:t>
      </w:r>
      <w:proofErr w:type="gramStart"/>
      <w:r w:rsidRPr="00CF79F9">
        <w:rPr>
          <w:bCs/>
          <w:highlight w:val="yellow"/>
        </w:rPr>
        <w:t>be extended</w:t>
      </w:r>
      <w:proofErr w:type="gramEnd"/>
      <w:r w:rsidRPr="00CF79F9">
        <w:rPr>
          <w:bCs/>
          <w:highlight w:val="yellow"/>
        </w:rPr>
        <w:t xml:space="preserve"> to financial counterparties for pre-trade transparency purposes. </w:t>
      </w:r>
    </w:p>
    <w:p w14:paraId="01EC4E83" w14:textId="77777777" w:rsidR="00F96768" w:rsidRPr="00CF79F9" w:rsidRDefault="00F96768" w:rsidP="00F96768">
      <w:pPr>
        <w:spacing w:after="120"/>
        <w:rPr>
          <w:bCs/>
          <w:highlight w:val="yellow"/>
        </w:rPr>
      </w:pPr>
      <w:r w:rsidRPr="00CF79F9">
        <w:rPr>
          <w:bCs/>
          <w:highlight w:val="yellow"/>
        </w:rPr>
        <w:t xml:space="preserve">In doing so, the regime would allow for pre-negotiated trades of the most illiquid and </w:t>
      </w:r>
      <w:r>
        <w:rPr>
          <w:bCs/>
          <w:highlight w:val="yellow"/>
        </w:rPr>
        <w:t xml:space="preserve">new contracts to </w:t>
      </w:r>
      <w:proofErr w:type="gramStart"/>
      <w:r>
        <w:rPr>
          <w:bCs/>
          <w:highlight w:val="yellow"/>
        </w:rPr>
        <w:t xml:space="preserve">be </w:t>
      </w:r>
      <w:r w:rsidRPr="00CF79F9">
        <w:rPr>
          <w:bCs/>
          <w:highlight w:val="yellow"/>
        </w:rPr>
        <w:t>brought</w:t>
      </w:r>
      <w:proofErr w:type="gramEnd"/>
      <w:r w:rsidRPr="00CF79F9">
        <w:rPr>
          <w:bCs/>
          <w:highlight w:val="yellow"/>
        </w:rPr>
        <w:t xml:space="preserve"> to an exchange and subsequently familiarise energy commodity traders with the beneficial features of increased transparency and secure on-venue trading.</w:t>
      </w:r>
    </w:p>
    <w:p w14:paraId="618C99C1" w14:textId="77777777" w:rsidR="00F96768" w:rsidRPr="00CF79F9" w:rsidRDefault="00F96768" w:rsidP="00F96768">
      <w:pPr>
        <w:spacing w:after="120"/>
        <w:rPr>
          <w:bCs/>
          <w:highlight w:val="yellow"/>
        </w:rPr>
      </w:pPr>
      <w:r w:rsidRPr="00CF79F9">
        <w:rPr>
          <w:bCs/>
          <w:highlight w:val="yellow"/>
        </w:rPr>
        <w:t xml:space="preserve">Moreover, we agree that the waivers </w:t>
      </w:r>
      <w:proofErr w:type="gramStart"/>
      <w:r w:rsidRPr="00CF79F9">
        <w:rPr>
          <w:bCs/>
          <w:highlight w:val="yellow"/>
        </w:rPr>
        <w:t>could be simplified</w:t>
      </w:r>
      <w:proofErr w:type="gramEnd"/>
      <w:r w:rsidRPr="00CF79F9">
        <w:rPr>
          <w:bCs/>
          <w:highlight w:val="yellow"/>
        </w:rPr>
        <w:t xml:space="preserve">, such as </w:t>
      </w:r>
      <w:r>
        <w:rPr>
          <w:bCs/>
          <w:highlight w:val="yellow"/>
        </w:rPr>
        <w:t xml:space="preserve">by </w:t>
      </w:r>
      <w:r w:rsidRPr="00CF79F9">
        <w:rPr>
          <w:bCs/>
          <w:highlight w:val="yellow"/>
        </w:rPr>
        <w:t xml:space="preserve">removing the SSTI and SSTI package waivers, and reference these towards the LIS thresholds instead. We encourage ESMA to keep the OMF and the EFP waiver, as both of these are important for the commodity derivatives market. </w:t>
      </w:r>
    </w:p>
    <w:p w14:paraId="69F37AB9" w14:textId="77777777" w:rsidR="00F96768" w:rsidRDefault="00F96768" w:rsidP="00F96768">
      <w:pPr>
        <w:spacing w:after="120"/>
        <w:rPr>
          <w:bCs/>
        </w:rPr>
      </w:pPr>
      <w:r w:rsidRPr="00CF79F9">
        <w:rPr>
          <w:bCs/>
          <w:highlight w:val="yellow"/>
        </w:rPr>
        <w:t xml:space="preserve">Lastly, one waiver that is missing from the overall picture is a waiver for Exchange for Swap (EFS). </w:t>
      </w:r>
      <w:proofErr w:type="gramStart"/>
      <w:r w:rsidRPr="00CF79F9">
        <w:rPr>
          <w:bCs/>
          <w:highlight w:val="yellow"/>
        </w:rPr>
        <w:t>An EFS</w:t>
      </w:r>
      <w:proofErr w:type="gramEnd"/>
      <w:r w:rsidRPr="00CF79F9">
        <w:rPr>
          <w:bCs/>
          <w:highlight w:val="yellow"/>
        </w:rPr>
        <w:t xml:space="preserve">, in our terms, is a trade that has been concluded bilaterally in the past, where the participants now want the trade to be reported to a trading venue for the purpose of clearing. There are great benefits if such trades </w:t>
      </w:r>
      <w:proofErr w:type="gramStart"/>
      <w:r w:rsidRPr="00CF79F9">
        <w:rPr>
          <w:bCs/>
          <w:highlight w:val="yellow"/>
        </w:rPr>
        <w:t>are reported</w:t>
      </w:r>
      <w:proofErr w:type="gramEnd"/>
      <w:r w:rsidRPr="00CF79F9">
        <w:rPr>
          <w:bCs/>
          <w:highlight w:val="yellow"/>
        </w:rPr>
        <w:t xml:space="preserve"> to a regulated market and for clearing, such as reduced systemic risk, post trade transparency and increased liquidity. </w:t>
      </w:r>
      <w:proofErr w:type="gramStart"/>
      <w:r w:rsidRPr="00CF79F9">
        <w:rPr>
          <w:bCs/>
          <w:highlight w:val="yellow"/>
        </w:rPr>
        <w:t>An EFS</w:t>
      </w:r>
      <w:proofErr w:type="gramEnd"/>
      <w:r w:rsidRPr="00CF79F9">
        <w:rPr>
          <w:bCs/>
          <w:highlight w:val="yellow"/>
        </w:rPr>
        <w:t xml:space="preserve"> can for instance occur when the trading venue does not have the particular year or quarter available for trading and clearing, but the participant still want to conclude a trade bilaterally, with the intention to report it to the exchange when the instrument series becomes available. A dedicated waiver for such transaction would be beneficial for both the regulators, trading venues and market participants</w:t>
      </w:r>
      <w:r>
        <w:rPr>
          <w:bCs/>
          <w:highlight w:val="yellow"/>
        </w:rPr>
        <w:t xml:space="preserve"> in the commodity markets</w:t>
      </w:r>
      <w:r w:rsidRPr="00CF79F9">
        <w:rPr>
          <w:bCs/>
          <w:highlight w:val="yellow"/>
        </w:rPr>
        <w:t>.</w:t>
      </w:r>
      <w:r w:rsidRPr="002A511D">
        <w:rPr>
          <w:bCs/>
        </w:rPr>
        <w:t xml:space="preserve"> </w:t>
      </w:r>
    </w:p>
    <w:permEnd w:id="1066216518"/>
    <w:p w14:paraId="57236293" w14:textId="77777777" w:rsidR="00A8728B" w:rsidRDefault="00A8728B" w:rsidP="00A8728B"/>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78019F84" w14:textId="4EF4733C" w:rsidR="00BB4CF0" w:rsidRDefault="00BB4CF0" w:rsidP="00764BEF">
      <w:pPr>
        <w:spacing w:after="120"/>
        <w:rPr>
          <w:bCs/>
        </w:rPr>
      </w:pPr>
      <w:permStart w:id="473446270" w:edGrp="everyone"/>
      <w:r>
        <w:rPr>
          <w:bCs/>
        </w:rPr>
        <w:t xml:space="preserve">As ESMA correctly stated, the SSTI-waiver missed its mark of providing a focused product-specific transparency threshold for instruments that </w:t>
      </w:r>
      <w:proofErr w:type="gramStart"/>
      <w:r>
        <w:rPr>
          <w:bCs/>
        </w:rPr>
        <w:t>are not traded</w:t>
      </w:r>
      <w:proofErr w:type="gramEnd"/>
      <w:r>
        <w:rPr>
          <w:bCs/>
        </w:rPr>
        <w:t xml:space="preserve"> in the usual definition of ‘large in </w:t>
      </w:r>
      <w:r>
        <w:rPr>
          <w:bCs/>
        </w:rPr>
        <w:lastRenderedPageBreak/>
        <w:t xml:space="preserve">scale’. We are therefore supportive of its deletion for the sake of a simpler, more effective and fairer transparency regime. </w:t>
      </w:r>
    </w:p>
    <w:p w14:paraId="71517E44" w14:textId="77777777" w:rsidR="00BB4CF0" w:rsidRDefault="00BB4CF0" w:rsidP="00764BEF">
      <w:pPr>
        <w:spacing w:after="120"/>
        <w:rPr>
          <w:bCs/>
        </w:rPr>
      </w:pPr>
      <w:r>
        <w:rPr>
          <w:bCs/>
        </w:rPr>
        <w:t xml:space="preserve">To compensate the deletion of the SSTI-waiver but rather a re-calibration of the existing methodology to determine LIS-thresholds where appropriate, a reduction in some asset classes, i.e. commodity derivatives and bonds, would help to mitigate the adaption of waivers. We believe a tailored approach, </w:t>
      </w:r>
      <w:proofErr w:type="spellStart"/>
      <w:r>
        <w:rPr>
          <w:bCs/>
        </w:rPr>
        <w:t>finetuning</w:t>
      </w:r>
      <w:proofErr w:type="spellEnd"/>
      <w:r>
        <w:rPr>
          <w:bCs/>
        </w:rPr>
        <w:t xml:space="preserve"> the current threshold </w:t>
      </w:r>
      <w:proofErr w:type="gramStart"/>
      <w:r>
        <w:rPr>
          <w:bCs/>
        </w:rPr>
        <w:t>could be investigated</w:t>
      </w:r>
      <w:proofErr w:type="gramEnd"/>
      <w:r>
        <w:rPr>
          <w:bCs/>
        </w:rPr>
        <w:t xml:space="preserve"> as proposed for ETDs in the answer to question 2.</w:t>
      </w:r>
      <w:r w:rsidRPr="00BA113B">
        <w:rPr>
          <w:bCs/>
        </w:rPr>
        <w:t xml:space="preserve"> </w:t>
      </w:r>
      <w:r w:rsidRPr="000923AD">
        <w:rPr>
          <w:bCs/>
        </w:rPr>
        <w:t>A re-calibration of the existing methodology</w:t>
      </w:r>
      <w:r>
        <w:rPr>
          <w:bCs/>
        </w:rPr>
        <w:t xml:space="preserve"> for those asset classes where problems with prevailing LIS-thresholds have been observed </w:t>
      </w:r>
      <w:r w:rsidRPr="000923AD">
        <w:rPr>
          <w:bCs/>
        </w:rPr>
        <w:t>would allow ESMA to determine LIS thresholds, tiered even more specifically to individual market specifics</w:t>
      </w:r>
      <w:r>
        <w:rPr>
          <w:bCs/>
        </w:rPr>
        <w:t xml:space="preserve">, </w:t>
      </w:r>
      <w:r w:rsidRPr="000923AD">
        <w:rPr>
          <w:bCs/>
        </w:rPr>
        <w:t xml:space="preserve">and to avoid unintended side effects, such as </w:t>
      </w:r>
      <w:r>
        <w:rPr>
          <w:bCs/>
        </w:rPr>
        <w:t>moving trading away from exchanges (and exchanges’ trade registration functions)</w:t>
      </w:r>
      <w:r w:rsidRPr="000923AD">
        <w:rPr>
          <w:bCs/>
        </w:rPr>
        <w:t xml:space="preserve"> </w:t>
      </w:r>
      <w:r>
        <w:rPr>
          <w:bCs/>
        </w:rPr>
        <w:t xml:space="preserve">and into the </w:t>
      </w:r>
      <w:r w:rsidRPr="000923AD">
        <w:rPr>
          <w:bCs/>
        </w:rPr>
        <w:t xml:space="preserve">OTC </w:t>
      </w:r>
      <w:r>
        <w:rPr>
          <w:bCs/>
        </w:rPr>
        <w:t xml:space="preserve">space.  </w:t>
      </w:r>
    </w:p>
    <w:p w14:paraId="5E65E585" w14:textId="77777777" w:rsidR="00BB4CF0" w:rsidRDefault="00BB4CF0" w:rsidP="00764BEF">
      <w:pPr>
        <w:spacing w:after="120"/>
        <w:rPr>
          <w:bCs/>
        </w:rPr>
      </w:pPr>
      <w:r>
        <w:rPr>
          <w:bCs/>
        </w:rPr>
        <w:t>These measures should be accompanied by removing the SSTI-concept also for the SI-quoting obligation and replacing it by a reference to (a high percentage of) the LIS threshold (as regards Q4).</w:t>
      </w:r>
    </w:p>
    <w:p w14:paraId="27C12B76" w14:textId="4220939E" w:rsidR="002E1760" w:rsidRPr="00DA03C9" w:rsidRDefault="00BB4CF0" w:rsidP="002E1760">
      <w:pPr>
        <w:rPr>
          <w:rFonts w:cs="Arial"/>
        </w:rPr>
      </w:pPr>
      <w:r w:rsidRPr="00DA03C9">
        <w:rPr>
          <w:rFonts w:cs="Arial"/>
        </w:rPr>
        <w:t xml:space="preserve">Furthermore, we suggest that this has to </w:t>
      </w:r>
      <w:proofErr w:type="gramStart"/>
      <w:r w:rsidRPr="00DA03C9">
        <w:rPr>
          <w:rFonts w:cs="Arial"/>
        </w:rPr>
        <w:t>be done</w:t>
      </w:r>
      <w:proofErr w:type="gramEnd"/>
      <w:r w:rsidRPr="00DA03C9">
        <w:rPr>
          <w:rFonts w:cs="Arial"/>
        </w:rPr>
        <w:t xml:space="preserve"> in conjunction with redesigning the liquidity assessment framework in order to deliver an optimal outcome in terms of bonds that should be subject to the transparency requirements</w:t>
      </w:r>
      <w:r w:rsidR="009B7A42" w:rsidRPr="00DA03C9">
        <w:rPr>
          <w:rFonts w:cs="Arial"/>
        </w:rPr>
        <w:t>.</w:t>
      </w:r>
    </w:p>
    <w:p w14:paraId="76CBF2A8" w14:textId="74DE799A" w:rsidR="009B7A42" w:rsidRPr="00DA03C9" w:rsidRDefault="009B7A42" w:rsidP="002E1760">
      <w:pPr>
        <w:rPr>
          <w:rFonts w:cs="Arial"/>
        </w:rPr>
      </w:pPr>
    </w:p>
    <w:p w14:paraId="6CDC4C06" w14:textId="343BC12C" w:rsidR="00F96768" w:rsidRPr="00DA03C9" w:rsidRDefault="00F96768" w:rsidP="00F96768">
      <w:pPr>
        <w:spacing w:after="120"/>
        <w:rPr>
          <w:rFonts w:cs="Arial"/>
          <w:bCs/>
        </w:rPr>
      </w:pPr>
      <w:r w:rsidRPr="00DA03C9">
        <w:rPr>
          <w:rFonts w:cs="Arial"/>
          <w:bCs/>
          <w:highlight w:val="yellow"/>
        </w:rPr>
        <w:t>For commodity markets, ideally, we would see the SSTI values replace the LIS values. We are though under the opinion that the pre-trade LIS thresholds need to be further reduced for commodity derivatives, and especially electricity derivatives, as explained in the answers to other questions in this reply.</w:t>
      </w:r>
      <w:r w:rsidRPr="00DA03C9">
        <w:rPr>
          <w:rFonts w:cs="Arial"/>
          <w:bCs/>
        </w:rPr>
        <w:t xml:space="preserve"> </w:t>
      </w:r>
    </w:p>
    <w:p w14:paraId="29E076FE" w14:textId="77777777" w:rsidR="00F96768" w:rsidRPr="00DA03C9" w:rsidRDefault="00F96768" w:rsidP="002E1760">
      <w:pPr>
        <w:rPr>
          <w:rFonts w:cs="Arial"/>
        </w:rPr>
      </w:pPr>
    </w:p>
    <w:p w14:paraId="21582E46" w14:textId="4572F38F" w:rsidR="002E1760" w:rsidRDefault="009B7A42" w:rsidP="002E1760">
      <w:r w:rsidRPr="00DA03C9">
        <w:rPr>
          <w:rFonts w:cs="Arial"/>
          <w:highlight w:val="yellow"/>
        </w:rPr>
        <w:t xml:space="preserve">For commodity markets we strongly support ESMA’s methodology for liquidity assessment for electricity based on the delivery/cash settlement location, which secures that products listed on two or more exchanges (with the same underlying) </w:t>
      </w:r>
      <w:proofErr w:type="gramStart"/>
      <w:r w:rsidRPr="00DA03C9">
        <w:rPr>
          <w:rFonts w:cs="Arial"/>
          <w:highlight w:val="yellow"/>
        </w:rPr>
        <w:t>are treated</w:t>
      </w:r>
      <w:proofErr w:type="gramEnd"/>
      <w:r w:rsidRPr="00DA03C9">
        <w:rPr>
          <w:rFonts w:cs="Arial"/>
          <w:highlight w:val="yellow"/>
        </w:rPr>
        <w:t xml:space="preserve"> equally in terms of pre trade transparency. Without this, it could lead to a short-term arbitrage to circumvent PTT. The use of the EIC Y Codes are very efficient in this matter and has created a levelled playing field for all exchanges listing commodity derivatives with the same physical underlyin</w:t>
      </w:r>
      <w:r w:rsidRPr="00CF79F9">
        <w:rPr>
          <w:rFonts w:asciiTheme="minorHAnsi" w:hAnsiTheme="minorHAnsi" w:cstheme="majorHAnsi"/>
          <w:highlight w:val="yellow"/>
        </w:rPr>
        <w:t>g.</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lastRenderedPageBreak/>
        <w:t>&lt;ESMA_QUESTION_</w:t>
      </w:r>
      <w:r w:rsidR="00227C1A">
        <w:t>CP</w:t>
      </w:r>
      <w:r w:rsidR="007254DD">
        <w:t>_MIFID_NQT</w:t>
      </w:r>
      <w:r w:rsidR="00F107EF">
        <w:t>_</w:t>
      </w:r>
      <w:r>
        <w:t>4&gt;</w:t>
      </w:r>
    </w:p>
    <w:p w14:paraId="3B66BC52" w14:textId="1850130E" w:rsidR="00BB4CF0" w:rsidRPr="00DA03C9" w:rsidRDefault="00BB4CF0" w:rsidP="00764BEF">
      <w:pPr>
        <w:spacing w:after="120"/>
        <w:rPr>
          <w:rFonts w:cs="Arial"/>
        </w:rPr>
      </w:pPr>
      <w:permStart w:id="1101743476" w:edGrp="everyone"/>
      <w:proofErr w:type="gramStart"/>
      <w:r w:rsidRPr="00DA03C9">
        <w:rPr>
          <w:rFonts w:cs="Arial"/>
        </w:rPr>
        <w:t>Nasdaq</w:t>
      </w:r>
      <w:proofErr w:type="gramEnd"/>
      <w:r w:rsidRPr="00DA03C9">
        <w:rPr>
          <w:rFonts w:cs="Arial"/>
        </w:rPr>
        <w:t xml:space="preserve"> believes that there is an </w:t>
      </w:r>
      <w:proofErr w:type="spellStart"/>
      <w:r w:rsidRPr="00DA03C9">
        <w:rPr>
          <w:rFonts w:cs="Arial"/>
        </w:rPr>
        <w:t>unlevel</w:t>
      </w:r>
      <w:proofErr w:type="spellEnd"/>
      <w:r w:rsidRPr="00DA03C9">
        <w:rPr>
          <w:rFonts w:cs="Arial"/>
        </w:rPr>
        <w:t xml:space="preserve"> playing field between SIs and multilateral venues active in non-equity instruments. MiFID II did not bring an increased transparency level for bonds and securitised derivatives trading, as they are still opaque. This is in particular the case for SI trading where there is seemingly no pre- and post-trade transparency available, especially to the detriment of retail investors. Transparency </w:t>
      </w:r>
      <w:proofErr w:type="gramStart"/>
      <w:r w:rsidRPr="00DA03C9">
        <w:rPr>
          <w:rFonts w:cs="Arial"/>
        </w:rPr>
        <w:t>is established</w:t>
      </w:r>
      <w:proofErr w:type="gramEnd"/>
      <w:r w:rsidRPr="00DA03C9">
        <w:rPr>
          <w:rFonts w:cs="Arial"/>
        </w:rPr>
        <w:t xml:space="preserve"> by SIs via proprietary means, via their websites, via ECN-like networks or does not need to be established in the first place (i.e. in the case of illiquid bonds).</w:t>
      </w:r>
    </w:p>
    <w:p w14:paraId="6F5378D7" w14:textId="65C35960" w:rsidR="00BB4CF0" w:rsidRPr="00DA03C9" w:rsidRDefault="00BB4CF0" w:rsidP="00764BEF">
      <w:pPr>
        <w:spacing w:after="120"/>
        <w:rPr>
          <w:rFonts w:cs="Arial"/>
        </w:rPr>
      </w:pPr>
      <w:r w:rsidRPr="00DA03C9">
        <w:rPr>
          <w:rFonts w:cs="Arial"/>
        </w:rPr>
        <w:t xml:space="preserve">While SIs </w:t>
      </w:r>
      <w:proofErr w:type="gramStart"/>
      <w:r w:rsidRPr="00DA03C9">
        <w:rPr>
          <w:rFonts w:cs="Arial"/>
        </w:rPr>
        <w:t>are regulated</w:t>
      </w:r>
      <w:proofErr w:type="gramEnd"/>
      <w:r w:rsidRPr="00DA03C9">
        <w:rPr>
          <w:rFonts w:cs="Arial"/>
        </w:rPr>
        <w:t xml:space="preserve"> under MiFID II as execution venues providing bilateral trading, they provide less transparency for non-equity instruments than on-exchange trading. Although it is true that SIs have to disclose their identity when quotes </w:t>
      </w:r>
      <w:proofErr w:type="gramStart"/>
      <w:r w:rsidRPr="00DA03C9">
        <w:rPr>
          <w:rFonts w:cs="Arial"/>
        </w:rPr>
        <w:t>are made</w:t>
      </w:r>
      <w:proofErr w:type="gramEnd"/>
      <w:r w:rsidRPr="00DA03C9">
        <w:rPr>
          <w:rFonts w:cs="Arial"/>
        </w:rPr>
        <w:t xml:space="preserve"> public and have to put their own capital at risk, it is questionable whether trading on an SI instead of a regulated exchange benefits the overall financial market. On regulated markets, liquidity is disclosed to, and available to, all participants of the exchange, while remaining anonymous. Furthermore, information </w:t>
      </w:r>
      <w:proofErr w:type="gramStart"/>
      <w:r w:rsidRPr="00DA03C9">
        <w:rPr>
          <w:rFonts w:cs="Arial"/>
        </w:rPr>
        <w:t>is made</w:t>
      </w:r>
      <w:proofErr w:type="gramEnd"/>
      <w:r w:rsidRPr="00DA03C9">
        <w:rPr>
          <w:rFonts w:cs="Arial"/>
        </w:rPr>
        <w:t xml:space="preserve"> available to the public as well. SIs are only required to disclose and offer liquidity to a much smaller sub-set of market participants than multilateral venues. </w:t>
      </w:r>
    </w:p>
    <w:p w14:paraId="704FD540" w14:textId="76F05C10" w:rsidR="00BB4CF0" w:rsidRDefault="00BB4CF0" w:rsidP="00764BEF">
      <w:pPr>
        <w:spacing w:after="120"/>
      </w:pPr>
      <w:r w:rsidRPr="008D7B88">
        <w:t xml:space="preserve">While we do not question the merit of SIs forming part of the EU financial market’s landscape, to create a level </w:t>
      </w:r>
      <w:r w:rsidRPr="004515F6">
        <w:t xml:space="preserve">playing field across all types of execution venues </w:t>
      </w:r>
      <w:r>
        <w:t>we</w:t>
      </w:r>
      <w:r w:rsidRPr="004515F6">
        <w:t xml:space="preserve"> strongly reco</w:t>
      </w:r>
      <w:r>
        <w:t>mmend</w:t>
      </w:r>
      <w:r w:rsidRPr="004515F6">
        <w:t xml:space="preserve"> closing the gap between SSTI thresholds and LIS thresholds, it is counterintuitive that current SSTI thresholds applicable to SIs are below LIS thresholds applicable to regulated exchanges. Any changes to the quoting and disclosure requirements for SIs should cater for a level playing field compared to the transparency provided by multilateral venues.</w:t>
      </w:r>
      <w:r>
        <w:t xml:space="preserve"> </w:t>
      </w:r>
    </w:p>
    <w:p w14:paraId="22440220" w14:textId="63F3A226" w:rsidR="002E1760" w:rsidRDefault="00BB4CF0" w:rsidP="002E1760">
      <w:r>
        <w:t>As mentioned in our response to Q3, we prefer Option 2. W</w:t>
      </w:r>
      <w:r w:rsidRPr="00494AFF">
        <w:t xml:space="preserve">e support the removal of the SSTI concept also for the SI quoting obligation, replacing it by a reference </w:t>
      </w:r>
      <w:r>
        <w:t xml:space="preserve">in the SI quoting obligation </w:t>
      </w:r>
      <w:r w:rsidRPr="00494AFF">
        <w:t>to</w:t>
      </w:r>
      <w:r>
        <w:t xml:space="preserve"> a high percentage of </w:t>
      </w:r>
      <w:r w:rsidRPr="00494AFF">
        <w:t>the LIS threshold</w:t>
      </w:r>
      <w:r>
        <w:t xml:space="preserve">. It would be the most pragmatic approach for both regulators and the market to </w:t>
      </w:r>
      <w:r w:rsidRPr="00494AFF">
        <w:t xml:space="preserve">reuse (a percentage of) the </w:t>
      </w:r>
      <w:r>
        <w:t>LIS</w:t>
      </w:r>
      <w:r w:rsidRPr="00494AFF">
        <w:t xml:space="preserve"> threshold for SI quoting obligations</w:t>
      </w:r>
      <w:r>
        <w:t xml:space="preserve">. </w:t>
      </w:r>
      <w:r w:rsidR="00743DCE">
        <w:t>We believe</w:t>
      </w:r>
      <w:r>
        <w:t xml:space="preserve"> this approach would increase overall transparency and reduce complexity of the current </w:t>
      </w:r>
      <w:r w:rsidR="00E83888">
        <w:t>pre-trade transparency regime</w:t>
      </w:r>
      <w:r>
        <w:t>.</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A158AA3" w14:textId="47C6AC5E" w:rsidR="00963FAA" w:rsidRDefault="00963FAA" w:rsidP="00227C1A">
      <w:pPr>
        <w:rPr>
          <w:bCs/>
          <w:color w:val="00000A"/>
          <w:highlight w:val="yellow"/>
          <w:lang w:val="en-US"/>
        </w:rPr>
      </w:pPr>
      <w:permStart w:id="1725855520" w:edGrp="everyone"/>
      <w:r>
        <w:lastRenderedPageBreak/>
        <w:t xml:space="preserve">No, we do not see merit in replacing the current hedging exemption with a waiver that has the exact same scope. Such a change would increase the administrative burden and procedural obligations for market participants, outweighing any potential benefits a waiver could bring. </w:t>
      </w:r>
      <w:proofErr w:type="gramStart"/>
      <w:r>
        <w:t>However</w:t>
      </w:r>
      <w:proofErr w:type="gramEnd"/>
      <w:r>
        <w:t xml:space="preserve"> we explicitly support extending the hedging exemption to financial counterparties. Such a solution woul</w:t>
      </w:r>
      <w:bookmarkStart w:id="3" w:name="_GoBack"/>
      <w:bookmarkEnd w:id="3"/>
      <w:r>
        <w:t xml:space="preserve">d allow liquidity to continue to build in the order book without jeopardising the ability of commodity derivatives markets to fulfil their function. </w:t>
      </w:r>
      <w:proofErr w:type="gramStart"/>
      <w:r>
        <w:t>Also</w:t>
      </w:r>
      <w:proofErr w:type="gramEnd"/>
      <w:r>
        <w:t xml:space="preserve"> we find merit in considering a dedicated negotiated trade waiver for non-equity in general as long as it is not replacing or changing the current hedging exemption.</w:t>
      </w:r>
    </w:p>
    <w:p w14:paraId="33E61D81" w14:textId="77777777" w:rsidR="00963FAA" w:rsidRDefault="00963FAA" w:rsidP="00227C1A">
      <w:pPr>
        <w:rPr>
          <w:bCs/>
          <w:color w:val="00000A"/>
          <w:highlight w:val="yellow"/>
          <w:lang w:val="en-US"/>
        </w:rPr>
      </w:pPr>
    </w:p>
    <w:permEnd w:id="1725855520"/>
    <w:p w14:paraId="5E6AA5B5" w14:textId="0440EF63" w:rsidR="00227C1A" w:rsidRDefault="00227C1A" w:rsidP="00227C1A"/>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15C80022" w14:textId="16E6C1D8" w:rsidR="009B7A42" w:rsidRDefault="009B7A42" w:rsidP="00764BEF">
      <w:pPr>
        <w:rPr>
          <w:highlight w:val="yellow"/>
        </w:rPr>
      </w:pPr>
      <w:permStart w:id="203298670" w:edGrp="everyone"/>
      <w:r w:rsidRPr="00CF79F9">
        <w:rPr>
          <w:highlight w:val="yellow"/>
        </w:rPr>
        <w:t xml:space="preserve">We agree that the current catalogue of trading systems in Annex 1 of RTS 2 may not fully capture </w:t>
      </w:r>
      <w:r w:rsidR="00B5211F">
        <w:rPr>
          <w:highlight w:val="yellow"/>
        </w:rPr>
        <w:t xml:space="preserve">all available trading systems. </w:t>
      </w:r>
      <w:r w:rsidRPr="00CF79F9">
        <w:rPr>
          <w:highlight w:val="yellow"/>
        </w:rPr>
        <w:t>However, having an opinion issued by ESMA for every new system might result in very extensive acknowledgement processes and likely result in undue stress on ESMA’s resources. Any backlog in such an approval process (as has been observed with the approval process for waiver applications) bears the risk to delay innovation and will result in longer periods of trading in less regulated environments (i.e. OTC market). For the same reason, we propose to have changes work solely in a forward-looking way.</w:t>
      </w:r>
    </w:p>
    <w:p w14:paraId="2DA72774" w14:textId="77777777" w:rsidR="00B5211F" w:rsidRPr="00CF79F9" w:rsidRDefault="00B5211F" w:rsidP="00764BEF">
      <w:pPr>
        <w:rPr>
          <w:highlight w:val="yellow"/>
        </w:rPr>
      </w:pPr>
    </w:p>
    <w:p w14:paraId="34B9DA5D" w14:textId="4E2B867A" w:rsidR="009B7A42" w:rsidRDefault="00B5211F" w:rsidP="00764BEF">
      <w:pPr>
        <w:rPr>
          <w:highlight w:val="yellow"/>
        </w:rPr>
      </w:pPr>
      <w:r>
        <w:rPr>
          <w:highlight w:val="yellow"/>
        </w:rPr>
        <w:t>A more efficient way forward should be</w:t>
      </w:r>
      <w:r w:rsidR="009B7A42" w:rsidRPr="00CF79F9">
        <w:rPr>
          <w:highlight w:val="yellow"/>
        </w:rPr>
        <w:t xml:space="preserve"> to extend the existing definitions of trading systems. We propose to amend the definitions of Annex 1 in such a way that they cover variations of the initial system types, which might share main characteristics but are also partly innovative. This way, the currently misused “hybrid systems” definition with its significant leeway in choice of applicable transparency would be phased out for such cases and instead replaced by an efficient regime. The transparency requirement for such innovative systems should, however, </w:t>
      </w:r>
      <w:proofErr w:type="gramStart"/>
      <w:r w:rsidR="009B7A42" w:rsidRPr="00CF79F9">
        <w:rPr>
          <w:highlight w:val="yellow"/>
        </w:rPr>
        <w:t>be sufficiently amended</w:t>
      </w:r>
      <w:proofErr w:type="gramEnd"/>
      <w:r w:rsidR="009B7A42" w:rsidRPr="00CF79F9">
        <w:rPr>
          <w:highlight w:val="yellow"/>
        </w:rPr>
        <w:t>, reflecting the fact that it might prove difficult to provide the same level of transparency. Such an amendment would additionally pose a change on Level 2 as opposed to Level 1, offering the possibility of a quicker amendment process.</w:t>
      </w:r>
    </w:p>
    <w:p w14:paraId="76D2E4C3" w14:textId="77777777" w:rsidR="00B5211F" w:rsidRPr="00CF79F9" w:rsidRDefault="00B5211F" w:rsidP="00764BEF">
      <w:pPr>
        <w:rPr>
          <w:highlight w:val="yellow"/>
        </w:rPr>
      </w:pPr>
    </w:p>
    <w:p w14:paraId="7F3F849F" w14:textId="58FAFC99" w:rsidR="0062022D" w:rsidRDefault="009B7A42" w:rsidP="0062022D">
      <w:r w:rsidRPr="00CF79F9">
        <w:rPr>
          <w:highlight w:val="yellow"/>
        </w:rPr>
        <w:lastRenderedPageBreak/>
        <w:t xml:space="preserve">We could see merit in the proposed ESMA opinions on new trading systems as a complementary solution, where they cover system </w:t>
      </w:r>
      <w:proofErr w:type="gramStart"/>
      <w:r w:rsidRPr="00CF79F9">
        <w:rPr>
          <w:highlight w:val="yellow"/>
        </w:rPr>
        <w:t>types which</w:t>
      </w:r>
      <w:proofErr w:type="gramEnd"/>
      <w:r w:rsidRPr="00CF79F9">
        <w:rPr>
          <w:highlight w:val="yellow"/>
        </w:rPr>
        <w:t xml:space="preserve"> are in no way variations of the definitions listed in Annex 1 and instead completely innovative. This way, ESMA resources </w:t>
      </w:r>
      <w:proofErr w:type="gramStart"/>
      <w:r w:rsidRPr="00CF79F9">
        <w:rPr>
          <w:highlight w:val="yellow"/>
        </w:rPr>
        <w:t>would only be used</w:t>
      </w:r>
      <w:proofErr w:type="gramEnd"/>
      <w:r w:rsidRPr="00CF79F9">
        <w:rPr>
          <w:highlight w:val="yellow"/>
        </w:rPr>
        <w:t xml:space="preserve"> in exceptional cases where there is indeed a distinct need for analysis and requirements suitable for the respective market conditions. </w:t>
      </w:r>
      <w:proofErr w:type="gramStart"/>
      <w:r w:rsidRPr="00CF79F9">
        <w:rPr>
          <w:highlight w:val="yellow"/>
        </w:rPr>
        <w:t>To not obstruct</w:t>
      </w:r>
      <w:proofErr w:type="gramEnd"/>
      <w:r w:rsidRPr="00CF79F9">
        <w:rPr>
          <w:highlight w:val="yellow"/>
        </w:rPr>
        <w:t xml:space="preserve"> market innovation, trading venues should be allowed to operate these new systems under provisional requirements agreed with their respective regulators while the opinion is pending. However, we would like to stress that such opinions </w:t>
      </w:r>
      <w:proofErr w:type="gramStart"/>
      <w:r w:rsidRPr="00CF79F9">
        <w:rPr>
          <w:highlight w:val="yellow"/>
        </w:rPr>
        <w:t>must be issued</w:t>
      </w:r>
      <w:proofErr w:type="gramEnd"/>
      <w:r w:rsidRPr="00CF79F9">
        <w:rPr>
          <w:highlight w:val="yellow"/>
        </w:rPr>
        <w:t xml:space="preserve"> as soon as practically possible and within less than six weeks</w:t>
      </w:r>
      <w:r w:rsidR="001B50C5">
        <w:t>.</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44483A5D" w:rsidR="00A263DF" w:rsidRDefault="001B50C5" w:rsidP="00A263DF">
      <w:permStart w:id="795872801" w:edGrp="everyone"/>
      <w:r w:rsidRPr="00DA03C9">
        <w:rPr>
          <w:rFonts w:cs="Arial"/>
        </w:rPr>
        <w:t>Yes</w:t>
      </w:r>
      <w:r w:rsidR="009B7A42" w:rsidRPr="00DA03C9">
        <w:rPr>
          <w:rFonts w:cs="Arial"/>
        </w:rPr>
        <w:t xml:space="preserve">. </w:t>
      </w:r>
      <w:r w:rsidR="009B7A42" w:rsidRPr="00DA03C9">
        <w:rPr>
          <w:rFonts w:cs="Arial"/>
          <w:highlight w:val="yellow"/>
        </w:rPr>
        <w:t xml:space="preserve">We </w:t>
      </w:r>
      <w:r w:rsidR="00C67C49" w:rsidRPr="00DA03C9">
        <w:rPr>
          <w:rFonts w:cs="Arial"/>
          <w:highlight w:val="yellow"/>
        </w:rPr>
        <w:t>consider</w:t>
      </w:r>
      <w:r w:rsidR="009B7A42" w:rsidRPr="00DA03C9">
        <w:rPr>
          <w:rFonts w:cs="Arial"/>
          <w:highlight w:val="yellow"/>
        </w:rPr>
        <w:t xml:space="preserve"> hybrid systems as those form</w:t>
      </w:r>
      <w:r w:rsidR="00C67C49" w:rsidRPr="00DA03C9">
        <w:rPr>
          <w:rFonts w:cs="Arial"/>
          <w:highlight w:val="yellow"/>
        </w:rPr>
        <w:t xml:space="preserve">ed of more than one component. </w:t>
      </w:r>
      <w:r w:rsidR="009B7A42" w:rsidRPr="00DA03C9">
        <w:rPr>
          <w:rFonts w:cs="Arial"/>
          <w:highlight w:val="yellow"/>
        </w:rPr>
        <w:t xml:space="preserve">Our proposal in our answer to Q6 would bring its definition back to its originally intended use-case of only covering combinations, instead leaving variations to </w:t>
      </w:r>
      <w:proofErr w:type="gramStart"/>
      <w:r w:rsidR="009B7A42" w:rsidRPr="00DA03C9">
        <w:rPr>
          <w:rFonts w:cs="Arial"/>
          <w:highlight w:val="yellow"/>
        </w:rPr>
        <w:t>be covered</w:t>
      </w:r>
      <w:proofErr w:type="gramEnd"/>
      <w:r w:rsidR="009B7A42" w:rsidRPr="00DA03C9">
        <w:rPr>
          <w:rFonts w:cs="Arial"/>
          <w:highlight w:val="yellow"/>
        </w:rPr>
        <w:t xml:space="preserve"> by extended definitions and complete innovations by ESMA opinions, respectively</w:t>
      </w:r>
      <w:r>
        <w:rPr>
          <w:rFonts w:asciiTheme="minorHAnsi" w:hAnsiTheme="minorHAnsi" w:cstheme="majorHAnsi"/>
        </w:rPr>
        <w:t>.</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3D46422" w14:textId="64550ED0" w:rsidR="00A263DF" w:rsidRDefault="00DA03C9" w:rsidP="00A263DF">
      <w:permStart w:id="1747589383" w:edGrp="everyone"/>
      <w:r>
        <w:rPr>
          <w:rFonts w:asciiTheme="minorHAnsi" w:hAnsiTheme="minorHAnsi" w:cstheme="majorHAnsi"/>
        </w:rPr>
        <w:t xml:space="preserve">  </w:t>
      </w:r>
      <w:r w:rsidR="001B50C5" w:rsidRPr="00DA03C9">
        <w:rPr>
          <w:rFonts w:cs="Arial"/>
        </w:rPr>
        <w:t xml:space="preserve">Yes. It is essential for investors that data is available from SIs the same way as from trading venues. A requirement for SIs to publish their quotes free of charge after 15 minutes would increase the available pre-trade information for all investors and facilitate investment decisions. In a market where few trades </w:t>
      </w:r>
      <w:proofErr w:type="gramStart"/>
      <w:r w:rsidR="001B50C5" w:rsidRPr="00DA03C9">
        <w:rPr>
          <w:rFonts w:cs="Arial"/>
        </w:rPr>
        <w:t>are</w:t>
      </w:r>
      <w:proofErr w:type="gramEnd"/>
      <w:r w:rsidR="001B50C5" w:rsidRPr="00DA03C9">
        <w:rPr>
          <w:rFonts w:cs="Arial"/>
        </w:rPr>
        <w:t xml:space="preserve"> executed (also historic) pre-trade information is of added value. This would ensure a level playing field between trading venues and SIs in regards to delayed pre-trade transparency. Under the current regime SIs can </w:t>
      </w:r>
      <w:proofErr w:type="gramStart"/>
      <w:r w:rsidR="001B50C5" w:rsidRPr="00DA03C9">
        <w:rPr>
          <w:rFonts w:cs="Arial"/>
        </w:rPr>
        <w:t>leverage</w:t>
      </w:r>
      <w:proofErr w:type="gramEnd"/>
      <w:r w:rsidR="001B50C5" w:rsidRPr="00DA03C9">
        <w:rPr>
          <w:rFonts w:cs="Arial"/>
        </w:rPr>
        <w:t xml:space="preserve"> delayed, free of cost pre-trade data of trading venues to determine their prices. However, asymmetrically, trading participants of trading venues are not able to access pre-trade information SIs free of charge</w:t>
      </w:r>
      <w:r w:rsidR="001B50C5" w:rsidRPr="00643411">
        <w:rPr>
          <w:rFonts w:asciiTheme="minorHAnsi" w:hAnsiTheme="minorHAnsi"/>
        </w:rPr>
        <w:t xml:space="preserve">.  </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lastRenderedPageBreak/>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463940AC" w14:textId="2739B3CC" w:rsidR="001B50C5" w:rsidRDefault="00C67C49" w:rsidP="00764BEF">
      <w:pPr>
        <w:spacing w:after="120"/>
      </w:pPr>
      <w:permStart w:id="1400726192" w:edGrp="everyone"/>
      <w:r>
        <w:t>Yes</w:t>
      </w:r>
      <w:r w:rsidR="001B50C5">
        <w:t xml:space="preserve">. However, in order to ensure a level playing field across venues and increase transparency especially regarding SI trading, which is still very opaque, the proposed standardisation of pre-trade information should be applicable to all types of venues, including SIs. Together with the requirement for SIs to </w:t>
      </w:r>
      <w:proofErr w:type="gramStart"/>
      <w:r w:rsidR="001B50C5">
        <w:t>publish</w:t>
      </w:r>
      <w:proofErr w:type="gramEnd"/>
      <w:r w:rsidR="001B50C5">
        <w:t xml:space="preserve"> their quotes free of charge after 15 minutes (as trading venues are already required to do) this measure would be a significant step forward to increase pre-trade transparency.</w:t>
      </w:r>
    </w:p>
    <w:p w14:paraId="5ABA0611" w14:textId="5CB37246" w:rsidR="00A7122F" w:rsidRPr="00DA03C9" w:rsidRDefault="00A7122F" w:rsidP="002E1760">
      <w:pPr>
        <w:rPr>
          <w:rFonts w:cs="Arial"/>
        </w:rPr>
      </w:pPr>
      <w:r w:rsidRPr="00DA03C9">
        <w:rPr>
          <w:rFonts w:cs="Arial"/>
        </w:rPr>
        <w:t xml:space="preserve">The priority should be to ensure implementation of current requirements across all venues. </w:t>
      </w:r>
      <w:r w:rsidR="001B50C5" w:rsidRPr="00DA03C9">
        <w:rPr>
          <w:rFonts w:cs="Arial"/>
        </w:rPr>
        <w:t xml:space="preserve">Amendments </w:t>
      </w:r>
      <w:proofErr w:type="gramStart"/>
      <w:r w:rsidR="001B50C5" w:rsidRPr="00DA03C9">
        <w:rPr>
          <w:rFonts w:cs="Arial"/>
        </w:rPr>
        <w:t>should be introduced</w:t>
      </w:r>
      <w:proofErr w:type="gramEnd"/>
      <w:r w:rsidR="001B50C5" w:rsidRPr="00DA03C9">
        <w:rPr>
          <w:rFonts w:cs="Arial"/>
        </w:rPr>
        <w:t xml:space="preserve"> only after careful cost-benefit analysis. This is because trading venues have already </w:t>
      </w:r>
      <w:r w:rsidRPr="00DA03C9">
        <w:rPr>
          <w:rFonts w:cs="Arial"/>
        </w:rPr>
        <w:t xml:space="preserve">invested considerable resources to comply with current requirements. </w:t>
      </w:r>
    </w:p>
    <w:p w14:paraId="6B33DE30" w14:textId="77777777" w:rsidR="00C67C49" w:rsidRPr="00DA03C9" w:rsidRDefault="00C67C49" w:rsidP="002E1760">
      <w:pPr>
        <w:rPr>
          <w:rFonts w:cs="Arial"/>
        </w:rPr>
      </w:pPr>
    </w:p>
    <w:p w14:paraId="1B5C745B" w14:textId="1163B912" w:rsidR="002E1760" w:rsidRDefault="001B50C5" w:rsidP="002E1760">
      <w:r w:rsidRPr="00DA03C9">
        <w:rPr>
          <w:rFonts w:cs="Arial"/>
        </w:rPr>
        <w:t xml:space="preserve">Furthermore, </w:t>
      </w:r>
      <w:r w:rsidR="00A7122F" w:rsidRPr="00DA03C9">
        <w:rPr>
          <w:rFonts w:cs="Arial"/>
        </w:rPr>
        <w:t xml:space="preserve">it should be required that the information is provided in machine-readable format, and not simply on a </w:t>
      </w:r>
      <w:proofErr w:type="gramStart"/>
      <w:r w:rsidR="00A7122F" w:rsidRPr="00DA03C9">
        <w:rPr>
          <w:rFonts w:cs="Arial"/>
        </w:rPr>
        <w:t>website which</w:t>
      </w:r>
      <w:proofErr w:type="gramEnd"/>
      <w:r w:rsidR="00A7122F" w:rsidRPr="00DA03C9">
        <w:rPr>
          <w:rFonts w:cs="Arial"/>
        </w:rPr>
        <w:t xml:space="preserve"> </w:t>
      </w:r>
      <w:r w:rsidRPr="00DA03C9">
        <w:rPr>
          <w:rFonts w:cs="Arial"/>
        </w:rPr>
        <w:t>requires a re</w:t>
      </w:r>
      <w:r w:rsidR="00D63AD3" w:rsidRPr="00DA03C9">
        <w:rPr>
          <w:rFonts w:cs="Arial"/>
        </w:rPr>
        <w:t>gistration of the user</w:t>
      </w:r>
      <w:r w:rsidRPr="00503BE9">
        <w:rPr>
          <w:rFonts w:asciiTheme="minorHAnsi" w:hAnsiTheme="minorHAnsi"/>
        </w:rPr>
        <w:t>.</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5A46F94F" w14:textId="77777777" w:rsidR="00A7122F" w:rsidRDefault="00A7122F" w:rsidP="00764BEF">
      <w:pPr>
        <w:spacing w:after="120"/>
      </w:pPr>
      <w:bookmarkStart w:id="4" w:name="_Hlk41996871"/>
      <w:permStart w:id="929114806" w:edGrp="everyone"/>
      <w:r>
        <w:t xml:space="preserve">We agree with ESMA that more post-trade transparency information should be made available to enhance competition among market participants, reduce information asymmetries, deliver high quality information for market users to enable them to make </w:t>
      </w:r>
      <w:proofErr w:type="gramStart"/>
      <w:r>
        <w:t>better informed</w:t>
      </w:r>
      <w:proofErr w:type="gramEnd"/>
      <w:r>
        <w:t xml:space="preserve"> investment decisions, and to ensure a </w:t>
      </w:r>
      <w:r w:rsidRPr="00503BE9">
        <w:rPr>
          <w:rFonts w:asciiTheme="minorHAnsi" w:hAnsiTheme="minorHAnsi" w:cstheme="majorHAnsi"/>
        </w:rPr>
        <w:t>level playing field across jurisdictions</w:t>
      </w:r>
      <w:r>
        <w:t xml:space="preserve">. </w:t>
      </w:r>
    </w:p>
    <w:p w14:paraId="30130DDA" w14:textId="5BDFF43B" w:rsidR="00A7122F" w:rsidRDefault="00A7122F" w:rsidP="00764BEF">
      <w:pPr>
        <w:spacing w:after="120"/>
      </w:pPr>
      <w:r>
        <w:t xml:space="preserve">While we acknowledge that some of the different deferral mechanisms are beneficial, it seems sensible to reduce the number of different deferrals, as this will simplify the framework. Only a minor fraction of all transactions in non-equities, especially in exchange traded </w:t>
      </w:r>
      <w:proofErr w:type="gramStart"/>
      <w:r>
        <w:t>derivatives,</w:t>
      </w:r>
      <w:proofErr w:type="gramEnd"/>
      <w:r>
        <w:t xml:space="preserve"> should be eligible for deferred publication to maximize post-trade transparency.</w:t>
      </w:r>
    </w:p>
    <w:p w14:paraId="39A95E1D" w14:textId="338B3933" w:rsidR="00353156" w:rsidRDefault="00353156" w:rsidP="00764BEF">
      <w:pPr>
        <w:spacing w:after="120"/>
      </w:pPr>
      <w:r w:rsidRPr="00353156">
        <w:lastRenderedPageBreak/>
        <w:t xml:space="preserve">Harmonization throughout Europe </w:t>
      </w:r>
      <w:r w:rsidR="00764BEF">
        <w:t xml:space="preserve">of </w:t>
      </w:r>
      <w:r w:rsidRPr="00353156">
        <w:t xml:space="preserve">post-trade transparency </w:t>
      </w:r>
      <w:proofErr w:type="gramStart"/>
      <w:r w:rsidRPr="00353156">
        <w:t>rules on trades conducted OTC should be a priority</w:t>
      </w:r>
      <w:proofErr w:type="gramEnd"/>
      <w:r w:rsidRPr="00353156">
        <w:t>. There should be consiste</w:t>
      </w:r>
      <w:r w:rsidR="00764BEF">
        <w:t>nt deferral rules across all</w:t>
      </w:r>
      <w:r w:rsidRPr="00353156">
        <w:t xml:space="preserve"> EU and also ensuring that the same instruments in various jurisdiction</w:t>
      </w:r>
      <w:r w:rsidR="00764BEF">
        <w:t xml:space="preserve">s </w:t>
      </w:r>
      <w:proofErr w:type="gramStart"/>
      <w:r w:rsidR="00764BEF">
        <w:t>are labelled</w:t>
      </w:r>
      <w:proofErr w:type="gramEnd"/>
      <w:r w:rsidR="00764BEF">
        <w:t xml:space="preserve"> and classified</w:t>
      </w:r>
      <w:r w:rsidRPr="00353156">
        <w:t xml:space="preserve"> the same.</w:t>
      </w:r>
    </w:p>
    <w:p w14:paraId="6FD72589" w14:textId="161539C5" w:rsidR="00A7122F" w:rsidRDefault="00A7122F" w:rsidP="00764BEF">
      <w:pPr>
        <w:spacing w:after="120"/>
      </w:pPr>
      <w:r>
        <w:t>Further, OTC look-alike contracts should not be eligible for deferrals.</w:t>
      </w:r>
    </w:p>
    <w:p w14:paraId="2BC7F0CE" w14:textId="32CB5938" w:rsidR="00A7122F" w:rsidRDefault="00A7122F" w:rsidP="00764BEF">
      <w:pPr>
        <w:spacing w:after="120"/>
      </w:pPr>
      <w:bookmarkStart w:id="5" w:name="_Hlk42010195"/>
      <w:r>
        <w:t xml:space="preserve">In addition, </w:t>
      </w:r>
      <w:r w:rsidRPr="001400DD">
        <w:t xml:space="preserve">we support a timely publication of post-trade transparency data, i.e. within 15 minutes currently </w:t>
      </w:r>
      <w:r>
        <w:t xml:space="preserve">and </w:t>
      </w:r>
      <w:r w:rsidRPr="001400DD">
        <w:t xml:space="preserve">5 minutes in the future, across all asset classes to enhance competition among market participants, reduce asymmetries of information and deliver high quality information for market users. </w:t>
      </w:r>
      <w:bookmarkEnd w:id="5"/>
    </w:p>
    <w:p w14:paraId="7F574030" w14:textId="7FCBF3AF" w:rsidR="008418E3" w:rsidRDefault="00A7122F" w:rsidP="008418E3">
      <w:r>
        <w:t xml:space="preserve">We suggest reducing the complexity of the current framework by only allowing one timeframe for deferred publication, no matter which waiver </w:t>
      </w:r>
      <w:proofErr w:type="gramStart"/>
      <w:r>
        <w:t>was used</w:t>
      </w:r>
      <w:proofErr w:type="gramEnd"/>
      <w:r>
        <w:t>. Deferral periods of up to four weeks immensely decreases the value of the respective data for market participants, as data will be outdated and thus irrelevant. Hence, we support a harmonised, single regime, requiring the publication of all transaction-related data at the end of the day.</w:t>
      </w:r>
      <w:bookmarkEnd w:id="4"/>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1DF8EE4D" w:rsidR="00F469F8" w:rsidRDefault="00A7122F" w:rsidP="00F469F8">
      <w:permStart w:id="675495160" w:edGrp="everyone"/>
      <w:r>
        <w:t xml:space="preserve">Yes, </w:t>
      </w:r>
      <w:proofErr w:type="gramStart"/>
      <w:r>
        <w:t>Nasdaq</w:t>
      </w:r>
      <w:proofErr w:type="gramEnd"/>
      <w:r>
        <w:t xml:space="preserve"> agrees with ESMA’s proposal to delete the SSTI-waiver and to simplify the post-trade transparency framework. As commented in Q3, we do not support a lowering of post-trade LIS thresholds uniformly across all asset classes to compensate for the adaption to the waiver regime. We prefer to ensure appropriate levels of post-trade information and is of the view that only a fraction of all non-equity transactions should be eligible for deferred pub</w:t>
      </w:r>
      <w:r w:rsidR="00353156">
        <w:t>lication</w:t>
      </w:r>
      <w:r w:rsidRPr="00B52FD8">
        <w:rPr>
          <w:rFonts w:asciiTheme="minorHAnsi" w:hAnsiTheme="minorHAnsi" w:cstheme="majorHAnsi"/>
        </w:rPr>
        <w:t>.</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lastRenderedPageBreak/>
        <w:t>&lt;ESMA_QUESTION_CP</w:t>
      </w:r>
      <w:r w:rsidR="007254DD">
        <w:t>_MIFID_NQT</w:t>
      </w:r>
      <w:r w:rsidR="00F107EF">
        <w:t>_</w:t>
      </w:r>
      <w:r>
        <w:t>1</w:t>
      </w:r>
      <w:r w:rsidR="002868FC">
        <w:t>2</w:t>
      </w:r>
      <w:r>
        <w:t>&gt;</w:t>
      </w:r>
    </w:p>
    <w:p w14:paraId="1B69D7E6" w14:textId="31C56EB0" w:rsidR="00F469F8" w:rsidRDefault="00A7122F" w:rsidP="00F469F8">
      <w:permStart w:id="227761104" w:edGrp="everyone"/>
      <w:proofErr w:type="gramStart"/>
      <w:r w:rsidRPr="00DA03C9">
        <w:rPr>
          <w:rFonts w:cs="Arial"/>
        </w:rPr>
        <w:t>Nasdaq</w:t>
      </w:r>
      <w:proofErr w:type="gramEnd"/>
      <w:r w:rsidRPr="00DA03C9">
        <w:rPr>
          <w:rFonts w:cs="Arial"/>
        </w:rPr>
        <w:t xml:space="preserve"> agrees on the need to create a less complex post-trade transparency regime. As highlighted in Q11, we agree with the removal of the SSTI deferral while the illiquid and LIS deferrals </w:t>
      </w:r>
      <w:proofErr w:type="gramStart"/>
      <w:r w:rsidRPr="00DA03C9">
        <w:rPr>
          <w:rFonts w:cs="Arial"/>
        </w:rPr>
        <w:t>should be maintained</w:t>
      </w:r>
      <w:proofErr w:type="gramEnd"/>
      <w:r w:rsidRPr="00DA03C9">
        <w:rPr>
          <w:rFonts w:cs="Arial"/>
        </w:rPr>
        <w:t xml:space="preserve"> in fixed income markets. Other than that, we suggest that the number of other options available in the post-transparency regime </w:t>
      </w:r>
      <w:proofErr w:type="gramStart"/>
      <w:r w:rsidRPr="00DA03C9">
        <w:rPr>
          <w:rFonts w:cs="Arial"/>
        </w:rPr>
        <w:t>should be reduced</w:t>
      </w:r>
      <w:proofErr w:type="gramEnd"/>
      <w:r w:rsidRPr="00DA03C9">
        <w:rPr>
          <w:rFonts w:cs="Arial"/>
        </w:rPr>
        <w:t>, in particular waivers that enable only partial publication or no publication of trades as well as the 4-week waiver.</w:t>
      </w:r>
      <w:r>
        <w:rPr>
          <w:rFonts w:asciiTheme="minorHAnsi" w:hAnsiTheme="minorHAnsi" w:cstheme="majorHAnsi"/>
        </w:rPr>
        <w:t xml:space="preserve"> </w:t>
      </w:r>
      <w:r>
        <w:t>Instead, we</w:t>
      </w:r>
      <w:r w:rsidRPr="005E3F2D">
        <w:t xml:space="preserve"> propose to introduce a single regime, requiring the publication of all transaction</w:t>
      </w:r>
      <w:r>
        <w:t>-</w:t>
      </w:r>
      <w:r w:rsidRPr="005E3F2D">
        <w:t>related data at the end of the day.</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7A18112A" w14:textId="76A0D1E6" w:rsidR="00D9315A" w:rsidRPr="00DA03C9" w:rsidRDefault="00DA03C9" w:rsidP="00764BEF">
      <w:pPr>
        <w:spacing w:after="120"/>
        <w:rPr>
          <w:rFonts w:cs="Arial"/>
        </w:rPr>
      </w:pPr>
      <w:permStart w:id="308116658" w:edGrp="everyone"/>
      <w:r>
        <w:rPr>
          <w:rFonts w:asciiTheme="majorHAnsi" w:hAnsiTheme="majorHAnsi" w:cstheme="majorHAnsi"/>
        </w:rPr>
        <w:t xml:space="preserve"> </w:t>
      </w:r>
      <w:r w:rsidR="00D9315A" w:rsidRPr="00DA03C9">
        <w:rPr>
          <w:rFonts w:cs="Arial"/>
        </w:rPr>
        <w:t xml:space="preserve">We agree there is a need for the price and volume to </w:t>
      </w:r>
      <w:proofErr w:type="gramStart"/>
      <w:r w:rsidR="00D9315A" w:rsidRPr="00DA03C9">
        <w:rPr>
          <w:rFonts w:cs="Arial"/>
        </w:rPr>
        <w:t>be published</w:t>
      </w:r>
      <w:proofErr w:type="gramEnd"/>
      <w:r w:rsidR="00D9315A" w:rsidRPr="00DA03C9">
        <w:rPr>
          <w:rFonts w:cs="Arial"/>
        </w:rPr>
        <w:t xml:space="preserve"> for transparency purposes. If the deferral is too long, it is of no use to market participants, other than for compliance purposes or statistics studies. </w:t>
      </w:r>
      <w:proofErr w:type="gramStart"/>
      <w:r w:rsidR="00D9315A" w:rsidRPr="00DA03C9">
        <w:rPr>
          <w:rFonts w:cs="Arial"/>
        </w:rPr>
        <w:t>Therefore</w:t>
      </w:r>
      <w:proofErr w:type="gramEnd"/>
      <w:r w:rsidR="00D9315A" w:rsidRPr="00DA03C9">
        <w:rPr>
          <w:rFonts w:cs="Arial"/>
        </w:rPr>
        <w:t xml:space="preserve"> it is preferable for the delay period to be shortened but it still needs to be sufficiently long to protect the brokers from undue risk in revealing their positions but still short enough for it to be meaningful to the market when made visible. </w:t>
      </w:r>
    </w:p>
    <w:p w14:paraId="536EE512" w14:textId="3C3A938C" w:rsidR="00646C30" w:rsidRDefault="00D9315A" w:rsidP="00646C30">
      <w:r w:rsidRPr="00DA03C9">
        <w:rPr>
          <w:rFonts w:cs="Arial"/>
        </w:rPr>
        <w:t>We see option 3 as excessively complex. Post-trade information published after t+</w:t>
      </w:r>
      <w:proofErr w:type="gramStart"/>
      <w:r w:rsidRPr="00DA03C9">
        <w:rPr>
          <w:rFonts w:cs="Arial"/>
        </w:rPr>
        <w:t>2</w:t>
      </w:r>
      <w:proofErr w:type="gramEnd"/>
      <w:r w:rsidRPr="00DA03C9">
        <w:rPr>
          <w:rFonts w:cs="Arial"/>
        </w:rPr>
        <w:t xml:space="preserve"> is of no commercial use, except for statistic studies or compliance purposes</w:t>
      </w:r>
      <w:r w:rsidRPr="00503BE9">
        <w:rPr>
          <w:rFonts w:asciiTheme="minorHAnsi" w:hAnsiTheme="minorHAnsi"/>
        </w:rPr>
        <w:t>.</w:t>
      </w:r>
      <w:r w:rsidR="00DA03C9">
        <w:rPr>
          <w:rFonts w:asciiTheme="minorHAnsi" w:hAnsiTheme="minorHAnsi"/>
        </w:rPr>
        <w:t xml:space="preserve">  </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558A6BC2" w14:textId="53BF16D0" w:rsidR="00D9315A" w:rsidRDefault="00D9315A" w:rsidP="00764BEF">
      <w:pPr>
        <w:spacing w:after="120"/>
      </w:pPr>
      <w:permStart w:id="699085938" w:edGrp="everyone"/>
      <w:proofErr w:type="gramStart"/>
      <w:r>
        <w:lastRenderedPageBreak/>
        <w:t>Nasdaq</w:t>
      </w:r>
      <w:proofErr w:type="gramEnd"/>
      <w:r>
        <w:t xml:space="preserve"> agrees in general that ESMA should focus on enforcing compliance with post-trade transparency requirements and correct trade flagging to increase the quality of post-trade transparency. </w:t>
      </w:r>
      <w:r w:rsidRPr="00503BE9">
        <w:rPr>
          <w:rFonts w:asciiTheme="minorHAnsi" w:hAnsiTheme="minorHAnsi"/>
        </w:rPr>
        <w:t xml:space="preserve">This is even more critical in an OTC environment, where </w:t>
      </w:r>
      <w:r>
        <w:rPr>
          <w:rFonts w:asciiTheme="minorHAnsi" w:hAnsiTheme="minorHAnsi"/>
        </w:rPr>
        <w:t xml:space="preserve">transparency is </w:t>
      </w:r>
      <w:r w:rsidRPr="00503BE9">
        <w:rPr>
          <w:rFonts w:asciiTheme="minorHAnsi" w:hAnsiTheme="minorHAnsi"/>
        </w:rPr>
        <w:t>limited.</w:t>
      </w:r>
      <w:r>
        <w:rPr>
          <w:rFonts w:asciiTheme="minorHAnsi" w:hAnsiTheme="minorHAnsi"/>
        </w:rPr>
        <w:t xml:space="preserve"> </w:t>
      </w:r>
      <w:r>
        <w:t xml:space="preserve">As outlined in the previous questions, we recommend a number of amendments to the pre- and post-trade transparency </w:t>
      </w:r>
      <w:proofErr w:type="gramStart"/>
      <w:r>
        <w:t>requirements which</w:t>
      </w:r>
      <w:proofErr w:type="gramEnd"/>
      <w:r w:rsidR="00764BEF">
        <w:t xml:space="preserve"> would maximise the amount and - </w:t>
      </w:r>
      <w:r>
        <w:t>importantly - quality of data released.</w:t>
      </w:r>
    </w:p>
    <w:permEnd w:id="699085938"/>
    <w:p w14:paraId="6A257108" w14:textId="180D6EA5" w:rsidR="00646C30" w:rsidRDefault="00646C30" w:rsidP="00646C30"/>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6B1EFC13" w14:textId="3F918274" w:rsidR="00D9315A" w:rsidRPr="00440932" w:rsidRDefault="00D9315A" w:rsidP="00764BEF">
      <w:pPr>
        <w:rPr>
          <w:lang w:val="en-US"/>
        </w:rPr>
      </w:pPr>
      <w:permStart w:id="1271415520" w:edGrp="everyone"/>
      <w:r w:rsidRPr="00440932">
        <w:t>The analysis o</w:t>
      </w:r>
      <w:r w:rsidRPr="00440932">
        <w:rPr>
          <w:lang w:val="en-US"/>
        </w:rPr>
        <w:t>f</w:t>
      </w:r>
      <w:r w:rsidRPr="00440932">
        <w:t xml:space="preserve"> the evolution of the EU non-equity market structure suggests that policy measures, </w:t>
      </w:r>
      <w:r w:rsidRPr="00440932">
        <w:rPr>
          <w:lang w:val="en-US"/>
        </w:rPr>
        <w:t xml:space="preserve">aimed at </w:t>
      </w:r>
      <w:r w:rsidRPr="00440932">
        <w:t>bring</w:t>
      </w:r>
      <w:r w:rsidRPr="00440932">
        <w:rPr>
          <w:lang w:val="en-US"/>
        </w:rPr>
        <w:t xml:space="preserve">ing </w:t>
      </w:r>
      <w:r w:rsidRPr="00440932">
        <w:t xml:space="preserve">trading out of the dark, have not been as successful as originally expected. </w:t>
      </w:r>
      <w:r w:rsidRPr="00440932">
        <w:rPr>
          <w:lang w:val="en-US"/>
        </w:rPr>
        <w:t>Non-equity t</w:t>
      </w:r>
      <w:r w:rsidRPr="00440932">
        <w:t>rading is still very opaque</w:t>
      </w:r>
      <w:r w:rsidRPr="00440932">
        <w:rPr>
          <w:lang w:val="en-US"/>
        </w:rPr>
        <w:t xml:space="preserve"> compared to equity </w:t>
      </w:r>
      <w:r w:rsidRPr="00440932">
        <w:t>and there was no increase in transpa</w:t>
      </w:r>
      <w:r w:rsidR="00FF5879">
        <w:t xml:space="preserve">rency triggered by </w:t>
      </w:r>
      <w:proofErr w:type="spellStart"/>
      <w:r w:rsidR="00FF5879">
        <w:t>MiFIDII</w:t>
      </w:r>
      <w:proofErr w:type="spellEnd"/>
      <w:r w:rsidR="00FF5879">
        <w:rPr>
          <w:lang w:val="en-US"/>
        </w:rPr>
        <w:t>.</w:t>
      </w:r>
    </w:p>
    <w:p w14:paraId="1EB95DD7" w14:textId="5A25B862" w:rsidR="00D9315A" w:rsidRDefault="00D9315A" w:rsidP="00764BEF">
      <w:r w:rsidRPr="00440932">
        <w:t>Bonds and derivatives markets with deep pools of high-quality liquidity are a crucial component of healthy ecosystems as well as an important contributor to competitive, transparent and stable EU financial markets.</w:t>
      </w:r>
      <w:r w:rsidRPr="00440932">
        <w:rPr>
          <w:lang w:val="en-US"/>
        </w:rPr>
        <w:t xml:space="preserve"> E</w:t>
      </w:r>
      <w:r w:rsidRPr="00440932">
        <w:t xml:space="preserve">nsuring transparency in these markets requires </w:t>
      </w:r>
      <w:proofErr w:type="gramStart"/>
      <w:r w:rsidR="00764BEF">
        <w:t>rules which</w:t>
      </w:r>
      <w:proofErr w:type="gramEnd"/>
      <w:r w:rsidR="00764BEF">
        <w:t xml:space="preserve"> are not copied from equity markets, but instead </w:t>
      </w:r>
      <w:r w:rsidRPr="00440932">
        <w:t xml:space="preserve">tailored </w:t>
      </w:r>
      <w:r w:rsidRPr="00440932">
        <w:rPr>
          <w:lang w:val="en-US"/>
        </w:rPr>
        <w:t>and flexible</w:t>
      </w:r>
      <w:r w:rsidR="00764BEF">
        <w:rPr>
          <w:lang w:val="en-US"/>
        </w:rPr>
        <w:t xml:space="preserve"> in order to</w:t>
      </w:r>
      <w:r w:rsidRPr="00440932">
        <w:t xml:space="preserve"> balance the need for enhanced transparency whilst recognising the </w:t>
      </w:r>
      <w:r w:rsidRPr="00C020E1">
        <w:t>specificities</w:t>
      </w:r>
      <w:r>
        <w:t xml:space="preserve">, differences </w:t>
      </w:r>
      <w:r w:rsidRPr="00C020E1">
        <w:t xml:space="preserve">and </w:t>
      </w:r>
      <w:r w:rsidRPr="00440932">
        <w:t>nuanced working of such markets</w:t>
      </w:r>
      <w:r w:rsidRPr="00C020E1">
        <w:t xml:space="preserve">. </w:t>
      </w:r>
    </w:p>
    <w:p w14:paraId="0F743FC6" w14:textId="77777777" w:rsidR="00764BEF" w:rsidRDefault="00764BEF" w:rsidP="00764BEF"/>
    <w:p w14:paraId="4851BB2D" w14:textId="7AC26A48" w:rsidR="00D9315A" w:rsidRPr="000947A1" w:rsidRDefault="00D9315A" w:rsidP="00764BEF">
      <w:pPr>
        <w:rPr>
          <w:rFonts w:cs="Arial"/>
          <w:szCs w:val="20"/>
        </w:rPr>
      </w:pPr>
      <w:r w:rsidRPr="00C020E1">
        <w:t>Under the curr</w:t>
      </w:r>
      <w:r w:rsidRPr="000947A1">
        <w:rPr>
          <w:rFonts w:cs="Arial"/>
          <w:szCs w:val="20"/>
        </w:rPr>
        <w:t>ent regulation, there is hardly any sensible transparency in bonds available. Besides overly long delays, the possibility to publish selected data points of one single transaction in bonds over a certain period is not only overly complex, but it prevents usable transparency to the public rather than providing it. This is to the disadvantage of EU investors, as proper transparency data in bonds could enable passive investment as well in bonds as for equity. It would improve bond</w:t>
      </w:r>
      <w:r w:rsidR="00E91BA7" w:rsidRPr="000947A1">
        <w:rPr>
          <w:rFonts w:cs="Arial"/>
          <w:szCs w:val="20"/>
        </w:rPr>
        <w:t xml:space="preserve"> market</w:t>
      </w:r>
      <w:r w:rsidRPr="000947A1">
        <w:rPr>
          <w:rFonts w:cs="Arial"/>
          <w:szCs w:val="20"/>
        </w:rPr>
        <w:t xml:space="preserve">s as an alternative source of financing. This </w:t>
      </w:r>
      <w:proofErr w:type="gramStart"/>
      <w:r w:rsidRPr="000947A1">
        <w:rPr>
          <w:rFonts w:cs="Arial"/>
          <w:szCs w:val="20"/>
        </w:rPr>
        <w:t>has been underlined</w:t>
      </w:r>
      <w:proofErr w:type="gramEnd"/>
      <w:r w:rsidRPr="000947A1">
        <w:rPr>
          <w:rFonts w:cs="Arial"/>
          <w:szCs w:val="20"/>
        </w:rPr>
        <w:t xml:space="preserve"> even further by the current Covid-19 crisis, and the need for many companies to access further financing. </w:t>
      </w:r>
    </w:p>
    <w:p w14:paraId="37953CC7" w14:textId="77777777" w:rsidR="00764BEF" w:rsidRDefault="00764BEF" w:rsidP="00764BEF">
      <w:pPr>
        <w:rPr>
          <w:rFonts w:cs="Arial"/>
          <w:szCs w:val="20"/>
        </w:rPr>
      </w:pPr>
    </w:p>
    <w:p w14:paraId="02867E6D" w14:textId="09E6D643" w:rsidR="00D9315A" w:rsidRPr="000947A1" w:rsidRDefault="00D9315A" w:rsidP="00764BEF">
      <w:pPr>
        <w:rPr>
          <w:rFonts w:cs="Arial"/>
          <w:szCs w:val="20"/>
        </w:rPr>
      </w:pPr>
      <w:proofErr w:type="spellStart"/>
      <w:r w:rsidRPr="000947A1">
        <w:rPr>
          <w:rFonts w:cs="Arial"/>
          <w:szCs w:val="20"/>
        </w:rPr>
        <w:t>MiFiD</w:t>
      </w:r>
      <w:proofErr w:type="spellEnd"/>
      <w:r w:rsidRPr="000947A1">
        <w:rPr>
          <w:rFonts w:cs="Arial"/>
          <w:szCs w:val="20"/>
        </w:rPr>
        <w:t xml:space="preserve"> II contains multiple options for post-trade deferrals. As the fixed income market is fragmented and there is no ‘one-size-fit-all’, there should still be different options available, but we believe these </w:t>
      </w:r>
      <w:proofErr w:type="gramStart"/>
      <w:r w:rsidRPr="000947A1">
        <w:rPr>
          <w:rFonts w:cs="Arial"/>
          <w:szCs w:val="20"/>
        </w:rPr>
        <w:t>could be reduced and simplified</w:t>
      </w:r>
      <w:proofErr w:type="gramEnd"/>
      <w:r w:rsidRPr="000947A1">
        <w:rPr>
          <w:rFonts w:cs="Arial"/>
          <w:szCs w:val="20"/>
        </w:rPr>
        <w:t xml:space="preserve">. </w:t>
      </w:r>
      <w:r w:rsidR="00764BEF">
        <w:rPr>
          <w:rFonts w:cs="Arial"/>
          <w:szCs w:val="20"/>
        </w:rPr>
        <w:t>I</w:t>
      </w:r>
      <w:r w:rsidRPr="000947A1">
        <w:rPr>
          <w:rFonts w:cs="Arial"/>
          <w:szCs w:val="20"/>
        </w:rPr>
        <w:t>n particular waivers that enable only partial publication or no publication of trades</w:t>
      </w:r>
      <w:r w:rsidR="00764BEF">
        <w:rPr>
          <w:rFonts w:cs="Arial"/>
          <w:szCs w:val="20"/>
        </w:rPr>
        <w:t>,</w:t>
      </w:r>
      <w:r w:rsidRPr="000947A1">
        <w:rPr>
          <w:rFonts w:cs="Arial"/>
          <w:szCs w:val="20"/>
        </w:rPr>
        <w:t xml:space="preserve"> as well as the 4-week waiver.</w:t>
      </w:r>
    </w:p>
    <w:p w14:paraId="28768C01" w14:textId="77777777" w:rsidR="00764BEF" w:rsidRDefault="00764BEF" w:rsidP="00646C30">
      <w:pPr>
        <w:rPr>
          <w:rFonts w:cs="Arial"/>
          <w:szCs w:val="20"/>
        </w:rPr>
      </w:pPr>
    </w:p>
    <w:p w14:paraId="0C11162E" w14:textId="25557B7B" w:rsidR="00646C30" w:rsidRDefault="00764BEF" w:rsidP="00646C30">
      <w:r>
        <w:rPr>
          <w:rFonts w:cs="Arial"/>
          <w:szCs w:val="20"/>
        </w:rPr>
        <w:lastRenderedPageBreak/>
        <w:t>There are a number of reasons for evaluating a simpler regime. T</w:t>
      </w:r>
      <w:r w:rsidR="00D9315A" w:rsidRPr="000947A1">
        <w:rPr>
          <w:rFonts w:cs="Arial"/>
          <w:szCs w:val="20"/>
        </w:rPr>
        <w:t>he</w:t>
      </w:r>
      <w:r w:rsidR="00D9315A">
        <w:t xml:space="preserve"> more optionality, the higher the cost of adapting IT-systems and operational procedures. This will especially apply for service providers such as APAs as these will need to be flexible on their offering in order to attract business. Similarly,</w:t>
      </w:r>
      <w:r>
        <w:t xml:space="preserve"> the more options, the more resources</w:t>
      </w:r>
      <w:r w:rsidR="00D9315A">
        <w:t xml:space="preserve"> market participants will need to put into their internal </w:t>
      </w:r>
      <w:proofErr w:type="gramStart"/>
      <w:r w:rsidR="00D9315A">
        <w:t>procedures</w:t>
      </w:r>
      <w:proofErr w:type="gramEnd"/>
      <w:r w:rsidR="00D9315A">
        <w:t xml:space="preserve"> as they would need to know which deferrals are used in each market they are trading on, in o</w:t>
      </w:r>
      <w:r>
        <w:t>rder to control their own risk.</w:t>
      </w:r>
      <w:r w:rsidR="00D9315A">
        <w:t xml:space="preserve"> Another reason is that if publication of trades </w:t>
      </w:r>
      <w:proofErr w:type="gramStart"/>
      <w:r w:rsidR="00D9315A">
        <w:t>may be postponed</w:t>
      </w:r>
      <w:proofErr w:type="gramEnd"/>
      <w:r w:rsidR="00D9315A">
        <w:t xml:space="preserve"> significantly (e.g. 4 weeks or partial publication), the information is outdated </w:t>
      </w:r>
      <w:r>
        <w:t xml:space="preserve">and thus not useful </w:t>
      </w:r>
      <w:r w:rsidR="00D9315A">
        <w:t xml:space="preserve">at time of publication. Similarly, the indefinite deferral for government bonds means that market participants will not have insight into these transactions. Market participants </w:t>
      </w:r>
      <w:proofErr w:type="gramStart"/>
      <w:r w:rsidR="00D9315A">
        <w:t>should, though, still have</w:t>
      </w:r>
      <w:proofErr w:type="gramEnd"/>
      <w:r w:rsidR="00D9315A">
        <w:t xml:space="preserve"> the possibility to defer publication, and a few various options should still be possible as there may be national needs that the regulators should be able to accommodate. Therefore, we do not recommend a full harmonisation across all markets, but rather a more simplified framework.</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2B02604E" w:rsidR="00646C30" w:rsidRDefault="00E91BA7" w:rsidP="00646C30">
      <w:permStart w:id="2130212544" w:edGrp="everyone"/>
      <w:r>
        <w:t xml:space="preserve">Yes. A broader TOTV definition would better support the objectives of developing </w:t>
      </w:r>
      <w:proofErr w:type="gramStart"/>
      <w:r>
        <w:t>more transparent markets</w:t>
      </w:r>
      <w:proofErr w:type="gramEnd"/>
      <w:r>
        <w:t>.</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1CE3899A" w:rsidR="00646C30" w:rsidRDefault="00E91BA7" w:rsidP="00646C30">
      <w:permStart w:id="96027498" w:edGrp="everyone"/>
      <w:r>
        <w:t>Yes. This would support efficiency and reduce complexity.</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lastRenderedPageBreak/>
        <w:t>&lt;ESMA_QUESTION_CP</w:t>
      </w:r>
      <w:r w:rsidR="007254DD">
        <w:t>_MIFID_NQT</w:t>
      </w:r>
      <w:r w:rsidR="00F107EF">
        <w:t>_</w:t>
      </w:r>
      <w:r>
        <w:t>1</w:t>
      </w:r>
      <w:r w:rsidR="00101BF1">
        <w:t>8</w:t>
      </w:r>
      <w:r>
        <w:t>&gt;</w:t>
      </w:r>
    </w:p>
    <w:p w14:paraId="2C8E07E5" w14:textId="126A3882" w:rsidR="00646C30" w:rsidRDefault="00E91BA7" w:rsidP="00646C30">
      <w:permStart w:id="70923797" w:edGrp="everyone"/>
      <w:r>
        <w:t>Option 3. Both Option 2 and 3 would extent the scope of the transparency and transaction reporting framework to more OTC-derivatives compared to Option 1 (i.e. maintaining the status quo), but we believe a broad TOTV concept would be more in line with the MIFIR transparency objectives, promoting a broadly applicable transparency and transaction reporting regime for derivatives to increase overall transparency.</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68D10781" w:rsidR="00646C30" w:rsidRDefault="00583F92" w:rsidP="00646C30">
      <w:permStart w:id="1628391240" w:edGrp="everyone"/>
      <w:r>
        <w:t xml:space="preserve">This </w:t>
      </w:r>
      <w:proofErr w:type="gramStart"/>
      <w:r>
        <w:t>has not been used</w:t>
      </w:r>
      <w:proofErr w:type="gramEnd"/>
      <w:r>
        <w:t xml:space="preserve"> and we hesitate if it is necessary to maintain it.</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7C7819D9" w14:textId="4BBED23F" w:rsidR="00583F92" w:rsidRDefault="00583F92" w:rsidP="00764BEF">
      <w:pPr>
        <w:spacing w:after="120"/>
      </w:pPr>
      <w:permStart w:id="951131482" w:edGrp="everyone"/>
      <w:r>
        <w:t>In general,</w:t>
      </w:r>
      <w:r w:rsidRPr="003C53FD">
        <w:t xml:space="preserve"> any exemption from key rules agreed by the G20 with a view to making our markets more stable and </w:t>
      </w:r>
      <w:proofErr w:type="gramStart"/>
      <w:r w:rsidRPr="003C53FD">
        <w:t>resilient</w:t>
      </w:r>
      <w:r w:rsidR="00456741">
        <w:t>,</w:t>
      </w:r>
      <w:proofErr w:type="gramEnd"/>
      <w:r w:rsidRPr="003C53FD">
        <w:t xml:space="preserve"> should be based on a thorough impact assessment in order to avoid any unintended side effects</w:t>
      </w:r>
      <w:r>
        <w:t>.</w:t>
      </w:r>
    </w:p>
    <w:p w14:paraId="49386FE1" w14:textId="77777777" w:rsidR="00583F92" w:rsidRPr="00353156" w:rsidRDefault="00583F92" w:rsidP="00764BEF">
      <w:pPr>
        <w:spacing w:after="120"/>
        <w:rPr>
          <w:rFonts w:cs="Arial"/>
          <w:szCs w:val="20"/>
        </w:rPr>
      </w:pPr>
      <w:r>
        <w:t xml:space="preserve">Potential loopholes in the interplay between the clearing rules under EMIR for OTC derivatives and under </w:t>
      </w:r>
      <w:proofErr w:type="spellStart"/>
      <w:r>
        <w:t>MiFIR</w:t>
      </w:r>
      <w:proofErr w:type="spellEnd"/>
      <w:r>
        <w:t xml:space="preserve"> for Exchange-Traded Derivatives (ETDs), as well as the trading obligation under </w:t>
      </w:r>
      <w:proofErr w:type="spellStart"/>
      <w:r>
        <w:t>MiFIR</w:t>
      </w:r>
      <w:proofErr w:type="spellEnd"/>
      <w:r>
        <w:t xml:space="preserve">, should be </w:t>
      </w:r>
      <w:r w:rsidRPr="00353156">
        <w:rPr>
          <w:rFonts w:cs="Arial"/>
          <w:szCs w:val="20"/>
        </w:rPr>
        <w:t xml:space="preserve">avoided as these would threaten to drive ETD volumes to OTC venues and to ‘pure OTC’ (contracts traded bilaterally, not on an MTF or OTF). </w:t>
      </w:r>
    </w:p>
    <w:p w14:paraId="1528E9E6" w14:textId="6268C76D" w:rsidR="00583F92" w:rsidRPr="00353156" w:rsidRDefault="00583F92" w:rsidP="00764BEF">
      <w:pPr>
        <w:pStyle w:val="NoSpacing"/>
        <w:spacing w:after="120"/>
        <w:rPr>
          <w:rFonts w:ascii="Arial" w:hAnsi="Arial" w:cs="Arial"/>
          <w:sz w:val="20"/>
          <w:szCs w:val="20"/>
        </w:rPr>
      </w:pPr>
      <w:r w:rsidRPr="00353156">
        <w:rPr>
          <w:rFonts w:ascii="Arial" w:hAnsi="Arial" w:cs="Arial"/>
          <w:sz w:val="20"/>
          <w:szCs w:val="20"/>
        </w:rPr>
        <w:t xml:space="preserve">While all derivatives traded on a RM are subject to an obligation to centrally clear, look-alike contracts traded OTC (i.e. those contracts that mimic the economic value of the ETDs but are traded OTC as defined in EMIR) </w:t>
      </w:r>
      <w:r w:rsidR="00456741" w:rsidRPr="00353156">
        <w:rPr>
          <w:rFonts w:ascii="Arial" w:hAnsi="Arial" w:cs="Arial"/>
          <w:sz w:val="20"/>
          <w:szCs w:val="20"/>
        </w:rPr>
        <w:t>are</w:t>
      </w:r>
      <w:r w:rsidRPr="00353156">
        <w:rPr>
          <w:rFonts w:ascii="Arial" w:hAnsi="Arial" w:cs="Arial"/>
          <w:sz w:val="20"/>
          <w:szCs w:val="20"/>
        </w:rPr>
        <w:t xml:space="preserve"> only subject to the requirement to clear if ESMA mandates the products for clearing. By extension, these contracts are also not subject to the trading obligation under </w:t>
      </w:r>
      <w:proofErr w:type="spellStart"/>
      <w:r w:rsidRPr="00353156">
        <w:rPr>
          <w:rFonts w:ascii="Arial" w:hAnsi="Arial" w:cs="Arial"/>
          <w:sz w:val="20"/>
          <w:szCs w:val="20"/>
        </w:rPr>
        <w:t>MiFIR</w:t>
      </w:r>
      <w:proofErr w:type="spellEnd"/>
      <w:r w:rsidRPr="00353156">
        <w:rPr>
          <w:rFonts w:ascii="Arial" w:hAnsi="Arial" w:cs="Arial"/>
          <w:sz w:val="20"/>
          <w:szCs w:val="20"/>
        </w:rPr>
        <w:t xml:space="preserve">. </w:t>
      </w:r>
    </w:p>
    <w:p w14:paraId="5DA1EA41" w14:textId="79BBC3CF" w:rsidR="00583F92" w:rsidRDefault="00583F92" w:rsidP="00764BEF">
      <w:pPr>
        <w:spacing w:after="120"/>
      </w:pPr>
      <w:r w:rsidRPr="00353156">
        <w:rPr>
          <w:rFonts w:cs="Arial"/>
          <w:szCs w:val="20"/>
        </w:rPr>
        <w:t xml:space="preserve">There are, therefore, ‘incentives’ </w:t>
      </w:r>
      <w:r w:rsidR="00456741" w:rsidRPr="00353156">
        <w:rPr>
          <w:rFonts w:cs="Arial"/>
          <w:szCs w:val="20"/>
        </w:rPr>
        <w:t xml:space="preserve">for market participants </w:t>
      </w:r>
      <w:r w:rsidRPr="00353156">
        <w:rPr>
          <w:rFonts w:cs="Arial"/>
          <w:szCs w:val="20"/>
        </w:rPr>
        <w:t>to move these contracts OTC, not only to MTFs and</w:t>
      </w:r>
      <w:r>
        <w:t xml:space="preserve"> OTFs, but also to ‘pure OTC’ to avoid central clearing. In addition, contracts that are traded ‘pure OTC’ only</w:t>
      </w:r>
      <w:r w:rsidR="00456741">
        <w:t>,</w:t>
      </w:r>
      <w:r>
        <w:t xml:space="preserve"> are also not subject to </w:t>
      </w:r>
      <w:proofErr w:type="spellStart"/>
      <w:r>
        <w:t>MiFIR</w:t>
      </w:r>
      <w:proofErr w:type="spellEnd"/>
      <w:r>
        <w:t xml:space="preserve"> transparency requirements or even </w:t>
      </w:r>
      <w:r w:rsidR="00353156">
        <w:t>certain reporting requirements.</w:t>
      </w:r>
    </w:p>
    <w:p w14:paraId="0950120F" w14:textId="0333F9CA" w:rsidR="000947A1" w:rsidRDefault="00353156" w:rsidP="00764BEF">
      <w:pPr>
        <w:spacing w:after="120"/>
      </w:pPr>
      <w:r w:rsidRPr="00353156">
        <w:lastRenderedPageBreak/>
        <w:t xml:space="preserve">For the Nordic markets, given that a very limited number of derivatives </w:t>
      </w:r>
      <w:proofErr w:type="gramStart"/>
      <w:r w:rsidRPr="00353156">
        <w:t>have been classified</w:t>
      </w:r>
      <w:proofErr w:type="gramEnd"/>
      <w:r w:rsidRPr="00353156">
        <w:t xml:space="preserve"> as liquid, the DTO has almost not been applied. After </w:t>
      </w:r>
      <w:proofErr w:type="spellStart"/>
      <w:r w:rsidRPr="00353156">
        <w:t>MiFIDII</w:t>
      </w:r>
      <w:proofErr w:type="spellEnd"/>
      <w:r w:rsidRPr="00353156">
        <w:t xml:space="preserve"> the transparency in derivative instruments has become less than it was before the reform. On Nordic equity derivatives, we estimate that 3-5% of the volumes traded on-exchange pre-MiFID II have moved to OTC trading.</w:t>
      </w:r>
    </w:p>
    <w:p w14:paraId="2BF6DC09" w14:textId="27A4A751" w:rsidR="001129F9" w:rsidRDefault="00583F92" w:rsidP="001129F9">
      <w:r w:rsidRPr="00861579">
        <w:t xml:space="preserve">These remarks are not applicable to securitised derivatives, which are not contracts and </w:t>
      </w:r>
      <w:proofErr w:type="gramStart"/>
      <w:r w:rsidRPr="00861579">
        <w:t>are underpinned</w:t>
      </w:r>
      <w:proofErr w:type="gramEnd"/>
      <w:r w:rsidRPr="00861579">
        <w:t xml:space="preserve"> by a different type of market structure where both central and bilateral clearing coexist.</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57B92575" w14:textId="77777777" w:rsidR="00FC35C4" w:rsidRDefault="000947A1" w:rsidP="00FC35C4">
      <w:permStart w:id="37382354" w:edGrp="everyone"/>
      <w:r w:rsidRPr="00DA03C9">
        <w:rPr>
          <w:rFonts w:cs="Arial"/>
        </w:rPr>
        <w:t xml:space="preserve">In general, a more customised approach to assessing which instrument is liquid or not liquid </w:t>
      </w:r>
      <w:proofErr w:type="gramStart"/>
      <w:r w:rsidRPr="00DA03C9">
        <w:rPr>
          <w:rFonts w:cs="Arial"/>
        </w:rPr>
        <w:t>should be applied</w:t>
      </w:r>
      <w:proofErr w:type="gramEnd"/>
      <w:r w:rsidRPr="000947A1">
        <w:rPr>
          <w:rFonts w:asciiTheme="minorHAnsi" w:hAnsiTheme="minorHAnsi"/>
        </w:rPr>
        <w:t>.</w:t>
      </w:r>
    </w:p>
    <w:p w14:paraId="4B213DE4" w14:textId="2C9EA5CA" w:rsidR="00FC35C4" w:rsidRPr="00963FAA" w:rsidRDefault="00FC35C4" w:rsidP="00FC35C4">
      <w:pPr>
        <w:rPr>
          <w:rFonts w:ascii="Calibri" w:hAnsi="Calibri"/>
          <w:szCs w:val="22"/>
          <w:lang w:eastAsia="en-US"/>
        </w:rPr>
      </w:pPr>
      <w:r w:rsidRPr="00963FAA">
        <w:t>However, for commodity derivatives we strongly support ESMA’s current methodology on the liquidity calculation for commodity derivatives based on the delivery/cash settlement location, which secures that products listed on two or more exchanges (with the same underlying) are treated equally. The use of EIC Y Codes are efficient in this matter and creates a levelled playing field for all exchanges listing commodity derivatives with the same physical underlying. However, we believe that a number of relatively illiquid commodity products, have been wrongly classified as liquid based on the two liquidity criteria in table 7.1, Annex III, RTS 2, thus becoming subject to significantly broader transparency requirements and made subject to excessive Large in Scale (“LIS”) thresholds. We therefore recommend certain amendments in the level 2 legislation, which would address the current factors leading to inappropriate thresholds</w:t>
      </w:r>
      <w:r w:rsidR="00963FAA" w:rsidRPr="00963FAA">
        <w:t>.</w:t>
      </w:r>
    </w:p>
    <w:p w14:paraId="13C7FEA6" w14:textId="7ECDE168" w:rsidR="00646C30" w:rsidRDefault="00DA03C9" w:rsidP="00646C30">
      <w:r>
        <w:rPr>
          <w:rFonts w:asciiTheme="minorHAnsi" w:hAnsiTheme="minorHAnsi"/>
        </w:rPr>
        <w:t xml:space="preserve"> </w:t>
      </w:r>
      <w:r w:rsidR="00E63AFC">
        <w:rPr>
          <w:rFonts w:asciiTheme="minorHAnsi" w:hAnsiTheme="minorHAnsi"/>
        </w:rPr>
        <w:t xml:space="preserve"> </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lastRenderedPageBreak/>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0324EE69" w14:textId="77777777" w:rsidR="00E63AFC" w:rsidRPr="00DA03C9" w:rsidRDefault="00E63AFC" w:rsidP="00764BEF">
      <w:pPr>
        <w:spacing w:after="120"/>
        <w:rPr>
          <w:rFonts w:cs="Arial"/>
          <w:szCs w:val="20"/>
        </w:rPr>
      </w:pPr>
      <w:permStart w:id="203690501" w:edGrp="everyone"/>
      <w:r w:rsidRPr="00DA03C9">
        <w:rPr>
          <w:rFonts w:cs="Arial"/>
          <w:szCs w:val="20"/>
        </w:rPr>
        <w:t xml:space="preserve">We agree current level of pre- and post-trade transparency for bonds is very low. The number of bonds classified as liquid shows that the liquidity determination process is not delivering and the regime is not reflecting </w:t>
      </w:r>
      <w:proofErr w:type="spellStart"/>
      <w:r w:rsidRPr="00DA03C9">
        <w:rPr>
          <w:rFonts w:cs="Arial"/>
          <w:szCs w:val="20"/>
        </w:rPr>
        <w:t>MiFIR</w:t>
      </w:r>
      <w:proofErr w:type="spellEnd"/>
      <w:r w:rsidRPr="00DA03C9">
        <w:rPr>
          <w:rFonts w:cs="Arial"/>
          <w:szCs w:val="20"/>
        </w:rPr>
        <w:t xml:space="preserve"> objectives to increase transparency. </w:t>
      </w:r>
    </w:p>
    <w:p w14:paraId="3ADADA75" w14:textId="77777777" w:rsidR="00E63AFC" w:rsidRPr="00DA03C9" w:rsidRDefault="00E63AFC" w:rsidP="00764BEF">
      <w:pPr>
        <w:spacing w:after="120"/>
        <w:rPr>
          <w:rFonts w:cs="Arial"/>
          <w:szCs w:val="20"/>
        </w:rPr>
      </w:pPr>
      <w:r w:rsidRPr="00DA03C9">
        <w:rPr>
          <w:rFonts w:cs="Arial"/>
          <w:szCs w:val="20"/>
        </w:rPr>
        <w:t>We believe this is due to (</w:t>
      </w:r>
      <w:proofErr w:type="spellStart"/>
      <w:r w:rsidRPr="00DA03C9">
        <w:rPr>
          <w:rFonts w:cs="Arial"/>
          <w:szCs w:val="20"/>
        </w:rPr>
        <w:t>i</w:t>
      </w:r>
      <w:proofErr w:type="spellEnd"/>
      <w:r w:rsidRPr="00DA03C9">
        <w:rPr>
          <w:rFonts w:cs="Arial"/>
          <w:szCs w:val="20"/>
        </w:rPr>
        <w:t xml:space="preserve">) criteria </w:t>
      </w:r>
      <w:proofErr w:type="gramStart"/>
      <w:r w:rsidRPr="00DA03C9">
        <w:rPr>
          <w:rFonts w:cs="Arial"/>
          <w:szCs w:val="20"/>
        </w:rPr>
        <w:t>that have been incorrectly defined, (ii) numerical parameters that are not appropriate</w:t>
      </w:r>
      <w:proofErr w:type="gramEnd"/>
      <w:r w:rsidRPr="00DA03C9">
        <w:rPr>
          <w:rFonts w:cs="Arial"/>
          <w:szCs w:val="20"/>
        </w:rPr>
        <w:t xml:space="preserve"> or (iii) an inaccurate or incomplete reporting from market stakeholders. The below proposals could help amend these misleading calculations which do not reflect the </w:t>
      </w:r>
      <w:r w:rsidRPr="00DA03C9">
        <w:rPr>
          <w:rFonts w:cs="Arial"/>
          <w:szCs w:val="20"/>
        </w:rPr>
        <w:lastRenderedPageBreak/>
        <w:t>initial aim of MiFID II for fixed income markets (i.e. to increase transparency, notably at the post-trade level). These suggestions include:</w:t>
      </w:r>
    </w:p>
    <w:p w14:paraId="78FB9533" w14:textId="77777777" w:rsidR="00E63AFC" w:rsidRPr="00DA03C9" w:rsidRDefault="00E63AFC" w:rsidP="00B5211F">
      <w:pPr>
        <w:pStyle w:val="Bulletpoints"/>
        <w:numPr>
          <w:ilvl w:val="0"/>
          <w:numId w:val="40"/>
        </w:numPr>
        <w:spacing w:after="120"/>
        <w:rPr>
          <w:rFonts w:ascii="Arial" w:hAnsi="Arial" w:cs="Arial"/>
          <w:sz w:val="20"/>
          <w:szCs w:val="20"/>
        </w:rPr>
      </w:pPr>
      <w:r w:rsidRPr="00DA03C9">
        <w:rPr>
          <w:rFonts w:ascii="Arial" w:hAnsi="Arial" w:cs="Arial"/>
          <w:sz w:val="20"/>
          <w:szCs w:val="20"/>
        </w:rPr>
        <w:t xml:space="preserve">Market reality shows that certain bonds never trade. This is due, for instance, to the level of structure, the size of the issued amount, the short-term maturity, the private placement target, etc. Furthermore, in the consultation paper, ESMA confirms that most bonds that have been determined as illiquid in one </w:t>
      </w:r>
      <w:proofErr w:type="gramStart"/>
      <w:r w:rsidRPr="00DA03C9">
        <w:rPr>
          <w:rFonts w:ascii="Arial" w:hAnsi="Arial" w:cs="Arial"/>
          <w:sz w:val="20"/>
          <w:szCs w:val="20"/>
        </w:rPr>
        <w:t>quarter,</w:t>
      </w:r>
      <w:proofErr w:type="gramEnd"/>
      <w:r w:rsidRPr="00DA03C9">
        <w:rPr>
          <w:rFonts w:ascii="Arial" w:hAnsi="Arial" w:cs="Arial"/>
          <w:sz w:val="20"/>
          <w:szCs w:val="20"/>
        </w:rPr>
        <w:t xml:space="preserve"> remain illiquid through the next quarter, accounting for 90-95% of illiquid bonds. We suggest differentiating the types of bonds, for the purpose of the transparency calculations, excluding bonds that do not trade. </w:t>
      </w:r>
    </w:p>
    <w:p w14:paraId="6697BD30" w14:textId="77777777" w:rsidR="00E63AFC" w:rsidRPr="00DA03C9" w:rsidRDefault="00E63AFC" w:rsidP="00B5211F">
      <w:pPr>
        <w:pStyle w:val="Bulletpoints"/>
        <w:numPr>
          <w:ilvl w:val="0"/>
          <w:numId w:val="40"/>
        </w:numPr>
        <w:spacing w:after="120"/>
        <w:rPr>
          <w:rFonts w:ascii="Arial" w:hAnsi="Arial" w:cs="Arial"/>
          <w:sz w:val="20"/>
          <w:szCs w:val="20"/>
        </w:rPr>
      </w:pPr>
      <w:r w:rsidRPr="00DA03C9">
        <w:rPr>
          <w:rFonts w:ascii="Arial" w:hAnsi="Arial" w:cs="Arial"/>
          <w:sz w:val="20"/>
          <w:szCs w:val="20"/>
        </w:rPr>
        <w:t xml:space="preserve">A bond </w:t>
      </w:r>
      <w:proofErr w:type="gramStart"/>
      <w:r w:rsidRPr="00DA03C9">
        <w:rPr>
          <w:rFonts w:ascii="Arial" w:hAnsi="Arial" w:cs="Arial"/>
          <w:sz w:val="20"/>
          <w:szCs w:val="20"/>
        </w:rPr>
        <w:t>is currently classified</w:t>
      </w:r>
      <w:proofErr w:type="gramEnd"/>
      <w:r w:rsidRPr="00DA03C9">
        <w:rPr>
          <w:rFonts w:ascii="Arial" w:hAnsi="Arial" w:cs="Arial"/>
          <w:sz w:val="20"/>
          <w:szCs w:val="20"/>
        </w:rPr>
        <w:t xml:space="preserve"> as liquid when it is traded on a percentage of days greater or equal to 80%. However, evidence published by the AMF (‘Measuring liquidity on the corporate bond market’, March 2019) on the distribution of the number of different bonds traded in the course of a day points out to an average number of days traded substantially lower than the current 80% threshold. The current parameter is therefore distant from market reality.</w:t>
      </w:r>
    </w:p>
    <w:p w14:paraId="6641B76C" w14:textId="77777777" w:rsidR="00E63AFC" w:rsidRPr="00DA03C9" w:rsidRDefault="00E63AFC" w:rsidP="00B5211F">
      <w:pPr>
        <w:pStyle w:val="Bulletpoints"/>
        <w:numPr>
          <w:ilvl w:val="0"/>
          <w:numId w:val="40"/>
        </w:numPr>
        <w:spacing w:after="120"/>
        <w:rPr>
          <w:rFonts w:ascii="Arial" w:hAnsi="Arial" w:cs="Arial"/>
          <w:sz w:val="20"/>
          <w:szCs w:val="20"/>
        </w:rPr>
      </w:pPr>
      <w:proofErr w:type="gramStart"/>
      <w:r w:rsidRPr="00DA03C9">
        <w:rPr>
          <w:rFonts w:ascii="Arial" w:hAnsi="Arial" w:cs="Arial"/>
          <w:sz w:val="20"/>
          <w:szCs w:val="20"/>
        </w:rPr>
        <w:t>In order to better understand</w:t>
      </w:r>
      <w:proofErr w:type="gramEnd"/>
      <w:r w:rsidRPr="00DA03C9">
        <w:rPr>
          <w:rFonts w:ascii="Arial" w:hAnsi="Arial" w:cs="Arial"/>
          <w:sz w:val="20"/>
          <w:szCs w:val="20"/>
        </w:rPr>
        <w:t xml:space="preserve"> the impact of the thresholds included in MiFID II, simulations with different transparency thresholds should be conducted.  </w:t>
      </w:r>
    </w:p>
    <w:p w14:paraId="0226940A" w14:textId="77777777" w:rsidR="00E63AFC" w:rsidRPr="00DA03C9" w:rsidRDefault="00E63AFC" w:rsidP="00B5211F">
      <w:pPr>
        <w:pStyle w:val="Bulletpoints"/>
        <w:numPr>
          <w:ilvl w:val="0"/>
          <w:numId w:val="40"/>
        </w:numPr>
        <w:spacing w:after="120"/>
        <w:rPr>
          <w:rFonts w:ascii="Arial" w:hAnsi="Arial" w:cs="Arial"/>
          <w:sz w:val="20"/>
          <w:szCs w:val="20"/>
        </w:rPr>
      </w:pPr>
      <w:r w:rsidRPr="00DA03C9">
        <w:rPr>
          <w:rFonts w:ascii="Arial" w:hAnsi="Arial" w:cs="Arial"/>
          <w:sz w:val="20"/>
          <w:szCs w:val="20"/>
        </w:rPr>
        <w:t xml:space="preserve">In addition, a full assessment of the underlying data </w:t>
      </w:r>
      <w:proofErr w:type="gramStart"/>
      <w:r w:rsidRPr="00DA03C9">
        <w:rPr>
          <w:rFonts w:ascii="Arial" w:hAnsi="Arial" w:cs="Arial"/>
          <w:sz w:val="20"/>
          <w:szCs w:val="20"/>
        </w:rPr>
        <w:t>should be performed</w:t>
      </w:r>
      <w:proofErr w:type="gramEnd"/>
      <w:r w:rsidRPr="00DA03C9">
        <w:rPr>
          <w:rFonts w:ascii="Arial" w:hAnsi="Arial" w:cs="Arial"/>
          <w:sz w:val="20"/>
          <w:szCs w:val="20"/>
        </w:rPr>
        <w:t>, and the data adjusted when required (before running new transparency calculations).</w:t>
      </w:r>
    </w:p>
    <w:p w14:paraId="1D09E308" w14:textId="77777777" w:rsidR="00E63AFC" w:rsidRPr="00DA03C9" w:rsidRDefault="00E63AFC" w:rsidP="00B5211F">
      <w:pPr>
        <w:pStyle w:val="Bulletpoints"/>
        <w:numPr>
          <w:ilvl w:val="0"/>
          <w:numId w:val="40"/>
        </w:numPr>
        <w:spacing w:after="120"/>
        <w:rPr>
          <w:rFonts w:ascii="Arial" w:hAnsi="Arial" w:cs="Arial"/>
          <w:sz w:val="20"/>
          <w:szCs w:val="20"/>
        </w:rPr>
      </w:pPr>
      <w:r w:rsidRPr="00DA03C9">
        <w:rPr>
          <w:rFonts w:ascii="Arial" w:hAnsi="Arial" w:cs="Arial"/>
          <w:sz w:val="20"/>
          <w:szCs w:val="20"/>
        </w:rPr>
        <w:t>Since the criteria are reviewed on a yearly basis, we recommend running a series of simulations with next year’s calibration, in order to understand whether the impact on the number of liquid bonds will be substantial or not.</w:t>
      </w:r>
    </w:p>
    <w:p w14:paraId="3D6B6F67" w14:textId="4221B338" w:rsidR="00646C30" w:rsidRDefault="00E63AFC" w:rsidP="00646C30">
      <w:r w:rsidRPr="00DA03C9">
        <w:rPr>
          <w:rFonts w:cs="Arial"/>
          <w:szCs w:val="20"/>
        </w:rPr>
        <w:t xml:space="preserve">Finally, ESMA should consider reviewing how to access its database as it currently </w:t>
      </w:r>
      <w:proofErr w:type="gramStart"/>
      <w:r w:rsidRPr="00DA03C9">
        <w:rPr>
          <w:rFonts w:cs="Arial"/>
          <w:szCs w:val="20"/>
        </w:rPr>
        <w:t>cannot be accessed</w:t>
      </w:r>
      <w:proofErr w:type="gramEnd"/>
      <w:r w:rsidRPr="00DA03C9">
        <w:rPr>
          <w:rFonts w:cs="Arial"/>
          <w:szCs w:val="20"/>
        </w:rPr>
        <w:t xml:space="preserve"> via an API and the files are generally heavy and difficult to download. This would serve the purposes of increasing post-trade information availability, as envisaged by MiFID II</w:t>
      </w:r>
      <w:r>
        <w:rPr>
          <w:rFonts w:asciiTheme="minorHAnsi" w:hAnsiTheme="minorHAnsi"/>
        </w:rPr>
        <w:t>.</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500BFF7A" w:rsidR="00646C30" w:rsidRDefault="00E63AFC" w:rsidP="00646C30">
      <w:permStart w:id="1935441367" w:edGrp="everyone"/>
      <w:r w:rsidRPr="00DA03C9">
        <w:rPr>
          <w:rFonts w:cs="Arial"/>
        </w:rPr>
        <w:t>Yes. However, we believe it may still only have limited impact. A broader review of RTS 2 for the methodology to perform the transparency calculations might be increasingly necessary</w:t>
      </w:r>
      <w:r w:rsidRPr="00B52FD8">
        <w:rPr>
          <w:rFonts w:asciiTheme="minorHAnsi" w:hAnsiTheme="minorHAnsi"/>
        </w:rPr>
        <w:t>.</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lastRenderedPageBreak/>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1825A378" w:rsidR="00646C30" w:rsidRDefault="00E63AFC" w:rsidP="00646C30">
      <w:permStart w:id="1735202609" w:edGrp="everyone"/>
      <w:r>
        <w:t>Yes.</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6BC92D4E" w14:textId="08158DF4" w:rsidR="00E63AFC" w:rsidRDefault="00E63AFC" w:rsidP="00764BEF">
      <w:pPr>
        <w:spacing w:after="120"/>
        <w:rPr>
          <w:color w:val="00000A"/>
        </w:rPr>
      </w:pPr>
      <w:permStart w:id="1113393043" w:edGrp="everyone"/>
      <w:r>
        <w:t xml:space="preserve">We believe the current calculation methodology of waivers is flawed. The Illiquid (‘IL’) and LIS waivers do not fit all non-equity markets, especially commodity and energy derivatives markets. </w:t>
      </w:r>
    </w:p>
    <w:p w14:paraId="1FDBEFB1" w14:textId="77777777" w:rsidR="00E63AFC" w:rsidRDefault="00E63AFC" w:rsidP="00764BEF">
      <w:pPr>
        <w:spacing w:after="120"/>
      </w:pPr>
      <w:r>
        <w:t xml:space="preserve">The current methodology has led to a significant number of niche and nascent products being incorrectly classified as liquid, based on the two liquidity criteria in table 7.1 Annex III, RTS 2, and thus becoming subject to significantly broader transparency requirements, which were previously reserved for developed markets as referenced in the answer to Q1 and Q2. </w:t>
      </w:r>
    </w:p>
    <w:p w14:paraId="53871192" w14:textId="734B592D" w:rsidR="00E63AFC" w:rsidRDefault="00E63AFC" w:rsidP="00764BEF">
      <w:pPr>
        <w:spacing w:after="120"/>
        <w:rPr>
          <w:b/>
        </w:rPr>
      </w:pPr>
      <w:r>
        <w:t xml:space="preserve">IL thresholds are determined </w:t>
      </w:r>
      <w:proofErr w:type="gramStart"/>
      <w:r>
        <w:t>on the basis of</w:t>
      </w:r>
      <w:proofErr w:type="gramEnd"/>
      <w:r>
        <w:t xml:space="preserve"> the average traded daily notional amount (or average daily amount in case of emission markets). However, this current calibration methodology</w:t>
      </w:r>
      <w:r w:rsidR="009B7A42">
        <w:t xml:space="preserve"> does not reflect market reality.</w:t>
      </w:r>
    </w:p>
    <w:p w14:paraId="7E89642E" w14:textId="2392335E" w:rsidR="009B7A42" w:rsidRDefault="009B7A42" w:rsidP="00764BEF">
      <w:pPr>
        <w:rPr>
          <w:highlight w:val="yellow"/>
        </w:rPr>
      </w:pPr>
      <w:r w:rsidRPr="00CF79F9">
        <w:rPr>
          <w:highlight w:val="yellow"/>
        </w:rPr>
        <w:t xml:space="preserve">As stated in answer to Q1, the current calibration of the ADNA and ADNT is not appropriate, especially for the sub-asset class, energy commodity futures, which covers </w:t>
      </w:r>
      <w:proofErr w:type="gramStart"/>
      <w:r w:rsidR="008172D8">
        <w:rPr>
          <w:highlight w:val="yellow"/>
        </w:rPr>
        <w:t>Nasdaq’s</w:t>
      </w:r>
      <w:proofErr w:type="gramEnd"/>
      <w:r w:rsidRPr="00CF79F9">
        <w:rPr>
          <w:highlight w:val="yellow"/>
        </w:rPr>
        <w:t xml:space="preserve"> core </w:t>
      </w:r>
      <w:r w:rsidR="008172D8">
        <w:rPr>
          <w:highlight w:val="yellow"/>
        </w:rPr>
        <w:t xml:space="preserve">commodity derivatives </w:t>
      </w:r>
      <w:r w:rsidRPr="00CF79F9">
        <w:rPr>
          <w:highlight w:val="yellow"/>
        </w:rPr>
        <w:t>market – electricity derivatives.</w:t>
      </w:r>
    </w:p>
    <w:p w14:paraId="6E756DEB" w14:textId="3E371842" w:rsidR="008172D8" w:rsidRPr="00CF79F9" w:rsidRDefault="008172D8" w:rsidP="00764BEF">
      <w:pPr>
        <w:rPr>
          <w:highlight w:val="yellow"/>
        </w:rPr>
      </w:pPr>
    </w:p>
    <w:p w14:paraId="0E557F14" w14:textId="36E1DCB7" w:rsidR="00646C30" w:rsidRDefault="009B7A42" w:rsidP="00646C30">
      <w:r w:rsidRPr="00CF79F9">
        <w:rPr>
          <w:highlight w:val="yellow"/>
        </w:rPr>
        <w:lastRenderedPageBreak/>
        <w:t>As previously propose</w:t>
      </w:r>
      <w:r>
        <w:rPr>
          <w:highlight w:val="yellow"/>
        </w:rPr>
        <w:t>d</w:t>
      </w:r>
      <w:r w:rsidRPr="00CF79F9">
        <w:rPr>
          <w:highlight w:val="yellow"/>
        </w:rPr>
        <w:t xml:space="preserve"> in various position papers in collaboration with the wider community of energy exchanges in Europe, we suggest that the ADNA and ADNT parameters should be changed to counter the unintended consequences, especially for ‘less liquid’ contracts. A proposal for new parameters for both ADNA and ADNT have been specified in the answer to Q31, including proposal for changing the pre-trade LIS thr</w:t>
      </w:r>
      <w:r>
        <w:rPr>
          <w:highlight w:val="yellow"/>
        </w:rPr>
        <w:t>eshold and the trade percentile</w:t>
      </w:r>
      <w:r w:rsidR="00E63AFC">
        <w:t>.</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459B88FC" w14:textId="77777777" w:rsidR="00D63AD3" w:rsidRPr="00CF79F9" w:rsidRDefault="00D63AD3" w:rsidP="00D63AD3">
      <w:pPr>
        <w:rPr>
          <w:highlight w:val="yellow"/>
        </w:rPr>
      </w:pPr>
      <w:permStart w:id="547110296" w:edGrp="everyone"/>
      <w:r w:rsidRPr="00CF79F9">
        <w:rPr>
          <w:highlight w:val="yellow"/>
        </w:rPr>
        <w:t>We</w:t>
      </w:r>
      <w:r>
        <w:rPr>
          <w:highlight w:val="yellow"/>
        </w:rPr>
        <w:t xml:space="preserve"> strongly</w:t>
      </w:r>
      <w:r w:rsidRPr="00CF79F9">
        <w:rPr>
          <w:highlight w:val="yellow"/>
        </w:rPr>
        <w:t xml:space="preserve"> support ESMA’s proposal SC2, securing the liquidity calculation/assessment for contracts sharing the same delivery/cash settlement location (i.e. settled against the same underlying commodity).</w:t>
      </w:r>
    </w:p>
    <w:p w14:paraId="3AFAAD74" w14:textId="77777777" w:rsidR="00D63AD3" w:rsidRDefault="00D63AD3" w:rsidP="00D63AD3">
      <w:pPr>
        <w:rPr>
          <w:highlight w:val="yellow"/>
        </w:rPr>
      </w:pPr>
    </w:p>
    <w:p w14:paraId="7AE3127F" w14:textId="52FFD0D0" w:rsidR="00D63AD3" w:rsidRPr="00CF79F9" w:rsidRDefault="00D63AD3" w:rsidP="00D63AD3">
      <w:pPr>
        <w:rPr>
          <w:highlight w:val="yellow"/>
        </w:rPr>
      </w:pPr>
      <w:r w:rsidRPr="00CF79F9">
        <w:rPr>
          <w:highlight w:val="yellow"/>
        </w:rPr>
        <w:t>Proposal SC1 sounds logical, to the extent possible to harmonize the reporting from different venue listing similar contracts. It should however be left blank in case there are no standard delivery/cash settlement location available.</w:t>
      </w:r>
    </w:p>
    <w:p w14:paraId="51FAC5B7" w14:textId="77777777" w:rsidR="00D63AD3" w:rsidRDefault="00D63AD3" w:rsidP="00D63AD3">
      <w:pPr>
        <w:rPr>
          <w:highlight w:val="yellow"/>
        </w:rPr>
      </w:pPr>
    </w:p>
    <w:p w14:paraId="0FB3DBAF" w14:textId="7E9E40AD" w:rsidR="00646C30" w:rsidRDefault="00D63AD3" w:rsidP="00646C30">
      <w:r w:rsidRPr="00CF79F9">
        <w:rPr>
          <w:highlight w:val="yellow"/>
        </w:rPr>
        <w:t xml:space="preserve">We do not support proposal SC3, as the essential criteria (delivery/cash settlement location) </w:t>
      </w:r>
      <w:proofErr w:type="gramStart"/>
      <w:r w:rsidRPr="00CF79F9">
        <w:rPr>
          <w:highlight w:val="yellow"/>
        </w:rPr>
        <w:t>would be covered</w:t>
      </w:r>
      <w:proofErr w:type="gramEnd"/>
      <w:r w:rsidRPr="00CF79F9">
        <w:rPr>
          <w:highlight w:val="yellow"/>
        </w:rPr>
        <w:t xml:space="preserve"> by proposal SC2 for electricity derivatives in particular</w:t>
      </w:r>
      <w:r w:rsidR="00E63AFC">
        <w:t>.</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0D03ED7B" w14:textId="46EDD855" w:rsidR="007D3041" w:rsidRPr="00DA03C9" w:rsidRDefault="007D3041" w:rsidP="00764BEF">
      <w:pPr>
        <w:spacing w:after="120"/>
        <w:rPr>
          <w:rFonts w:cs="Arial"/>
          <w:color w:val="00000A"/>
          <w:szCs w:val="20"/>
        </w:rPr>
      </w:pPr>
      <w:permStart w:id="1615734835" w:edGrp="everyone"/>
      <w:r w:rsidRPr="00DA03C9">
        <w:rPr>
          <w:rFonts w:cs="Arial"/>
          <w:szCs w:val="20"/>
        </w:rPr>
        <w:lastRenderedPageBreak/>
        <w:t>Excessively high LIS thresholds lead market participants to revert to more bilateral trading outside transparent and supervised venues, and outside CCP clearing.</w:t>
      </w:r>
    </w:p>
    <w:p w14:paraId="6ABA4366" w14:textId="4440E1C6" w:rsidR="007D3041" w:rsidRPr="00DA03C9" w:rsidRDefault="008172D8" w:rsidP="00764BEF">
      <w:pPr>
        <w:spacing w:after="120"/>
        <w:rPr>
          <w:rFonts w:cs="Arial"/>
          <w:szCs w:val="20"/>
        </w:rPr>
      </w:pPr>
      <w:r w:rsidRPr="00DA03C9">
        <w:rPr>
          <w:rFonts w:cs="Arial"/>
          <w:szCs w:val="20"/>
        </w:rPr>
        <w:t>To avoid this</w:t>
      </w:r>
      <w:r w:rsidR="007D3041" w:rsidRPr="00DA03C9">
        <w:rPr>
          <w:rFonts w:cs="Arial"/>
          <w:szCs w:val="20"/>
        </w:rPr>
        <w:t xml:space="preserve"> and to allow for a more natural move to ‘on venue’ trading, the current methodology for setting the LIS thresholds should be replaced with a more appropriately tailored and market-based approach. </w:t>
      </w:r>
      <w:proofErr w:type="gramStart"/>
      <w:r w:rsidR="007D3041" w:rsidRPr="00DA03C9">
        <w:rPr>
          <w:rFonts w:cs="Arial"/>
          <w:szCs w:val="20"/>
        </w:rPr>
        <w:t>Nasdaq</w:t>
      </w:r>
      <w:proofErr w:type="gramEnd"/>
      <w:r w:rsidR="007D3041" w:rsidRPr="00DA03C9">
        <w:rPr>
          <w:rFonts w:cs="Arial"/>
          <w:szCs w:val="20"/>
        </w:rPr>
        <w:t xml:space="preserve"> welcomes ESMA’s assessment on the counterintuitive effects arising from the current percentile approach. However, should ESMA not find this feasible, we would also welcome a less comprehensive amendment of the methodology by recalibrating the current </w:t>
      </w:r>
      <w:proofErr w:type="gramStart"/>
      <w:r w:rsidR="007D3041" w:rsidRPr="00DA03C9">
        <w:rPr>
          <w:rFonts w:cs="Arial"/>
          <w:szCs w:val="20"/>
        </w:rPr>
        <w:t>parameters.</w:t>
      </w:r>
      <w:proofErr w:type="gramEnd"/>
      <w:r w:rsidR="007D3041" w:rsidRPr="00DA03C9">
        <w:rPr>
          <w:rFonts w:cs="Arial"/>
          <w:szCs w:val="20"/>
        </w:rPr>
        <w:t xml:space="preserve">  </w:t>
      </w:r>
    </w:p>
    <w:p w14:paraId="06B89758" w14:textId="77777777" w:rsidR="007D3041" w:rsidRPr="00DA03C9" w:rsidRDefault="007D3041" w:rsidP="00764BEF">
      <w:pPr>
        <w:spacing w:after="120"/>
        <w:rPr>
          <w:rFonts w:cs="Arial"/>
          <w:szCs w:val="20"/>
        </w:rPr>
      </w:pPr>
      <w:r w:rsidRPr="00DA03C9">
        <w:rPr>
          <w:rFonts w:cs="Arial"/>
          <w:szCs w:val="20"/>
        </w:rPr>
        <w:t xml:space="preserve">In a similar fashion, for many commodity markets, the minimum threshold of 500,000 EUR is too high and </w:t>
      </w:r>
      <w:proofErr w:type="gramStart"/>
      <w:r w:rsidRPr="00DA03C9">
        <w:rPr>
          <w:rFonts w:cs="Arial"/>
          <w:szCs w:val="20"/>
        </w:rPr>
        <w:t>should be decreased</w:t>
      </w:r>
      <w:proofErr w:type="gramEnd"/>
      <w:r w:rsidRPr="00DA03C9">
        <w:rPr>
          <w:rFonts w:cs="Arial"/>
          <w:szCs w:val="20"/>
        </w:rPr>
        <w:t xml:space="preserve"> significantly. By bringing the LIS value more closely in line with the actual market, the overall negative market impact </w:t>
      </w:r>
      <w:proofErr w:type="gramStart"/>
      <w:r w:rsidRPr="00DA03C9">
        <w:rPr>
          <w:rFonts w:cs="Arial"/>
          <w:szCs w:val="20"/>
        </w:rPr>
        <w:t>should be reduced</w:t>
      </w:r>
      <w:proofErr w:type="gramEnd"/>
      <w:r w:rsidRPr="00DA03C9">
        <w:rPr>
          <w:rFonts w:cs="Arial"/>
          <w:szCs w:val="20"/>
        </w:rPr>
        <w:t>.</w:t>
      </w:r>
    </w:p>
    <w:p w14:paraId="3DD569AD" w14:textId="77777777" w:rsidR="00D63AD3" w:rsidRPr="00DA03C9" w:rsidRDefault="00D63AD3" w:rsidP="00D63AD3">
      <w:pPr>
        <w:rPr>
          <w:rFonts w:cs="Arial"/>
          <w:szCs w:val="20"/>
        </w:rPr>
      </w:pPr>
      <w:r w:rsidRPr="00DA03C9">
        <w:rPr>
          <w:rFonts w:cs="Arial"/>
          <w:szCs w:val="20"/>
          <w:highlight w:val="yellow"/>
        </w:rPr>
        <w:t xml:space="preserve">As indicated earlier in our response a number of relatively illiquid commodity products, have been wrongly </w:t>
      </w:r>
      <w:proofErr w:type="gramStart"/>
      <w:r w:rsidRPr="00DA03C9">
        <w:rPr>
          <w:rFonts w:cs="Arial"/>
          <w:szCs w:val="20"/>
          <w:highlight w:val="yellow"/>
        </w:rPr>
        <w:t>classified</w:t>
      </w:r>
      <w:proofErr w:type="gramEnd"/>
      <w:r w:rsidRPr="00DA03C9">
        <w:rPr>
          <w:rFonts w:cs="Arial"/>
          <w:szCs w:val="20"/>
          <w:highlight w:val="yellow"/>
        </w:rPr>
        <w:t xml:space="preserve"> as liquid and made subject to excessive Large-In-Scale (LIS) thresholds. </w:t>
      </w:r>
      <w:proofErr w:type="gramStart"/>
      <w:r w:rsidRPr="00DA03C9">
        <w:rPr>
          <w:rFonts w:cs="Arial"/>
          <w:szCs w:val="20"/>
          <w:highlight w:val="yellow"/>
        </w:rPr>
        <w:t>Nasdaq</w:t>
      </w:r>
      <w:proofErr w:type="gramEnd"/>
      <w:r w:rsidRPr="00DA03C9">
        <w:rPr>
          <w:rFonts w:cs="Arial"/>
          <w:szCs w:val="20"/>
          <w:highlight w:val="yellow"/>
        </w:rPr>
        <w:t xml:space="preserve"> therefore recommends amendments in RTS 2 which would address the current factors leading to inappropriate thresholds. We are of the view </w:t>
      </w:r>
      <w:r w:rsidRPr="00DA03C9">
        <w:rPr>
          <w:rFonts w:cs="Arial"/>
          <w:szCs w:val="20"/>
        </w:rPr>
        <w:t xml:space="preserve">that the methodology </w:t>
      </w:r>
      <w:proofErr w:type="gramStart"/>
      <w:r w:rsidRPr="00DA03C9">
        <w:rPr>
          <w:rFonts w:cs="Arial"/>
          <w:szCs w:val="20"/>
        </w:rPr>
        <w:t>should be amended</w:t>
      </w:r>
      <w:proofErr w:type="gramEnd"/>
      <w:r w:rsidRPr="00DA03C9">
        <w:rPr>
          <w:rFonts w:cs="Arial"/>
          <w:szCs w:val="20"/>
        </w:rPr>
        <w:t xml:space="preserve"> in line with the following recommendations: </w:t>
      </w:r>
    </w:p>
    <w:p w14:paraId="3F43F13B" w14:textId="77777777" w:rsidR="00D63AD3" w:rsidRPr="00DA03C9" w:rsidRDefault="00D63AD3" w:rsidP="00D63AD3">
      <w:pPr>
        <w:rPr>
          <w:rFonts w:cs="Arial"/>
          <w:szCs w:val="20"/>
        </w:rPr>
      </w:pPr>
    </w:p>
    <w:p w14:paraId="2C8A470A" w14:textId="77777777" w:rsidR="00D63AD3" w:rsidRPr="00DA03C9" w:rsidRDefault="00D63AD3" w:rsidP="00B5211F">
      <w:pPr>
        <w:pStyle w:val="ListParagraph"/>
        <w:numPr>
          <w:ilvl w:val="0"/>
          <w:numId w:val="41"/>
        </w:numPr>
        <w:rPr>
          <w:rFonts w:cs="Arial"/>
          <w:szCs w:val="20"/>
        </w:rPr>
      </w:pPr>
      <w:r w:rsidRPr="00DA03C9">
        <w:rPr>
          <w:rFonts w:cs="Arial"/>
          <w:szCs w:val="20"/>
        </w:rPr>
        <w:t xml:space="preserve">The assessment of what is a “liquid market”, based on the criterion found in the Annex to RTS 2, where a market </w:t>
      </w:r>
      <w:proofErr w:type="gramStart"/>
      <w:r w:rsidRPr="00DA03C9">
        <w:rPr>
          <w:rFonts w:cs="Arial"/>
          <w:szCs w:val="20"/>
        </w:rPr>
        <w:t>is deemed</w:t>
      </w:r>
      <w:proofErr w:type="gramEnd"/>
      <w:r w:rsidRPr="00DA03C9">
        <w:rPr>
          <w:rFonts w:cs="Arial"/>
          <w:szCs w:val="20"/>
        </w:rPr>
        <w:t xml:space="preserve"> liquid when the “Average daily notional amount” is set to €10,000,000 and the “Average daily number of trades” is set to 10 trades. These thresholds need to be </w:t>
      </w:r>
      <w:proofErr w:type="gramStart"/>
      <w:r w:rsidRPr="00DA03C9">
        <w:rPr>
          <w:rFonts w:cs="Arial"/>
          <w:szCs w:val="20"/>
        </w:rPr>
        <w:t>revisited</w:t>
      </w:r>
      <w:proofErr w:type="gramEnd"/>
      <w:r w:rsidRPr="00DA03C9">
        <w:rPr>
          <w:rFonts w:cs="Arial"/>
          <w:szCs w:val="20"/>
        </w:rPr>
        <w:t xml:space="preserve"> and </w:t>
      </w:r>
      <w:proofErr w:type="spellStart"/>
      <w:r w:rsidRPr="00DA03C9">
        <w:rPr>
          <w:rFonts w:cs="Arial"/>
          <w:szCs w:val="20"/>
        </w:rPr>
        <w:t>analyzed</w:t>
      </w:r>
      <w:proofErr w:type="spellEnd"/>
      <w:r w:rsidRPr="00DA03C9">
        <w:rPr>
          <w:rFonts w:cs="Arial"/>
          <w:szCs w:val="20"/>
        </w:rPr>
        <w:t xml:space="preserve"> further to find a proper level that better reflects the nature of the commodities market. From an industry point of </w:t>
      </w:r>
      <w:proofErr w:type="gramStart"/>
      <w:r w:rsidRPr="00DA03C9">
        <w:rPr>
          <w:rFonts w:cs="Arial"/>
          <w:szCs w:val="20"/>
        </w:rPr>
        <w:t>view</w:t>
      </w:r>
      <w:proofErr w:type="gramEnd"/>
      <w:r w:rsidRPr="00DA03C9">
        <w:rPr>
          <w:rFonts w:cs="Arial"/>
          <w:szCs w:val="20"/>
        </w:rPr>
        <w:t xml:space="preserve"> it is recommended to set the “Average daily notional amount” to €100,000,000 and 100 trades instead of 10.</w:t>
      </w:r>
    </w:p>
    <w:p w14:paraId="4FD425F8" w14:textId="4B3E53F5" w:rsidR="00D63AD3" w:rsidRPr="00DA03C9" w:rsidRDefault="00D63AD3" w:rsidP="00B5211F">
      <w:pPr>
        <w:pStyle w:val="ListParagraph"/>
        <w:numPr>
          <w:ilvl w:val="0"/>
          <w:numId w:val="41"/>
        </w:numPr>
        <w:rPr>
          <w:rFonts w:cs="Arial"/>
          <w:szCs w:val="20"/>
        </w:rPr>
      </w:pPr>
      <w:r w:rsidRPr="00DA03C9">
        <w:rPr>
          <w:rFonts w:cs="Arial"/>
          <w:szCs w:val="20"/>
        </w:rPr>
        <w:t>The LIS threshold floor</w:t>
      </w:r>
      <w:r w:rsidR="008172D8" w:rsidRPr="00DA03C9">
        <w:rPr>
          <w:rFonts w:cs="Arial"/>
          <w:szCs w:val="20"/>
        </w:rPr>
        <w:t xml:space="preserve"> of €500,000 </w:t>
      </w:r>
      <w:proofErr w:type="gramStart"/>
      <w:r w:rsidR="008172D8" w:rsidRPr="00DA03C9">
        <w:rPr>
          <w:rFonts w:cs="Arial"/>
          <w:szCs w:val="20"/>
        </w:rPr>
        <w:t>is considered</w:t>
      </w:r>
      <w:proofErr w:type="gramEnd"/>
      <w:r w:rsidRPr="00DA03C9">
        <w:rPr>
          <w:rFonts w:cs="Arial"/>
          <w:szCs w:val="20"/>
        </w:rPr>
        <w:t xml:space="preserve"> very high, not taking into account the contract size and price level. From an industry point of </w:t>
      </w:r>
      <w:proofErr w:type="gramStart"/>
      <w:r w:rsidRPr="00DA03C9">
        <w:rPr>
          <w:rFonts w:cs="Arial"/>
          <w:szCs w:val="20"/>
        </w:rPr>
        <w:t>view</w:t>
      </w:r>
      <w:proofErr w:type="gramEnd"/>
      <w:r w:rsidRPr="00DA03C9">
        <w:rPr>
          <w:rFonts w:cs="Arial"/>
          <w:szCs w:val="20"/>
        </w:rPr>
        <w:t xml:space="preserve"> it is recommended that the LIS threshold floor should be reduced to €50,000. Further</w:t>
      </w:r>
      <w:r w:rsidR="00432ED3">
        <w:rPr>
          <w:rFonts w:cs="Arial"/>
          <w:szCs w:val="20"/>
        </w:rPr>
        <w:t>,</w:t>
      </w:r>
      <w:r w:rsidRPr="00DA03C9">
        <w:rPr>
          <w:rFonts w:cs="Arial"/>
          <w:szCs w:val="20"/>
        </w:rPr>
        <w:t xml:space="preserve"> the 70% percentile of trade value </w:t>
      </w:r>
      <w:proofErr w:type="gramStart"/>
      <w:r w:rsidRPr="00DA03C9">
        <w:rPr>
          <w:rFonts w:cs="Arial"/>
          <w:szCs w:val="20"/>
        </w:rPr>
        <w:t>should be reduced</w:t>
      </w:r>
      <w:proofErr w:type="gramEnd"/>
      <w:r w:rsidRPr="00DA03C9">
        <w:rPr>
          <w:rFonts w:cs="Arial"/>
          <w:szCs w:val="20"/>
        </w:rPr>
        <w:t xml:space="preserve"> to 30% to not disrupt the market more than necessary.</w:t>
      </w:r>
    </w:p>
    <w:p w14:paraId="72A6C7B7" w14:textId="3C4BBA39" w:rsidR="00432ED3" w:rsidRPr="00432ED3" w:rsidRDefault="00432ED3" w:rsidP="00432ED3">
      <w:pPr>
        <w:pStyle w:val="ListParagraph"/>
        <w:numPr>
          <w:ilvl w:val="0"/>
          <w:numId w:val="41"/>
        </w:numPr>
        <w:rPr>
          <w:szCs w:val="20"/>
        </w:rPr>
      </w:pPr>
      <w:r w:rsidRPr="00432ED3">
        <w:t>We have also argued that the LIS threshold floor should</w:t>
      </w:r>
      <w:r>
        <w:t xml:space="preserve"> be set in lots,</w:t>
      </w:r>
      <w:r w:rsidRPr="00432ED3">
        <w:t xml:space="preserve"> as this is a more relevant measurement than a Euro value. </w:t>
      </w:r>
      <w:r w:rsidRPr="00432ED3">
        <w:rPr>
          <w:rFonts w:cs="Arial"/>
        </w:rPr>
        <w:t>Using price in the calculation with contin</w:t>
      </w:r>
      <w:r>
        <w:rPr>
          <w:rFonts w:cs="Arial"/>
        </w:rPr>
        <w:t>uously fluctuating market price</w:t>
      </w:r>
      <w:r w:rsidRPr="00432ED3">
        <w:rPr>
          <w:rFonts w:cs="Arial"/>
        </w:rPr>
        <w:t xml:space="preserve"> may create unintended and disproportional thresholds. The market participants in the electricity market hedge their consumption/production</w:t>
      </w:r>
      <w:r w:rsidRPr="00432ED3">
        <w:t xml:space="preserve"> in MW and not in notional value. Looking at peers such as the United States, the concept of “block trade minimum lot size” has worked successfully for many years – where the notional value of the contract </w:t>
      </w:r>
      <w:proofErr w:type="gramStart"/>
      <w:r w:rsidRPr="00432ED3">
        <w:t>is disregarded</w:t>
      </w:r>
      <w:proofErr w:type="gramEnd"/>
      <w:r w:rsidRPr="00432ED3">
        <w:t>.</w:t>
      </w:r>
    </w:p>
    <w:p w14:paraId="5319CAB1" w14:textId="77777777" w:rsidR="00D63AD3" w:rsidRPr="00DA03C9" w:rsidRDefault="00D63AD3" w:rsidP="00D63AD3">
      <w:pPr>
        <w:rPr>
          <w:rFonts w:cs="Arial"/>
          <w:szCs w:val="20"/>
        </w:rPr>
      </w:pPr>
    </w:p>
    <w:p w14:paraId="1F81BE05" w14:textId="7C827E8D" w:rsidR="00D63AD3" w:rsidRPr="00DA03C9" w:rsidRDefault="00D63AD3" w:rsidP="00D63AD3">
      <w:pPr>
        <w:rPr>
          <w:rFonts w:cs="Arial"/>
          <w:szCs w:val="20"/>
        </w:rPr>
      </w:pPr>
      <w:r w:rsidRPr="00DA03C9">
        <w:rPr>
          <w:rFonts w:cs="Arial"/>
          <w:szCs w:val="20"/>
        </w:rPr>
        <w:t>The consequences for our liquid Nordic Electricity market would be the following, if we had implemented LIS thresholds according to the preliminary transp</w:t>
      </w:r>
      <w:r w:rsidR="008172D8" w:rsidRPr="00DA03C9">
        <w:rPr>
          <w:rFonts w:cs="Arial"/>
          <w:szCs w:val="20"/>
        </w:rPr>
        <w:t>arency calculations during 2018:</w:t>
      </w:r>
    </w:p>
    <w:p w14:paraId="4F6397DD" w14:textId="77777777" w:rsidR="00D63AD3" w:rsidRPr="00DA03C9" w:rsidRDefault="00D63AD3" w:rsidP="00B5211F">
      <w:pPr>
        <w:pStyle w:val="ListParagraph"/>
        <w:numPr>
          <w:ilvl w:val="0"/>
          <w:numId w:val="39"/>
        </w:numPr>
        <w:rPr>
          <w:rFonts w:cs="Arial"/>
          <w:szCs w:val="20"/>
        </w:rPr>
      </w:pPr>
      <w:r w:rsidRPr="00DA03C9">
        <w:rPr>
          <w:rFonts w:cs="Arial"/>
          <w:szCs w:val="20"/>
        </w:rPr>
        <w:t>For all off-order book trades* reported, 81% would be below the LIS threshold.</w:t>
      </w:r>
    </w:p>
    <w:p w14:paraId="3AC5CF27" w14:textId="7FBDB1D4" w:rsidR="00D63AD3" w:rsidRPr="00DA03C9" w:rsidRDefault="00D63AD3" w:rsidP="00B5211F">
      <w:pPr>
        <w:pStyle w:val="ListParagraph"/>
        <w:numPr>
          <w:ilvl w:val="0"/>
          <w:numId w:val="39"/>
        </w:numPr>
        <w:rPr>
          <w:rFonts w:cs="Arial"/>
          <w:szCs w:val="20"/>
        </w:rPr>
      </w:pPr>
      <w:r w:rsidRPr="00DA03C9">
        <w:rPr>
          <w:rFonts w:cs="Arial"/>
          <w:szCs w:val="20"/>
        </w:rPr>
        <w:lastRenderedPageBreak/>
        <w:t>For the shorter dated contracts, where the LIS threshold hits the worst, 84%-100% of the off-order book trades reported would have been under LIS.</w:t>
      </w:r>
    </w:p>
    <w:p w14:paraId="51A8EB26" w14:textId="21C3B42B" w:rsidR="00D63AD3" w:rsidRPr="00DA03C9" w:rsidRDefault="00D63AD3" w:rsidP="00B5211F">
      <w:pPr>
        <w:pStyle w:val="ListParagraph"/>
        <w:numPr>
          <w:ilvl w:val="0"/>
          <w:numId w:val="39"/>
        </w:numPr>
        <w:rPr>
          <w:rFonts w:cs="Arial"/>
          <w:szCs w:val="20"/>
        </w:rPr>
      </w:pPr>
      <w:r w:rsidRPr="00DA03C9">
        <w:rPr>
          <w:rFonts w:cs="Arial"/>
          <w:szCs w:val="20"/>
        </w:rPr>
        <w:t>When looking at the volume generated by off-order book trades, 52% of the volume would have been below LIS</w:t>
      </w:r>
      <w:r w:rsidRPr="00DA03C9">
        <w:rPr>
          <w:rFonts w:cs="Arial"/>
          <w:szCs w:val="20"/>
          <w:highlight w:val="yellow"/>
        </w:rPr>
        <w:t>.</w:t>
      </w:r>
    </w:p>
    <w:p w14:paraId="585204CB" w14:textId="673A913C" w:rsidR="00D63AD3" w:rsidRPr="00DA03C9" w:rsidRDefault="00D63AD3" w:rsidP="00D63AD3">
      <w:pPr>
        <w:rPr>
          <w:rFonts w:cs="Arial"/>
          <w:szCs w:val="20"/>
          <w:highlight w:val="yellow"/>
        </w:rPr>
      </w:pPr>
      <w:r w:rsidRPr="00DA03C9">
        <w:rPr>
          <w:rFonts w:cs="Arial"/>
          <w:szCs w:val="20"/>
          <w:highlight w:val="yellow"/>
        </w:rPr>
        <w:t>The current situation at the exchange</w:t>
      </w:r>
      <w:r w:rsidR="000F2687" w:rsidRPr="00DA03C9">
        <w:rPr>
          <w:rFonts w:cs="Arial"/>
          <w:szCs w:val="20"/>
          <w:highlight w:val="yellow"/>
        </w:rPr>
        <w:t>,</w:t>
      </w:r>
      <w:r w:rsidRPr="00DA03C9">
        <w:rPr>
          <w:rFonts w:cs="Arial"/>
          <w:szCs w:val="20"/>
          <w:highlight w:val="yellow"/>
        </w:rPr>
        <w:t xml:space="preserve"> when looking at the overall liquidity generation (on-order book and off-</w:t>
      </w:r>
      <w:r w:rsidR="000F2687" w:rsidRPr="00DA03C9">
        <w:rPr>
          <w:rFonts w:cs="Arial"/>
          <w:szCs w:val="20"/>
          <w:highlight w:val="yellow"/>
        </w:rPr>
        <w:t>order book combined), the split-</w:t>
      </w:r>
      <w:r w:rsidRPr="00DA03C9">
        <w:rPr>
          <w:rFonts w:cs="Arial"/>
          <w:szCs w:val="20"/>
          <w:highlight w:val="yellow"/>
        </w:rPr>
        <w:t>between has over a number of years been 50/50.</w:t>
      </w:r>
    </w:p>
    <w:p w14:paraId="4CE29BB7" w14:textId="77777777" w:rsidR="000F2687" w:rsidRPr="00DA03C9" w:rsidRDefault="000F2687" w:rsidP="00D63AD3">
      <w:pPr>
        <w:rPr>
          <w:rFonts w:cs="Arial"/>
          <w:szCs w:val="20"/>
          <w:highlight w:val="yellow"/>
        </w:rPr>
      </w:pPr>
    </w:p>
    <w:p w14:paraId="5D8EC07A" w14:textId="77777777" w:rsidR="00D63AD3" w:rsidRPr="00DA03C9" w:rsidRDefault="00D63AD3" w:rsidP="00D63AD3">
      <w:pPr>
        <w:rPr>
          <w:rFonts w:cs="Arial"/>
          <w:szCs w:val="20"/>
          <w:highlight w:val="yellow"/>
        </w:rPr>
      </w:pPr>
      <w:r w:rsidRPr="00DA03C9">
        <w:rPr>
          <w:rFonts w:cs="Arial"/>
          <w:szCs w:val="20"/>
          <w:highlight w:val="yellow"/>
        </w:rPr>
        <w:t xml:space="preserve">In the electricity derivatives space, the off-order book volumes are essential to the generation of on-order book volumes. In the off-order book volume the </w:t>
      </w:r>
      <w:proofErr w:type="gramStart"/>
      <w:r w:rsidRPr="00DA03C9">
        <w:rPr>
          <w:rFonts w:cs="Arial"/>
          <w:szCs w:val="20"/>
          <w:highlight w:val="yellow"/>
        </w:rPr>
        <w:t>market</w:t>
      </w:r>
      <w:proofErr w:type="gramEnd"/>
      <w:r w:rsidRPr="00DA03C9">
        <w:rPr>
          <w:rFonts w:cs="Arial"/>
          <w:szCs w:val="20"/>
          <w:highlight w:val="yellow"/>
        </w:rPr>
        <w:t xml:space="preserve"> consist of a substantial amount of stakeholders that are non-financial counterparties, such as utilities, generators of electricity and wholesale distributors. The market </w:t>
      </w:r>
      <w:proofErr w:type="gramStart"/>
      <w:r w:rsidRPr="00DA03C9">
        <w:rPr>
          <w:rFonts w:cs="Arial"/>
          <w:szCs w:val="20"/>
          <w:highlight w:val="yellow"/>
        </w:rPr>
        <w:t>is supplemented</w:t>
      </w:r>
      <w:proofErr w:type="gramEnd"/>
      <w:r w:rsidRPr="00DA03C9">
        <w:rPr>
          <w:rFonts w:cs="Arial"/>
          <w:szCs w:val="20"/>
          <w:highlight w:val="yellow"/>
        </w:rPr>
        <w:t xml:space="preserve"> with financial counterparties, essential for the efficiency of the market. The market is for this reason heavily dependent on the broker community to bring off-order book volumes to the exchange, as the market participants they serve are mainly in the market to hedge, and not speculate. These participants often have larger volumes to hedge, across various maturities, which </w:t>
      </w:r>
      <w:proofErr w:type="gramStart"/>
      <w:r w:rsidRPr="00DA03C9">
        <w:rPr>
          <w:rFonts w:cs="Arial"/>
          <w:szCs w:val="20"/>
          <w:highlight w:val="yellow"/>
        </w:rPr>
        <w:t>would (with high likelihood) skew</w:t>
      </w:r>
      <w:proofErr w:type="gramEnd"/>
      <w:r w:rsidRPr="00DA03C9">
        <w:rPr>
          <w:rFonts w:cs="Arial"/>
          <w:szCs w:val="20"/>
          <w:highlight w:val="yellow"/>
        </w:rPr>
        <w:t xml:space="preserve"> the market price if placed in the regular order book of the exchange.</w:t>
      </w:r>
    </w:p>
    <w:p w14:paraId="487AF544" w14:textId="77777777" w:rsidR="00D63AD3" w:rsidRPr="00DA03C9" w:rsidRDefault="00D63AD3" w:rsidP="00D63AD3">
      <w:pPr>
        <w:rPr>
          <w:rFonts w:cs="Arial"/>
          <w:szCs w:val="20"/>
          <w:highlight w:val="yellow"/>
        </w:rPr>
      </w:pPr>
    </w:p>
    <w:p w14:paraId="30200F97" w14:textId="06CB9F2F" w:rsidR="00D63AD3" w:rsidRPr="00DA03C9" w:rsidRDefault="00D63AD3" w:rsidP="00D63AD3">
      <w:pPr>
        <w:rPr>
          <w:rFonts w:cs="Arial"/>
          <w:szCs w:val="20"/>
          <w:highlight w:val="yellow"/>
        </w:rPr>
      </w:pPr>
      <w:r w:rsidRPr="00DA03C9">
        <w:rPr>
          <w:rFonts w:cs="Arial"/>
          <w:szCs w:val="20"/>
          <w:highlight w:val="yellow"/>
        </w:rPr>
        <w:t xml:space="preserve">We support the introduction of LIS thresholds that have been in place at exchanges for decades, to promote transparent order book trading versus less transparent off-order book trading. The problem with the current regime though is that the LIS thresholds become disproportionate and </w:t>
      </w:r>
      <w:r w:rsidR="000F2687" w:rsidRPr="00DA03C9">
        <w:rPr>
          <w:rFonts w:cs="Arial"/>
          <w:szCs w:val="20"/>
          <w:highlight w:val="yellow"/>
        </w:rPr>
        <w:t>prevent</w:t>
      </w:r>
      <w:r w:rsidRPr="00DA03C9">
        <w:rPr>
          <w:rFonts w:cs="Arial"/>
          <w:szCs w:val="20"/>
          <w:highlight w:val="yellow"/>
        </w:rPr>
        <w:t xml:space="preserve"> the market to function in an efficient manner. The disproportionate LIS thresholds are due to a number of factors, such as the ill-calibrated parameters for ADNA and ADNT.</w:t>
      </w:r>
    </w:p>
    <w:p w14:paraId="5902DE2F" w14:textId="77777777" w:rsidR="00D63AD3" w:rsidRPr="00DA03C9" w:rsidRDefault="00D63AD3" w:rsidP="00D63AD3">
      <w:pPr>
        <w:rPr>
          <w:rFonts w:cs="Arial"/>
          <w:szCs w:val="20"/>
          <w:highlight w:val="yellow"/>
        </w:rPr>
      </w:pPr>
    </w:p>
    <w:p w14:paraId="5E12921B" w14:textId="49B5418C" w:rsidR="00D63AD3" w:rsidRPr="00DA03C9" w:rsidRDefault="00D63AD3" w:rsidP="00D63AD3">
      <w:pPr>
        <w:rPr>
          <w:rFonts w:cs="Arial"/>
          <w:szCs w:val="20"/>
          <w:highlight w:val="yellow"/>
        </w:rPr>
      </w:pPr>
      <w:r w:rsidRPr="00DA03C9">
        <w:rPr>
          <w:rFonts w:cs="Arial"/>
          <w:szCs w:val="20"/>
          <w:highlight w:val="yellow"/>
        </w:rPr>
        <w:t>The biggest problem though is the pre-trade LIS thr</w:t>
      </w:r>
      <w:r w:rsidR="000F2687" w:rsidRPr="00DA03C9">
        <w:rPr>
          <w:rFonts w:cs="Arial"/>
          <w:szCs w:val="20"/>
          <w:highlight w:val="yellow"/>
        </w:rPr>
        <w:t>esholds floor, set at €500,000,</w:t>
      </w:r>
      <w:r w:rsidRPr="00DA03C9">
        <w:rPr>
          <w:rFonts w:cs="Arial"/>
          <w:szCs w:val="20"/>
          <w:highlight w:val="yellow"/>
        </w:rPr>
        <w:t xml:space="preserve"> and the ill-calibrated trade percentile of 70%. The use of a Euro denominated minimum floor value is also not efficient when applying this to commodity derivatives, as the nominal value is of low importance for commodity traders. The price of the given commodity fluctuates constantly and for a trader interested in hedging or speculating, the underlying quantity/volume is of utmost concern when concluding a trade or placing a bid in the order book.</w:t>
      </w:r>
    </w:p>
    <w:p w14:paraId="097BF845" w14:textId="77777777" w:rsidR="00D63AD3" w:rsidRPr="00DA03C9" w:rsidRDefault="00D63AD3" w:rsidP="00D63AD3">
      <w:pPr>
        <w:rPr>
          <w:rFonts w:cs="Arial"/>
          <w:szCs w:val="20"/>
          <w:highlight w:val="yellow"/>
        </w:rPr>
      </w:pPr>
    </w:p>
    <w:p w14:paraId="73F0161A" w14:textId="7BB78CB3" w:rsidR="00D63AD3" w:rsidRPr="00DA03C9" w:rsidRDefault="00D63AD3" w:rsidP="00D63AD3">
      <w:pPr>
        <w:rPr>
          <w:rFonts w:cs="Arial"/>
          <w:szCs w:val="20"/>
          <w:highlight w:val="yellow"/>
        </w:rPr>
      </w:pPr>
      <w:r w:rsidRPr="00DA03C9">
        <w:rPr>
          <w:rFonts w:cs="Arial"/>
          <w:szCs w:val="20"/>
          <w:highlight w:val="yellow"/>
        </w:rPr>
        <w:t>When we in this regard look at the size of each trade, disregarding the notional value of the trade itself, our analysis showed the following, when comparing the LIS threshold in lots vs</w:t>
      </w:r>
      <w:r w:rsidR="000F2687" w:rsidRPr="00DA03C9">
        <w:rPr>
          <w:rFonts w:cs="Arial"/>
          <w:szCs w:val="20"/>
          <w:highlight w:val="yellow"/>
        </w:rPr>
        <w:t>.</w:t>
      </w:r>
      <w:r w:rsidRPr="00DA03C9">
        <w:rPr>
          <w:rFonts w:cs="Arial"/>
          <w:szCs w:val="20"/>
          <w:highlight w:val="yellow"/>
        </w:rPr>
        <w:t xml:space="preserve"> the mode (most frequently traded size):</w:t>
      </w:r>
    </w:p>
    <w:p w14:paraId="5C8CD5A2" w14:textId="77777777" w:rsidR="00D63AD3" w:rsidRPr="00DA03C9" w:rsidRDefault="00D63AD3" w:rsidP="00D63AD3">
      <w:pPr>
        <w:rPr>
          <w:rFonts w:cs="Arial"/>
          <w:szCs w:val="20"/>
          <w:highlight w:val="yellow"/>
        </w:rPr>
      </w:pPr>
    </w:p>
    <w:tbl>
      <w:tblPr>
        <w:tblStyle w:val="TableGrid"/>
        <w:tblW w:w="0" w:type="auto"/>
        <w:tblLook w:val="04A0" w:firstRow="1" w:lastRow="0" w:firstColumn="1" w:lastColumn="0" w:noHBand="0" w:noVBand="1"/>
      </w:tblPr>
      <w:tblGrid>
        <w:gridCol w:w="2375"/>
        <w:gridCol w:w="2151"/>
        <w:gridCol w:w="2152"/>
        <w:gridCol w:w="2152"/>
      </w:tblGrid>
      <w:tr w:rsidR="00D63AD3" w:rsidRPr="00DA03C9" w14:paraId="0119BE2F" w14:textId="77777777" w:rsidTr="00764BEF">
        <w:tc>
          <w:tcPr>
            <w:tcW w:w="2375" w:type="dxa"/>
          </w:tcPr>
          <w:p w14:paraId="21ECA12A" w14:textId="77777777" w:rsidR="00D63AD3" w:rsidRPr="00DA03C9" w:rsidRDefault="00D63AD3" w:rsidP="00764BEF">
            <w:pPr>
              <w:rPr>
                <w:rFonts w:cs="Arial"/>
                <w:b/>
                <w:szCs w:val="20"/>
                <w:highlight w:val="yellow"/>
              </w:rPr>
            </w:pPr>
            <w:r w:rsidRPr="00DA03C9">
              <w:rPr>
                <w:rFonts w:cs="Arial"/>
                <w:b/>
                <w:szCs w:val="20"/>
                <w:highlight w:val="yellow"/>
              </w:rPr>
              <w:t>Contract Type</w:t>
            </w:r>
          </w:p>
        </w:tc>
        <w:tc>
          <w:tcPr>
            <w:tcW w:w="2151" w:type="dxa"/>
          </w:tcPr>
          <w:p w14:paraId="0DEF7EA9" w14:textId="77777777" w:rsidR="00D63AD3" w:rsidRPr="00DA03C9" w:rsidRDefault="00D63AD3" w:rsidP="00764BEF">
            <w:pPr>
              <w:jc w:val="center"/>
              <w:rPr>
                <w:rFonts w:cs="Arial"/>
                <w:b/>
                <w:szCs w:val="20"/>
                <w:highlight w:val="yellow"/>
              </w:rPr>
            </w:pPr>
            <w:r w:rsidRPr="00DA03C9">
              <w:rPr>
                <w:rFonts w:cs="Arial"/>
                <w:b/>
                <w:szCs w:val="20"/>
                <w:highlight w:val="yellow"/>
              </w:rPr>
              <w:t>LIS in Lots</w:t>
            </w:r>
          </w:p>
        </w:tc>
        <w:tc>
          <w:tcPr>
            <w:tcW w:w="2152" w:type="dxa"/>
          </w:tcPr>
          <w:p w14:paraId="37DAC7ED" w14:textId="77777777" w:rsidR="00D63AD3" w:rsidRPr="00DA03C9" w:rsidRDefault="00D63AD3" w:rsidP="00764BEF">
            <w:pPr>
              <w:jc w:val="center"/>
              <w:rPr>
                <w:rFonts w:cs="Arial"/>
                <w:b/>
                <w:szCs w:val="20"/>
                <w:highlight w:val="yellow"/>
              </w:rPr>
            </w:pPr>
            <w:r w:rsidRPr="00DA03C9">
              <w:rPr>
                <w:rFonts w:cs="Arial"/>
                <w:b/>
                <w:szCs w:val="20"/>
                <w:highlight w:val="yellow"/>
              </w:rPr>
              <w:t>Mode</w:t>
            </w:r>
          </w:p>
        </w:tc>
        <w:tc>
          <w:tcPr>
            <w:tcW w:w="2152" w:type="dxa"/>
          </w:tcPr>
          <w:p w14:paraId="5F34A138" w14:textId="77777777" w:rsidR="00D63AD3" w:rsidRPr="00DA03C9" w:rsidRDefault="00D63AD3" w:rsidP="00764BEF">
            <w:pPr>
              <w:jc w:val="center"/>
              <w:rPr>
                <w:rFonts w:cs="Arial"/>
                <w:b/>
                <w:szCs w:val="20"/>
                <w:highlight w:val="yellow"/>
              </w:rPr>
            </w:pPr>
            <w:r w:rsidRPr="00DA03C9">
              <w:rPr>
                <w:rFonts w:cs="Arial"/>
                <w:b/>
                <w:szCs w:val="20"/>
                <w:highlight w:val="yellow"/>
              </w:rPr>
              <w:t>Average</w:t>
            </w:r>
          </w:p>
        </w:tc>
      </w:tr>
      <w:tr w:rsidR="00D63AD3" w:rsidRPr="00DA03C9" w14:paraId="28A68F6F" w14:textId="77777777" w:rsidTr="00764BEF">
        <w:tc>
          <w:tcPr>
            <w:tcW w:w="2375" w:type="dxa"/>
          </w:tcPr>
          <w:p w14:paraId="53A1C692" w14:textId="77777777" w:rsidR="00D63AD3" w:rsidRPr="00DA03C9" w:rsidRDefault="00D63AD3" w:rsidP="00764BEF">
            <w:pPr>
              <w:rPr>
                <w:rFonts w:cs="Arial"/>
                <w:szCs w:val="20"/>
                <w:highlight w:val="yellow"/>
              </w:rPr>
            </w:pPr>
            <w:r w:rsidRPr="00DA03C9">
              <w:rPr>
                <w:rFonts w:cs="Arial"/>
                <w:szCs w:val="20"/>
                <w:highlight w:val="yellow"/>
              </w:rPr>
              <w:t>Day</w:t>
            </w:r>
          </w:p>
        </w:tc>
        <w:tc>
          <w:tcPr>
            <w:tcW w:w="2151" w:type="dxa"/>
          </w:tcPr>
          <w:p w14:paraId="004BC368" w14:textId="77777777" w:rsidR="00D63AD3" w:rsidRPr="00DA03C9" w:rsidRDefault="00D63AD3" w:rsidP="00764BEF">
            <w:pPr>
              <w:jc w:val="center"/>
              <w:rPr>
                <w:rFonts w:cs="Arial"/>
                <w:szCs w:val="20"/>
                <w:highlight w:val="yellow"/>
              </w:rPr>
            </w:pPr>
            <w:r w:rsidRPr="00DA03C9">
              <w:rPr>
                <w:rFonts w:cs="Arial"/>
                <w:szCs w:val="20"/>
                <w:highlight w:val="yellow"/>
              </w:rPr>
              <w:t>726</w:t>
            </w:r>
          </w:p>
        </w:tc>
        <w:tc>
          <w:tcPr>
            <w:tcW w:w="2152" w:type="dxa"/>
          </w:tcPr>
          <w:p w14:paraId="75942F17" w14:textId="77777777" w:rsidR="00D63AD3" w:rsidRPr="00DA03C9" w:rsidRDefault="00D63AD3" w:rsidP="00764BEF">
            <w:pPr>
              <w:jc w:val="center"/>
              <w:rPr>
                <w:rFonts w:cs="Arial"/>
                <w:szCs w:val="20"/>
                <w:highlight w:val="yellow"/>
              </w:rPr>
            </w:pPr>
            <w:r w:rsidRPr="00DA03C9">
              <w:rPr>
                <w:rFonts w:cs="Arial"/>
                <w:szCs w:val="20"/>
                <w:highlight w:val="yellow"/>
              </w:rPr>
              <w:t>50</w:t>
            </w:r>
          </w:p>
        </w:tc>
        <w:tc>
          <w:tcPr>
            <w:tcW w:w="2152" w:type="dxa"/>
          </w:tcPr>
          <w:p w14:paraId="50DF7C0B" w14:textId="77777777" w:rsidR="00D63AD3" w:rsidRPr="00DA03C9" w:rsidRDefault="00D63AD3" w:rsidP="00764BEF">
            <w:pPr>
              <w:jc w:val="center"/>
              <w:rPr>
                <w:rFonts w:cs="Arial"/>
                <w:szCs w:val="20"/>
                <w:highlight w:val="yellow"/>
              </w:rPr>
            </w:pPr>
            <w:r w:rsidRPr="00DA03C9">
              <w:rPr>
                <w:rFonts w:cs="Arial"/>
                <w:szCs w:val="20"/>
                <w:highlight w:val="yellow"/>
              </w:rPr>
              <w:t>60</w:t>
            </w:r>
          </w:p>
        </w:tc>
      </w:tr>
      <w:tr w:rsidR="00D63AD3" w:rsidRPr="00DA03C9" w14:paraId="42DD1DA2" w14:textId="77777777" w:rsidTr="00764BEF">
        <w:tc>
          <w:tcPr>
            <w:tcW w:w="2375" w:type="dxa"/>
          </w:tcPr>
          <w:p w14:paraId="18D95C36" w14:textId="77777777" w:rsidR="00D63AD3" w:rsidRPr="00DA03C9" w:rsidRDefault="00D63AD3" w:rsidP="00764BEF">
            <w:pPr>
              <w:rPr>
                <w:rFonts w:cs="Arial"/>
                <w:szCs w:val="20"/>
                <w:highlight w:val="yellow"/>
              </w:rPr>
            </w:pPr>
            <w:r w:rsidRPr="00DA03C9">
              <w:rPr>
                <w:rFonts w:cs="Arial"/>
                <w:szCs w:val="20"/>
                <w:highlight w:val="yellow"/>
              </w:rPr>
              <w:t>Week</w:t>
            </w:r>
          </w:p>
        </w:tc>
        <w:tc>
          <w:tcPr>
            <w:tcW w:w="2151" w:type="dxa"/>
          </w:tcPr>
          <w:p w14:paraId="65B330A6" w14:textId="77777777" w:rsidR="00D63AD3" w:rsidRPr="00DA03C9" w:rsidRDefault="00D63AD3" w:rsidP="00764BEF">
            <w:pPr>
              <w:jc w:val="center"/>
              <w:rPr>
                <w:rFonts w:cs="Arial"/>
                <w:szCs w:val="20"/>
                <w:highlight w:val="yellow"/>
              </w:rPr>
            </w:pPr>
            <w:r w:rsidRPr="00DA03C9">
              <w:rPr>
                <w:rFonts w:cs="Arial"/>
                <w:szCs w:val="20"/>
                <w:highlight w:val="yellow"/>
              </w:rPr>
              <w:t>104</w:t>
            </w:r>
          </w:p>
        </w:tc>
        <w:tc>
          <w:tcPr>
            <w:tcW w:w="2152" w:type="dxa"/>
          </w:tcPr>
          <w:p w14:paraId="265E3084" w14:textId="77777777" w:rsidR="00D63AD3" w:rsidRPr="00DA03C9" w:rsidRDefault="00D63AD3" w:rsidP="00764BEF">
            <w:pPr>
              <w:jc w:val="center"/>
              <w:rPr>
                <w:rFonts w:cs="Arial"/>
                <w:szCs w:val="20"/>
                <w:highlight w:val="yellow"/>
              </w:rPr>
            </w:pPr>
            <w:r w:rsidRPr="00DA03C9">
              <w:rPr>
                <w:rFonts w:cs="Arial"/>
                <w:szCs w:val="20"/>
                <w:highlight w:val="yellow"/>
              </w:rPr>
              <w:t>25</w:t>
            </w:r>
          </w:p>
        </w:tc>
        <w:tc>
          <w:tcPr>
            <w:tcW w:w="2152" w:type="dxa"/>
          </w:tcPr>
          <w:p w14:paraId="0677F420" w14:textId="77777777" w:rsidR="00D63AD3" w:rsidRPr="00DA03C9" w:rsidRDefault="00D63AD3" w:rsidP="00764BEF">
            <w:pPr>
              <w:jc w:val="center"/>
              <w:rPr>
                <w:rFonts w:cs="Arial"/>
                <w:szCs w:val="20"/>
                <w:highlight w:val="yellow"/>
              </w:rPr>
            </w:pPr>
            <w:r w:rsidRPr="00DA03C9">
              <w:rPr>
                <w:rFonts w:cs="Arial"/>
                <w:szCs w:val="20"/>
                <w:highlight w:val="yellow"/>
              </w:rPr>
              <w:t>24</w:t>
            </w:r>
          </w:p>
        </w:tc>
      </w:tr>
      <w:tr w:rsidR="00D63AD3" w:rsidRPr="00DA03C9" w14:paraId="7A5F77E7" w14:textId="77777777" w:rsidTr="00764BEF">
        <w:tc>
          <w:tcPr>
            <w:tcW w:w="2375" w:type="dxa"/>
          </w:tcPr>
          <w:p w14:paraId="37C6978F" w14:textId="77777777" w:rsidR="00D63AD3" w:rsidRPr="00DA03C9" w:rsidRDefault="00D63AD3" w:rsidP="00764BEF">
            <w:pPr>
              <w:rPr>
                <w:rFonts w:cs="Arial"/>
                <w:szCs w:val="20"/>
                <w:highlight w:val="yellow"/>
              </w:rPr>
            </w:pPr>
            <w:r w:rsidRPr="00DA03C9">
              <w:rPr>
                <w:rFonts w:cs="Arial"/>
                <w:szCs w:val="20"/>
                <w:highlight w:val="yellow"/>
              </w:rPr>
              <w:t>Month</w:t>
            </w:r>
          </w:p>
        </w:tc>
        <w:tc>
          <w:tcPr>
            <w:tcW w:w="2151" w:type="dxa"/>
          </w:tcPr>
          <w:p w14:paraId="58B11C45" w14:textId="77777777" w:rsidR="00D63AD3" w:rsidRPr="00DA03C9" w:rsidRDefault="00D63AD3" w:rsidP="00764BEF">
            <w:pPr>
              <w:jc w:val="center"/>
              <w:rPr>
                <w:rFonts w:cs="Arial"/>
                <w:szCs w:val="20"/>
                <w:highlight w:val="yellow"/>
              </w:rPr>
            </w:pPr>
            <w:r w:rsidRPr="00DA03C9">
              <w:rPr>
                <w:rFonts w:cs="Arial"/>
                <w:szCs w:val="20"/>
                <w:highlight w:val="yellow"/>
              </w:rPr>
              <w:t>24</w:t>
            </w:r>
          </w:p>
        </w:tc>
        <w:tc>
          <w:tcPr>
            <w:tcW w:w="2152" w:type="dxa"/>
          </w:tcPr>
          <w:p w14:paraId="1D965C4F" w14:textId="77777777" w:rsidR="00D63AD3" w:rsidRPr="00DA03C9" w:rsidRDefault="00D63AD3" w:rsidP="00764BEF">
            <w:pPr>
              <w:jc w:val="center"/>
              <w:rPr>
                <w:rFonts w:cs="Arial"/>
                <w:szCs w:val="20"/>
                <w:highlight w:val="yellow"/>
              </w:rPr>
            </w:pPr>
            <w:r w:rsidRPr="00DA03C9">
              <w:rPr>
                <w:rFonts w:cs="Arial"/>
                <w:szCs w:val="20"/>
                <w:highlight w:val="yellow"/>
              </w:rPr>
              <w:t>5</w:t>
            </w:r>
          </w:p>
        </w:tc>
        <w:tc>
          <w:tcPr>
            <w:tcW w:w="2152" w:type="dxa"/>
          </w:tcPr>
          <w:p w14:paraId="2C6002FD" w14:textId="77777777" w:rsidR="00D63AD3" w:rsidRPr="00DA03C9" w:rsidRDefault="00D63AD3" w:rsidP="00764BEF">
            <w:pPr>
              <w:jc w:val="center"/>
              <w:rPr>
                <w:rFonts w:cs="Arial"/>
                <w:szCs w:val="20"/>
                <w:highlight w:val="yellow"/>
              </w:rPr>
            </w:pPr>
            <w:r w:rsidRPr="00DA03C9">
              <w:rPr>
                <w:rFonts w:cs="Arial"/>
                <w:szCs w:val="20"/>
                <w:highlight w:val="yellow"/>
              </w:rPr>
              <w:t>10</w:t>
            </w:r>
          </w:p>
        </w:tc>
      </w:tr>
      <w:tr w:rsidR="00D63AD3" w:rsidRPr="00DA03C9" w14:paraId="7173FD20" w14:textId="77777777" w:rsidTr="00764BEF">
        <w:tc>
          <w:tcPr>
            <w:tcW w:w="2375" w:type="dxa"/>
          </w:tcPr>
          <w:p w14:paraId="3B87CA83" w14:textId="77777777" w:rsidR="00D63AD3" w:rsidRPr="00DA03C9" w:rsidRDefault="00D63AD3" w:rsidP="00764BEF">
            <w:pPr>
              <w:rPr>
                <w:rFonts w:cs="Arial"/>
                <w:szCs w:val="20"/>
                <w:highlight w:val="yellow"/>
              </w:rPr>
            </w:pPr>
            <w:r w:rsidRPr="00DA03C9">
              <w:rPr>
                <w:rFonts w:cs="Arial"/>
                <w:szCs w:val="20"/>
                <w:highlight w:val="yellow"/>
              </w:rPr>
              <w:t>Quarter</w:t>
            </w:r>
          </w:p>
        </w:tc>
        <w:tc>
          <w:tcPr>
            <w:tcW w:w="2151" w:type="dxa"/>
          </w:tcPr>
          <w:p w14:paraId="6370C526" w14:textId="77777777" w:rsidR="00D63AD3" w:rsidRPr="00DA03C9" w:rsidRDefault="00D63AD3" w:rsidP="00764BEF">
            <w:pPr>
              <w:jc w:val="center"/>
              <w:rPr>
                <w:rFonts w:cs="Arial"/>
                <w:szCs w:val="20"/>
                <w:highlight w:val="yellow"/>
              </w:rPr>
            </w:pPr>
            <w:r w:rsidRPr="00DA03C9">
              <w:rPr>
                <w:rFonts w:cs="Arial"/>
                <w:szCs w:val="20"/>
                <w:highlight w:val="yellow"/>
              </w:rPr>
              <w:t>8</w:t>
            </w:r>
          </w:p>
        </w:tc>
        <w:tc>
          <w:tcPr>
            <w:tcW w:w="2152" w:type="dxa"/>
          </w:tcPr>
          <w:p w14:paraId="78484088" w14:textId="77777777" w:rsidR="00D63AD3" w:rsidRPr="00DA03C9" w:rsidRDefault="00D63AD3" w:rsidP="00764BEF">
            <w:pPr>
              <w:jc w:val="center"/>
              <w:rPr>
                <w:rFonts w:cs="Arial"/>
                <w:szCs w:val="20"/>
                <w:highlight w:val="yellow"/>
              </w:rPr>
            </w:pPr>
            <w:r w:rsidRPr="00DA03C9">
              <w:rPr>
                <w:rFonts w:cs="Arial"/>
                <w:szCs w:val="20"/>
                <w:highlight w:val="yellow"/>
              </w:rPr>
              <w:t>3</w:t>
            </w:r>
          </w:p>
        </w:tc>
        <w:tc>
          <w:tcPr>
            <w:tcW w:w="2152" w:type="dxa"/>
          </w:tcPr>
          <w:p w14:paraId="06E099AC" w14:textId="77777777" w:rsidR="00D63AD3" w:rsidRPr="00DA03C9" w:rsidRDefault="00D63AD3" w:rsidP="00764BEF">
            <w:pPr>
              <w:jc w:val="center"/>
              <w:rPr>
                <w:rFonts w:cs="Arial"/>
                <w:szCs w:val="20"/>
                <w:highlight w:val="yellow"/>
              </w:rPr>
            </w:pPr>
            <w:r w:rsidRPr="00DA03C9">
              <w:rPr>
                <w:rFonts w:cs="Arial"/>
                <w:szCs w:val="20"/>
                <w:highlight w:val="yellow"/>
              </w:rPr>
              <w:t>5</w:t>
            </w:r>
          </w:p>
        </w:tc>
      </w:tr>
      <w:tr w:rsidR="00D63AD3" w:rsidRPr="00DA03C9" w14:paraId="72EC4303" w14:textId="77777777" w:rsidTr="00764BEF">
        <w:tc>
          <w:tcPr>
            <w:tcW w:w="2375" w:type="dxa"/>
          </w:tcPr>
          <w:p w14:paraId="09C2A3D2" w14:textId="77777777" w:rsidR="00D63AD3" w:rsidRPr="00DA03C9" w:rsidRDefault="00D63AD3" w:rsidP="00764BEF">
            <w:pPr>
              <w:rPr>
                <w:rFonts w:cs="Arial"/>
                <w:szCs w:val="20"/>
                <w:highlight w:val="yellow"/>
              </w:rPr>
            </w:pPr>
            <w:r w:rsidRPr="00DA03C9">
              <w:rPr>
                <w:rFonts w:cs="Arial"/>
                <w:szCs w:val="20"/>
                <w:highlight w:val="yellow"/>
              </w:rPr>
              <w:t>Year</w:t>
            </w:r>
          </w:p>
        </w:tc>
        <w:tc>
          <w:tcPr>
            <w:tcW w:w="2151" w:type="dxa"/>
          </w:tcPr>
          <w:p w14:paraId="0B13780C" w14:textId="77777777" w:rsidR="00D63AD3" w:rsidRPr="00DA03C9" w:rsidRDefault="00D63AD3" w:rsidP="00764BEF">
            <w:pPr>
              <w:jc w:val="center"/>
              <w:rPr>
                <w:rFonts w:cs="Arial"/>
                <w:szCs w:val="20"/>
                <w:highlight w:val="yellow"/>
              </w:rPr>
            </w:pPr>
            <w:r w:rsidRPr="00DA03C9">
              <w:rPr>
                <w:rFonts w:cs="Arial"/>
                <w:szCs w:val="20"/>
                <w:highlight w:val="yellow"/>
              </w:rPr>
              <w:t>2</w:t>
            </w:r>
          </w:p>
        </w:tc>
        <w:tc>
          <w:tcPr>
            <w:tcW w:w="2152" w:type="dxa"/>
          </w:tcPr>
          <w:p w14:paraId="04F12626" w14:textId="77777777" w:rsidR="00D63AD3" w:rsidRPr="00DA03C9" w:rsidRDefault="00D63AD3" w:rsidP="00764BEF">
            <w:pPr>
              <w:jc w:val="center"/>
              <w:rPr>
                <w:rFonts w:cs="Arial"/>
                <w:szCs w:val="20"/>
                <w:highlight w:val="yellow"/>
              </w:rPr>
            </w:pPr>
            <w:r w:rsidRPr="00DA03C9">
              <w:rPr>
                <w:rFonts w:cs="Arial"/>
                <w:szCs w:val="20"/>
                <w:highlight w:val="yellow"/>
              </w:rPr>
              <w:t>1</w:t>
            </w:r>
          </w:p>
        </w:tc>
        <w:tc>
          <w:tcPr>
            <w:tcW w:w="2152" w:type="dxa"/>
          </w:tcPr>
          <w:p w14:paraId="325145B7" w14:textId="77777777" w:rsidR="00D63AD3" w:rsidRPr="00DA03C9" w:rsidRDefault="00D63AD3" w:rsidP="00764BEF">
            <w:pPr>
              <w:jc w:val="center"/>
              <w:rPr>
                <w:rFonts w:cs="Arial"/>
                <w:szCs w:val="20"/>
                <w:highlight w:val="yellow"/>
              </w:rPr>
            </w:pPr>
            <w:r w:rsidRPr="00DA03C9">
              <w:rPr>
                <w:rFonts w:cs="Arial"/>
                <w:szCs w:val="20"/>
                <w:highlight w:val="yellow"/>
              </w:rPr>
              <w:t>2</w:t>
            </w:r>
          </w:p>
        </w:tc>
      </w:tr>
    </w:tbl>
    <w:p w14:paraId="6CD3B981" w14:textId="77777777" w:rsidR="00D63AD3" w:rsidRPr="00DA03C9" w:rsidRDefault="00D63AD3" w:rsidP="00764BEF">
      <w:pPr>
        <w:rPr>
          <w:rFonts w:cs="Arial"/>
          <w:szCs w:val="20"/>
          <w:highlight w:val="yellow"/>
        </w:rPr>
      </w:pPr>
    </w:p>
    <w:p w14:paraId="11808DF7" w14:textId="42B5536D" w:rsidR="00D63AD3" w:rsidRPr="00DA03C9" w:rsidRDefault="00D63AD3" w:rsidP="00764BEF">
      <w:pPr>
        <w:pStyle w:val="Default"/>
        <w:rPr>
          <w:rFonts w:ascii="Arial" w:hAnsi="Arial" w:cs="Arial"/>
          <w:sz w:val="20"/>
          <w:szCs w:val="20"/>
          <w:highlight w:val="yellow"/>
        </w:rPr>
      </w:pPr>
      <w:r w:rsidRPr="00DA03C9">
        <w:rPr>
          <w:rFonts w:ascii="Arial" w:hAnsi="Arial" w:cs="Arial"/>
          <w:sz w:val="20"/>
          <w:szCs w:val="20"/>
          <w:highlight w:val="yellow"/>
        </w:rPr>
        <w:lastRenderedPageBreak/>
        <w:t xml:space="preserve">This shows </w:t>
      </w:r>
      <w:proofErr w:type="spellStart"/>
      <w:r w:rsidRPr="00DA03C9">
        <w:rPr>
          <w:rFonts w:ascii="Arial" w:hAnsi="Arial" w:cs="Arial"/>
          <w:sz w:val="20"/>
          <w:szCs w:val="20"/>
          <w:highlight w:val="yellow"/>
        </w:rPr>
        <w:t>that</w:t>
      </w:r>
      <w:proofErr w:type="spellEnd"/>
      <w:r w:rsidRPr="00DA03C9">
        <w:rPr>
          <w:rFonts w:ascii="Arial" w:hAnsi="Arial" w:cs="Arial"/>
          <w:sz w:val="20"/>
          <w:szCs w:val="20"/>
          <w:highlight w:val="yellow"/>
        </w:rPr>
        <w:t xml:space="preserve"> the LIS </w:t>
      </w:r>
      <w:proofErr w:type="spellStart"/>
      <w:r w:rsidRPr="00DA03C9">
        <w:rPr>
          <w:rFonts w:ascii="Arial" w:hAnsi="Arial" w:cs="Arial"/>
          <w:sz w:val="20"/>
          <w:szCs w:val="20"/>
          <w:highlight w:val="yellow"/>
        </w:rPr>
        <w:t>thresholds</w:t>
      </w:r>
      <w:proofErr w:type="spellEnd"/>
      <w:r w:rsidRPr="00DA03C9">
        <w:rPr>
          <w:rFonts w:ascii="Arial" w:hAnsi="Arial" w:cs="Arial"/>
          <w:sz w:val="20"/>
          <w:szCs w:val="20"/>
          <w:highlight w:val="yellow"/>
        </w:rPr>
        <w:t xml:space="preserve"> are </w:t>
      </w:r>
      <w:proofErr w:type="spellStart"/>
      <w:r w:rsidRPr="00DA03C9">
        <w:rPr>
          <w:rFonts w:ascii="Arial" w:hAnsi="Arial" w:cs="Arial"/>
          <w:sz w:val="20"/>
          <w:szCs w:val="20"/>
          <w:highlight w:val="yellow"/>
        </w:rPr>
        <w:t>largely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disproportionate</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especially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when</w:t>
      </w:r>
      <w:proofErr w:type="spellEnd"/>
      <w:r w:rsidRPr="00DA03C9">
        <w:rPr>
          <w:rFonts w:ascii="Arial" w:hAnsi="Arial" w:cs="Arial"/>
          <w:sz w:val="20"/>
          <w:szCs w:val="20"/>
          <w:highlight w:val="yellow"/>
        </w:rPr>
        <w:t xml:space="preserve"> the </w:t>
      </w:r>
      <w:proofErr w:type="spellStart"/>
      <w:r w:rsidRPr="00DA03C9">
        <w:rPr>
          <w:rFonts w:ascii="Arial" w:hAnsi="Arial" w:cs="Arial"/>
          <w:sz w:val="20"/>
          <w:szCs w:val="20"/>
          <w:highlight w:val="yellow"/>
        </w:rPr>
        <w:t>inherent</w:t>
      </w:r>
      <w:proofErr w:type="spellEnd"/>
      <w:r w:rsidRPr="00DA03C9">
        <w:rPr>
          <w:rFonts w:ascii="Arial" w:hAnsi="Arial" w:cs="Arial"/>
          <w:sz w:val="20"/>
          <w:szCs w:val="20"/>
          <w:highlight w:val="yellow"/>
        </w:rPr>
        <w:t xml:space="preserve"> size (</w:t>
      </w:r>
      <w:proofErr w:type="spellStart"/>
      <w:r w:rsidRPr="00DA03C9">
        <w:rPr>
          <w:rFonts w:ascii="Arial" w:hAnsi="Arial" w:cs="Arial"/>
          <w:sz w:val="20"/>
          <w:szCs w:val="20"/>
          <w:highlight w:val="yellow"/>
        </w:rPr>
        <w:t>number</w:t>
      </w:r>
      <w:proofErr w:type="spellEnd"/>
      <w:r w:rsidRPr="00DA03C9">
        <w:rPr>
          <w:rFonts w:ascii="Arial" w:hAnsi="Arial" w:cs="Arial"/>
          <w:sz w:val="20"/>
          <w:szCs w:val="20"/>
          <w:highlight w:val="yellow"/>
        </w:rPr>
        <w:t xml:space="preserve"> of </w:t>
      </w:r>
      <w:proofErr w:type="spellStart"/>
      <w:r w:rsidRPr="00DA03C9">
        <w:rPr>
          <w:rFonts w:ascii="Arial" w:hAnsi="Arial" w:cs="Arial"/>
          <w:sz w:val="20"/>
          <w:szCs w:val="20"/>
          <w:highlight w:val="yellow"/>
        </w:rPr>
        <w:t>MWh</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is</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low</w:t>
      </w:r>
      <w:proofErr w:type="spellEnd"/>
      <w:r w:rsidRPr="00DA03C9">
        <w:rPr>
          <w:rFonts w:ascii="Arial" w:hAnsi="Arial" w:cs="Arial"/>
          <w:sz w:val="20"/>
          <w:szCs w:val="20"/>
          <w:highlight w:val="yellow"/>
        </w:rPr>
        <w:t xml:space="preserve"> in the </w:t>
      </w:r>
      <w:proofErr w:type="spellStart"/>
      <w:r w:rsidRPr="00DA03C9">
        <w:rPr>
          <w:rFonts w:ascii="Arial" w:hAnsi="Arial" w:cs="Arial"/>
          <w:sz w:val="20"/>
          <w:szCs w:val="20"/>
          <w:highlight w:val="yellow"/>
        </w:rPr>
        <w:t>given</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(i.e. a </w:t>
      </w:r>
      <w:proofErr w:type="spellStart"/>
      <w:r w:rsidRPr="00DA03C9">
        <w:rPr>
          <w:rFonts w:ascii="Arial" w:hAnsi="Arial" w:cs="Arial"/>
          <w:sz w:val="20"/>
          <w:szCs w:val="20"/>
          <w:highlight w:val="yellow"/>
        </w:rPr>
        <w:t>day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has 24 </w:t>
      </w:r>
      <w:proofErr w:type="spellStart"/>
      <w:r w:rsidRPr="00DA03C9">
        <w:rPr>
          <w:rFonts w:ascii="Arial" w:hAnsi="Arial" w:cs="Arial"/>
          <w:sz w:val="20"/>
          <w:szCs w:val="20"/>
          <w:highlight w:val="yellow"/>
        </w:rPr>
        <w:t>hrs</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while</w:t>
      </w:r>
      <w:proofErr w:type="spellEnd"/>
      <w:r w:rsidRPr="00DA03C9">
        <w:rPr>
          <w:rFonts w:ascii="Arial" w:hAnsi="Arial" w:cs="Arial"/>
          <w:sz w:val="20"/>
          <w:szCs w:val="20"/>
          <w:highlight w:val="yellow"/>
        </w:rPr>
        <w:t xml:space="preserve"> a </w:t>
      </w:r>
      <w:proofErr w:type="spellStart"/>
      <w:r w:rsidRPr="00DA03C9">
        <w:rPr>
          <w:rFonts w:ascii="Arial" w:hAnsi="Arial" w:cs="Arial"/>
          <w:sz w:val="20"/>
          <w:szCs w:val="20"/>
          <w:highlight w:val="yellow"/>
        </w:rPr>
        <w:t>year</w:t>
      </w:r>
      <w:proofErr w:type="spellEnd"/>
      <w:r w:rsidRPr="00DA03C9">
        <w:rPr>
          <w:rFonts w:ascii="Arial" w:hAnsi="Arial" w:cs="Arial"/>
          <w:sz w:val="20"/>
          <w:szCs w:val="20"/>
          <w:highlight w:val="yellow"/>
        </w:rPr>
        <w:t xml:space="preserve"> has 8760 </w:t>
      </w:r>
      <w:proofErr w:type="spellStart"/>
      <w:r w:rsidRPr="00DA03C9">
        <w:rPr>
          <w:rFonts w:ascii="Arial" w:hAnsi="Arial" w:cs="Arial"/>
          <w:sz w:val="20"/>
          <w:szCs w:val="20"/>
          <w:highlight w:val="yellow"/>
        </w:rPr>
        <w:t>hrs</w:t>
      </w:r>
      <w:proofErr w:type="spellEnd"/>
      <w:r w:rsidRPr="00DA03C9">
        <w:rPr>
          <w:rFonts w:ascii="Arial" w:hAnsi="Arial" w:cs="Arial"/>
          <w:sz w:val="20"/>
          <w:szCs w:val="20"/>
          <w:highlight w:val="yellow"/>
        </w:rPr>
        <w:t xml:space="preserve">). The LIS </w:t>
      </w:r>
      <w:proofErr w:type="spellStart"/>
      <w:r w:rsidRPr="00DA03C9">
        <w:rPr>
          <w:rFonts w:ascii="Arial" w:hAnsi="Arial" w:cs="Arial"/>
          <w:sz w:val="20"/>
          <w:szCs w:val="20"/>
          <w:highlight w:val="yellow"/>
        </w:rPr>
        <w:t>thresholds</w:t>
      </w:r>
      <w:proofErr w:type="spellEnd"/>
      <w:r w:rsidRPr="00DA03C9">
        <w:rPr>
          <w:rFonts w:ascii="Arial" w:hAnsi="Arial" w:cs="Arial"/>
          <w:sz w:val="20"/>
          <w:szCs w:val="20"/>
          <w:highlight w:val="yellow"/>
        </w:rPr>
        <w:t xml:space="preserve"> in </w:t>
      </w:r>
      <w:proofErr w:type="spellStart"/>
      <w:r w:rsidRPr="00DA03C9">
        <w:rPr>
          <w:rFonts w:ascii="Arial" w:hAnsi="Arial" w:cs="Arial"/>
          <w:sz w:val="20"/>
          <w:szCs w:val="20"/>
          <w:highlight w:val="yellow"/>
        </w:rPr>
        <w:t>this</w:t>
      </w:r>
      <w:proofErr w:type="spellEnd"/>
      <w:r w:rsidRPr="00DA03C9">
        <w:rPr>
          <w:rFonts w:ascii="Arial" w:hAnsi="Arial" w:cs="Arial"/>
          <w:sz w:val="20"/>
          <w:szCs w:val="20"/>
          <w:highlight w:val="yellow"/>
        </w:rPr>
        <w:t xml:space="preserve"> case </w:t>
      </w:r>
      <w:proofErr w:type="spellStart"/>
      <w:r w:rsidRPr="00DA03C9">
        <w:rPr>
          <w:rFonts w:ascii="Arial" w:hAnsi="Arial" w:cs="Arial"/>
          <w:sz w:val="20"/>
          <w:szCs w:val="20"/>
          <w:highlight w:val="yellow"/>
        </w:rPr>
        <w:t>eliminate</w:t>
      </w:r>
      <w:proofErr w:type="spellEnd"/>
      <w:r w:rsidRPr="00DA03C9">
        <w:rPr>
          <w:rFonts w:ascii="Arial" w:hAnsi="Arial" w:cs="Arial"/>
          <w:sz w:val="20"/>
          <w:szCs w:val="20"/>
          <w:highlight w:val="yellow"/>
        </w:rPr>
        <w:t xml:space="preserve"> more or </w:t>
      </w:r>
      <w:proofErr w:type="spellStart"/>
      <w:r w:rsidRPr="00DA03C9">
        <w:rPr>
          <w:rFonts w:ascii="Arial" w:hAnsi="Arial" w:cs="Arial"/>
          <w:sz w:val="20"/>
          <w:szCs w:val="20"/>
          <w:highlight w:val="yellow"/>
        </w:rPr>
        <w:t>less</w:t>
      </w:r>
      <w:proofErr w:type="spellEnd"/>
      <w:r w:rsidRPr="00DA03C9">
        <w:rPr>
          <w:rFonts w:ascii="Arial" w:hAnsi="Arial" w:cs="Arial"/>
          <w:sz w:val="20"/>
          <w:szCs w:val="20"/>
          <w:highlight w:val="yellow"/>
        </w:rPr>
        <w:t xml:space="preserve"> all off-</w:t>
      </w:r>
      <w:proofErr w:type="spellStart"/>
      <w:r w:rsidRPr="00DA03C9">
        <w:rPr>
          <w:rFonts w:ascii="Arial" w:hAnsi="Arial" w:cs="Arial"/>
          <w:sz w:val="20"/>
          <w:szCs w:val="20"/>
          <w:highlight w:val="yellow"/>
        </w:rPr>
        <w:t>order</w:t>
      </w:r>
      <w:proofErr w:type="spellEnd"/>
      <w:r w:rsidRPr="00DA03C9">
        <w:rPr>
          <w:rFonts w:ascii="Arial" w:hAnsi="Arial" w:cs="Arial"/>
          <w:sz w:val="20"/>
          <w:szCs w:val="20"/>
          <w:highlight w:val="yellow"/>
        </w:rPr>
        <w:t xml:space="preserve"> book trading, and </w:t>
      </w:r>
      <w:proofErr w:type="spellStart"/>
      <w:r w:rsidRPr="00DA03C9">
        <w:rPr>
          <w:rFonts w:ascii="Arial" w:hAnsi="Arial" w:cs="Arial"/>
          <w:sz w:val="20"/>
          <w:szCs w:val="20"/>
          <w:highlight w:val="yellow"/>
        </w:rPr>
        <w:t>when</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eliminating</w:t>
      </w:r>
      <w:proofErr w:type="spellEnd"/>
      <w:r w:rsidRPr="00DA03C9">
        <w:rPr>
          <w:rFonts w:ascii="Arial" w:hAnsi="Arial" w:cs="Arial"/>
          <w:sz w:val="20"/>
          <w:szCs w:val="20"/>
          <w:highlight w:val="yellow"/>
        </w:rPr>
        <w:t xml:space="preserve"> the </w:t>
      </w:r>
      <w:proofErr w:type="spellStart"/>
      <w:r w:rsidRPr="00DA03C9">
        <w:rPr>
          <w:rFonts w:ascii="Arial" w:hAnsi="Arial" w:cs="Arial"/>
          <w:sz w:val="20"/>
          <w:szCs w:val="20"/>
          <w:highlight w:val="yellow"/>
        </w:rPr>
        <w:t>majority</w:t>
      </w:r>
      <w:proofErr w:type="spellEnd"/>
      <w:r w:rsidRPr="00DA03C9">
        <w:rPr>
          <w:rFonts w:ascii="Arial" w:hAnsi="Arial" w:cs="Arial"/>
          <w:sz w:val="20"/>
          <w:szCs w:val="20"/>
          <w:highlight w:val="yellow"/>
        </w:rPr>
        <w:t xml:space="preserve">, the </w:t>
      </w:r>
      <w:proofErr w:type="spellStart"/>
      <w:r w:rsidRPr="00DA03C9">
        <w:rPr>
          <w:rFonts w:ascii="Arial" w:hAnsi="Arial" w:cs="Arial"/>
          <w:sz w:val="20"/>
          <w:szCs w:val="20"/>
          <w:highlight w:val="yellow"/>
        </w:rPr>
        <w:t>rest</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will</w:t>
      </w:r>
      <w:proofErr w:type="spellEnd"/>
      <w:r w:rsidRPr="00DA03C9">
        <w:rPr>
          <w:rFonts w:ascii="Arial" w:hAnsi="Arial" w:cs="Arial"/>
          <w:sz w:val="20"/>
          <w:szCs w:val="20"/>
          <w:highlight w:val="yellow"/>
        </w:rPr>
        <w:t xml:space="preserve"> in </w:t>
      </w:r>
      <w:proofErr w:type="spellStart"/>
      <w:r w:rsidRPr="00DA03C9">
        <w:rPr>
          <w:rFonts w:ascii="Arial" w:hAnsi="Arial" w:cs="Arial"/>
          <w:sz w:val="20"/>
          <w:szCs w:val="20"/>
          <w:highlight w:val="yellow"/>
        </w:rPr>
        <w:t>turn</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follow</w:t>
      </w:r>
      <w:proofErr w:type="spellEnd"/>
      <w:r w:rsidRPr="00DA03C9">
        <w:rPr>
          <w:rFonts w:ascii="Arial" w:hAnsi="Arial" w:cs="Arial"/>
          <w:sz w:val="20"/>
          <w:szCs w:val="20"/>
          <w:highlight w:val="yellow"/>
        </w:rPr>
        <w:t xml:space="preserve"> as a </w:t>
      </w:r>
      <w:proofErr w:type="spellStart"/>
      <w:r w:rsidRPr="00DA03C9">
        <w:rPr>
          <w:rFonts w:ascii="Arial" w:hAnsi="Arial" w:cs="Arial"/>
          <w:sz w:val="20"/>
          <w:szCs w:val="20"/>
          <w:highlight w:val="yellow"/>
        </w:rPr>
        <w:t>negative</w:t>
      </w:r>
      <w:proofErr w:type="spellEnd"/>
      <w:r w:rsidRPr="00DA03C9">
        <w:rPr>
          <w:rFonts w:ascii="Arial" w:hAnsi="Arial" w:cs="Arial"/>
          <w:sz w:val="20"/>
          <w:szCs w:val="20"/>
          <w:highlight w:val="yellow"/>
        </w:rPr>
        <w:t xml:space="preserve"> spiral. </w:t>
      </w:r>
    </w:p>
    <w:p w14:paraId="414E4F18" w14:textId="77777777" w:rsidR="000F2687" w:rsidRPr="00DA03C9" w:rsidRDefault="000F2687" w:rsidP="00764BEF">
      <w:pPr>
        <w:pStyle w:val="Default"/>
        <w:rPr>
          <w:rFonts w:ascii="Arial" w:hAnsi="Arial" w:cs="Arial"/>
          <w:sz w:val="20"/>
          <w:szCs w:val="20"/>
          <w:highlight w:val="yellow"/>
        </w:rPr>
      </w:pPr>
    </w:p>
    <w:p w14:paraId="0BD2F933" w14:textId="77777777" w:rsidR="00D63AD3" w:rsidRPr="00DA03C9" w:rsidRDefault="00D63AD3" w:rsidP="00764BEF">
      <w:pPr>
        <w:pStyle w:val="Default"/>
        <w:rPr>
          <w:rFonts w:ascii="Arial" w:hAnsi="Arial" w:cs="Arial"/>
          <w:sz w:val="20"/>
          <w:szCs w:val="20"/>
          <w:highlight w:val="yellow"/>
        </w:rPr>
      </w:pPr>
      <w:proofErr w:type="spellStart"/>
      <w:r w:rsidRPr="00DA03C9">
        <w:rPr>
          <w:rFonts w:ascii="Arial" w:hAnsi="Arial" w:cs="Arial"/>
          <w:sz w:val="20"/>
          <w:szCs w:val="20"/>
          <w:highlight w:val="yellow"/>
        </w:rPr>
        <w:t>Moreover</w:t>
      </w:r>
      <w:proofErr w:type="spellEnd"/>
      <w:r w:rsidRPr="00DA03C9">
        <w:rPr>
          <w:rFonts w:ascii="Arial" w:hAnsi="Arial" w:cs="Arial"/>
          <w:sz w:val="20"/>
          <w:szCs w:val="20"/>
          <w:highlight w:val="yellow"/>
        </w:rPr>
        <w:t xml:space="preserve">, the </w:t>
      </w:r>
      <w:proofErr w:type="spellStart"/>
      <w:r w:rsidRPr="00DA03C9">
        <w:rPr>
          <w:rFonts w:ascii="Arial" w:hAnsi="Arial" w:cs="Arial"/>
          <w:sz w:val="20"/>
          <w:szCs w:val="20"/>
          <w:highlight w:val="yellow"/>
        </w:rPr>
        <w:t>methodology</w:t>
      </w:r>
      <w:proofErr w:type="spellEnd"/>
      <w:r w:rsidRPr="00DA03C9">
        <w:rPr>
          <w:rFonts w:ascii="Arial" w:hAnsi="Arial" w:cs="Arial"/>
          <w:sz w:val="20"/>
          <w:szCs w:val="20"/>
          <w:highlight w:val="yellow"/>
        </w:rPr>
        <w:t xml:space="preserve"> has </w:t>
      </w:r>
      <w:proofErr w:type="spellStart"/>
      <w:r w:rsidRPr="00DA03C9">
        <w:rPr>
          <w:rFonts w:ascii="Arial" w:hAnsi="Arial" w:cs="Arial"/>
          <w:sz w:val="20"/>
          <w:szCs w:val="20"/>
          <w:highlight w:val="yellow"/>
        </w:rPr>
        <w:t>thought</w:t>
      </w:r>
      <w:proofErr w:type="spellEnd"/>
      <w:r w:rsidRPr="00DA03C9">
        <w:rPr>
          <w:rFonts w:ascii="Arial" w:hAnsi="Arial" w:cs="Arial"/>
          <w:sz w:val="20"/>
          <w:szCs w:val="20"/>
          <w:highlight w:val="yellow"/>
        </w:rPr>
        <w:t xml:space="preserve"> about a </w:t>
      </w:r>
      <w:proofErr w:type="spellStart"/>
      <w:r w:rsidRPr="00DA03C9">
        <w:rPr>
          <w:rFonts w:ascii="Arial" w:hAnsi="Arial" w:cs="Arial"/>
          <w:sz w:val="20"/>
          <w:szCs w:val="20"/>
          <w:highlight w:val="yellow"/>
        </w:rPr>
        <w:t>number</w:t>
      </w:r>
      <w:proofErr w:type="spellEnd"/>
      <w:r w:rsidRPr="00DA03C9">
        <w:rPr>
          <w:rFonts w:ascii="Arial" w:hAnsi="Arial" w:cs="Arial"/>
          <w:sz w:val="20"/>
          <w:szCs w:val="20"/>
          <w:highlight w:val="yellow"/>
        </w:rPr>
        <w:t xml:space="preserve"> of segmentation </w:t>
      </w:r>
      <w:proofErr w:type="spellStart"/>
      <w:r w:rsidRPr="00DA03C9">
        <w:rPr>
          <w:rFonts w:ascii="Arial" w:hAnsi="Arial" w:cs="Arial"/>
          <w:sz w:val="20"/>
          <w:szCs w:val="20"/>
          <w:highlight w:val="yellow"/>
        </w:rPr>
        <w:t>criterions</w:t>
      </w:r>
      <w:proofErr w:type="spellEnd"/>
      <w:r w:rsidRPr="00DA03C9">
        <w:rPr>
          <w:rFonts w:ascii="Arial" w:hAnsi="Arial" w:cs="Arial"/>
          <w:sz w:val="20"/>
          <w:szCs w:val="20"/>
          <w:highlight w:val="yellow"/>
        </w:rPr>
        <w:t xml:space="preserve">, but </w:t>
      </w:r>
      <w:proofErr w:type="spellStart"/>
      <w:r w:rsidRPr="00DA03C9">
        <w:rPr>
          <w:rFonts w:ascii="Arial" w:hAnsi="Arial" w:cs="Arial"/>
          <w:sz w:val="20"/>
          <w:szCs w:val="20"/>
          <w:highlight w:val="yellow"/>
        </w:rPr>
        <w:t>is</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lacking</w:t>
      </w:r>
      <w:proofErr w:type="spellEnd"/>
      <w:r w:rsidRPr="00DA03C9">
        <w:rPr>
          <w:rFonts w:ascii="Arial" w:hAnsi="Arial" w:cs="Arial"/>
          <w:sz w:val="20"/>
          <w:szCs w:val="20"/>
          <w:highlight w:val="yellow"/>
        </w:rPr>
        <w:t xml:space="preserve"> a </w:t>
      </w:r>
      <w:proofErr w:type="spellStart"/>
      <w:r w:rsidRPr="00DA03C9">
        <w:rPr>
          <w:rFonts w:ascii="Arial" w:hAnsi="Arial" w:cs="Arial"/>
          <w:sz w:val="20"/>
          <w:szCs w:val="20"/>
          <w:highlight w:val="yellow"/>
        </w:rPr>
        <w:t>clear</w:t>
      </w:r>
      <w:proofErr w:type="spellEnd"/>
      <w:r w:rsidRPr="00DA03C9">
        <w:rPr>
          <w:rFonts w:ascii="Arial" w:hAnsi="Arial" w:cs="Arial"/>
          <w:sz w:val="20"/>
          <w:szCs w:val="20"/>
          <w:highlight w:val="yellow"/>
        </w:rPr>
        <w:t xml:space="preserve"> segmentation of </w:t>
      </w:r>
      <w:proofErr w:type="spellStart"/>
      <w:r w:rsidRPr="00DA03C9">
        <w:rPr>
          <w:rFonts w:ascii="Arial" w:hAnsi="Arial" w:cs="Arial"/>
          <w:sz w:val="20"/>
          <w:szCs w:val="20"/>
          <w:highlight w:val="yellow"/>
        </w:rPr>
        <w:t>inherent</w:t>
      </w:r>
      <w:proofErr w:type="spellEnd"/>
      <w:r w:rsidRPr="00DA03C9">
        <w:rPr>
          <w:rFonts w:ascii="Arial" w:hAnsi="Arial" w:cs="Arial"/>
          <w:sz w:val="20"/>
          <w:szCs w:val="20"/>
          <w:highlight w:val="yellow"/>
        </w:rPr>
        <w:t xml:space="preserve"> volume of a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As an </w:t>
      </w:r>
      <w:proofErr w:type="spellStart"/>
      <w:r w:rsidRPr="00DA03C9">
        <w:rPr>
          <w:rFonts w:ascii="Arial" w:hAnsi="Arial" w:cs="Arial"/>
          <w:sz w:val="20"/>
          <w:szCs w:val="20"/>
          <w:highlight w:val="yellow"/>
        </w:rPr>
        <w:t>example</w:t>
      </w:r>
      <w:proofErr w:type="spellEnd"/>
      <w:r w:rsidRPr="00DA03C9">
        <w:rPr>
          <w:rFonts w:ascii="Arial" w:hAnsi="Arial" w:cs="Arial"/>
          <w:sz w:val="20"/>
          <w:szCs w:val="20"/>
          <w:highlight w:val="yellow"/>
        </w:rPr>
        <w:t xml:space="preserve">, a </w:t>
      </w:r>
      <w:proofErr w:type="spellStart"/>
      <w:r w:rsidRPr="00DA03C9">
        <w:rPr>
          <w:rFonts w:ascii="Arial" w:hAnsi="Arial" w:cs="Arial"/>
          <w:sz w:val="20"/>
          <w:szCs w:val="20"/>
          <w:highlight w:val="yellow"/>
        </w:rPr>
        <w:t>week</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can</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fall</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within</w:t>
      </w:r>
      <w:proofErr w:type="spellEnd"/>
      <w:r w:rsidRPr="00DA03C9">
        <w:rPr>
          <w:rFonts w:ascii="Arial" w:hAnsi="Arial" w:cs="Arial"/>
          <w:sz w:val="20"/>
          <w:szCs w:val="20"/>
          <w:highlight w:val="yellow"/>
        </w:rPr>
        <w:t xml:space="preserve"> the </w:t>
      </w:r>
      <w:proofErr w:type="spellStart"/>
      <w:r w:rsidRPr="00DA03C9">
        <w:rPr>
          <w:rFonts w:ascii="Arial" w:hAnsi="Arial" w:cs="Arial"/>
          <w:sz w:val="20"/>
          <w:szCs w:val="20"/>
          <w:highlight w:val="yellow"/>
        </w:rPr>
        <w:t>same</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liquid</w:t>
      </w:r>
      <w:proofErr w:type="spellEnd"/>
      <w:r w:rsidRPr="00DA03C9">
        <w:rPr>
          <w:rFonts w:ascii="Arial" w:hAnsi="Arial" w:cs="Arial"/>
          <w:sz w:val="20"/>
          <w:szCs w:val="20"/>
          <w:highlight w:val="yellow"/>
        </w:rPr>
        <w:t xml:space="preserve"> time to </w:t>
      </w:r>
      <w:proofErr w:type="spellStart"/>
      <w:r w:rsidRPr="00DA03C9">
        <w:rPr>
          <w:rFonts w:ascii="Arial" w:hAnsi="Arial" w:cs="Arial"/>
          <w:sz w:val="20"/>
          <w:szCs w:val="20"/>
          <w:highlight w:val="yellow"/>
        </w:rPr>
        <w:t>maturity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bucket</w:t>
      </w:r>
      <w:proofErr w:type="spellEnd"/>
      <w:r w:rsidRPr="00DA03C9">
        <w:rPr>
          <w:rFonts w:ascii="Arial" w:hAnsi="Arial" w:cs="Arial"/>
          <w:sz w:val="20"/>
          <w:szCs w:val="20"/>
          <w:highlight w:val="yellow"/>
        </w:rPr>
        <w:t xml:space="preserve"> as a </w:t>
      </w:r>
      <w:proofErr w:type="spellStart"/>
      <w:r w:rsidRPr="00DA03C9">
        <w:rPr>
          <w:rFonts w:ascii="Arial" w:hAnsi="Arial" w:cs="Arial"/>
          <w:sz w:val="20"/>
          <w:szCs w:val="20"/>
          <w:highlight w:val="yellow"/>
        </w:rPr>
        <w:t>monthly</w:t>
      </w:r>
      <w:proofErr w:type="spellEnd"/>
      <w:r w:rsidRPr="00DA03C9">
        <w:rPr>
          <w:rFonts w:ascii="Arial" w:hAnsi="Arial" w:cs="Arial"/>
          <w:sz w:val="20"/>
          <w:szCs w:val="20"/>
          <w:highlight w:val="yellow"/>
        </w:rPr>
        <w:t xml:space="preserve"> or a </w:t>
      </w:r>
      <w:proofErr w:type="spellStart"/>
      <w:r w:rsidRPr="00DA03C9">
        <w:rPr>
          <w:rFonts w:ascii="Arial" w:hAnsi="Arial" w:cs="Arial"/>
          <w:sz w:val="20"/>
          <w:szCs w:val="20"/>
          <w:highlight w:val="yellow"/>
        </w:rPr>
        <w:t>quarterly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When</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applying</w:t>
      </w:r>
      <w:proofErr w:type="spellEnd"/>
      <w:r w:rsidRPr="00DA03C9">
        <w:rPr>
          <w:rFonts w:ascii="Arial" w:hAnsi="Arial" w:cs="Arial"/>
          <w:sz w:val="20"/>
          <w:szCs w:val="20"/>
          <w:highlight w:val="yellow"/>
        </w:rPr>
        <w:t xml:space="preserve"> a minimum LIS </w:t>
      </w:r>
      <w:proofErr w:type="spellStart"/>
      <w:r w:rsidRPr="00DA03C9">
        <w:rPr>
          <w:rFonts w:ascii="Arial" w:hAnsi="Arial" w:cs="Arial"/>
          <w:sz w:val="20"/>
          <w:szCs w:val="20"/>
          <w:highlight w:val="yellow"/>
        </w:rPr>
        <w:t>floor</w:t>
      </w:r>
      <w:proofErr w:type="spellEnd"/>
      <w:r w:rsidRPr="00DA03C9">
        <w:rPr>
          <w:rFonts w:ascii="Arial" w:hAnsi="Arial" w:cs="Arial"/>
          <w:sz w:val="20"/>
          <w:szCs w:val="20"/>
          <w:highlight w:val="yellow"/>
        </w:rPr>
        <w:t xml:space="preserve"> in Euros (</w:t>
      </w:r>
      <w:proofErr w:type="spellStart"/>
      <w:r w:rsidRPr="00DA03C9">
        <w:rPr>
          <w:rFonts w:ascii="Arial" w:hAnsi="Arial" w:cs="Arial"/>
          <w:sz w:val="20"/>
          <w:szCs w:val="20"/>
          <w:highlight w:val="yellow"/>
        </w:rPr>
        <w:t>e.g</w:t>
      </w:r>
      <w:proofErr w:type="spellEnd"/>
      <w:r w:rsidRPr="00DA03C9">
        <w:rPr>
          <w:rFonts w:ascii="Arial" w:hAnsi="Arial" w:cs="Arial"/>
          <w:sz w:val="20"/>
          <w:szCs w:val="20"/>
          <w:highlight w:val="yellow"/>
        </w:rPr>
        <w:t xml:space="preserve">. for </w:t>
      </w:r>
      <w:proofErr w:type="spellStart"/>
      <w:r w:rsidRPr="00DA03C9">
        <w:rPr>
          <w:rFonts w:ascii="Arial" w:hAnsi="Arial" w:cs="Arial"/>
          <w:sz w:val="20"/>
          <w:szCs w:val="20"/>
          <w:highlight w:val="yellow"/>
        </w:rPr>
        <w:t>month</w:t>
      </w:r>
      <w:proofErr w:type="spellEnd"/>
      <w:r w:rsidRPr="00DA03C9">
        <w:rPr>
          <w:rFonts w:ascii="Arial" w:hAnsi="Arial" w:cs="Arial"/>
          <w:sz w:val="20"/>
          <w:szCs w:val="20"/>
          <w:highlight w:val="yellow"/>
        </w:rPr>
        <w:t xml:space="preserve"> 1-12), the </w:t>
      </w:r>
      <w:proofErr w:type="spellStart"/>
      <w:r w:rsidRPr="00DA03C9">
        <w:rPr>
          <w:rFonts w:ascii="Arial" w:hAnsi="Arial" w:cs="Arial"/>
          <w:sz w:val="20"/>
          <w:szCs w:val="20"/>
          <w:highlight w:val="yellow"/>
        </w:rPr>
        <w:t>effect</w:t>
      </w:r>
      <w:proofErr w:type="spellEnd"/>
      <w:r w:rsidRPr="00DA03C9">
        <w:rPr>
          <w:rFonts w:ascii="Arial" w:hAnsi="Arial" w:cs="Arial"/>
          <w:sz w:val="20"/>
          <w:szCs w:val="20"/>
          <w:highlight w:val="yellow"/>
        </w:rPr>
        <w:t xml:space="preserve"> on a </w:t>
      </w:r>
      <w:proofErr w:type="spellStart"/>
      <w:r w:rsidRPr="00DA03C9">
        <w:rPr>
          <w:rFonts w:ascii="Arial" w:hAnsi="Arial" w:cs="Arial"/>
          <w:sz w:val="20"/>
          <w:szCs w:val="20"/>
          <w:highlight w:val="yellow"/>
        </w:rPr>
        <w:t>weekly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and a </w:t>
      </w:r>
      <w:proofErr w:type="spellStart"/>
      <w:r w:rsidRPr="00DA03C9">
        <w:rPr>
          <w:rFonts w:ascii="Arial" w:hAnsi="Arial" w:cs="Arial"/>
          <w:sz w:val="20"/>
          <w:szCs w:val="20"/>
          <w:highlight w:val="yellow"/>
        </w:rPr>
        <w:t>quarterly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contract</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is</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extremely</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disproportionate</w:t>
      </w:r>
      <w:proofErr w:type="spellEnd"/>
      <w:r w:rsidRPr="00DA03C9">
        <w:rPr>
          <w:rFonts w:ascii="Arial" w:hAnsi="Arial" w:cs="Arial"/>
          <w:sz w:val="20"/>
          <w:szCs w:val="20"/>
          <w:highlight w:val="yellow"/>
        </w:rPr>
        <w:t xml:space="preserve">. </w:t>
      </w:r>
    </w:p>
    <w:p w14:paraId="37AEE368" w14:textId="0A8F23E5" w:rsidR="00D63AD3" w:rsidRPr="00DA03C9" w:rsidRDefault="00D63AD3" w:rsidP="00764BEF">
      <w:pPr>
        <w:pStyle w:val="Default"/>
        <w:rPr>
          <w:rFonts w:ascii="Arial" w:hAnsi="Arial" w:cs="Arial"/>
          <w:sz w:val="20"/>
          <w:szCs w:val="20"/>
          <w:highlight w:val="yellow"/>
        </w:rPr>
      </w:pPr>
      <w:proofErr w:type="spellStart"/>
      <w:r w:rsidRPr="00DA03C9">
        <w:rPr>
          <w:rFonts w:ascii="Arial" w:hAnsi="Arial" w:cs="Arial"/>
          <w:sz w:val="20"/>
          <w:szCs w:val="20"/>
          <w:highlight w:val="yellow"/>
        </w:rPr>
        <w:t>We</w:t>
      </w:r>
      <w:proofErr w:type="spellEnd"/>
      <w:r w:rsidRPr="00DA03C9">
        <w:rPr>
          <w:rFonts w:ascii="Arial" w:hAnsi="Arial" w:cs="Arial"/>
          <w:sz w:val="20"/>
          <w:szCs w:val="20"/>
          <w:highlight w:val="yellow"/>
        </w:rPr>
        <w:t xml:space="preserve"> argu</w:t>
      </w:r>
      <w:r w:rsidR="000F2687" w:rsidRPr="00DA03C9">
        <w:rPr>
          <w:rFonts w:ascii="Arial" w:hAnsi="Arial" w:cs="Arial"/>
          <w:sz w:val="20"/>
          <w:szCs w:val="20"/>
          <w:highlight w:val="yellow"/>
        </w:rPr>
        <w:t xml:space="preserve">e </w:t>
      </w:r>
      <w:proofErr w:type="spellStart"/>
      <w:r w:rsidR="000F2687" w:rsidRPr="00DA03C9">
        <w:rPr>
          <w:rFonts w:ascii="Arial" w:hAnsi="Arial" w:cs="Arial"/>
          <w:sz w:val="20"/>
          <w:szCs w:val="20"/>
          <w:highlight w:val="yellow"/>
        </w:rPr>
        <w:t>that</w:t>
      </w:r>
      <w:proofErr w:type="spellEnd"/>
      <w:r w:rsidR="000F2687" w:rsidRPr="00DA03C9">
        <w:rPr>
          <w:rFonts w:ascii="Arial" w:hAnsi="Arial" w:cs="Arial"/>
          <w:sz w:val="20"/>
          <w:szCs w:val="20"/>
          <w:highlight w:val="yellow"/>
        </w:rPr>
        <w:t xml:space="preserve"> ESMA as </w:t>
      </w:r>
      <w:proofErr w:type="gramStart"/>
      <w:r w:rsidR="000F2687" w:rsidRPr="00DA03C9">
        <w:rPr>
          <w:rFonts w:ascii="Arial" w:hAnsi="Arial" w:cs="Arial"/>
          <w:sz w:val="20"/>
          <w:szCs w:val="20"/>
          <w:highlight w:val="yellow"/>
        </w:rPr>
        <w:t>a</w:t>
      </w:r>
      <w:proofErr w:type="gramEnd"/>
      <w:r w:rsidR="000F2687" w:rsidRPr="00DA03C9">
        <w:rPr>
          <w:rFonts w:ascii="Arial" w:hAnsi="Arial" w:cs="Arial"/>
          <w:sz w:val="20"/>
          <w:szCs w:val="20"/>
          <w:highlight w:val="yellow"/>
        </w:rPr>
        <w:t xml:space="preserve"> minimum </w:t>
      </w:r>
      <w:proofErr w:type="spellStart"/>
      <w:r w:rsidR="000F2687" w:rsidRPr="00DA03C9">
        <w:rPr>
          <w:rFonts w:ascii="Arial" w:hAnsi="Arial" w:cs="Arial"/>
          <w:sz w:val="20"/>
          <w:szCs w:val="20"/>
          <w:highlight w:val="yellow"/>
        </w:rPr>
        <w:t>should</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re-calibrate</w:t>
      </w:r>
      <w:proofErr w:type="spellEnd"/>
      <w:r w:rsidR="000F2687" w:rsidRPr="00DA03C9">
        <w:rPr>
          <w:rFonts w:ascii="Arial" w:hAnsi="Arial" w:cs="Arial"/>
          <w:sz w:val="20"/>
          <w:szCs w:val="20"/>
          <w:highlight w:val="yellow"/>
        </w:rPr>
        <w:t xml:space="preserve"> as </w:t>
      </w:r>
      <w:proofErr w:type="spellStart"/>
      <w:r w:rsidR="000F2687" w:rsidRPr="00DA03C9">
        <w:rPr>
          <w:rFonts w:ascii="Arial" w:hAnsi="Arial" w:cs="Arial"/>
          <w:sz w:val="20"/>
          <w:szCs w:val="20"/>
          <w:highlight w:val="yellow"/>
        </w:rPr>
        <w:t>follows</w:t>
      </w:r>
      <w:proofErr w:type="spellEnd"/>
      <w:r w:rsidR="000F2687" w:rsidRPr="00DA03C9">
        <w:rPr>
          <w:rFonts w:ascii="Arial" w:hAnsi="Arial" w:cs="Arial"/>
          <w:sz w:val="20"/>
          <w:szCs w:val="20"/>
          <w:highlight w:val="yellow"/>
        </w:rPr>
        <w:t xml:space="preserve"> (</w:t>
      </w:r>
      <w:proofErr w:type="spellStart"/>
      <w:r w:rsidR="000F2687" w:rsidRPr="00DA03C9">
        <w:rPr>
          <w:rFonts w:ascii="Arial" w:hAnsi="Arial" w:cs="Arial"/>
          <w:sz w:val="20"/>
          <w:szCs w:val="20"/>
          <w:highlight w:val="yellow"/>
        </w:rPr>
        <w:t>suggested</w:t>
      </w:r>
      <w:proofErr w:type="spellEnd"/>
      <w:r w:rsidR="000F2687" w:rsidRPr="00DA03C9">
        <w:rPr>
          <w:rFonts w:ascii="Arial" w:hAnsi="Arial" w:cs="Arial"/>
          <w:sz w:val="20"/>
          <w:szCs w:val="20"/>
          <w:highlight w:val="yellow"/>
        </w:rPr>
        <w:t xml:space="preserve"> values in </w:t>
      </w:r>
      <w:proofErr w:type="spellStart"/>
      <w:r w:rsidR="000F2687" w:rsidRPr="00DA03C9">
        <w:rPr>
          <w:rFonts w:ascii="Arial" w:hAnsi="Arial" w:cs="Arial"/>
          <w:sz w:val="20"/>
          <w:szCs w:val="20"/>
          <w:highlight w:val="yellow"/>
        </w:rPr>
        <w:t>brackets</w:t>
      </w:r>
      <w:proofErr w:type="spellEnd"/>
      <w:r w:rsidR="000F2687" w:rsidRPr="00DA03C9">
        <w:rPr>
          <w:rFonts w:ascii="Arial" w:hAnsi="Arial" w:cs="Arial"/>
          <w:sz w:val="20"/>
          <w:szCs w:val="20"/>
          <w:highlight w:val="yellow"/>
        </w:rPr>
        <w:t>):</w:t>
      </w:r>
      <w:r w:rsidRPr="00DA03C9">
        <w:rPr>
          <w:rFonts w:ascii="Arial" w:hAnsi="Arial" w:cs="Arial"/>
          <w:sz w:val="20"/>
          <w:szCs w:val="20"/>
          <w:highlight w:val="yellow"/>
        </w:rPr>
        <w:t xml:space="preserve"> </w:t>
      </w:r>
    </w:p>
    <w:p w14:paraId="4B56EA5E" w14:textId="77777777" w:rsidR="00D63AD3" w:rsidRPr="00DA03C9" w:rsidRDefault="00D63AD3" w:rsidP="00764BEF">
      <w:pPr>
        <w:pStyle w:val="Default"/>
        <w:spacing w:after="18"/>
        <w:rPr>
          <w:rFonts w:ascii="Arial" w:hAnsi="Arial" w:cs="Arial"/>
          <w:sz w:val="20"/>
          <w:szCs w:val="20"/>
          <w:highlight w:val="yellow"/>
        </w:rPr>
      </w:pPr>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Pre-trade</w:t>
      </w:r>
      <w:proofErr w:type="spellEnd"/>
      <w:r w:rsidRPr="00DA03C9">
        <w:rPr>
          <w:rFonts w:ascii="Arial" w:hAnsi="Arial" w:cs="Arial"/>
          <w:sz w:val="20"/>
          <w:szCs w:val="20"/>
          <w:highlight w:val="yellow"/>
        </w:rPr>
        <w:t xml:space="preserve"> LIS </w:t>
      </w:r>
      <w:proofErr w:type="spellStart"/>
      <w:r w:rsidRPr="00DA03C9">
        <w:rPr>
          <w:rFonts w:ascii="Arial" w:hAnsi="Arial" w:cs="Arial"/>
          <w:sz w:val="20"/>
          <w:szCs w:val="20"/>
          <w:highlight w:val="yellow"/>
        </w:rPr>
        <w:t>threshold</w:t>
      </w:r>
      <w:proofErr w:type="spellEnd"/>
      <w:r w:rsidRPr="00DA03C9">
        <w:rPr>
          <w:rFonts w:ascii="Arial" w:hAnsi="Arial" w:cs="Arial"/>
          <w:sz w:val="20"/>
          <w:szCs w:val="20"/>
          <w:highlight w:val="yellow"/>
        </w:rPr>
        <w:t xml:space="preserve"> </w:t>
      </w:r>
      <w:proofErr w:type="spellStart"/>
      <w:r w:rsidRPr="00DA03C9">
        <w:rPr>
          <w:rFonts w:ascii="Arial" w:hAnsi="Arial" w:cs="Arial"/>
          <w:sz w:val="20"/>
          <w:szCs w:val="20"/>
          <w:highlight w:val="yellow"/>
        </w:rPr>
        <w:t>floor</w:t>
      </w:r>
      <w:proofErr w:type="spellEnd"/>
      <w:r w:rsidRPr="00DA03C9">
        <w:rPr>
          <w:rFonts w:ascii="Arial" w:hAnsi="Arial" w:cs="Arial"/>
          <w:sz w:val="20"/>
          <w:szCs w:val="20"/>
          <w:highlight w:val="yellow"/>
        </w:rPr>
        <w:t xml:space="preserve"> (€50,000) </w:t>
      </w:r>
    </w:p>
    <w:p w14:paraId="6069ECF7" w14:textId="77777777" w:rsidR="00D63AD3" w:rsidRPr="00DA03C9" w:rsidRDefault="00D63AD3" w:rsidP="00764BEF">
      <w:pPr>
        <w:pStyle w:val="Default"/>
        <w:spacing w:after="18"/>
        <w:rPr>
          <w:rFonts w:ascii="Arial" w:hAnsi="Arial" w:cs="Arial"/>
          <w:sz w:val="20"/>
          <w:szCs w:val="20"/>
          <w:highlight w:val="yellow"/>
        </w:rPr>
      </w:pPr>
      <w:r w:rsidRPr="00DA03C9">
        <w:rPr>
          <w:rFonts w:ascii="Arial" w:hAnsi="Arial" w:cs="Arial"/>
          <w:sz w:val="20"/>
          <w:szCs w:val="20"/>
          <w:highlight w:val="yellow"/>
        </w:rPr>
        <w:t xml:space="preserve">- Trade percentile (30%) </w:t>
      </w:r>
    </w:p>
    <w:p w14:paraId="5AB4B13F" w14:textId="77777777" w:rsidR="00D63AD3" w:rsidRPr="00DA03C9" w:rsidRDefault="00D63AD3" w:rsidP="00764BEF">
      <w:pPr>
        <w:pStyle w:val="Default"/>
        <w:rPr>
          <w:rFonts w:ascii="Arial" w:hAnsi="Arial" w:cs="Arial"/>
          <w:sz w:val="20"/>
          <w:szCs w:val="20"/>
          <w:highlight w:val="yellow"/>
        </w:rPr>
      </w:pPr>
      <w:r w:rsidRPr="00DA03C9">
        <w:rPr>
          <w:rFonts w:ascii="Arial" w:hAnsi="Arial" w:cs="Arial"/>
          <w:sz w:val="20"/>
          <w:szCs w:val="20"/>
          <w:highlight w:val="yellow"/>
        </w:rPr>
        <w:t xml:space="preserve">- ADNA (€100,000,000) </w:t>
      </w:r>
    </w:p>
    <w:p w14:paraId="61009ED8" w14:textId="77777777" w:rsidR="00D63AD3" w:rsidRPr="00DA03C9" w:rsidRDefault="00D63AD3" w:rsidP="00764BEF">
      <w:pPr>
        <w:rPr>
          <w:rFonts w:cs="Arial"/>
          <w:szCs w:val="20"/>
          <w:highlight w:val="yellow"/>
        </w:rPr>
      </w:pPr>
      <w:r w:rsidRPr="00DA03C9">
        <w:rPr>
          <w:rFonts w:cs="Arial"/>
          <w:szCs w:val="20"/>
          <w:highlight w:val="yellow"/>
        </w:rPr>
        <w:t>- ADNT (100 trades)</w:t>
      </w:r>
    </w:p>
    <w:p w14:paraId="6FDA9FF4" w14:textId="77777777" w:rsidR="00D63AD3" w:rsidRPr="00DA03C9" w:rsidRDefault="00D63AD3" w:rsidP="00764BEF">
      <w:pPr>
        <w:rPr>
          <w:rFonts w:cs="Arial"/>
          <w:szCs w:val="20"/>
          <w:highlight w:val="yellow"/>
        </w:rPr>
      </w:pPr>
    </w:p>
    <w:p w14:paraId="31374B87" w14:textId="1CD7B3C7" w:rsidR="00D63AD3" w:rsidRPr="00DA03C9" w:rsidRDefault="00D63AD3" w:rsidP="00764BEF">
      <w:pPr>
        <w:rPr>
          <w:rFonts w:cs="Arial"/>
          <w:szCs w:val="20"/>
          <w:highlight w:val="yellow"/>
        </w:rPr>
      </w:pPr>
      <w:r w:rsidRPr="00DA03C9">
        <w:rPr>
          <w:rFonts w:cs="Arial"/>
          <w:szCs w:val="20"/>
          <w:highlight w:val="yellow"/>
        </w:rPr>
        <w:t>These new parameters will not resolve the overall problems we face, but will improve the situation.</w:t>
      </w:r>
    </w:p>
    <w:p w14:paraId="1A18A832" w14:textId="77777777" w:rsidR="000F2687" w:rsidRPr="00DA03C9" w:rsidRDefault="000F2687" w:rsidP="00764BEF">
      <w:pPr>
        <w:rPr>
          <w:rFonts w:cs="Arial"/>
          <w:szCs w:val="20"/>
          <w:highlight w:val="yellow"/>
        </w:rPr>
      </w:pPr>
    </w:p>
    <w:p w14:paraId="593E91E6" w14:textId="620F1B08" w:rsidR="00B27E7B" w:rsidRDefault="00D63AD3" w:rsidP="00B27E7B">
      <w:r w:rsidRPr="00DA03C9">
        <w:rPr>
          <w:rFonts w:cs="Arial"/>
          <w:szCs w:val="20"/>
          <w:highlight w:val="yellow"/>
        </w:rPr>
        <w:t xml:space="preserve">We strongly support ESMA’s methodology when it comes to deciding liquidity on a market level, based on the delivery/cash settlement location, which secures that products listed on two or more exchanges (with the same underlying) are treated equally in terms of PTT. Without this, it could lead to </w:t>
      </w:r>
      <w:proofErr w:type="gramStart"/>
      <w:r w:rsidRPr="00DA03C9">
        <w:rPr>
          <w:rFonts w:cs="Arial"/>
          <w:szCs w:val="20"/>
          <w:highlight w:val="yellow"/>
        </w:rPr>
        <w:t>short term</w:t>
      </w:r>
      <w:proofErr w:type="gramEnd"/>
      <w:r w:rsidRPr="00DA03C9">
        <w:rPr>
          <w:rFonts w:cs="Arial"/>
          <w:szCs w:val="20"/>
          <w:highlight w:val="yellow"/>
        </w:rPr>
        <w:t xml:space="preserve"> arbitrage to circumvent PTT. The use of the EIC Y Codes are efficient in this matter and fit for commodity derivatives sharing the same characteristics and physical underlying</w:t>
      </w:r>
      <w:r w:rsidR="007D3041">
        <w:rPr>
          <w:rFonts w:cs="Segoe UI"/>
          <w:color w:val="00000A"/>
        </w:rPr>
        <w:t>.</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19E2" w14:textId="77777777" w:rsidR="00764BEF" w:rsidRDefault="00764BEF">
      <w:r>
        <w:separator/>
      </w:r>
    </w:p>
    <w:p w14:paraId="36D5B02B" w14:textId="77777777" w:rsidR="00764BEF" w:rsidRDefault="00764BEF"/>
  </w:endnote>
  <w:endnote w:type="continuationSeparator" w:id="0">
    <w:p w14:paraId="6F308D14" w14:textId="77777777" w:rsidR="00764BEF" w:rsidRDefault="00764BEF">
      <w:r>
        <w:continuationSeparator/>
      </w:r>
    </w:p>
    <w:p w14:paraId="34A13672" w14:textId="77777777" w:rsidR="00764BEF" w:rsidRDefault="00764BEF"/>
  </w:endnote>
  <w:endnote w:type="continuationNotice" w:id="1">
    <w:p w14:paraId="0735500C" w14:textId="77777777" w:rsidR="00764BEF" w:rsidRDefault="00764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64BEF" w:rsidRPr="00616B9B" w14:paraId="313FAE1A" w14:textId="77777777" w:rsidTr="00315E96">
      <w:trPr>
        <w:trHeight w:val="284"/>
      </w:trPr>
      <w:tc>
        <w:tcPr>
          <w:tcW w:w="8460" w:type="dxa"/>
        </w:tcPr>
        <w:p w14:paraId="0BEF8BC6" w14:textId="77777777" w:rsidR="00764BEF" w:rsidRPr="00315E96" w:rsidRDefault="00764BEF" w:rsidP="00315E96">
          <w:pPr>
            <w:pStyle w:val="00Footer"/>
            <w:rPr>
              <w:lang w:val="fr-FR"/>
            </w:rPr>
          </w:pPr>
        </w:p>
      </w:tc>
      <w:tc>
        <w:tcPr>
          <w:tcW w:w="952" w:type="dxa"/>
        </w:tcPr>
        <w:p w14:paraId="7FD1DE07" w14:textId="7C586EA0" w:rsidR="00764BEF" w:rsidRPr="00616B9B" w:rsidRDefault="00764B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43DCE">
            <w:rPr>
              <w:rFonts w:cs="Arial"/>
              <w:noProof/>
              <w:sz w:val="22"/>
              <w:szCs w:val="22"/>
            </w:rPr>
            <w:t>21</w:t>
          </w:r>
          <w:r w:rsidRPr="00616B9B">
            <w:rPr>
              <w:rFonts w:cs="Arial"/>
              <w:noProof/>
              <w:sz w:val="22"/>
              <w:szCs w:val="22"/>
            </w:rPr>
            <w:fldChar w:fldCharType="end"/>
          </w:r>
        </w:p>
      </w:tc>
    </w:tr>
  </w:tbl>
  <w:p w14:paraId="7306E326" w14:textId="77777777" w:rsidR="00764BEF" w:rsidRDefault="00764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77777777" w:rsidR="00764BEF" w:rsidRDefault="00764BEF"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764BEF" w:rsidRDefault="00764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5FDD" w14:textId="77777777" w:rsidR="00764BEF" w:rsidRDefault="00764BEF">
      <w:r>
        <w:separator/>
      </w:r>
    </w:p>
    <w:p w14:paraId="17954807" w14:textId="77777777" w:rsidR="00764BEF" w:rsidRDefault="00764BEF"/>
  </w:footnote>
  <w:footnote w:type="continuationSeparator" w:id="0">
    <w:p w14:paraId="6B62BF90" w14:textId="77777777" w:rsidR="00764BEF" w:rsidRDefault="00764BEF">
      <w:r>
        <w:continuationSeparator/>
      </w:r>
    </w:p>
    <w:p w14:paraId="465BF8F0" w14:textId="77777777" w:rsidR="00764BEF" w:rsidRDefault="00764BEF"/>
  </w:footnote>
  <w:footnote w:type="continuationNotice" w:id="1">
    <w:p w14:paraId="6881F32D" w14:textId="77777777" w:rsidR="00764BEF" w:rsidRDefault="00764B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764BEF" w:rsidRDefault="00764BEF">
    <w:pPr>
      <w:pStyle w:val="Header"/>
    </w:pPr>
    <w:r>
      <w:rPr>
        <w:noProof/>
        <w:lang w:val="en-US" w:eastAsia="en-US"/>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764BEF" w:rsidRDefault="00764BEF" w:rsidP="00013CCE">
    <w:pPr>
      <w:pStyle w:val="Header"/>
      <w:jc w:val="right"/>
    </w:pPr>
    <w:r>
      <w:rPr>
        <w:noProof/>
        <w:lang w:val="en-US" w:eastAsia="en-US"/>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764BEF" w:rsidRDefault="00764B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64BEF" w:rsidRPr="002F4496" w14:paraId="60C7474C" w14:textId="77777777" w:rsidTr="000C06C9">
      <w:trPr>
        <w:trHeight w:val="284"/>
      </w:trPr>
      <w:tc>
        <w:tcPr>
          <w:tcW w:w="8460" w:type="dxa"/>
        </w:tcPr>
        <w:p w14:paraId="54B7E7F0" w14:textId="77777777" w:rsidR="00764BEF" w:rsidRPr="000C3B6D" w:rsidRDefault="00764BEF" w:rsidP="000C06C9">
          <w:pPr>
            <w:pStyle w:val="00Footer"/>
            <w:rPr>
              <w:lang w:val="fr-FR"/>
            </w:rPr>
          </w:pPr>
        </w:p>
      </w:tc>
      <w:tc>
        <w:tcPr>
          <w:tcW w:w="952" w:type="dxa"/>
        </w:tcPr>
        <w:p w14:paraId="2E49D042" w14:textId="77777777" w:rsidR="00764BEF" w:rsidRPr="00146B34" w:rsidRDefault="00764BEF" w:rsidP="000C06C9">
          <w:pPr>
            <w:pStyle w:val="00aPagenumber"/>
            <w:rPr>
              <w:lang w:val="fr-FR"/>
            </w:rPr>
          </w:pPr>
        </w:p>
      </w:tc>
    </w:tr>
  </w:tbl>
  <w:p w14:paraId="580707D9" w14:textId="77777777" w:rsidR="00764BEF" w:rsidRPr="00DB46C3" w:rsidRDefault="00764BEF">
    <w:pPr>
      <w:rPr>
        <w:lang w:val="fr-FR"/>
      </w:rPr>
    </w:pPr>
  </w:p>
  <w:p w14:paraId="20C4F67C" w14:textId="77777777" w:rsidR="00764BEF" w:rsidRPr="002F4496" w:rsidRDefault="00764BEF">
    <w:pPr>
      <w:pStyle w:val="Header"/>
      <w:rPr>
        <w:lang w:val="fr-FR"/>
      </w:rPr>
    </w:pPr>
  </w:p>
  <w:p w14:paraId="3F30C70B" w14:textId="77777777" w:rsidR="00764BEF" w:rsidRPr="002F4496" w:rsidRDefault="00764BEF" w:rsidP="000C06C9">
    <w:pPr>
      <w:pStyle w:val="Header"/>
      <w:tabs>
        <w:tab w:val="clear" w:pos="4536"/>
        <w:tab w:val="clear" w:pos="9072"/>
        <w:tab w:val="left" w:pos="8227"/>
      </w:tabs>
      <w:rPr>
        <w:lang w:val="fr-FR"/>
      </w:rPr>
    </w:pPr>
  </w:p>
  <w:p w14:paraId="4D50BC39" w14:textId="77777777" w:rsidR="00764BEF" w:rsidRPr="002F4496" w:rsidRDefault="00764BEF" w:rsidP="00583885">
    <w:pPr>
      <w:pStyle w:val="Header"/>
      <w:jc w:val="right"/>
      <w:rPr>
        <w:lang w:val="fr-FR"/>
      </w:rPr>
    </w:pPr>
  </w:p>
  <w:p w14:paraId="2D51BEA2" w14:textId="77777777" w:rsidR="00764BEF" w:rsidRPr="002F4496" w:rsidRDefault="00764BEF">
    <w:pPr>
      <w:pStyle w:val="Header"/>
      <w:rPr>
        <w:lang w:val="fr-FR"/>
      </w:rPr>
    </w:pPr>
  </w:p>
  <w:p w14:paraId="340B2438" w14:textId="77777777" w:rsidR="00764BEF" w:rsidRPr="002F4496" w:rsidRDefault="00764BEF">
    <w:pPr>
      <w:pStyle w:val="Header"/>
      <w:rPr>
        <w:lang w:val="fr-FR"/>
      </w:rPr>
    </w:pPr>
  </w:p>
  <w:p w14:paraId="2A794A3E" w14:textId="77777777" w:rsidR="00764BEF" w:rsidRPr="002F4496" w:rsidRDefault="00764BEF">
    <w:pPr>
      <w:pStyle w:val="Header"/>
      <w:rPr>
        <w:lang w:val="fr-FR"/>
      </w:rPr>
    </w:pPr>
  </w:p>
  <w:p w14:paraId="0A21F475" w14:textId="77777777" w:rsidR="00764BEF" w:rsidRPr="002F4496" w:rsidRDefault="00764BEF">
    <w:pPr>
      <w:pStyle w:val="Header"/>
      <w:rPr>
        <w:highlight w:val="yellow"/>
        <w:lang w:val="fr-FR"/>
      </w:rPr>
    </w:pPr>
  </w:p>
  <w:p w14:paraId="53ABEE5D" w14:textId="77777777" w:rsidR="00764BEF" w:rsidRDefault="00764BEF">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673047"/>
    <w:multiLevelType w:val="hybridMultilevel"/>
    <w:tmpl w:val="32DA5C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93AB7"/>
    <w:multiLevelType w:val="hybridMultilevel"/>
    <w:tmpl w:val="10387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D671C6"/>
    <w:multiLevelType w:val="multilevel"/>
    <w:tmpl w:val="0F8A81D6"/>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E8C78BB"/>
    <w:multiLevelType w:val="hybridMultilevel"/>
    <w:tmpl w:val="627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F5F7D"/>
    <w:multiLevelType w:val="hybridMultilevel"/>
    <w:tmpl w:val="2CFE9440"/>
    <w:lvl w:ilvl="0" w:tplc="F06620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6BA6521"/>
    <w:multiLevelType w:val="hybridMultilevel"/>
    <w:tmpl w:val="E5D60124"/>
    <w:lvl w:ilvl="0" w:tplc="A35ED500">
      <w:numFmt w:val="bullet"/>
      <w:lvlText w:val="-"/>
      <w:lvlJc w:val="left"/>
      <w:pPr>
        <w:ind w:left="430" w:hanging="360"/>
      </w:pPr>
      <w:rPr>
        <w:rFonts w:ascii="Trebuchet MS" w:eastAsiaTheme="minorHAnsi" w:hAnsi="Trebuchet MS" w:cstheme="majorHAnsi" w:hint="default"/>
      </w:rPr>
    </w:lvl>
    <w:lvl w:ilvl="1" w:tplc="20000003" w:tentative="1">
      <w:start w:val="1"/>
      <w:numFmt w:val="bullet"/>
      <w:lvlText w:val="o"/>
      <w:lvlJc w:val="left"/>
      <w:pPr>
        <w:ind w:left="1150" w:hanging="360"/>
      </w:pPr>
      <w:rPr>
        <w:rFonts w:ascii="Courier New" w:hAnsi="Courier New" w:cs="Courier New" w:hint="default"/>
      </w:rPr>
    </w:lvl>
    <w:lvl w:ilvl="2" w:tplc="20000005" w:tentative="1">
      <w:start w:val="1"/>
      <w:numFmt w:val="bullet"/>
      <w:lvlText w:val=""/>
      <w:lvlJc w:val="left"/>
      <w:pPr>
        <w:ind w:left="1870" w:hanging="360"/>
      </w:pPr>
      <w:rPr>
        <w:rFonts w:ascii="Wingdings" w:hAnsi="Wingdings" w:cs="Wingdings" w:hint="default"/>
      </w:rPr>
    </w:lvl>
    <w:lvl w:ilvl="3" w:tplc="20000001" w:tentative="1">
      <w:start w:val="1"/>
      <w:numFmt w:val="bullet"/>
      <w:lvlText w:val=""/>
      <w:lvlJc w:val="left"/>
      <w:pPr>
        <w:ind w:left="2590" w:hanging="360"/>
      </w:pPr>
      <w:rPr>
        <w:rFonts w:ascii="Symbol" w:hAnsi="Symbol" w:cs="Symbol" w:hint="default"/>
      </w:rPr>
    </w:lvl>
    <w:lvl w:ilvl="4" w:tplc="20000003" w:tentative="1">
      <w:start w:val="1"/>
      <w:numFmt w:val="bullet"/>
      <w:lvlText w:val="o"/>
      <w:lvlJc w:val="left"/>
      <w:pPr>
        <w:ind w:left="3310" w:hanging="360"/>
      </w:pPr>
      <w:rPr>
        <w:rFonts w:ascii="Courier New" w:hAnsi="Courier New" w:cs="Courier New" w:hint="default"/>
      </w:rPr>
    </w:lvl>
    <w:lvl w:ilvl="5" w:tplc="20000005" w:tentative="1">
      <w:start w:val="1"/>
      <w:numFmt w:val="bullet"/>
      <w:lvlText w:val=""/>
      <w:lvlJc w:val="left"/>
      <w:pPr>
        <w:ind w:left="4030" w:hanging="360"/>
      </w:pPr>
      <w:rPr>
        <w:rFonts w:ascii="Wingdings" w:hAnsi="Wingdings" w:cs="Wingdings" w:hint="default"/>
      </w:rPr>
    </w:lvl>
    <w:lvl w:ilvl="6" w:tplc="20000001" w:tentative="1">
      <w:start w:val="1"/>
      <w:numFmt w:val="bullet"/>
      <w:lvlText w:val=""/>
      <w:lvlJc w:val="left"/>
      <w:pPr>
        <w:ind w:left="4750" w:hanging="360"/>
      </w:pPr>
      <w:rPr>
        <w:rFonts w:ascii="Symbol" w:hAnsi="Symbol" w:cs="Symbol" w:hint="default"/>
      </w:rPr>
    </w:lvl>
    <w:lvl w:ilvl="7" w:tplc="20000003" w:tentative="1">
      <w:start w:val="1"/>
      <w:numFmt w:val="bullet"/>
      <w:lvlText w:val="o"/>
      <w:lvlJc w:val="left"/>
      <w:pPr>
        <w:ind w:left="5470" w:hanging="360"/>
      </w:pPr>
      <w:rPr>
        <w:rFonts w:ascii="Courier New" w:hAnsi="Courier New" w:cs="Courier New" w:hint="default"/>
      </w:rPr>
    </w:lvl>
    <w:lvl w:ilvl="8" w:tplc="20000005" w:tentative="1">
      <w:start w:val="1"/>
      <w:numFmt w:val="bullet"/>
      <w:lvlText w:val=""/>
      <w:lvlJc w:val="left"/>
      <w:pPr>
        <w:ind w:left="6190" w:hanging="360"/>
      </w:pPr>
      <w:rPr>
        <w:rFonts w:ascii="Wingdings" w:hAnsi="Wingdings" w:cs="Wingdings" w:hint="default"/>
      </w:r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5"/>
  </w:num>
  <w:num w:numId="4">
    <w:abstractNumId w:val="26"/>
  </w:num>
  <w:num w:numId="5">
    <w:abstractNumId w:val="28"/>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3"/>
  </w:num>
  <w:num w:numId="25">
    <w:abstractNumId w:val="32"/>
  </w:num>
  <w:num w:numId="26">
    <w:abstractNumId w:val="22"/>
  </w:num>
  <w:num w:numId="27">
    <w:abstractNumId w:val="36"/>
  </w:num>
  <w:num w:numId="28">
    <w:abstractNumId w:val="42"/>
  </w:num>
  <w:num w:numId="29">
    <w:abstractNumId w:val="8"/>
  </w:num>
  <w:num w:numId="30">
    <w:abstractNumId w:val="3"/>
  </w:num>
  <w:num w:numId="31">
    <w:abstractNumId w:val="24"/>
  </w:num>
  <w:num w:numId="32">
    <w:abstractNumId w:val="23"/>
  </w:num>
  <w:num w:numId="33">
    <w:abstractNumId w:val="38"/>
  </w:num>
  <w:num w:numId="34">
    <w:abstractNumId w:val="37"/>
  </w:num>
  <w:num w:numId="35">
    <w:abstractNumId w:val="6"/>
  </w:num>
  <w:num w:numId="36">
    <w:abstractNumId w:val="39"/>
  </w:num>
  <w:num w:numId="37">
    <w:abstractNumId w:val="2"/>
  </w:num>
  <w:num w:numId="38">
    <w:abstractNumId w:val="12"/>
  </w:num>
  <w:num w:numId="39">
    <w:abstractNumId w:val="30"/>
  </w:num>
  <w:num w:numId="40">
    <w:abstractNumId w:val="14"/>
  </w:num>
  <w:num w:numId="41">
    <w:abstractNumId w:val="13"/>
  </w:num>
  <w:num w:numId="42">
    <w:abstractNumId w:val="4"/>
  </w:num>
  <w:num w:numId="4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7A1"/>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2687"/>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B42"/>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0C5"/>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DD5"/>
    <w:rsid w:val="001F0F63"/>
    <w:rsid w:val="001F3996"/>
    <w:rsid w:val="001F44A4"/>
    <w:rsid w:val="001F579D"/>
    <w:rsid w:val="001F65EF"/>
    <w:rsid w:val="001F697B"/>
    <w:rsid w:val="002005A6"/>
    <w:rsid w:val="00204CBC"/>
    <w:rsid w:val="002051F1"/>
    <w:rsid w:val="002067BA"/>
    <w:rsid w:val="0021058D"/>
    <w:rsid w:val="00211A3A"/>
    <w:rsid w:val="00211E2F"/>
    <w:rsid w:val="00211E9E"/>
    <w:rsid w:val="00214FB4"/>
    <w:rsid w:val="00215940"/>
    <w:rsid w:val="00217C23"/>
    <w:rsid w:val="0022021C"/>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F0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3156"/>
    <w:rsid w:val="0035455E"/>
    <w:rsid w:val="00354A6F"/>
    <w:rsid w:val="00354B48"/>
    <w:rsid w:val="00355789"/>
    <w:rsid w:val="003609B6"/>
    <w:rsid w:val="00361119"/>
    <w:rsid w:val="0036538D"/>
    <w:rsid w:val="00365D12"/>
    <w:rsid w:val="00366E20"/>
    <w:rsid w:val="003700E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2ED3"/>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56741"/>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0A"/>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6B7"/>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3F9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3F61"/>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8BB"/>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6172"/>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52AA"/>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CE"/>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BEF"/>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0A5C"/>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041"/>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72D8"/>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B99"/>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63B"/>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AA"/>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A42"/>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571"/>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22F"/>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11F"/>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1F5A"/>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4CF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67C49"/>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5BBD"/>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AD3"/>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315A"/>
    <w:rsid w:val="00DA03C9"/>
    <w:rsid w:val="00DA0FA7"/>
    <w:rsid w:val="00DA12B0"/>
    <w:rsid w:val="00DA2BA0"/>
    <w:rsid w:val="00DA39AD"/>
    <w:rsid w:val="00DA5B13"/>
    <w:rsid w:val="00DA6917"/>
    <w:rsid w:val="00DA6926"/>
    <w:rsid w:val="00DA6D0B"/>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CF"/>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17DE"/>
    <w:rsid w:val="00E6344A"/>
    <w:rsid w:val="00E63AFC"/>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3888"/>
    <w:rsid w:val="00E8713B"/>
    <w:rsid w:val="00E90774"/>
    <w:rsid w:val="00E90C61"/>
    <w:rsid w:val="00E91BA7"/>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13C"/>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6768"/>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5C4"/>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879"/>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qFormat/>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BulletpointsChar">
    <w:name w:val="Bullet points Char"/>
    <w:basedOn w:val="ListParagraphChar"/>
    <w:link w:val="Bulletpoints"/>
    <w:qFormat/>
    <w:rsid w:val="00211A3A"/>
    <w:rPr>
      <w:rFonts w:ascii="Trebuchet MS" w:hAnsi="Trebuchet MS"/>
      <w:sz w:val="22"/>
      <w:szCs w:val="22"/>
      <w:lang w:eastAsia="de-DE"/>
    </w:rPr>
  </w:style>
  <w:style w:type="paragraph" w:customStyle="1" w:styleId="Bulletpoints">
    <w:name w:val="Bullet points"/>
    <w:basedOn w:val="ListParagraph"/>
    <w:link w:val="BulletpointsChar"/>
    <w:qFormat/>
    <w:rsid w:val="00211A3A"/>
    <w:pPr>
      <w:spacing w:after="80"/>
      <w:ind w:left="0"/>
      <w:jc w:val="both"/>
      <w:outlineLvl w:val="0"/>
    </w:pPr>
    <w:rPr>
      <w:rFonts w:ascii="Trebuchet MS" w:hAnsi="Trebuchet MS"/>
      <w:sz w:val="22"/>
      <w:szCs w:val="22"/>
      <w:lang w:eastAsia="en-GB"/>
    </w:rPr>
  </w:style>
  <w:style w:type="character" w:customStyle="1" w:styleId="NoSpacingChar">
    <w:name w:val="No Spacing Char"/>
    <w:basedOn w:val="DefaultParagraphFont"/>
    <w:link w:val="NoSpacing"/>
    <w:uiPriority w:val="1"/>
    <w:qFormat/>
    <w:rsid w:val="00583F92"/>
    <w:rPr>
      <w:rFonts w:ascii="Trebuchet MS" w:hAnsi="Trebuchet MS"/>
      <w:color w:val="000000" w:themeColor="text1"/>
      <w:sz w:val="22"/>
      <w:szCs w:val="22"/>
    </w:rPr>
  </w:style>
  <w:style w:type="paragraph" w:styleId="NoSpacing">
    <w:name w:val="No Spacing"/>
    <w:basedOn w:val="Normal"/>
    <w:link w:val="NoSpacingChar"/>
    <w:uiPriority w:val="1"/>
    <w:qFormat/>
    <w:locked/>
    <w:rsid w:val="00583F92"/>
    <w:pPr>
      <w:spacing w:after="80"/>
      <w:jc w:val="both"/>
    </w:pPr>
    <w:rPr>
      <w:rFonts w:ascii="Trebuchet MS" w:hAnsi="Trebuchet MS"/>
      <w:color w:val="000000" w:themeColor="text1"/>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64409332">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61854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10B448-7E87-4233-AF89-06F995467680}">
  <ds:schemaRefs>
    <ds:schemaRef ds:uri="http://schemas.openxmlformats.org/officeDocument/2006/bibliography"/>
  </ds:schemaRefs>
</ds:datastoreItem>
</file>

<file path=customXml/itemProps6.xml><?xml version="1.0" encoding="utf-8"?>
<ds:datastoreItem xmlns:ds="http://schemas.openxmlformats.org/officeDocument/2006/customXml" ds:itemID="{DE08737C-383C-496C-914D-EF486E60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22</Pages>
  <Words>9971</Words>
  <Characters>56145</Characters>
  <Application>Microsoft Office Word</Application>
  <DocSecurity>8</DocSecurity>
  <Lines>467</Lines>
  <Paragraphs>131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65985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Elina Yrgård</cp:lastModifiedBy>
  <cp:revision>17</cp:revision>
  <cp:lastPrinted>2015-02-18T11:01:00Z</cp:lastPrinted>
  <dcterms:created xsi:type="dcterms:W3CDTF">2020-06-04T10:01:00Z</dcterms:created>
  <dcterms:modified xsi:type="dcterms:W3CDTF">2020-06-14T15:41:00Z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