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6D2B9D18" w:rsidR="00C2682A" w:rsidRPr="00AB6D88" w:rsidRDefault="004031BE" w:rsidP="00FA5524">
                <w:pPr>
                  <w:rPr>
                    <w:rStyle w:val="PlaceholderText"/>
                    <w:rFonts w:cs="Arial"/>
                  </w:rPr>
                </w:pPr>
                <w:r>
                  <w:rPr>
                    <w:rStyle w:val="PlaceholderText"/>
                    <w:rFonts w:cs="Arial"/>
                  </w:rPr>
                  <w:t>Invesco</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69FBF26" w:rsidR="00C2682A" w:rsidRPr="00AB6D88" w:rsidRDefault="004D65F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031BE">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E33AC74" w:rsidR="00C2682A" w:rsidRPr="00AB6D88" w:rsidRDefault="004031BE"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5560A89E" w:rsidR="00F87897" w:rsidRDefault="00F87897" w:rsidP="00F87897">
      <w:permStart w:id="1454525006" w:edGrp="everyone"/>
    </w:p>
    <w:p w14:paraId="78319DD8" w14:textId="6A564157" w:rsidR="00F87897" w:rsidRDefault="00F87897" w:rsidP="00F87897"/>
    <w:p w14:paraId="5A0BBB52" w14:textId="1CDF3973" w:rsidR="00F87897" w:rsidRPr="00554CFE" w:rsidRDefault="00530E9C" w:rsidP="00F87897">
      <w:pPr>
        <w:rPr>
          <w:color w:val="4BACC6" w:themeColor="accent5"/>
        </w:rPr>
      </w:pPr>
      <w:r w:rsidRPr="00554CFE">
        <w:rPr>
          <w:color w:val="4BACC6" w:themeColor="accent5"/>
        </w:rPr>
        <w:t>As a global asset manager with operations across the EU, Invesco welcomes the opportunity to contribute to the European Securities and Markets Authority (ESMA) consultation on the MiFID II/MiFIR transparency regime for non-equity and the trading obligations for derivatives.</w:t>
      </w:r>
    </w:p>
    <w:p w14:paraId="3AABB4D0" w14:textId="684466B4" w:rsidR="00530E9C" w:rsidRPr="00554CFE" w:rsidRDefault="00530E9C" w:rsidP="00F87897">
      <w:pPr>
        <w:rPr>
          <w:color w:val="4BACC6" w:themeColor="accent5"/>
        </w:rPr>
      </w:pPr>
    </w:p>
    <w:p w14:paraId="06344CC6" w14:textId="77777777" w:rsidR="003B17BE" w:rsidRPr="00554CFE" w:rsidRDefault="003B17BE" w:rsidP="003B17BE">
      <w:pPr>
        <w:rPr>
          <w:color w:val="4BACC6" w:themeColor="accent5"/>
        </w:rPr>
      </w:pPr>
      <w:r w:rsidRPr="00554CFE">
        <w:rPr>
          <w:color w:val="4BACC6" w:themeColor="accent5"/>
        </w:rPr>
        <w:t>While the MiFID II/MiFIR framework has only been in application since January 2018, it is appropriate to consider the application and effectiveness of the MiFID II/MiFIR regulatory framework in the context of the effective functioning of European financial markets.</w:t>
      </w:r>
    </w:p>
    <w:p w14:paraId="1F720D17" w14:textId="77777777" w:rsidR="003B17BE" w:rsidRPr="00554CFE" w:rsidRDefault="003B17BE" w:rsidP="003B17BE">
      <w:pPr>
        <w:rPr>
          <w:color w:val="4BACC6" w:themeColor="accent5"/>
        </w:rPr>
      </w:pPr>
    </w:p>
    <w:p w14:paraId="78A3A831" w14:textId="27869BF8" w:rsidR="00ED2D17" w:rsidRDefault="00EA34FB" w:rsidP="003B17BE">
      <w:pPr>
        <w:rPr>
          <w:color w:val="4BACC6" w:themeColor="accent5"/>
        </w:rPr>
      </w:pPr>
      <w:r w:rsidRPr="00EA34FB">
        <w:rPr>
          <w:color w:val="4BACC6" w:themeColor="accent5"/>
        </w:rPr>
        <w:t>On balance, we believe that the implementation of MiFID II/MiFIR has generally improved the overall regulatory framework in financial services</w:t>
      </w:r>
      <w:r>
        <w:rPr>
          <w:color w:val="4BACC6" w:themeColor="accent5"/>
        </w:rPr>
        <w:t xml:space="preserve">, and that </w:t>
      </w:r>
      <w:r w:rsidRPr="00554CFE">
        <w:rPr>
          <w:color w:val="4BACC6" w:themeColor="accent5"/>
        </w:rPr>
        <w:t xml:space="preserve">significant and positive progress </w:t>
      </w:r>
      <w:r w:rsidR="00ED2D17">
        <w:rPr>
          <w:color w:val="4BACC6" w:themeColor="accent5"/>
        </w:rPr>
        <w:t xml:space="preserve">as regards </w:t>
      </w:r>
      <w:r w:rsidRPr="00554CFE">
        <w:rPr>
          <w:color w:val="4BACC6" w:themeColor="accent5"/>
        </w:rPr>
        <w:t>market structure</w:t>
      </w:r>
      <w:r>
        <w:rPr>
          <w:color w:val="4BACC6" w:themeColor="accent5"/>
        </w:rPr>
        <w:t xml:space="preserve"> has been achieved. However, we also believe that the MiFID II/MiFIR </w:t>
      </w:r>
      <w:r w:rsidR="00ED2D17">
        <w:rPr>
          <w:color w:val="4BACC6" w:themeColor="accent5"/>
        </w:rPr>
        <w:t>framework would benefit from some targeted amendments and optimisations.</w:t>
      </w:r>
    </w:p>
    <w:p w14:paraId="58DCE58F" w14:textId="77777777" w:rsidR="00ED2D17" w:rsidRDefault="00ED2D17" w:rsidP="003B17BE">
      <w:pPr>
        <w:rPr>
          <w:color w:val="4BACC6" w:themeColor="accent5"/>
        </w:rPr>
      </w:pPr>
    </w:p>
    <w:p w14:paraId="7CCB6DAD" w14:textId="0C11BC79" w:rsidR="00EA34FB" w:rsidRDefault="00ED2D17" w:rsidP="003B17BE">
      <w:pPr>
        <w:rPr>
          <w:color w:val="4BACC6" w:themeColor="accent5"/>
        </w:rPr>
      </w:pPr>
      <w:r>
        <w:rPr>
          <w:color w:val="4BACC6" w:themeColor="accent5"/>
        </w:rPr>
        <w:t>As such, in responding to this consultation, Invesco has focused on the following areas:</w:t>
      </w:r>
    </w:p>
    <w:p w14:paraId="1F782854" w14:textId="5FAFE519" w:rsidR="00ED2D17" w:rsidRDefault="00ED2D17" w:rsidP="003B17BE">
      <w:pPr>
        <w:rPr>
          <w:color w:val="4BACC6" w:themeColor="accent5"/>
        </w:rPr>
      </w:pPr>
    </w:p>
    <w:p w14:paraId="79F4CDF7" w14:textId="33DE3B78" w:rsidR="00ED2D17" w:rsidRDefault="00ED2D17" w:rsidP="00ED2D17">
      <w:pPr>
        <w:pStyle w:val="ListParagraph"/>
        <w:numPr>
          <w:ilvl w:val="0"/>
          <w:numId w:val="42"/>
        </w:numPr>
        <w:rPr>
          <w:color w:val="4BACC6" w:themeColor="accent5"/>
        </w:rPr>
      </w:pPr>
      <w:r>
        <w:rPr>
          <w:color w:val="4BACC6" w:themeColor="accent5"/>
        </w:rPr>
        <w:t>the pre-trade transparency regime for trading venues in respect of non-equity instruments;</w:t>
      </w:r>
    </w:p>
    <w:p w14:paraId="6F9C2E07" w14:textId="2C937456" w:rsidR="00ED2D17" w:rsidRDefault="00ED2D17" w:rsidP="00ED2D17">
      <w:pPr>
        <w:pStyle w:val="ListParagraph"/>
        <w:numPr>
          <w:ilvl w:val="0"/>
          <w:numId w:val="42"/>
        </w:numPr>
        <w:rPr>
          <w:color w:val="4BACC6" w:themeColor="accent5"/>
        </w:rPr>
      </w:pPr>
      <w:r>
        <w:rPr>
          <w:color w:val="4BACC6" w:themeColor="accent5"/>
        </w:rPr>
        <w:t>the post-trade transparency regime for trading venues and investment firms in respect of non-equity instruments;</w:t>
      </w:r>
    </w:p>
    <w:p w14:paraId="2FE2DD43" w14:textId="383BB66E" w:rsidR="00ED2D17" w:rsidRDefault="00ED2D17" w:rsidP="00ED2D17">
      <w:pPr>
        <w:pStyle w:val="ListParagraph"/>
        <w:numPr>
          <w:ilvl w:val="0"/>
          <w:numId w:val="42"/>
        </w:numPr>
        <w:rPr>
          <w:color w:val="4BACC6" w:themeColor="accent5"/>
        </w:rPr>
      </w:pPr>
      <w:r>
        <w:rPr>
          <w:color w:val="4BACC6" w:themeColor="accent5"/>
        </w:rPr>
        <w:t>the trading obligation for derivatives (DTO); and</w:t>
      </w:r>
    </w:p>
    <w:p w14:paraId="2A8E1188" w14:textId="355BF21D" w:rsidR="00ED2D17" w:rsidRDefault="00ED2D17" w:rsidP="00ED2D17">
      <w:pPr>
        <w:pStyle w:val="ListParagraph"/>
        <w:numPr>
          <w:ilvl w:val="0"/>
          <w:numId w:val="42"/>
        </w:numPr>
        <w:rPr>
          <w:color w:val="4BACC6" w:themeColor="accent5"/>
        </w:rPr>
      </w:pPr>
      <w:r>
        <w:rPr>
          <w:color w:val="4BACC6" w:themeColor="accent5"/>
        </w:rPr>
        <w:t>the t</w:t>
      </w:r>
      <w:r w:rsidRPr="00ED2D17">
        <w:rPr>
          <w:color w:val="4BACC6" w:themeColor="accent5"/>
        </w:rPr>
        <w:t>rade percentile for the determination of the pre-trade SSTI threshold</w:t>
      </w:r>
      <w:r w:rsidR="00D91BE7">
        <w:rPr>
          <w:color w:val="4BACC6" w:themeColor="accent5"/>
        </w:rPr>
        <w:t>.</w:t>
      </w:r>
    </w:p>
    <w:p w14:paraId="191EFBF7" w14:textId="77777777" w:rsidR="00ED2D17" w:rsidRPr="00ED2D17" w:rsidRDefault="00ED2D17" w:rsidP="00ED2D17">
      <w:pPr>
        <w:rPr>
          <w:color w:val="4BACC6" w:themeColor="accent5"/>
        </w:rPr>
      </w:pPr>
    </w:p>
    <w:p w14:paraId="32DF232C" w14:textId="23642418" w:rsidR="004D0449" w:rsidRPr="00554CFE" w:rsidRDefault="004D0449" w:rsidP="003B17BE">
      <w:pPr>
        <w:rPr>
          <w:color w:val="4BACC6" w:themeColor="accent5"/>
        </w:rPr>
      </w:pPr>
      <w:r w:rsidRPr="00554CFE">
        <w:rPr>
          <w:color w:val="4BACC6" w:themeColor="accent5"/>
        </w:rPr>
        <w:t>On each of these items, Invesco can provide further detail at ESMA’s request.</w:t>
      </w:r>
    </w:p>
    <w:p w14:paraId="4D7EB49E" w14:textId="77777777" w:rsidR="00530E9C" w:rsidRDefault="00530E9C" w:rsidP="00F87897"/>
    <w:p w14:paraId="1138EB18" w14:textId="4F9FA3DA" w:rsidR="00F87897" w:rsidRDefault="00F87897" w:rsidP="00F87897"/>
    <w:permEnd w:id="1454525006"/>
    <w:p w14:paraId="3A5DBB83" w14:textId="77777777" w:rsidR="00F87897" w:rsidRDefault="00F87897" w:rsidP="00F87897"/>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0C7FB1AB" w:rsidR="00A8728B" w:rsidRDefault="00A8728B" w:rsidP="00A8728B">
      <w:permStart w:id="1955866996" w:edGrp="everyone"/>
    </w:p>
    <w:p w14:paraId="19CFA505" w14:textId="7B259D60" w:rsidR="00A8728B" w:rsidRDefault="00A8728B" w:rsidP="00A8728B"/>
    <w:p w14:paraId="7D97F85D" w14:textId="69F73CE9" w:rsidR="007D1EC5" w:rsidRDefault="00554CFE" w:rsidP="007D1EC5">
      <w:pPr>
        <w:rPr>
          <w:color w:val="4BACC6" w:themeColor="accent5"/>
        </w:rPr>
      </w:pPr>
      <w:r w:rsidRPr="004322C6">
        <w:rPr>
          <w:color w:val="4BACC6" w:themeColor="accent5"/>
        </w:rPr>
        <w:t xml:space="preserve">Invesco strongly supports the objectives of MiFID II/MiFIR framework to </w:t>
      </w:r>
      <w:r w:rsidR="00D30B0D" w:rsidRPr="004322C6">
        <w:rPr>
          <w:color w:val="4BACC6" w:themeColor="accent5"/>
        </w:rPr>
        <w:t>enhance the efficiency, resilience and integrity of financial markets, and ultimately improve their functioning.</w:t>
      </w:r>
      <w:r w:rsidR="007D1EC5">
        <w:rPr>
          <w:color w:val="4BACC6" w:themeColor="accent5"/>
        </w:rPr>
        <w:t xml:space="preserve"> I</w:t>
      </w:r>
      <w:r w:rsidR="00AA2459">
        <w:rPr>
          <w:color w:val="4BACC6" w:themeColor="accent5"/>
        </w:rPr>
        <w:t>t is important</w:t>
      </w:r>
      <w:r w:rsidR="007D1EC5">
        <w:rPr>
          <w:color w:val="4BACC6" w:themeColor="accent5"/>
        </w:rPr>
        <w:t>, however,</w:t>
      </w:r>
      <w:r w:rsidR="00AA2459">
        <w:rPr>
          <w:color w:val="4BACC6" w:themeColor="accent5"/>
        </w:rPr>
        <w:t xml:space="preserve"> that </w:t>
      </w:r>
      <w:r w:rsidR="00134CF6">
        <w:rPr>
          <w:color w:val="4BACC6" w:themeColor="accent5"/>
        </w:rPr>
        <w:t>the</w:t>
      </w:r>
      <w:r w:rsidR="00AA2459">
        <w:rPr>
          <w:color w:val="4BACC6" w:themeColor="accent5"/>
        </w:rPr>
        <w:t xml:space="preserve"> consideration of potential adjustments to the regime </w:t>
      </w:r>
      <w:r w:rsidR="00134CF6">
        <w:rPr>
          <w:color w:val="4BACC6" w:themeColor="accent5"/>
        </w:rPr>
        <w:t xml:space="preserve">is </w:t>
      </w:r>
      <w:r w:rsidR="00AA2459">
        <w:rPr>
          <w:color w:val="4BACC6" w:themeColor="accent5"/>
        </w:rPr>
        <w:t>based on reliable, high quality data.</w:t>
      </w:r>
    </w:p>
    <w:p w14:paraId="4946ED96" w14:textId="77777777" w:rsidR="007D1EC5" w:rsidRDefault="007D1EC5" w:rsidP="00A8728B">
      <w:pPr>
        <w:rPr>
          <w:color w:val="4BACC6" w:themeColor="accent5"/>
        </w:rPr>
      </w:pPr>
    </w:p>
    <w:p w14:paraId="57A66710" w14:textId="6AC9EB86" w:rsidR="00EC4F19" w:rsidRDefault="00EC4F19" w:rsidP="00EC4F19">
      <w:pPr>
        <w:rPr>
          <w:color w:val="4BACC6" w:themeColor="accent5"/>
        </w:rPr>
      </w:pPr>
      <w:r>
        <w:rPr>
          <w:color w:val="4BACC6" w:themeColor="accent5"/>
        </w:rPr>
        <w:t>We therefor</w:t>
      </w:r>
      <w:r w:rsidR="00521FCC">
        <w:rPr>
          <w:color w:val="4BACC6" w:themeColor="accent5"/>
        </w:rPr>
        <w:t>e</w:t>
      </w:r>
      <w:r>
        <w:rPr>
          <w:color w:val="4BACC6" w:themeColor="accent5"/>
        </w:rPr>
        <w:t xml:space="preserve"> acknowledge ESMA’s reservations, as expressed in paragraph 67</w:t>
      </w:r>
      <w:r w:rsidR="00521FCC">
        <w:rPr>
          <w:color w:val="4BACC6" w:themeColor="accent5"/>
        </w:rPr>
        <w:t xml:space="preserve"> of the consultation</w:t>
      </w:r>
      <w:r>
        <w:rPr>
          <w:color w:val="4BACC6" w:themeColor="accent5"/>
        </w:rPr>
        <w:t xml:space="preserve">, that </w:t>
      </w:r>
      <w:r w:rsidRPr="00286BF1">
        <w:rPr>
          <w:color w:val="4BACC6" w:themeColor="accent5"/>
        </w:rPr>
        <w:t xml:space="preserve">there </w:t>
      </w:r>
      <w:r>
        <w:rPr>
          <w:color w:val="4BACC6" w:themeColor="accent5"/>
        </w:rPr>
        <w:t>are</w:t>
      </w:r>
      <w:r w:rsidRPr="00286BF1">
        <w:rPr>
          <w:color w:val="4BACC6" w:themeColor="accent5"/>
        </w:rPr>
        <w:t xml:space="preserve"> a number of issues </w:t>
      </w:r>
      <w:r>
        <w:rPr>
          <w:color w:val="4BACC6" w:themeColor="accent5"/>
        </w:rPr>
        <w:t>with respect to the</w:t>
      </w:r>
      <w:r w:rsidRPr="00286BF1">
        <w:rPr>
          <w:color w:val="4BACC6" w:themeColor="accent5"/>
        </w:rPr>
        <w:t xml:space="preserve"> </w:t>
      </w:r>
      <w:r>
        <w:rPr>
          <w:color w:val="4BACC6" w:themeColor="accent5"/>
        </w:rPr>
        <w:t xml:space="preserve">quality of </w:t>
      </w:r>
      <w:r w:rsidRPr="00286BF1">
        <w:rPr>
          <w:color w:val="4BACC6" w:themeColor="accent5"/>
        </w:rPr>
        <w:t xml:space="preserve">data </w:t>
      </w:r>
      <w:r w:rsidR="00521FCC">
        <w:rPr>
          <w:color w:val="4BACC6" w:themeColor="accent5"/>
        </w:rPr>
        <w:t>relating to</w:t>
      </w:r>
      <w:r w:rsidRPr="00286BF1">
        <w:rPr>
          <w:color w:val="4BACC6" w:themeColor="accent5"/>
        </w:rPr>
        <w:t xml:space="preserve"> non-equity instruments</w:t>
      </w:r>
      <w:r w:rsidR="00521FCC">
        <w:rPr>
          <w:color w:val="4BACC6" w:themeColor="accent5"/>
        </w:rPr>
        <w:t xml:space="preserve"> </w:t>
      </w:r>
      <w:r>
        <w:rPr>
          <w:color w:val="4BACC6" w:themeColor="accent5"/>
        </w:rPr>
        <w:t xml:space="preserve">which may </w:t>
      </w:r>
      <w:r w:rsidRPr="00286BF1">
        <w:rPr>
          <w:color w:val="4BACC6" w:themeColor="accent5"/>
        </w:rPr>
        <w:t xml:space="preserve">undermine the validity of the </w:t>
      </w:r>
      <w:r>
        <w:rPr>
          <w:color w:val="4BACC6" w:themeColor="accent5"/>
        </w:rPr>
        <w:t>analysis and subsequent policy considerations</w:t>
      </w:r>
      <w:r w:rsidRPr="00286BF1">
        <w:rPr>
          <w:color w:val="4BACC6" w:themeColor="accent5"/>
        </w:rPr>
        <w:t>.</w:t>
      </w:r>
    </w:p>
    <w:p w14:paraId="25CCB7B1" w14:textId="77777777" w:rsidR="00EC4F19" w:rsidRDefault="00EC4F19" w:rsidP="00EC4F19">
      <w:pPr>
        <w:rPr>
          <w:color w:val="4BACC6" w:themeColor="accent5"/>
        </w:rPr>
      </w:pPr>
    </w:p>
    <w:p w14:paraId="51275A8D" w14:textId="08CA8122" w:rsidR="00286BF1" w:rsidRDefault="00EC4F19" w:rsidP="00A8728B">
      <w:pPr>
        <w:rPr>
          <w:color w:val="4BACC6" w:themeColor="accent5"/>
        </w:rPr>
      </w:pPr>
      <w:r>
        <w:rPr>
          <w:color w:val="4BACC6" w:themeColor="accent5"/>
        </w:rPr>
        <w:t xml:space="preserve">Moreover, we also </w:t>
      </w:r>
      <w:r w:rsidR="00F818A7">
        <w:rPr>
          <w:color w:val="4BACC6" w:themeColor="accent5"/>
        </w:rPr>
        <w:t>note</w:t>
      </w:r>
      <w:r>
        <w:rPr>
          <w:color w:val="4BACC6" w:themeColor="accent5"/>
        </w:rPr>
        <w:t xml:space="preserve"> that ESMA </w:t>
      </w:r>
      <w:r w:rsidR="00AA2459">
        <w:rPr>
          <w:color w:val="4BACC6" w:themeColor="accent5"/>
        </w:rPr>
        <w:t>“</w:t>
      </w:r>
      <w:r w:rsidR="00AA2459" w:rsidRPr="00AA2459">
        <w:rPr>
          <w:color w:val="4BACC6" w:themeColor="accent5"/>
        </w:rPr>
        <w:t>recognises that</w:t>
      </w:r>
      <w:r w:rsidR="00AA2459">
        <w:rPr>
          <w:color w:val="4BACC6" w:themeColor="accent5"/>
        </w:rPr>
        <w:t>,</w:t>
      </w:r>
      <w:r w:rsidR="00AA2459" w:rsidRPr="00AA2459">
        <w:rPr>
          <w:color w:val="4BACC6" w:themeColor="accent5"/>
        </w:rPr>
        <w:t xml:space="preserve"> for non-equity instruments other than bonds, the first regular transparency calculations will only be published in May 2020</w:t>
      </w:r>
      <w:r w:rsidR="00AA2459">
        <w:rPr>
          <w:color w:val="4BACC6" w:themeColor="accent5"/>
        </w:rPr>
        <w:t>”</w:t>
      </w:r>
      <w:r w:rsidR="00134CF6">
        <w:rPr>
          <w:color w:val="4BACC6" w:themeColor="accent5"/>
        </w:rPr>
        <w:t xml:space="preserve">. Indeed, since the publication of the consultation, </w:t>
      </w:r>
      <w:r w:rsidR="00AA2459">
        <w:rPr>
          <w:color w:val="4BACC6" w:themeColor="accent5"/>
        </w:rPr>
        <w:t>the application of the rules obliging the publication of these calculations has been pushed back due to the implications of the Covid-19 pandemic.</w:t>
      </w:r>
    </w:p>
    <w:p w14:paraId="6C8E15A8" w14:textId="73A70E2E" w:rsidR="00286BF1" w:rsidRDefault="00286BF1" w:rsidP="00A8728B">
      <w:pPr>
        <w:rPr>
          <w:color w:val="4BACC6" w:themeColor="accent5"/>
        </w:rPr>
      </w:pPr>
    </w:p>
    <w:p w14:paraId="2F47D887" w14:textId="68A76829" w:rsidR="00EC4F19" w:rsidRDefault="00EC4F19" w:rsidP="00EC4F19">
      <w:pPr>
        <w:rPr>
          <w:color w:val="4BACC6" w:themeColor="accent5"/>
        </w:rPr>
      </w:pPr>
      <w:r>
        <w:rPr>
          <w:color w:val="4BACC6" w:themeColor="accent5"/>
        </w:rPr>
        <w:t xml:space="preserve">In this regard, we </w:t>
      </w:r>
      <w:r w:rsidR="00825113">
        <w:rPr>
          <w:color w:val="4BACC6" w:themeColor="accent5"/>
        </w:rPr>
        <w:t xml:space="preserve">generally </w:t>
      </w:r>
      <w:r>
        <w:rPr>
          <w:color w:val="4BACC6" w:themeColor="accent5"/>
        </w:rPr>
        <w:t>consider that a prudent approach to potential amendments to the Level 1 text on the transparency regime for non-equity instruments would be to first allow the full suite of rules to apply (inc. those which have been pushed back) and, thereafter, to undertake further analysis of the operation of the regime in full view of the data.</w:t>
      </w:r>
      <w:r w:rsidRPr="00EC4F19">
        <w:rPr>
          <w:color w:val="4BACC6" w:themeColor="accent5"/>
        </w:rPr>
        <w:t xml:space="preserve"> </w:t>
      </w:r>
      <w:r>
        <w:rPr>
          <w:color w:val="4BACC6" w:themeColor="accent5"/>
        </w:rPr>
        <w:t>Implementing changes to the regime without a reliable view of the operation of certain market segments could</w:t>
      </w:r>
      <w:r w:rsidRPr="00EC4F19">
        <w:rPr>
          <w:color w:val="4BACC6" w:themeColor="accent5"/>
        </w:rPr>
        <w:t xml:space="preserve"> </w:t>
      </w:r>
      <w:r>
        <w:rPr>
          <w:color w:val="4BACC6" w:themeColor="accent5"/>
        </w:rPr>
        <w:t xml:space="preserve">bring about unintended consequences and negatively impact </w:t>
      </w:r>
      <w:r w:rsidR="00521FCC">
        <w:rPr>
          <w:color w:val="4BACC6" w:themeColor="accent5"/>
        </w:rPr>
        <w:t>market</w:t>
      </w:r>
      <w:r>
        <w:rPr>
          <w:color w:val="4BACC6" w:themeColor="accent5"/>
        </w:rPr>
        <w:t xml:space="preserve"> liquidity, </w:t>
      </w:r>
      <w:r w:rsidR="0053694D">
        <w:rPr>
          <w:color w:val="4BACC6" w:themeColor="accent5"/>
        </w:rPr>
        <w:t>thus</w:t>
      </w:r>
      <w:r>
        <w:rPr>
          <w:color w:val="4BACC6" w:themeColor="accent5"/>
        </w:rPr>
        <w:t xml:space="preserve"> increasing the principal risk of affected asset classes.</w:t>
      </w:r>
    </w:p>
    <w:p w14:paraId="2DF7EF36" w14:textId="77777777" w:rsidR="00EC4F19" w:rsidRDefault="00EC4F19" w:rsidP="00EC4F19">
      <w:pPr>
        <w:rPr>
          <w:color w:val="4BACC6" w:themeColor="accent5"/>
        </w:rPr>
      </w:pPr>
    </w:p>
    <w:p w14:paraId="24A74B5E" w14:textId="78378704" w:rsidR="00A8728B" w:rsidRDefault="00825113" w:rsidP="00A8728B">
      <w:pPr>
        <w:rPr>
          <w:color w:val="4BACC6" w:themeColor="accent5"/>
        </w:rPr>
      </w:pPr>
      <w:r>
        <w:rPr>
          <w:color w:val="4BACC6" w:themeColor="accent5"/>
        </w:rPr>
        <w:t>However, d</w:t>
      </w:r>
      <w:r w:rsidR="007D1EC5">
        <w:rPr>
          <w:color w:val="4BACC6" w:themeColor="accent5"/>
        </w:rPr>
        <w:t>espite the</w:t>
      </w:r>
      <w:r>
        <w:rPr>
          <w:color w:val="4BACC6" w:themeColor="accent5"/>
        </w:rPr>
        <w:t xml:space="preserve"> </w:t>
      </w:r>
      <w:r w:rsidR="007D1EC5">
        <w:rPr>
          <w:color w:val="4BACC6" w:themeColor="accent5"/>
        </w:rPr>
        <w:t>limitations</w:t>
      </w:r>
      <w:r>
        <w:rPr>
          <w:color w:val="4BACC6" w:themeColor="accent5"/>
        </w:rPr>
        <w:t xml:space="preserve"> highlighted by ESMA</w:t>
      </w:r>
      <w:r w:rsidR="007D1EC5">
        <w:rPr>
          <w:color w:val="4BACC6" w:themeColor="accent5"/>
        </w:rPr>
        <w:t xml:space="preserve">, our experience in the market since the introduction of the MiFID II/MiFIR framework indicates that </w:t>
      </w:r>
      <w:r w:rsidR="0053694D">
        <w:rPr>
          <w:color w:val="4BACC6" w:themeColor="accent5"/>
        </w:rPr>
        <w:t xml:space="preserve">certain elements of </w:t>
      </w:r>
      <w:r w:rsidR="007D1EC5">
        <w:rPr>
          <w:color w:val="4BACC6" w:themeColor="accent5"/>
        </w:rPr>
        <w:t xml:space="preserve">the pre-trade transparency regime for non-equity </w:t>
      </w:r>
      <w:r w:rsidR="00521FCC">
        <w:rPr>
          <w:color w:val="4BACC6" w:themeColor="accent5"/>
        </w:rPr>
        <w:t xml:space="preserve">instruments </w:t>
      </w:r>
      <w:r w:rsidR="007D1EC5">
        <w:rPr>
          <w:color w:val="4BACC6" w:themeColor="accent5"/>
        </w:rPr>
        <w:t xml:space="preserve">would benefit from </w:t>
      </w:r>
      <w:r w:rsidR="00EC4F19">
        <w:rPr>
          <w:color w:val="4BACC6" w:themeColor="accent5"/>
        </w:rPr>
        <w:t xml:space="preserve">targeted </w:t>
      </w:r>
      <w:r w:rsidR="007D1EC5">
        <w:rPr>
          <w:color w:val="4BACC6" w:themeColor="accent5"/>
        </w:rPr>
        <w:t>simplification and optimisation.</w:t>
      </w:r>
      <w:r w:rsidR="0053694D">
        <w:rPr>
          <w:color w:val="4BACC6" w:themeColor="accent5"/>
        </w:rPr>
        <w:t xml:space="preserve"> We provide further details of such amendments herein.</w:t>
      </w:r>
    </w:p>
    <w:p w14:paraId="767E6A44" w14:textId="77777777" w:rsidR="0053694D" w:rsidRDefault="0053694D" w:rsidP="00A8728B"/>
    <w:p w14:paraId="7FD86C74" w14:textId="77777777" w:rsidR="00530E9C" w:rsidRDefault="00530E9C" w:rsidP="00A8728B"/>
    <w:permEnd w:id="1955866996"/>
    <w:p w14:paraId="2F687187" w14:textId="77777777"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603FAA0B" w:rsidR="00A8728B" w:rsidRDefault="00A8728B" w:rsidP="00A8728B">
      <w:permStart w:id="1066216518" w:edGrp="everyone"/>
    </w:p>
    <w:p w14:paraId="056B4D01" w14:textId="45BF8DDA" w:rsidR="00A8728B" w:rsidRDefault="00A8728B" w:rsidP="00A8728B"/>
    <w:p w14:paraId="4BBD0DA8" w14:textId="053190C7" w:rsidR="00455001" w:rsidRDefault="00455001" w:rsidP="007837F2">
      <w:pPr>
        <w:rPr>
          <w:color w:val="4BACC6" w:themeColor="accent5"/>
        </w:rPr>
      </w:pPr>
      <w:r>
        <w:rPr>
          <w:color w:val="4BACC6" w:themeColor="accent5"/>
        </w:rPr>
        <w:t>Generally, as outlined in our response to Q1, we believe that a prudent approach to considering potential amendments to the broader transparency regime for non-equity instruments would be to first allow the full suite of rules to apply (inc. those which have been pushed back) and, thereafter, to undertake further analysis of the operation of the regime in full view of the data.</w:t>
      </w:r>
    </w:p>
    <w:p w14:paraId="5BFB87E3" w14:textId="77777777" w:rsidR="00455001" w:rsidRDefault="00455001" w:rsidP="007837F2">
      <w:pPr>
        <w:rPr>
          <w:color w:val="4BACC6" w:themeColor="accent5"/>
        </w:rPr>
      </w:pPr>
    </w:p>
    <w:p w14:paraId="1582D844" w14:textId="77777777" w:rsidR="00455001" w:rsidRDefault="00455001" w:rsidP="007837F2">
      <w:pPr>
        <w:rPr>
          <w:color w:val="4BACC6" w:themeColor="accent5"/>
        </w:rPr>
      </w:pPr>
    </w:p>
    <w:p w14:paraId="168661B4" w14:textId="6CA483C3" w:rsidR="007837F2" w:rsidRDefault="00455001" w:rsidP="007837F2">
      <w:r>
        <w:rPr>
          <w:color w:val="4BACC6" w:themeColor="accent5"/>
        </w:rPr>
        <w:lastRenderedPageBreak/>
        <w:t>However, a</w:t>
      </w:r>
      <w:r w:rsidR="00454416">
        <w:rPr>
          <w:color w:val="4BACC6" w:themeColor="accent5"/>
        </w:rPr>
        <w:t>s</w:t>
      </w:r>
      <w:r>
        <w:rPr>
          <w:color w:val="4BACC6" w:themeColor="accent5"/>
        </w:rPr>
        <w:t xml:space="preserve"> we also alluded to in our response to Q1, and have outlined in </w:t>
      </w:r>
      <w:r w:rsidR="00870627">
        <w:rPr>
          <w:color w:val="4BACC6" w:themeColor="accent5"/>
        </w:rPr>
        <w:t>our responses</w:t>
      </w:r>
      <w:r w:rsidR="00521FCC">
        <w:rPr>
          <w:color w:val="4BACC6" w:themeColor="accent5"/>
        </w:rPr>
        <w:t xml:space="preserve"> to subsequent questions</w:t>
      </w:r>
      <w:r>
        <w:rPr>
          <w:color w:val="4BACC6" w:themeColor="accent5"/>
        </w:rPr>
        <w:t xml:space="preserve">, </w:t>
      </w:r>
      <w:r w:rsidR="0062387C">
        <w:rPr>
          <w:color w:val="4BACC6" w:themeColor="accent5"/>
        </w:rPr>
        <w:t xml:space="preserve">we believe that </w:t>
      </w:r>
      <w:r w:rsidR="00D91FB0">
        <w:rPr>
          <w:color w:val="4BACC6" w:themeColor="accent5"/>
        </w:rPr>
        <w:t xml:space="preserve">particular elements of </w:t>
      </w:r>
      <w:r w:rsidR="0062387C">
        <w:rPr>
          <w:color w:val="4BACC6" w:themeColor="accent5"/>
        </w:rPr>
        <w:t>the pre-trade transparency regime would benefit from targeted simplification and optimisation, for example deleting the pre-trade SSTI waiver and, at the same time, lowering the pre-trade LIS threshold proportionately across all asset classes.</w:t>
      </w:r>
    </w:p>
    <w:p w14:paraId="07F36110" w14:textId="1EDF5611" w:rsidR="00A8728B" w:rsidRDefault="00A8728B" w:rsidP="00A8728B"/>
    <w:p w14:paraId="78F586F1" w14:textId="7E46B14D" w:rsidR="00A8728B" w:rsidRDefault="00A8728B" w:rsidP="00A8728B"/>
    <w:permEnd w:id="1066216518"/>
    <w:p w14:paraId="790CCA95" w14:textId="77777777"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3E1C394A" w14:textId="77777777" w:rsidR="001E41DB" w:rsidRDefault="001E41DB" w:rsidP="002E1760">
      <w:permStart w:id="473446270" w:edGrp="everyone"/>
    </w:p>
    <w:p w14:paraId="23566942" w14:textId="77777777" w:rsidR="001E41DB" w:rsidRDefault="001E41DB" w:rsidP="002E1760"/>
    <w:p w14:paraId="2DBD62C3" w14:textId="623C1609" w:rsidR="00BA5B7B" w:rsidRPr="00BA5B7B" w:rsidRDefault="00BA5B7B" w:rsidP="002E1760">
      <w:pPr>
        <w:rPr>
          <w:color w:val="4BACC6" w:themeColor="accent5"/>
        </w:rPr>
      </w:pPr>
      <w:r w:rsidRPr="00BA5B7B">
        <w:rPr>
          <w:color w:val="4BACC6" w:themeColor="accent5"/>
        </w:rPr>
        <w:t xml:space="preserve">Invesco </w:t>
      </w:r>
      <w:r>
        <w:rPr>
          <w:color w:val="4BACC6" w:themeColor="accent5"/>
        </w:rPr>
        <w:t>agrees with ESMA’s assertion in the first subparagraph of paragraph 73 of the consultation that t</w:t>
      </w:r>
      <w:r w:rsidRPr="00BA5B7B">
        <w:rPr>
          <w:color w:val="4BACC6" w:themeColor="accent5"/>
        </w:rPr>
        <w:t xml:space="preserve">he SSTI-waiver adds further complexity to an already complex pre-trade transparency regime </w:t>
      </w:r>
      <w:r>
        <w:rPr>
          <w:color w:val="4BACC6" w:themeColor="accent5"/>
        </w:rPr>
        <w:t xml:space="preserve">in representing </w:t>
      </w:r>
      <w:r w:rsidRPr="00BA5B7B">
        <w:rPr>
          <w:color w:val="4BACC6" w:themeColor="accent5"/>
        </w:rPr>
        <w:t>another threshold to be assessed.</w:t>
      </w:r>
      <w:r>
        <w:rPr>
          <w:color w:val="4BACC6" w:themeColor="accent5"/>
        </w:rPr>
        <w:t xml:space="preserve"> As such, we agree with ESMA’s recommendation to delete the pre-trade SSTI waiver</w:t>
      </w:r>
      <w:r w:rsidR="00DE428B">
        <w:rPr>
          <w:color w:val="4BACC6" w:themeColor="accent5"/>
        </w:rPr>
        <w:t xml:space="preserve"> and lower the pre-trade LIS threshold </w:t>
      </w:r>
      <w:r w:rsidR="00AB3516">
        <w:rPr>
          <w:color w:val="4BACC6" w:themeColor="accent5"/>
        </w:rPr>
        <w:t>proportionately</w:t>
      </w:r>
      <w:r w:rsidR="00DE428B">
        <w:rPr>
          <w:color w:val="4BACC6" w:themeColor="accent5"/>
        </w:rPr>
        <w:t xml:space="preserve">. </w:t>
      </w:r>
    </w:p>
    <w:p w14:paraId="0E2AC349" w14:textId="77777777" w:rsidR="00BA5B7B" w:rsidRDefault="00BA5B7B" w:rsidP="002E1760"/>
    <w:p w14:paraId="73A2DFCC" w14:textId="4A709D8E" w:rsidR="002E1760" w:rsidRDefault="002E1760" w:rsidP="002E1760"/>
    <w:permEnd w:id="473446270"/>
    <w:p w14:paraId="5D592195" w14:textId="77777777"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12936D2B" w14:textId="77777777" w:rsidR="001E41DB" w:rsidRDefault="001E41DB" w:rsidP="002E1760">
      <w:permStart w:id="1101743476" w:edGrp="everyone"/>
    </w:p>
    <w:p w14:paraId="0BB3749E" w14:textId="77777777" w:rsidR="001E41DB" w:rsidRDefault="001E41DB" w:rsidP="002E1760"/>
    <w:p w14:paraId="0365BD4E" w14:textId="4C1A2E5B" w:rsidR="00DE428B" w:rsidRDefault="00DE428B" w:rsidP="002E1760">
      <w:pPr>
        <w:rPr>
          <w:color w:val="4BACC6" w:themeColor="accent5"/>
        </w:rPr>
      </w:pPr>
      <w:r>
        <w:rPr>
          <w:color w:val="4BACC6" w:themeColor="accent5"/>
        </w:rPr>
        <w:t xml:space="preserve">So as to ensure regulatory coherence and consistency, Invesco agrees with ESMA’s Option 2 – to remove </w:t>
      </w:r>
      <w:r w:rsidRPr="00DE428B">
        <w:rPr>
          <w:color w:val="4BACC6" w:themeColor="accent5"/>
        </w:rPr>
        <w:t xml:space="preserve">the SSTI-concept for the SI-quoting obligation and to replace it </w:t>
      </w:r>
      <w:r>
        <w:rPr>
          <w:color w:val="4BACC6" w:themeColor="accent5"/>
        </w:rPr>
        <w:t>with</w:t>
      </w:r>
      <w:r w:rsidRPr="00DE428B">
        <w:rPr>
          <w:color w:val="4BACC6" w:themeColor="accent5"/>
        </w:rPr>
        <w:t xml:space="preserve"> a reference to the LIS</w:t>
      </w:r>
      <w:r>
        <w:rPr>
          <w:color w:val="4BACC6" w:themeColor="accent5"/>
        </w:rPr>
        <w:t xml:space="preserve">. </w:t>
      </w:r>
    </w:p>
    <w:p w14:paraId="33EFDD28" w14:textId="77777777" w:rsidR="00DE428B" w:rsidRDefault="00DE428B" w:rsidP="002E1760"/>
    <w:p w14:paraId="70BC4D72" w14:textId="02F41178" w:rsidR="002E1760" w:rsidRDefault="002E1760" w:rsidP="002E1760"/>
    <w:permEnd w:id="1101743476"/>
    <w:p w14:paraId="684ED03B" w14:textId="77777777" w:rsidR="002E1760" w:rsidRDefault="002E1760" w:rsidP="002E1760"/>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70315D48" w14:textId="77777777" w:rsidR="001E41DB" w:rsidRDefault="001E41DB" w:rsidP="00227C1A">
      <w:permStart w:id="1725855520" w:edGrp="everyone"/>
    </w:p>
    <w:p w14:paraId="65AD4799" w14:textId="77777777" w:rsidR="001E41DB" w:rsidRDefault="001E41DB" w:rsidP="00227C1A"/>
    <w:p w14:paraId="5E6AA5B5" w14:textId="43A0AC92" w:rsidR="00227C1A" w:rsidRDefault="00227C1A" w:rsidP="00227C1A">
      <w:r>
        <w:t>TYPE YOUR TEXT HERE</w:t>
      </w:r>
    </w:p>
    <w:p w14:paraId="06093DC6" w14:textId="2B939B84" w:rsidR="00227C1A" w:rsidRDefault="00227C1A" w:rsidP="00227C1A"/>
    <w:p w14:paraId="58C1CE79" w14:textId="1E1AE8A7" w:rsidR="00227C1A" w:rsidRDefault="00227C1A" w:rsidP="00227C1A"/>
    <w:permEnd w:id="1725855520"/>
    <w:p w14:paraId="095C0957" w14:textId="77777777" w:rsidR="00227C1A" w:rsidRDefault="00227C1A" w:rsidP="00227C1A"/>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60964EDF" w14:textId="77777777" w:rsidR="00454416" w:rsidRDefault="00454416" w:rsidP="0062022D">
      <w:permStart w:id="203298670" w:edGrp="everyone"/>
    </w:p>
    <w:p w14:paraId="5D05DCD1" w14:textId="2BA16C10" w:rsidR="00454416" w:rsidRPr="008F2184" w:rsidRDefault="00454416" w:rsidP="0062022D">
      <w:pPr>
        <w:rPr>
          <w:color w:val="4BACC6" w:themeColor="accent5"/>
        </w:rPr>
      </w:pPr>
    </w:p>
    <w:p w14:paraId="336417D4" w14:textId="0450AA9C" w:rsidR="008F2184" w:rsidRDefault="008F2184" w:rsidP="0062022D">
      <w:pPr>
        <w:rPr>
          <w:color w:val="4BACC6" w:themeColor="accent5"/>
        </w:rPr>
      </w:pPr>
      <w:r w:rsidRPr="008F2184">
        <w:rPr>
          <w:color w:val="4BACC6" w:themeColor="accent5"/>
        </w:rPr>
        <w:t xml:space="preserve">We agree with </w:t>
      </w:r>
      <w:r>
        <w:rPr>
          <w:color w:val="4BACC6" w:themeColor="accent5"/>
        </w:rPr>
        <w:t xml:space="preserve">ESMA that innovation with respect to trading systems is important and can be beneficial to market participants and, ultimately, end-investors. We also agree that the relevant rules should provide sufficient flexibility to accommodate such innovation and related market developments. However, </w:t>
      </w:r>
      <w:r w:rsidR="00C16392">
        <w:rPr>
          <w:color w:val="4BACC6" w:themeColor="accent5"/>
        </w:rPr>
        <w:t xml:space="preserve">we believe that </w:t>
      </w:r>
      <w:r>
        <w:rPr>
          <w:color w:val="4BACC6" w:themeColor="accent5"/>
        </w:rPr>
        <w:t xml:space="preserve">the </w:t>
      </w:r>
      <w:r w:rsidR="00C16392">
        <w:rPr>
          <w:color w:val="4BACC6" w:themeColor="accent5"/>
        </w:rPr>
        <w:t xml:space="preserve">current </w:t>
      </w:r>
      <w:r>
        <w:rPr>
          <w:color w:val="4BACC6" w:themeColor="accent5"/>
        </w:rPr>
        <w:t xml:space="preserve">definitions </w:t>
      </w:r>
      <w:r w:rsidR="00C16392">
        <w:rPr>
          <w:color w:val="4BACC6" w:themeColor="accent5"/>
        </w:rPr>
        <w:t xml:space="preserve">of trading systems and their respective transparency requirements, </w:t>
      </w:r>
      <w:r>
        <w:rPr>
          <w:color w:val="4BACC6" w:themeColor="accent5"/>
        </w:rPr>
        <w:t>as set out in Annex 1 of RTS 2</w:t>
      </w:r>
      <w:r w:rsidR="00C16392">
        <w:rPr>
          <w:color w:val="4BACC6" w:themeColor="accent5"/>
        </w:rPr>
        <w:t>, are sufficient in respect of the systems used to trade in fixed income instruments. Therefore, we do not agree with ESMA’s proposal as set out in paragraph 94 of the consultation.</w:t>
      </w:r>
    </w:p>
    <w:p w14:paraId="4DDFA1E7" w14:textId="77777777" w:rsidR="00454416" w:rsidRDefault="00454416" w:rsidP="00454416"/>
    <w:p w14:paraId="16A7D6E4" w14:textId="3FEBB255" w:rsidR="0062022D" w:rsidRDefault="0062022D" w:rsidP="0062022D"/>
    <w:permEnd w:id="203298670"/>
    <w:p w14:paraId="502547FC" w14:textId="77777777" w:rsidR="0062022D" w:rsidRDefault="0062022D" w:rsidP="0062022D"/>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0E0DC8AE" w14:textId="77777777" w:rsidR="00621A12" w:rsidRDefault="00621A12" w:rsidP="00A263DF">
      <w:permStart w:id="795872801" w:edGrp="everyone"/>
    </w:p>
    <w:p w14:paraId="29E6E769" w14:textId="449181A1" w:rsidR="00621A12" w:rsidRDefault="00621A12" w:rsidP="00A263DF"/>
    <w:p w14:paraId="3DBB7A62" w14:textId="1AC0A95B" w:rsidR="00E45438" w:rsidRDefault="002C430D" w:rsidP="00A263DF">
      <w:pPr>
        <w:rPr>
          <w:color w:val="4BACC6" w:themeColor="accent5"/>
        </w:rPr>
      </w:pPr>
      <w:r>
        <w:rPr>
          <w:color w:val="4BACC6" w:themeColor="accent5"/>
        </w:rPr>
        <w:t>In line with our response to Q6, we believe that the current definitions of trading systems and their respective transparency requirements, as set out in Annex 1 of RTS 2, are sufficient in respect of the systems used to trade in fixed income instruments. Therefore, we do not agree with ESMA’s proposal as set out in paragraph 95 of the consultation.</w:t>
      </w:r>
    </w:p>
    <w:p w14:paraId="146319EA" w14:textId="77777777" w:rsidR="00E45438" w:rsidRDefault="00E45438" w:rsidP="00A263DF"/>
    <w:p w14:paraId="1B1AC1A6" w14:textId="6C83BDE4" w:rsidR="00A263DF" w:rsidRDefault="00A263DF" w:rsidP="00A263DF"/>
    <w:permEnd w:id="795872801"/>
    <w:p w14:paraId="1518C3B3" w14:textId="77777777" w:rsidR="00A263DF" w:rsidRDefault="00A263DF" w:rsidP="00A263DF"/>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2CE1A2DD" w14:textId="77777777" w:rsidR="00621A12" w:rsidRDefault="00621A12" w:rsidP="00A263DF">
      <w:permStart w:id="1747589383" w:edGrp="everyone"/>
    </w:p>
    <w:p w14:paraId="7A3D8AFD" w14:textId="77777777" w:rsidR="00621A12" w:rsidRDefault="00621A12" w:rsidP="00A263DF"/>
    <w:p w14:paraId="2FCA74AE" w14:textId="235EDF60" w:rsidR="00A72DA6" w:rsidRDefault="0077464F" w:rsidP="00A263DF">
      <w:pPr>
        <w:rPr>
          <w:color w:val="4BACC6" w:themeColor="accent5"/>
        </w:rPr>
      </w:pPr>
      <w:r>
        <w:rPr>
          <w:color w:val="4BACC6" w:themeColor="accent5"/>
        </w:rPr>
        <w:t xml:space="preserve">In line </w:t>
      </w:r>
      <w:r w:rsidR="00BF07E4">
        <w:rPr>
          <w:color w:val="4BACC6" w:themeColor="accent5"/>
        </w:rPr>
        <w:t xml:space="preserve">with </w:t>
      </w:r>
      <w:r>
        <w:rPr>
          <w:color w:val="4BACC6" w:themeColor="accent5"/>
        </w:rPr>
        <w:t xml:space="preserve">our responses to the July 2019 ESMA consultation on </w:t>
      </w:r>
      <w:r w:rsidRPr="0077464F">
        <w:rPr>
          <w:color w:val="4BACC6" w:themeColor="accent5"/>
        </w:rPr>
        <w:t>the development in prices for pre- and post-trade data and on the consolidated tape for equity instruments</w:t>
      </w:r>
      <w:r>
        <w:rPr>
          <w:color w:val="4BACC6" w:themeColor="accent5"/>
        </w:rPr>
        <w:t xml:space="preserve"> and the </w:t>
      </w:r>
      <w:r w:rsidR="00A668F8">
        <w:rPr>
          <w:color w:val="4BACC6" w:themeColor="accent5"/>
        </w:rPr>
        <w:t>February</w:t>
      </w:r>
      <w:r>
        <w:rPr>
          <w:color w:val="4BACC6" w:themeColor="accent5"/>
        </w:rPr>
        <w:t xml:space="preserve"> 2020 European Commission consultation on the MiFID II/MiFIR framework, we agree with ESMA’s conclusion (paragraph </w:t>
      </w:r>
      <w:r>
        <w:rPr>
          <w:color w:val="4BACC6" w:themeColor="accent5"/>
        </w:rPr>
        <w:lastRenderedPageBreak/>
        <w:t>105</w:t>
      </w:r>
      <w:r w:rsidR="00941AD2">
        <w:rPr>
          <w:color w:val="4BACC6" w:themeColor="accent5"/>
        </w:rPr>
        <w:t xml:space="preserve"> of this consultation</w:t>
      </w:r>
      <w:r>
        <w:rPr>
          <w:color w:val="4BACC6" w:themeColor="accent5"/>
        </w:rPr>
        <w:t>)</w:t>
      </w:r>
      <w:r w:rsidR="00A72DA6">
        <w:rPr>
          <w:color w:val="4BACC6" w:themeColor="accent5"/>
        </w:rPr>
        <w:t xml:space="preserve"> that market participants challenge the assertion that vendors are providing data on a reasonable commercial basis (RCB) and that some trading venues and APAs are potentially not complying with their regulatory obligations </w:t>
      </w:r>
      <w:r w:rsidR="00A72DA6" w:rsidRPr="00A72DA6">
        <w:rPr>
          <w:color w:val="4BACC6" w:themeColor="accent5"/>
        </w:rPr>
        <w:t xml:space="preserve">to make pre-trade data </w:t>
      </w:r>
      <w:r w:rsidR="00A72DA6">
        <w:rPr>
          <w:color w:val="4BACC6" w:themeColor="accent5"/>
        </w:rPr>
        <w:t xml:space="preserve">available </w:t>
      </w:r>
      <w:r w:rsidR="00A72DA6" w:rsidRPr="00A72DA6">
        <w:rPr>
          <w:color w:val="4BACC6" w:themeColor="accent5"/>
        </w:rPr>
        <w:t>free of charge 15 minutes after publication</w:t>
      </w:r>
      <w:r w:rsidR="00A72DA6">
        <w:rPr>
          <w:color w:val="4BACC6" w:themeColor="accent5"/>
        </w:rPr>
        <w:t xml:space="preserve">. We also agree with ESMA’s conclusion that </w:t>
      </w:r>
      <w:r w:rsidR="00A72DA6" w:rsidRPr="00A72DA6">
        <w:rPr>
          <w:color w:val="4BACC6" w:themeColor="accent5"/>
        </w:rPr>
        <w:t>the absence of a common standard results in a patchwork of pre-trade information that is difficult to read and compare.</w:t>
      </w:r>
    </w:p>
    <w:p w14:paraId="42EB9E81" w14:textId="642C8185" w:rsidR="00A72DA6" w:rsidRDefault="00A72DA6" w:rsidP="00A263DF">
      <w:pPr>
        <w:rPr>
          <w:color w:val="4BACC6" w:themeColor="accent5"/>
        </w:rPr>
      </w:pPr>
    </w:p>
    <w:p w14:paraId="4215E45B" w14:textId="6E30BD9E" w:rsidR="00A72DA6" w:rsidRDefault="00A72DA6" w:rsidP="00A263DF">
      <w:pPr>
        <w:rPr>
          <w:color w:val="4BACC6" w:themeColor="accent5"/>
        </w:rPr>
      </w:pPr>
      <w:r>
        <w:rPr>
          <w:color w:val="4BACC6" w:themeColor="accent5"/>
        </w:rPr>
        <w:t xml:space="preserve">As such, we would agree with ESMA’s proposal to </w:t>
      </w:r>
      <w:r w:rsidRPr="00A72DA6">
        <w:rPr>
          <w:color w:val="4BACC6" w:themeColor="accent5"/>
        </w:rPr>
        <w:t xml:space="preserve">require SIs to make data </w:t>
      </w:r>
      <w:r w:rsidR="009961DC">
        <w:rPr>
          <w:color w:val="4BACC6" w:themeColor="accent5"/>
        </w:rPr>
        <w:t xml:space="preserve">relating to quotes </w:t>
      </w:r>
      <w:r>
        <w:rPr>
          <w:color w:val="4BACC6" w:themeColor="accent5"/>
        </w:rPr>
        <w:t xml:space="preserve">available </w:t>
      </w:r>
      <w:r w:rsidRPr="00A72DA6">
        <w:rPr>
          <w:color w:val="4BACC6" w:themeColor="accent5"/>
        </w:rPr>
        <w:t>free of charge 15 minutes after publication</w:t>
      </w:r>
      <w:r w:rsidR="007506F5">
        <w:rPr>
          <w:color w:val="4BACC6" w:themeColor="accent5"/>
        </w:rPr>
        <w:t>, in a standardised, comparable format.</w:t>
      </w:r>
    </w:p>
    <w:p w14:paraId="0C32E84A" w14:textId="77777777" w:rsidR="00A72DA6" w:rsidRDefault="00A72DA6" w:rsidP="00A263DF"/>
    <w:p w14:paraId="7A98B29F" w14:textId="4F096D41" w:rsidR="00A263DF" w:rsidRDefault="00A263DF" w:rsidP="00A263DF"/>
    <w:permEnd w:id="1747589383"/>
    <w:p w14:paraId="37B13B3E" w14:textId="77777777" w:rsidR="00A263DF" w:rsidRDefault="00A263DF" w:rsidP="00A263DF"/>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5D3EF14B" w14:textId="77777777" w:rsidR="00A72DA6" w:rsidRDefault="00A72DA6" w:rsidP="002E1760">
      <w:permStart w:id="1400726192" w:edGrp="everyone"/>
    </w:p>
    <w:p w14:paraId="0838BC20" w14:textId="77777777" w:rsidR="00A72DA6" w:rsidRDefault="00A72DA6" w:rsidP="002E1760"/>
    <w:p w14:paraId="2127054A" w14:textId="4FEB78AE" w:rsidR="00A72DA6" w:rsidRDefault="00A72DA6" w:rsidP="002E1760">
      <w:pPr>
        <w:rPr>
          <w:color w:val="4BACC6" w:themeColor="accent5"/>
        </w:rPr>
      </w:pPr>
      <w:r w:rsidRPr="00A72DA6">
        <w:rPr>
          <w:color w:val="4BACC6" w:themeColor="accent5"/>
        </w:rPr>
        <w:t>Invesco strongly encourages regulatory clarity, coherence and consistency at all levels of policymaking and</w:t>
      </w:r>
      <w:r>
        <w:rPr>
          <w:color w:val="4BACC6" w:themeColor="accent5"/>
        </w:rPr>
        <w:t>, therefore,</w:t>
      </w:r>
      <w:r w:rsidRPr="00A72DA6">
        <w:rPr>
          <w:color w:val="4BACC6" w:themeColor="accent5"/>
        </w:rPr>
        <w:t xml:space="preserve"> we can see some merit</w:t>
      </w:r>
      <w:r>
        <w:rPr>
          <w:color w:val="4BACC6" w:themeColor="accent5"/>
        </w:rPr>
        <w:t xml:space="preserve"> in </w:t>
      </w:r>
      <w:r w:rsidRPr="00A72DA6">
        <w:rPr>
          <w:color w:val="4BACC6" w:themeColor="accent5"/>
        </w:rPr>
        <w:t>further standardising pre-trade transparency information</w:t>
      </w:r>
      <w:r>
        <w:rPr>
          <w:color w:val="4BACC6" w:themeColor="accent5"/>
        </w:rPr>
        <w:t xml:space="preserve"> in order to </w:t>
      </w:r>
      <w:r w:rsidRPr="00A72DA6">
        <w:rPr>
          <w:color w:val="4BACC6" w:themeColor="accent5"/>
        </w:rPr>
        <w:t xml:space="preserve">increase the usability and comparability of </w:t>
      </w:r>
      <w:r>
        <w:rPr>
          <w:color w:val="4BACC6" w:themeColor="accent5"/>
        </w:rPr>
        <w:t xml:space="preserve">said </w:t>
      </w:r>
      <w:r w:rsidRPr="00A72DA6">
        <w:rPr>
          <w:color w:val="4BACC6" w:themeColor="accent5"/>
        </w:rPr>
        <w:t>information</w:t>
      </w:r>
      <w:r w:rsidR="009961DC">
        <w:rPr>
          <w:color w:val="4BACC6" w:themeColor="accent5"/>
        </w:rPr>
        <w:t>. We believe that simplifying the regime, as set out in our response to Q3 for example, will help to achieve this objective.</w:t>
      </w:r>
    </w:p>
    <w:p w14:paraId="6E0FC538" w14:textId="77777777" w:rsidR="00A72DA6" w:rsidRDefault="00A72DA6" w:rsidP="002E1760"/>
    <w:p w14:paraId="73E738A3" w14:textId="0874AE58" w:rsidR="002E1760" w:rsidRDefault="002E1760" w:rsidP="002E1760"/>
    <w:permEnd w:id="1400726192"/>
    <w:p w14:paraId="7F5121D5" w14:textId="77777777"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04852C12" w14:textId="77777777" w:rsidR="00A668F8" w:rsidRDefault="00A668F8" w:rsidP="008418E3">
      <w:permStart w:id="929114806" w:edGrp="everyone"/>
    </w:p>
    <w:p w14:paraId="6CDA6DD8" w14:textId="77777777" w:rsidR="00A668F8" w:rsidRDefault="00A668F8" w:rsidP="008418E3"/>
    <w:p w14:paraId="20F17155" w14:textId="6B04950B" w:rsidR="00A668F8" w:rsidRDefault="00A668F8" w:rsidP="00A668F8">
      <w:pPr>
        <w:rPr>
          <w:color w:val="4BACC6" w:themeColor="accent5"/>
        </w:rPr>
      </w:pPr>
      <w:r>
        <w:rPr>
          <w:color w:val="4BACC6" w:themeColor="accent5"/>
        </w:rPr>
        <w:t xml:space="preserve">As outlined in our response to the February 2020 European Commission consultation on the MiFID II/MiFIR framework, in </w:t>
      </w:r>
      <w:r w:rsidRPr="00A668F8">
        <w:rPr>
          <w:color w:val="4BACC6" w:themeColor="accent5"/>
        </w:rPr>
        <w:t xml:space="preserve">our experience, the current post-trade transparency deferral rules have been key to protecting the competitive liquidity and pricing of bonds. As such, we believe that </w:t>
      </w:r>
      <w:r>
        <w:rPr>
          <w:color w:val="4BACC6" w:themeColor="accent5"/>
        </w:rPr>
        <w:t xml:space="preserve">any amendments, including for example the </w:t>
      </w:r>
      <w:r w:rsidRPr="00A668F8">
        <w:rPr>
          <w:color w:val="4BACC6" w:themeColor="accent5"/>
        </w:rPr>
        <w:t>shortening the current deferral periods</w:t>
      </w:r>
      <w:r>
        <w:rPr>
          <w:color w:val="4BACC6" w:themeColor="accent5"/>
        </w:rPr>
        <w:t>,</w:t>
      </w:r>
      <w:r w:rsidRPr="00A668F8">
        <w:rPr>
          <w:color w:val="4BACC6" w:themeColor="accent5"/>
        </w:rPr>
        <w:t xml:space="preserve"> could be detrimental to execution.</w:t>
      </w:r>
      <w:r>
        <w:rPr>
          <w:color w:val="4BACC6" w:themeColor="accent5"/>
        </w:rPr>
        <w:t xml:space="preserve"> </w:t>
      </w:r>
      <w:r w:rsidRPr="00A668F8">
        <w:rPr>
          <w:color w:val="4BACC6" w:themeColor="accent5"/>
        </w:rPr>
        <w:t>However, where discrepancies exist in Member States’ transposition</w:t>
      </w:r>
      <w:r w:rsidR="007506F5">
        <w:rPr>
          <w:color w:val="4BACC6" w:themeColor="accent5"/>
        </w:rPr>
        <w:t>,</w:t>
      </w:r>
      <w:r w:rsidRPr="00A668F8">
        <w:rPr>
          <w:color w:val="4BACC6" w:themeColor="accent5"/>
        </w:rPr>
        <w:t xml:space="preserve"> application </w:t>
      </w:r>
      <w:r w:rsidR="007506F5">
        <w:rPr>
          <w:color w:val="4BACC6" w:themeColor="accent5"/>
        </w:rPr>
        <w:t xml:space="preserve">or enforcement </w:t>
      </w:r>
      <w:r w:rsidRPr="00A668F8">
        <w:rPr>
          <w:color w:val="4BACC6" w:themeColor="accent5"/>
        </w:rPr>
        <w:t xml:space="preserve">of the post-trade transparency rules, we would encourage the </w:t>
      </w:r>
      <w:r>
        <w:rPr>
          <w:color w:val="4BACC6" w:themeColor="accent5"/>
        </w:rPr>
        <w:t xml:space="preserve">ESMA </w:t>
      </w:r>
      <w:r w:rsidRPr="00A668F8">
        <w:rPr>
          <w:color w:val="4BACC6" w:themeColor="accent5"/>
        </w:rPr>
        <w:t>to pursue harmonisation so as to reduce complexity</w:t>
      </w:r>
      <w:r w:rsidR="00A52518">
        <w:rPr>
          <w:color w:val="4BACC6" w:themeColor="accent5"/>
        </w:rPr>
        <w:t xml:space="preserve"> and ensure </w:t>
      </w:r>
      <w:r w:rsidR="00795DDC">
        <w:rPr>
          <w:color w:val="4BACC6" w:themeColor="accent5"/>
        </w:rPr>
        <w:t>the integrity of the Single Market</w:t>
      </w:r>
      <w:r w:rsidRPr="00A668F8">
        <w:rPr>
          <w:color w:val="4BACC6" w:themeColor="accent5"/>
        </w:rPr>
        <w:t>.</w:t>
      </w:r>
    </w:p>
    <w:p w14:paraId="2BBAAB72" w14:textId="334FFD78" w:rsidR="008418E3" w:rsidRDefault="008418E3" w:rsidP="008418E3">
      <w:pPr>
        <w:rPr>
          <w:color w:val="4BACC6" w:themeColor="accent5"/>
        </w:rPr>
      </w:pPr>
    </w:p>
    <w:p w14:paraId="1EBBC242" w14:textId="24181367" w:rsidR="008418E3" w:rsidRDefault="008418E3" w:rsidP="008418E3">
      <w:pPr>
        <w:rPr>
          <w:color w:val="4BACC6" w:themeColor="accent5"/>
        </w:rPr>
      </w:pPr>
    </w:p>
    <w:permEnd w:id="929114806"/>
    <w:p w14:paraId="4AAD1D73" w14:textId="77777777"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lastRenderedPageBreak/>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121E3895" w14:textId="77777777" w:rsidR="00DF5329" w:rsidRDefault="00DF5329" w:rsidP="00F469F8">
      <w:permStart w:id="675495160" w:edGrp="everyone"/>
    </w:p>
    <w:p w14:paraId="7B7AE928" w14:textId="77777777" w:rsidR="00DF5329" w:rsidRDefault="00DF5329" w:rsidP="00F469F8"/>
    <w:p w14:paraId="600FF123" w14:textId="5A3A4D85" w:rsidR="009962A7" w:rsidRDefault="009962A7" w:rsidP="00F469F8">
      <w:pPr>
        <w:rPr>
          <w:color w:val="4BACC6" w:themeColor="accent5"/>
        </w:rPr>
      </w:pPr>
      <w:r>
        <w:rPr>
          <w:color w:val="4BACC6" w:themeColor="accent5"/>
        </w:rPr>
        <w:t xml:space="preserve">In line with our response to </w:t>
      </w:r>
      <w:r w:rsidR="00EE0E41">
        <w:rPr>
          <w:color w:val="4BACC6" w:themeColor="accent5"/>
        </w:rPr>
        <w:t xml:space="preserve">Q3, Invesco supports ESMA’s intention to simplify the post-trade transparency regime. As such, we agree with the recommendation to delete the concept of SSTI for the deferral regime and lower the post-trade LIS threshold proportionately across all asset classes. </w:t>
      </w:r>
      <w:r w:rsidR="005D0172">
        <w:rPr>
          <w:color w:val="4BACC6" w:themeColor="accent5"/>
        </w:rPr>
        <w:t>Beyond simplifying the regime, w</w:t>
      </w:r>
      <w:r w:rsidR="00EE0E41">
        <w:rPr>
          <w:color w:val="4BACC6" w:themeColor="accent5"/>
        </w:rPr>
        <w:t>e believe this would help to harmonise post-trade reporting.</w:t>
      </w:r>
    </w:p>
    <w:p w14:paraId="4A43E1E8" w14:textId="77777777" w:rsidR="00EE0E41" w:rsidRDefault="00EE0E41" w:rsidP="00F469F8">
      <w:pPr>
        <w:rPr>
          <w:color w:val="4BACC6" w:themeColor="accent5"/>
        </w:rPr>
      </w:pPr>
    </w:p>
    <w:p w14:paraId="3DB3E213" w14:textId="38F4B5BD" w:rsidR="00F469F8" w:rsidRDefault="00F469F8" w:rsidP="00F469F8"/>
    <w:permEnd w:id="675495160"/>
    <w:p w14:paraId="1EECEE67" w14:textId="77777777"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28B2796D" w14:textId="77777777" w:rsidR="00A6046D" w:rsidRDefault="00A6046D" w:rsidP="00F469F8">
      <w:permStart w:id="227761104" w:edGrp="everyone"/>
    </w:p>
    <w:p w14:paraId="43DABFE4" w14:textId="77777777" w:rsidR="00A6046D" w:rsidRDefault="00A6046D" w:rsidP="00F469F8"/>
    <w:p w14:paraId="5C8695F3" w14:textId="2472D516" w:rsidR="00EE0E41" w:rsidRPr="009962A7" w:rsidRDefault="00EE0E41" w:rsidP="00EE0E41">
      <w:pPr>
        <w:rPr>
          <w:color w:val="4BACC6" w:themeColor="accent5"/>
        </w:rPr>
      </w:pPr>
      <w:r>
        <w:rPr>
          <w:color w:val="4BACC6" w:themeColor="accent5"/>
        </w:rPr>
        <w:t xml:space="preserve">Invesco supports the recommendations put forward under </w:t>
      </w:r>
      <w:r w:rsidRPr="00EE0E41">
        <w:rPr>
          <w:color w:val="4BACC6" w:themeColor="accent5"/>
        </w:rPr>
        <w:t>Option 3</w:t>
      </w:r>
      <w:r>
        <w:rPr>
          <w:color w:val="4BACC6" w:themeColor="accent5"/>
        </w:rPr>
        <w:t>.</w:t>
      </w:r>
    </w:p>
    <w:p w14:paraId="24FB6CB8" w14:textId="77777777" w:rsidR="00EE0E41" w:rsidRDefault="00EE0E41" w:rsidP="00F469F8"/>
    <w:p w14:paraId="1C16D787" w14:textId="33571C07" w:rsidR="00F469F8" w:rsidRDefault="00F469F8" w:rsidP="00F469F8"/>
    <w:permEnd w:id="227761104"/>
    <w:p w14:paraId="2FDB050C" w14:textId="77777777" w:rsidR="00F469F8" w:rsidRDefault="00F469F8" w:rsidP="00F469F8"/>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1C5D1C5A" w14:textId="77777777" w:rsidR="00A6046D" w:rsidRDefault="00A6046D" w:rsidP="00646C30">
      <w:permStart w:id="308116658" w:edGrp="everyone"/>
    </w:p>
    <w:p w14:paraId="42633446" w14:textId="77777777" w:rsidR="00A6046D" w:rsidRDefault="00A6046D" w:rsidP="00646C30"/>
    <w:p w14:paraId="656A2F5C" w14:textId="07B4D749" w:rsidR="00EE0E41" w:rsidRDefault="00EE0E41" w:rsidP="00646C30">
      <w:r>
        <w:rPr>
          <w:color w:val="4BACC6" w:themeColor="accent5"/>
        </w:rPr>
        <w:t xml:space="preserve">Invesco supports the recommendations put forward under </w:t>
      </w:r>
      <w:r w:rsidRPr="00EE0E41">
        <w:rPr>
          <w:color w:val="4BACC6" w:themeColor="accent5"/>
        </w:rPr>
        <w:t>Option 3</w:t>
      </w:r>
      <w:r w:rsidR="005D0172">
        <w:rPr>
          <w:color w:val="4BACC6" w:themeColor="accent5"/>
        </w:rPr>
        <w:t>.</w:t>
      </w:r>
    </w:p>
    <w:p w14:paraId="7F4FAB44" w14:textId="77777777" w:rsidR="00EE0E41" w:rsidRDefault="00EE0E41" w:rsidP="00646C30"/>
    <w:p w14:paraId="52C9B319" w14:textId="1EE8B235" w:rsidR="00646C30" w:rsidRDefault="00646C30" w:rsidP="00646C30"/>
    <w:permEnd w:id="308116658"/>
    <w:p w14:paraId="600952D9" w14:textId="77777777" w:rsidR="00646C30" w:rsidRDefault="00646C30" w:rsidP="00646C30"/>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lastRenderedPageBreak/>
        <w:t>&lt;ESMA_QUESTION_CP</w:t>
      </w:r>
      <w:r w:rsidR="007254DD">
        <w:t>_MIFID_NQT</w:t>
      </w:r>
      <w:r w:rsidR="00F107EF">
        <w:t>_</w:t>
      </w:r>
      <w:r>
        <w:t>1</w:t>
      </w:r>
      <w:r w:rsidR="00101BF1">
        <w:t>4</w:t>
      </w:r>
      <w:r>
        <w:t>&gt;</w:t>
      </w:r>
    </w:p>
    <w:p w14:paraId="286CEFFF" w14:textId="77777777" w:rsidR="00DF5329" w:rsidRDefault="00DF5329" w:rsidP="00646C30">
      <w:permStart w:id="699085938" w:edGrp="everyone"/>
    </w:p>
    <w:p w14:paraId="0C234FB4" w14:textId="77777777" w:rsidR="00DF5329" w:rsidRDefault="00DF5329" w:rsidP="00646C30"/>
    <w:p w14:paraId="6A257108" w14:textId="4653452D" w:rsidR="00646C30" w:rsidRDefault="00DF5329" w:rsidP="00646C30">
      <w:r>
        <w:rPr>
          <w:color w:val="4BACC6" w:themeColor="accent5"/>
        </w:rPr>
        <w:t xml:space="preserve">As alluded to in our response to Q10, we agree with ESMA’s proposals </w:t>
      </w:r>
      <w:r w:rsidRPr="00DF5329">
        <w:rPr>
          <w:color w:val="4BACC6" w:themeColor="accent5"/>
        </w:rPr>
        <w:t>to issue further guidance and put a stronger focus on enforcement to improve the quality of post-trade data</w:t>
      </w:r>
      <w:r>
        <w:rPr>
          <w:color w:val="4BACC6" w:themeColor="accent5"/>
        </w:rPr>
        <w:t>.</w:t>
      </w:r>
      <w:r w:rsidR="00994A15">
        <w:rPr>
          <w:color w:val="4BACC6" w:themeColor="accent5"/>
        </w:rPr>
        <w:t xml:space="preserve"> In particular, </w:t>
      </w:r>
      <w:r w:rsidR="00994A15" w:rsidRPr="00A668F8">
        <w:rPr>
          <w:color w:val="4BACC6" w:themeColor="accent5"/>
        </w:rPr>
        <w:t>where discrepancies exist in Member States’ transposition</w:t>
      </w:r>
      <w:r w:rsidR="004635C8">
        <w:rPr>
          <w:color w:val="4BACC6" w:themeColor="accent5"/>
        </w:rPr>
        <w:t xml:space="preserve">, </w:t>
      </w:r>
      <w:r w:rsidR="00994A15" w:rsidRPr="00A668F8">
        <w:rPr>
          <w:color w:val="4BACC6" w:themeColor="accent5"/>
        </w:rPr>
        <w:t xml:space="preserve">application </w:t>
      </w:r>
      <w:r w:rsidR="004635C8">
        <w:rPr>
          <w:color w:val="4BACC6" w:themeColor="accent5"/>
        </w:rPr>
        <w:t xml:space="preserve">or enforcement </w:t>
      </w:r>
      <w:r w:rsidR="00994A15" w:rsidRPr="00A668F8">
        <w:rPr>
          <w:color w:val="4BACC6" w:themeColor="accent5"/>
        </w:rPr>
        <w:t xml:space="preserve">of the post-trade transparency deferral rules, we would encourage </w:t>
      </w:r>
      <w:r w:rsidR="00994A15">
        <w:rPr>
          <w:color w:val="4BACC6" w:themeColor="accent5"/>
        </w:rPr>
        <w:t xml:space="preserve">ESMA </w:t>
      </w:r>
      <w:r w:rsidR="00994A15" w:rsidRPr="00A668F8">
        <w:rPr>
          <w:color w:val="4BACC6" w:themeColor="accent5"/>
        </w:rPr>
        <w:t>to pursue harmonisation so as to reduce complexity</w:t>
      </w:r>
      <w:r w:rsidR="00795DDC" w:rsidRPr="00795DDC">
        <w:rPr>
          <w:color w:val="4BACC6" w:themeColor="accent5"/>
        </w:rPr>
        <w:t xml:space="preserve"> </w:t>
      </w:r>
      <w:r w:rsidR="00795DDC">
        <w:rPr>
          <w:color w:val="4BACC6" w:themeColor="accent5"/>
        </w:rPr>
        <w:t>and ensure the integrity of the Single Market</w:t>
      </w:r>
      <w:r w:rsidR="00994A15" w:rsidRPr="00A668F8">
        <w:rPr>
          <w:color w:val="4BACC6" w:themeColor="accent5"/>
        </w:rPr>
        <w:t>.</w:t>
      </w:r>
      <w:r>
        <w:rPr>
          <w:color w:val="4BACC6" w:themeColor="accent5"/>
        </w:rPr>
        <w:t xml:space="preserve"> </w:t>
      </w:r>
    </w:p>
    <w:p w14:paraId="65AD1F02" w14:textId="3D8B84FD" w:rsidR="00646C30" w:rsidRDefault="00646C30" w:rsidP="00646C30"/>
    <w:p w14:paraId="2C79C204" w14:textId="5614E0B4" w:rsidR="00646C30" w:rsidRDefault="00646C30" w:rsidP="00646C30"/>
    <w:permEnd w:id="699085938"/>
    <w:p w14:paraId="79FD3DA4" w14:textId="77777777"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5BF3AEF9" w14:textId="77777777" w:rsidR="00994A15" w:rsidRDefault="00994A15" w:rsidP="00646C30">
      <w:permStart w:id="1271415520" w:edGrp="everyone"/>
    </w:p>
    <w:p w14:paraId="5CBE399B" w14:textId="77777777" w:rsidR="00994A15" w:rsidRDefault="00994A15" w:rsidP="00646C30"/>
    <w:p w14:paraId="1A95887B" w14:textId="2D9CD3E1" w:rsidR="00646C30" w:rsidRDefault="00994A15" w:rsidP="00646C30">
      <w:pPr>
        <w:rPr>
          <w:color w:val="4BACC6" w:themeColor="accent5"/>
        </w:rPr>
      </w:pPr>
      <w:r>
        <w:rPr>
          <w:color w:val="4BACC6" w:themeColor="accent5"/>
        </w:rPr>
        <w:t>In our response to the European Commission’s February 2020 consultation on the MiFID II/MiFIR framework, we set out in detail how we believe an EU CT can be realised.</w:t>
      </w:r>
    </w:p>
    <w:p w14:paraId="27DD8BFB" w14:textId="794FF113" w:rsidR="00A6046D" w:rsidRDefault="00A6046D" w:rsidP="00646C30">
      <w:pPr>
        <w:rPr>
          <w:color w:val="4BACC6" w:themeColor="accent5"/>
        </w:rPr>
      </w:pPr>
    </w:p>
    <w:p w14:paraId="0AE05E64" w14:textId="572EC53A" w:rsidR="00A6046D" w:rsidRDefault="00A6046D" w:rsidP="00646C30">
      <w:pPr>
        <w:rPr>
          <w:color w:val="4BACC6" w:themeColor="accent5"/>
        </w:rPr>
      </w:pPr>
      <w:r>
        <w:rPr>
          <w:color w:val="4BACC6" w:themeColor="accent5"/>
        </w:rPr>
        <w:t xml:space="preserve">For example, we </w:t>
      </w:r>
      <w:r w:rsidR="0074209D">
        <w:rPr>
          <w:color w:val="4BACC6" w:themeColor="accent5"/>
        </w:rPr>
        <w:t xml:space="preserve">believe </w:t>
      </w:r>
      <w:r w:rsidRPr="00A6046D">
        <w:rPr>
          <w:color w:val="4BACC6" w:themeColor="accent5"/>
        </w:rPr>
        <w:t xml:space="preserve">an EU CT should cover the full suite of asset classes listed </w:t>
      </w:r>
      <w:r>
        <w:rPr>
          <w:color w:val="4BACC6" w:themeColor="accent5"/>
        </w:rPr>
        <w:t>in the Commission consultation (i.e.</w:t>
      </w:r>
      <w:r w:rsidRPr="00A6046D">
        <w:t xml:space="preserve"> </w:t>
      </w:r>
      <w:r>
        <w:rPr>
          <w:color w:val="4BACC6" w:themeColor="accent5"/>
        </w:rPr>
        <w:t>s</w:t>
      </w:r>
      <w:r w:rsidRPr="00A6046D">
        <w:rPr>
          <w:color w:val="4BACC6" w:themeColor="accent5"/>
        </w:rPr>
        <w:t>hares</w:t>
      </w:r>
      <w:r>
        <w:rPr>
          <w:color w:val="4BACC6" w:themeColor="accent5"/>
        </w:rPr>
        <w:t xml:space="preserve">, </w:t>
      </w:r>
      <w:r w:rsidRPr="00A6046D">
        <w:rPr>
          <w:color w:val="4BACC6" w:themeColor="accent5"/>
        </w:rPr>
        <w:t>ETFs</w:t>
      </w:r>
      <w:r>
        <w:rPr>
          <w:color w:val="4BACC6" w:themeColor="accent5"/>
        </w:rPr>
        <w:t>, c</w:t>
      </w:r>
      <w:r w:rsidRPr="00A6046D">
        <w:rPr>
          <w:color w:val="4BACC6" w:themeColor="accent5"/>
        </w:rPr>
        <w:t>orp</w:t>
      </w:r>
      <w:r>
        <w:rPr>
          <w:color w:val="4BACC6" w:themeColor="accent5"/>
        </w:rPr>
        <w:t>orate</w:t>
      </w:r>
      <w:r w:rsidRPr="00A6046D">
        <w:rPr>
          <w:color w:val="4BACC6" w:themeColor="accent5"/>
        </w:rPr>
        <w:t xml:space="preserve"> bonds</w:t>
      </w:r>
      <w:r>
        <w:rPr>
          <w:color w:val="4BACC6" w:themeColor="accent5"/>
        </w:rPr>
        <w:t>, government bonds, i</w:t>
      </w:r>
      <w:r w:rsidRPr="00A6046D">
        <w:rPr>
          <w:color w:val="4BACC6" w:themeColor="accent5"/>
        </w:rPr>
        <w:t>nterest rate swaps</w:t>
      </w:r>
      <w:r>
        <w:rPr>
          <w:color w:val="4BACC6" w:themeColor="accent5"/>
        </w:rPr>
        <w:t xml:space="preserve"> and c</w:t>
      </w:r>
      <w:r w:rsidRPr="00A6046D">
        <w:rPr>
          <w:color w:val="4BACC6" w:themeColor="accent5"/>
        </w:rPr>
        <w:t>redit default</w:t>
      </w:r>
      <w:r>
        <w:rPr>
          <w:color w:val="4BACC6" w:themeColor="accent5"/>
        </w:rPr>
        <w:t xml:space="preserve"> swaps) </w:t>
      </w:r>
      <w:r w:rsidRPr="00A6046D">
        <w:rPr>
          <w:color w:val="4BACC6" w:themeColor="accent5"/>
        </w:rPr>
        <w:t xml:space="preserve">in terms of post-trade data. With respect to pre-trade data, we believe a more targeted approach is necessary, and that the EU CT should cover shares and all ETPs. We believe that sharing </w:t>
      </w:r>
      <w:r w:rsidR="00BA75BB">
        <w:rPr>
          <w:color w:val="4BACC6" w:themeColor="accent5"/>
        </w:rPr>
        <w:t xml:space="preserve">disproportionate levels of </w:t>
      </w:r>
      <w:r w:rsidRPr="00A6046D">
        <w:rPr>
          <w:color w:val="4BACC6" w:themeColor="accent5"/>
        </w:rPr>
        <w:t>pre-trade data in respect of other asset classes, such as bonds, could have a detrimental impact of market liquidity for those asset classes, and thus increase the principal risk of those asset classes.</w:t>
      </w:r>
    </w:p>
    <w:p w14:paraId="3ABA9E66" w14:textId="77777777" w:rsidR="00994A15" w:rsidRDefault="00994A15" w:rsidP="00646C30"/>
    <w:p w14:paraId="0E461530" w14:textId="77777777" w:rsidR="00994A15" w:rsidRDefault="00994A15" w:rsidP="00646C30"/>
    <w:permEnd w:id="1271415520"/>
    <w:p w14:paraId="512CD957" w14:textId="77777777" w:rsidR="00646C30" w:rsidRDefault="00646C30" w:rsidP="00646C30"/>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21335F5C" w14:textId="77777777" w:rsidR="00F33E8A" w:rsidRDefault="00F33E8A" w:rsidP="00646C30">
      <w:permStart w:id="2130212544" w:edGrp="everyone"/>
    </w:p>
    <w:p w14:paraId="44976ABB" w14:textId="77777777" w:rsidR="00F33E8A" w:rsidRDefault="00F33E8A" w:rsidP="00646C30"/>
    <w:p w14:paraId="7AAD2035" w14:textId="7FE66823" w:rsidR="00646C30" w:rsidRDefault="00646C30" w:rsidP="00646C30">
      <w:r>
        <w:t>TYPE YOUR TEXT HERE</w:t>
      </w:r>
    </w:p>
    <w:p w14:paraId="5455CE39" w14:textId="09BCDE62" w:rsidR="00335DFC" w:rsidRDefault="00335DFC" w:rsidP="00646C30"/>
    <w:p w14:paraId="489B5593" w14:textId="0A2EB79B" w:rsidR="00646C30" w:rsidRDefault="00646C30" w:rsidP="00646C30"/>
    <w:permEnd w:id="2130212544"/>
    <w:p w14:paraId="3D46688F" w14:textId="77777777" w:rsidR="00646C30" w:rsidRDefault="00646C30" w:rsidP="00646C30"/>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A43BFD3" w14:textId="77777777" w:rsidR="00F33E8A" w:rsidRDefault="00F33E8A" w:rsidP="00646C30">
      <w:permStart w:id="96027498" w:edGrp="everyone"/>
    </w:p>
    <w:p w14:paraId="3282E50D" w14:textId="77777777" w:rsidR="00F33E8A" w:rsidRDefault="00F33E8A" w:rsidP="00646C30"/>
    <w:p w14:paraId="04615961" w14:textId="210B93C1" w:rsidR="00716094" w:rsidRDefault="00646C30" w:rsidP="00646C30">
      <w:r>
        <w:t>TYPE YOUR TEXT HERE</w:t>
      </w:r>
    </w:p>
    <w:p w14:paraId="54301965" w14:textId="77777777" w:rsidR="008947FA" w:rsidRDefault="008947FA" w:rsidP="00646C30"/>
    <w:p w14:paraId="42BD17D6" w14:textId="6B484801" w:rsidR="00646C30" w:rsidRDefault="00646C30" w:rsidP="00646C30"/>
    <w:permEnd w:id="96027498"/>
    <w:p w14:paraId="4EFF3158" w14:textId="77777777" w:rsidR="00646C30" w:rsidRDefault="00646C30" w:rsidP="00646C30"/>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6FCF1719" w14:textId="77777777" w:rsidR="00F33E8A" w:rsidRDefault="00F33E8A" w:rsidP="00646C30">
      <w:permStart w:id="70923797" w:edGrp="everyone"/>
    </w:p>
    <w:p w14:paraId="40D68E64" w14:textId="77777777" w:rsidR="00F33E8A" w:rsidRDefault="00F33E8A" w:rsidP="00646C30"/>
    <w:p w14:paraId="2C8E07E5" w14:textId="4BDBECDB" w:rsidR="00646C30" w:rsidRDefault="00646C30" w:rsidP="00646C30">
      <w:r>
        <w:t>TYPE YOUR TEXT HERE</w:t>
      </w:r>
    </w:p>
    <w:p w14:paraId="4F1A5A0F" w14:textId="40FDDCBF" w:rsidR="00646C30" w:rsidRDefault="00646C30" w:rsidP="00646C30"/>
    <w:p w14:paraId="660A696B" w14:textId="387B2C80" w:rsidR="00646C30" w:rsidRDefault="00646C30" w:rsidP="00646C30"/>
    <w:permEnd w:id="70923797"/>
    <w:p w14:paraId="6867034A" w14:textId="77777777"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701E9E3B" w14:textId="77777777" w:rsidR="00994A15" w:rsidRDefault="00994A15" w:rsidP="00646C30">
      <w:permStart w:id="1628391240" w:edGrp="everyone"/>
    </w:p>
    <w:p w14:paraId="2FEB9ECC" w14:textId="77777777" w:rsidR="00994A15" w:rsidRDefault="00994A15" w:rsidP="00646C30"/>
    <w:p w14:paraId="5FDD5BB3" w14:textId="5E9B22C3" w:rsidR="00646C30" w:rsidRDefault="00994A15" w:rsidP="00646C30">
      <w:pPr>
        <w:rPr>
          <w:color w:val="4BACC6" w:themeColor="accent5"/>
        </w:rPr>
      </w:pPr>
      <w:r>
        <w:rPr>
          <w:color w:val="4BACC6" w:themeColor="accent5"/>
        </w:rPr>
        <w:t xml:space="preserve">We </w:t>
      </w:r>
      <w:r w:rsidR="00795DDC">
        <w:rPr>
          <w:color w:val="4BACC6" w:themeColor="accent5"/>
        </w:rPr>
        <w:t>note</w:t>
      </w:r>
      <w:r>
        <w:rPr>
          <w:color w:val="4BACC6" w:themeColor="accent5"/>
        </w:rPr>
        <w:t xml:space="preserve"> ESMA’s statement that no EU national competent authority (NCA) has yet used, or considered using, powers to suspend transparency obligations as provided for under </w:t>
      </w:r>
      <w:r w:rsidRPr="00994A15">
        <w:rPr>
          <w:color w:val="4BACC6" w:themeColor="accent5"/>
        </w:rPr>
        <w:t>Articles 9(4), 11(2) and 21(4) of MiFIR</w:t>
      </w:r>
      <w:r>
        <w:rPr>
          <w:color w:val="4BACC6" w:themeColor="accent5"/>
        </w:rPr>
        <w:t xml:space="preserve">. However, we believe that regulatory flexibility is </w:t>
      </w:r>
      <w:r w:rsidR="00926C65">
        <w:rPr>
          <w:color w:val="4BACC6" w:themeColor="accent5"/>
        </w:rPr>
        <w:t>important</w:t>
      </w:r>
      <w:r>
        <w:rPr>
          <w:color w:val="4BACC6" w:themeColor="accent5"/>
        </w:rPr>
        <w:t xml:space="preserve"> to ensuring the continued functioning of financial markets, in particular during </w:t>
      </w:r>
      <w:r w:rsidR="00926C65">
        <w:rPr>
          <w:color w:val="4BACC6" w:themeColor="accent5"/>
        </w:rPr>
        <w:t>periods</w:t>
      </w:r>
      <w:r>
        <w:rPr>
          <w:color w:val="4BACC6" w:themeColor="accent5"/>
        </w:rPr>
        <w:t xml:space="preserve"> of stress, as has been prove</w:t>
      </w:r>
      <w:r w:rsidR="0074209D">
        <w:rPr>
          <w:color w:val="4BACC6" w:themeColor="accent5"/>
        </w:rPr>
        <w:t>n</w:t>
      </w:r>
      <w:r>
        <w:rPr>
          <w:color w:val="4BACC6" w:themeColor="accent5"/>
        </w:rPr>
        <w:t xml:space="preserve"> during recent market volatility brought about by the Covid-19 pandemic. As such, </w:t>
      </w:r>
      <w:r w:rsidR="00994481">
        <w:rPr>
          <w:color w:val="4BACC6" w:themeColor="accent5"/>
        </w:rPr>
        <w:t xml:space="preserve">we do not support ESMA’s recommendation to remove </w:t>
      </w:r>
      <w:r w:rsidR="00994481" w:rsidRPr="00994481">
        <w:rPr>
          <w:color w:val="4BACC6" w:themeColor="accent5"/>
        </w:rPr>
        <w:t>the possibility to temporarily suspend the transparency obligations</w:t>
      </w:r>
      <w:r w:rsidR="00994481">
        <w:rPr>
          <w:color w:val="4BACC6" w:themeColor="accent5"/>
        </w:rPr>
        <w:t xml:space="preserve">, and instead would advise that the supervisory powers provided under </w:t>
      </w:r>
      <w:r w:rsidR="00994481" w:rsidRPr="00994A15">
        <w:rPr>
          <w:color w:val="4BACC6" w:themeColor="accent5"/>
        </w:rPr>
        <w:t>Articles 9(4), 11(2) and 21(4) of MiFIR</w:t>
      </w:r>
      <w:r w:rsidR="00994481">
        <w:rPr>
          <w:color w:val="4BACC6" w:themeColor="accent5"/>
        </w:rPr>
        <w:t xml:space="preserve"> are retained.</w:t>
      </w:r>
    </w:p>
    <w:p w14:paraId="456B868F" w14:textId="77777777" w:rsidR="00994A15" w:rsidRDefault="00994A15" w:rsidP="00646C30"/>
    <w:p w14:paraId="755C9FD0" w14:textId="7D6BE878" w:rsidR="00646C30" w:rsidRDefault="00646C30" w:rsidP="00646C30"/>
    <w:permEnd w:id="1628391240"/>
    <w:p w14:paraId="2FC231D1" w14:textId="77777777" w:rsidR="00646C30" w:rsidRDefault="00646C30" w:rsidP="00646C30"/>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39946065" w14:textId="78457F47" w:rsidR="00552A0B" w:rsidRDefault="00552A0B" w:rsidP="001129F9">
      <w:permStart w:id="951131482" w:edGrp="everyone"/>
    </w:p>
    <w:p w14:paraId="1D30B889" w14:textId="71242F6A" w:rsidR="004322C6" w:rsidRDefault="004322C6" w:rsidP="001129F9"/>
    <w:p w14:paraId="5927958A" w14:textId="7672425E" w:rsidR="004322C6" w:rsidRDefault="004322C6" w:rsidP="001129F9">
      <w:pPr>
        <w:rPr>
          <w:color w:val="4BACC6" w:themeColor="accent5"/>
        </w:rPr>
      </w:pPr>
      <w:r w:rsidRPr="00CA4C72">
        <w:rPr>
          <w:color w:val="4BACC6" w:themeColor="accent5"/>
        </w:rPr>
        <w:t xml:space="preserve">Invesco is a strong advocate of policymaking which contributes towards fair, efficient, transparent and liquid financial markets. We therefore acknowledge the policy intention underpinning </w:t>
      </w:r>
      <w:r>
        <w:rPr>
          <w:color w:val="4BACC6" w:themeColor="accent5"/>
        </w:rPr>
        <w:t xml:space="preserve">the trading obligation for derivatives (DTO) </w:t>
      </w:r>
      <w:r w:rsidRPr="00CA4C72">
        <w:rPr>
          <w:color w:val="4BACC6" w:themeColor="accent5"/>
        </w:rPr>
        <w:t>– to ensure more trading takes place on regulated trading venues</w:t>
      </w:r>
      <w:r>
        <w:rPr>
          <w:color w:val="4BACC6" w:themeColor="accent5"/>
        </w:rPr>
        <w:t>, MTFs and OTFs</w:t>
      </w:r>
    </w:p>
    <w:p w14:paraId="549908F7" w14:textId="77777777" w:rsidR="004322C6" w:rsidRDefault="004322C6" w:rsidP="001129F9">
      <w:pPr>
        <w:rPr>
          <w:color w:val="4BACC6" w:themeColor="accent5"/>
        </w:rPr>
      </w:pPr>
    </w:p>
    <w:p w14:paraId="368B08CD" w14:textId="2E4D2DBD" w:rsidR="001129F9" w:rsidRPr="00E746F3" w:rsidRDefault="004322C6" w:rsidP="00324B8C">
      <w:pPr>
        <w:rPr>
          <w:color w:val="4BACC6" w:themeColor="accent5"/>
        </w:rPr>
      </w:pPr>
      <w:r>
        <w:rPr>
          <w:color w:val="4BACC6" w:themeColor="accent5"/>
        </w:rPr>
        <w:t xml:space="preserve">In </w:t>
      </w:r>
      <w:r w:rsidR="00F07496" w:rsidRPr="004322C6">
        <w:rPr>
          <w:color w:val="4BACC6" w:themeColor="accent5"/>
        </w:rPr>
        <w:t>line with our response to Q</w:t>
      </w:r>
      <w:r w:rsidR="00F07496">
        <w:rPr>
          <w:color w:val="4BACC6" w:themeColor="accent5"/>
        </w:rPr>
        <w:t xml:space="preserve">80 of the February 2020 European Commission consultation on the MiFID II/MiFIR framework, in </w:t>
      </w:r>
      <w:r>
        <w:rPr>
          <w:color w:val="4BACC6" w:themeColor="accent5"/>
        </w:rPr>
        <w:t>principle</w:t>
      </w:r>
      <w:r w:rsidRPr="004322C6">
        <w:rPr>
          <w:color w:val="4BACC6" w:themeColor="accent5"/>
        </w:rPr>
        <w:t xml:space="preserve">, we would agree with the assessment of Article 28 of MiFIR as set out in the consultation, in particular as regards the need to adjust the DTO regime to align it with the changes introduced by EMIR REFIT as regards the </w:t>
      </w:r>
      <w:r w:rsidR="00D809AF">
        <w:rPr>
          <w:color w:val="4BACC6" w:themeColor="accent5"/>
        </w:rPr>
        <w:t xml:space="preserve">scope of counterparties subject to the </w:t>
      </w:r>
      <w:r>
        <w:rPr>
          <w:color w:val="4BACC6" w:themeColor="accent5"/>
        </w:rPr>
        <w:t>clearing obligation (</w:t>
      </w:r>
      <w:r w:rsidRPr="004322C6">
        <w:rPr>
          <w:color w:val="4BACC6" w:themeColor="accent5"/>
        </w:rPr>
        <w:t>CO</w:t>
      </w:r>
      <w:r>
        <w:rPr>
          <w:color w:val="4BACC6" w:themeColor="accent5"/>
        </w:rPr>
        <w:t>).</w:t>
      </w:r>
    </w:p>
    <w:p w14:paraId="255250CD" w14:textId="61F28BFB" w:rsidR="001129F9" w:rsidRDefault="001129F9" w:rsidP="001129F9"/>
    <w:p w14:paraId="30F10F46" w14:textId="2AE3CA45" w:rsidR="001129F9" w:rsidRDefault="001129F9" w:rsidP="001129F9"/>
    <w:permEnd w:id="951131482"/>
    <w:p w14:paraId="7FD38ABC" w14:textId="77777777" w:rsidR="001129F9" w:rsidRDefault="001129F9" w:rsidP="001129F9"/>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29290D90" w14:textId="77777777" w:rsidR="00F259E5" w:rsidRDefault="00F259E5" w:rsidP="00646C30">
      <w:permStart w:id="37382354" w:edGrp="everyone"/>
    </w:p>
    <w:p w14:paraId="60B7EEA6" w14:textId="77777777" w:rsidR="00F259E5" w:rsidRDefault="00F259E5" w:rsidP="00646C30"/>
    <w:p w14:paraId="430BF2A3" w14:textId="19A3BF7A" w:rsidR="00A07492" w:rsidRDefault="00B65B54" w:rsidP="00646C30">
      <w:pPr>
        <w:rPr>
          <w:color w:val="4BACC6" w:themeColor="accent5"/>
        </w:rPr>
      </w:pPr>
      <w:r>
        <w:rPr>
          <w:color w:val="4BACC6" w:themeColor="accent5"/>
        </w:rPr>
        <w:t>We believe that</w:t>
      </w:r>
      <w:r w:rsidR="000515AE">
        <w:rPr>
          <w:color w:val="4BACC6" w:themeColor="accent5"/>
        </w:rPr>
        <w:t xml:space="preserve"> use of the </w:t>
      </w:r>
      <w:r w:rsidR="00A07492">
        <w:rPr>
          <w:color w:val="4BACC6" w:themeColor="accent5"/>
        </w:rPr>
        <w:t>provisions under Article 32(4) with respect to</w:t>
      </w:r>
      <w:r w:rsidR="00031565" w:rsidRPr="008947FA">
        <w:rPr>
          <w:color w:val="4BACC6" w:themeColor="accent5"/>
        </w:rPr>
        <w:t xml:space="preserve"> non-standard </w:t>
      </w:r>
      <w:r w:rsidR="00A07492">
        <w:rPr>
          <w:color w:val="4BACC6" w:themeColor="accent5"/>
        </w:rPr>
        <w:t>d</w:t>
      </w:r>
      <w:r w:rsidR="00031565" w:rsidRPr="008947FA">
        <w:rPr>
          <w:color w:val="4BACC6" w:themeColor="accent5"/>
        </w:rPr>
        <w:t>ate derivatives or off</w:t>
      </w:r>
      <w:r w:rsidR="00A07492">
        <w:rPr>
          <w:color w:val="4BACC6" w:themeColor="accent5"/>
        </w:rPr>
        <w:t>-</w:t>
      </w:r>
      <w:r w:rsidR="00031565" w:rsidRPr="008947FA">
        <w:rPr>
          <w:color w:val="4BACC6" w:themeColor="accent5"/>
        </w:rPr>
        <w:t>the</w:t>
      </w:r>
      <w:r w:rsidR="00A07492">
        <w:rPr>
          <w:color w:val="4BACC6" w:themeColor="accent5"/>
        </w:rPr>
        <w:t>-</w:t>
      </w:r>
      <w:r w:rsidR="00031565" w:rsidRPr="008947FA">
        <w:rPr>
          <w:color w:val="4BACC6" w:themeColor="accent5"/>
        </w:rPr>
        <w:t xml:space="preserve">runs </w:t>
      </w:r>
      <w:r w:rsidR="00A07492">
        <w:rPr>
          <w:color w:val="4BACC6" w:themeColor="accent5"/>
        </w:rPr>
        <w:t>could detrimentally impact the liquidity of those instruments. However, we believe there would be less of a detrimental impact on the liquidity of standard on-the-run and IMM date swaps. There may be some merit in considering aligning EU rules, in this respect, with the US SEF ‘Made Available to Trade’ (MAT) requirements.</w:t>
      </w:r>
    </w:p>
    <w:p w14:paraId="472E637E" w14:textId="77777777" w:rsidR="00031565" w:rsidRDefault="00031565" w:rsidP="00646C30"/>
    <w:p w14:paraId="79E7008C" w14:textId="2E0D0062" w:rsidR="00646C30" w:rsidRDefault="00646C30" w:rsidP="00646C30"/>
    <w:permEnd w:id="37382354"/>
    <w:p w14:paraId="43D47D74" w14:textId="77777777" w:rsidR="00646C30" w:rsidRDefault="00646C30" w:rsidP="00646C30"/>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441842C4" w14:textId="77777777" w:rsidR="00926C65" w:rsidRDefault="00926C65" w:rsidP="00646C30">
      <w:permStart w:id="71373738" w:edGrp="everyone"/>
    </w:p>
    <w:p w14:paraId="5A00316B" w14:textId="77777777" w:rsidR="00926C65" w:rsidRDefault="00926C65" w:rsidP="00646C30"/>
    <w:p w14:paraId="04AC597A" w14:textId="51349AC0" w:rsidR="00926C65" w:rsidRDefault="00926C65" w:rsidP="00646C30">
      <w:pPr>
        <w:rPr>
          <w:color w:val="4BACC6" w:themeColor="accent5"/>
        </w:rPr>
      </w:pPr>
      <w:r>
        <w:rPr>
          <w:color w:val="4BACC6" w:themeColor="accent5"/>
        </w:rPr>
        <w:t>In line with our response to Q19, we believe that regulatory flexibility is important to ensuring the continued functioning of financial markets, in particular during periods of stress, as has been prove</w:t>
      </w:r>
      <w:r w:rsidR="0074209D">
        <w:rPr>
          <w:color w:val="4BACC6" w:themeColor="accent5"/>
        </w:rPr>
        <w:t>n</w:t>
      </w:r>
      <w:r>
        <w:rPr>
          <w:color w:val="4BACC6" w:themeColor="accent5"/>
        </w:rPr>
        <w:t xml:space="preserve"> during recent market volatility brought about by the Covid-19 pandemic. We therefore agree with the ESMA recommendation to establish a provision within MiFIR which would allow for the temporary suspension of the DTO under certain criteria.</w:t>
      </w:r>
    </w:p>
    <w:p w14:paraId="6A21A97D" w14:textId="77777777" w:rsidR="00620F84" w:rsidRDefault="00620F84" w:rsidP="00646C30"/>
    <w:p w14:paraId="2DC19228" w14:textId="7610C60B" w:rsidR="00646C30" w:rsidRDefault="00646C30" w:rsidP="00646C30"/>
    <w:permEnd w:id="71373738"/>
    <w:p w14:paraId="7C8A9911" w14:textId="77777777" w:rsidR="00646C30" w:rsidRDefault="00646C30" w:rsidP="00646C30"/>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901C420" w:rsidR="00646C30" w:rsidRDefault="00646C30" w:rsidP="00646C30">
      <w:permStart w:id="2102155623" w:edGrp="everyone"/>
    </w:p>
    <w:p w14:paraId="53CDE574" w14:textId="1814A518" w:rsidR="00646C30" w:rsidRDefault="00646C30" w:rsidP="00646C30"/>
    <w:p w14:paraId="347D86CF" w14:textId="3C936A13" w:rsidR="00E746F3" w:rsidRPr="004322C6" w:rsidRDefault="00E746F3" w:rsidP="00E746F3">
      <w:pPr>
        <w:rPr>
          <w:color w:val="4BACC6" w:themeColor="accent5"/>
        </w:rPr>
      </w:pPr>
      <w:r>
        <w:rPr>
          <w:color w:val="4BACC6" w:themeColor="accent5"/>
        </w:rPr>
        <w:t>I</w:t>
      </w:r>
      <w:r w:rsidRPr="004322C6">
        <w:rPr>
          <w:color w:val="4BACC6" w:themeColor="accent5"/>
        </w:rPr>
        <w:t>n</w:t>
      </w:r>
      <w:r>
        <w:rPr>
          <w:color w:val="4BACC6" w:themeColor="accent5"/>
        </w:rPr>
        <w:t xml:space="preserve"> line with our response to Q78 of the February 2020 European Commission consultation on the MiFID II/MiFIR framework, </w:t>
      </w:r>
      <w:r w:rsidRPr="004322C6">
        <w:rPr>
          <w:color w:val="4BACC6" w:themeColor="accent5"/>
        </w:rPr>
        <w:t>in the context of the UK’s withdrawal from the EU and the UK’s subsequent ‘onshor</w:t>
      </w:r>
      <w:r w:rsidRPr="004322C6">
        <w:rPr>
          <w:color w:val="4BACC6" w:themeColor="accent5"/>
        </w:rPr>
        <w:lastRenderedPageBreak/>
        <w:t>ing’ of the MiFIR Article 2</w:t>
      </w:r>
      <w:r>
        <w:rPr>
          <w:color w:val="4BACC6" w:themeColor="accent5"/>
        </w:rPr>
        <w:t>8</w:t>
      </w:r>
      <w:r w:rsidRPr="004322C6">
        <w:rPr>
          <w:color w:val="4BACC6" w:themeColor="accent5"/>
        </w:rPr>
        <w:t xml:space="preserve"> trading obligation</w:t>
      </w:r>
      <w:r>
        <w:rPr>
          <w:color w:val="4BACC6" w:themeColor="accent5"/>
        </w:rPr>
        <w:t xml:space="preserve">, we believe that, </w:t>
      </w:r>
      <w:r w:rsidRPr="004322C6">
        <w:rPr>
          <w:color w:val="4BACC6" w:themeColor="accent5"/>
        </w:rPr>
        <w:t>in the absence of an appropriate cross-border solution, cross-border capital flows and market activities</w:t>
      </w:r>
      <w:r>
        <w:rPr>
          <w:color w:val="4BACC6" w:themeColor="accent5"/>
        </w:rPr>
        <w:t xml:space="preserve"> could be restricted</w:t>
      </w:r>
      <w:r w:rsidRPr="004322C6">
        <w:rPr>
          <w:color w:val="4BACC6" w:themeColor="accent5"/>
        </w:rPr>
        <w:t xml:space="preserve">, and liquidity pools </w:t>
      </w:r>
      <w:r>
        <w:rPr>
          <w:color w:val="4BACC6" w:themeColor="accent5"/>
        </w:rPr>
        <w:t xml:space="preserve">fragmented, </w:t>
      </w:r>
      <w:r w:rsidRPr="004322C6">
        <w:rPr>
          <w:color w:val="4BACC6" w:themeColor="accent5"/>
        </w:rPr>
        <w:t>for firms trading in certain derivative contracts.</w:t>
      </w:r>
    </w:p>
    <w:p w14:paraId="4EA990B6" w14:textId="77777777" w:rsidR="00E746F3" w:rsidRDefault="00E746F3" w:rsidP="00E746F3">
      <w:pPr>
        <w:rPr>
          <w:color w:val="4BACC6" w:themeColor="accent5"/>
        </w:rPr>
      </w:pPr>
    </w:p>
    <w:p w14:paraId="5A2163F7" w14:textId="55FD365E" w:rsidR="00E746F3" w:rsidRPr="004322C6" w:rsidRDefault="00E746F3" w:rsidP="00E746F3">
      <w:pPr>
        <w:rPr>
          <w:color w:val="4BACC6" w:themeColor="accent5"/>
        </w:rPr>
      </w:pPr>
      <w:r>
        <w:rPr>
          <w:color w:val="4BACC6" w:themeColor="accent5"/>
        </w:rPr>
        <w:t>G</w:t>
      </w:r>
      <w:r w:rsidRPr="00324B8C">
        <w:rPr>
          <w:color w:val="4BACC6" w:themeColor="accent5"/>
        </w:rPr>
        <w:t xml:space="preserve">iven that the vast majority of trading volume in derivatives contracts subject to the EU DTO currently takes place on UK venues, we believe that such a situation would be suboptimal, not just for market participants, but also for end-investors who could ultimately be faced with </w:t>
      </w:r>
      <w:r w:rsidR="0074209D">
        <w:rPr>
          <w:color w:val="4BACC6" w:themeColor="accent5"/>
        </w:rPr>
        <w:t>fragmented</w:t>
      </w:r>
      <w:r w:rsidRPr="00324B8C">
        <w:rPr>
          <w:color w:val="4BACC6" w:themeColor="accent5"/>
        </w:rPr>
        <w:t xml:space="preserve"> liquidity and higher costs when transacting in the market.</w:t>
      </w:r>
      <w:r>
        <w:rPr>
          <w:color w:val="4BACC6" w:themeColor="accent5"/>
        </w:rPr>
        <w:t xml:space="preserve"> Investors’</w:t>
      </w:r>
      <w:r w:rsidRPr="00324B8C">
        <w:rPr>
          <w:color w:val="4BACC6" w:themeColor="accent5"/>
        </w:rPr>
        <w:t xml:space="preserve"> </w:t>
      </w:r>
      <w:r>
        <w:rPr>
          <w:color w:val="4BACC6" w:themeColor="accent5"/>
        </w:rPr>
        <w:t xml:space="preserve">ability to hedge could also be compromised. </w:t>
      </w:r>
      <w:r w:rsidRPr="00324B8C">
        <w:rPr>
          <w:color w:val="4BACC6" w:themeColor="accent5"/>
        </w:rPr>
        <w:t xml:space="preserve">This would serve to undermine the policy intention behind </w:t>
      </w:r>
      <w:r>
        <w:rPr>
          <w:color w:val="4BACC6" w:themeColor="accent5"/>
        </w:rPr>
        <w:t xml:space="preserve">the </w:t>
      </w:r>
      <w:r w:rsidRPr="00324B8C">
        <w:rPr>
          <w:color w:val="4BACC6" w:themeColor="accent5"/>
        </w:rPr>
        <w:t>MiFID II/MiFIR</w:t>
      </w:r>
      <w:r>
        <w:rPr>
          <w:color w:val="4BACC6" w:themeColor="accent5"/>
        </w:rPr>
        <w:t xml:space="preserve"> framework</w:t>
      </w:r>
      <w:r w:rsidRPr="00324B8C">
        <w:rPr>
          <w:color w:val="4BACC6" w:themeColor="accent5"/>
        </w:rPr>
        <w:t>.</w:t>
      </w:r>
    </w:p>
    <w:p w14:paraId="4E04F05E" w14:textId="77777777" w:rsidR="00E746F3" w:rsidRDefault="00E746F3" w:rsidP="00E746F3"/>
    <w:p w14:paraId="2E8626BB" w14:textId="1974FF21" w:rsidR="00E746F3" w:rsidRPr="00D07D87" w:rsidRDefault="00E746F3" w:rsidP="00E746F3">
      <w:pPr>
        <w:rPr>
          <w:color w:val="4BACC6" w:themeColor="accent5"/>
        </w:rPr>
      </w:pPr>
      <w:r>
        <w:rPr>
          <w:color w:val="4BACC6" w:themeColor="accent5"/>
        </w:rPr>
        <w:t xml:space="preserve">To avoid such a situation arising, policymakers in the EU and UK </w:t>
      </w:r>
      <w:r w:rsidRPr="00D07D87">
        <w:rPr>
          <w:color w:val="4BACC6" w:themeColor="accent5"/>
        </w:rPr>
        <w:t xml:space="preserve">should explore every avenue available to avoid competing regulatory obligations for investment firms operating cross-border, and minimise potential implications such as those outlined </w:t>
      </w:r>
      <w:r>
        <w:rPr>
          <w:color w:val="4BACC6" w:themeColor="accent5"/>
        </w:rPr>
        <w:t>previously</w:t>
      </w:r>
      <w:r w:rsidRPr="00D07D87">
        <w:rPr>
          <w:color w:val="4BACC6" w:themeColor="accent5"/>
        </w:rPr>
        <w:t xml:space="preserve">. This would include assessing the equivalence of, and determining as equivalent where appropriate, </w:t>
      </w:r>
      <w:r>
        <w:rPr>
          <w:color w:val="4BACC6" w:themeColor="accent5"/>
        </w:rPr>
        <w:t xml:space="preserve">each other’s </w:t>
      </w:r>
      <w:r w:rsidRPr="00D07D87">
        <w:rPr>
          <w:color w:val="4BACC6" w:themeColor="accent5"/>
        </w:rPr>
        <w:t xml:space="preserve">regulatory and supervisory frameworks as foreseen under the MiFID II/MiFIR framework (such as </w:t>
      </w:r>
      <w:r w:rsidR="0074209D">
        <w:rPr>
          <w:color w:val="4BACC6" w:themeColor="accent5"/>
        </w:rPr>
        <w:t xml:space="preserve">that which </w:t>
      </w:r>
      <w:r w:rsidRPr="00D07D87">
        <w:rPr>
          <w:color w:val="4BACC6" w:themeColor="accent5"/>
        </w:rPr>
        <w:t xml:space="preserve">has been </w:t>
      </w:r>
      <w:r w:rsidR="00BA75BB">
        <w:rPr>
          <w:color w:val="4BACC6" w:themeColor="accent5"/>
        </w:rPr>
        <w:t xml:space="preserve">agreed </w:t>
      </w:r>
      <w:r w:rsidR="0074209D">
        <w:rPr>
          <w:color w:val="4BACC6" w:themeColor="accent5"/>
        </w:rPr>
        <w:t xml:space="preserve">with </w:t>
      </w:r>
      <w:r>
        <w:rPr>
          <w:color w:val="4BACC6" w:themeColor="accent5"/>
        </w:rPr>
        <w:t>Singapore</w:t>
      </w:r>
      <w:r w:rsidR="0074209D">
        <w:rPr>
          <w:color w:val="4BACC6" w:themeColor="accent5"/>
        </w:rPr>
        <w:t xml:space="preserve"> </w:t>
      </w:r>
      <w:r w:rsidRPr="00D07D87">
        <w:rPr>
          <w:color w:val="4BACC6" w:themeColor="accent5"/>
        </w:rPr>
        <w:t>and the US).</w:t>
      </w:r>
    </w:p>
    <w:p w14:paraId="6B88B2F1" w14:textId="77777777" w:rsidR="00E746F3" w:rsidRPr="00D07D87" w:rsidRDefault="00E746F3" w:rsidP="00E746F3">
      <w:pPr>
        <w:rPr>
          <w:color w:val="4BACC6" w:themeColor="accent5"/>
        </w:rPr>
      </w:pPr>
    </w:p>
    <w:p w14:paraId="6B0E5492" w14:textId="7645ADAD" w:rsidR="00646C30" w:rsidRDefault="00E746F3" w:rsidP="00E746F3">
      <w:r w:rsidRPr="00D07D87">
        <w:rPr>
          <w:color w:val="4BACC6" w:themeColor="accent5"/>
        </w:rPr>
        <w:t>We believe that this approach</w:t>
      </w:r>
      <w:r>
        <w:rPr>
          <w:color w:val="4BACC6" w:themeColor="accent5"/>
        </w:rPr>
        <w:t xml:space="preserve"> </w:t>
      </w:r>
      <w:r w:rsidRPr="00D07D87">
        <w:rPr>
          <w:color w:val="4BACC6" w:themeColor="accent5"/>
        </w:rPr>
        <w:t>would prove most effective in contributing towards fair, efficient, transparent and liquid financial markets, and would help to achieve the EU’s stated aim of ensuring that more trading takes place on regulated trading venues</w:t>
      </w:r>
      <w:r>
        <w:rPr>
          <w:color w:val="4BACC6" w:themeColor="accent5"/>
        </w:rPr>
        <w:t>, MTFs and OTFs</w:t>
      </w:r>
      <w:r w:rsidRPr="00D07D87">
        <w:rPr>
          <w:color w:val="4BACC6" w:themeColor="accent5"/>
        </w:rPr>
        <w:t>. It would also help to avoid unnecessary market fragmentation and, ultimately, detriment to end-investors and users of financial services</w:t>
      </w:r>
      <w:r>
        <w:rPr>
          <w:color w:val="4BACC6" w:themeColor="accent5"/>
        </w:rPr>
        <w:t>.</w:t>
      </w:r>
    </w:p>
    <w:p w14:paraId="6F4F912A" w14:textId="5A80FC94" w:rsidR="00646C30" w:rsidRDefault="00646C30" w:rsidP="00646C30"/>
    <w:p w14:paraId="2166B194" w14:textId="7BB73F3F" w:rsidR="00646C30" w:rsidRDefault="00646C30" w:rsidP="00646C30"/>
    <w:permEnd w:id="2102155623"/>
    <w:p w14:paraId="400254D7" w14:textId="77777777" w:rsidR="00646C30" w:rsidRDefault="00646C30" w:rsidP="00646C30"/>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3B257963" w:rsidR="00646C30" w:rsidRDefault="00646C30" w:rsidP="00646C30">
      <w:permStart w:id="160242055" w:edGrp="everyone"/>
    </w:p>
    <w:p w14:paraId="27AE9BD0" w14:textId="7F95A877" w:rsidR="00646C30" w:rsidRDefault="00646C30" w:rsidP="00646C30"/>
    <w:p w14:paraId="45F4E61C" w14:textId="590BDBEB" w:rsidR="0021014F" w:rsidRPr="0021014F" w:rsidRDefault="0021014F" w:rsidP="00646C30">
      <w:pPr>
        <w:rPr>
          <w:color w:val="4BACC6" w:themeColor="accent5"/>
        </w:rPr>
      </w:pPr>
      <w:r w:rsidRPr="0021014F">
        <w:rPr>
          <w:color w:val="4BACC6" w:themeColor="accent5"/>
        </w:rPr>
        <w:t>We agree with ESMA’s assessment that the publication and maintenance of a register on its website, specifying the derivatives subject to the DTO, the venues where they are admitted to trading or traded, and the dates from which the obligation takes effect</w:t>
      </w:r>
      <w:r w:rsidR="004A02F8">
        <w:rPr>
          <w:color w:val="4BACC6" w:themeColor="accent5"/>
        </w:rPr>
        <w:t>,</w:t>
      </w:r>
      <w:r w:rsidRPr="0021014F">
        <w:rPr>
          <w:color w:val="4BACC6" w:themeColor="accent5"/>
        </w:rPr>
        <w:t xml:space="preserve"> remains valid</w:t>
      </w:r>
      <w:r>
        <w:rPr>
          <w:color w:val="4BACC6" w:themeColor="accent5"/>
        </w:rPr>
        <w:t xml:space="preserve"> and that there should be no amendment to Article 34 of MiFIR in this regard</w:t>
      </w:r>
      <w:r w:rsidRPr="0021014F">
        <w:rPr>
          <w:color w:val="4BACC6" w:themeColor="accent5"/>
        </w:rPr>
        <w:t>.</w:t>
      </w:r>
    </w:p>
    <w:p w14:paraId="4BCA19D5" w14:textId="77777777" w:rsidR="0021014F" w:rsidRDefault="0021014F" w:rsidP="00646C30"/>
    <w:p w14:paraId="3C69ECC6" w14:textId="46AD2F09" w:rsidR="00646C30" w:rsidRDefault="00646C30" w:rsidP="00646C30"/>
    <w:permEnd w:id="160242055"/>
    <w:p w14:paraId="7CF25491" w14:textId="77777777" w:rsidR="00646C30" w:rsidRDefault="00646C30" w:rsidP="00646C30"/>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74AD3298" w14:textId="77777777" w:rsidR="00527506" w:rsidRDefault="00527506" w:rsidP="00646C30">
      <w:permStart w:id="203690501" w:edGrp="everyone"/>
    </w:p>
    <w:p w14:paraId="0DCBF693" w14:textId="77777777" w:rsidR="00527506" w:rsidRDefault="00527506" w:rsidP="00646C30"/>
    <w:p w14:paraId="4FB6D2DC" w14:textId="634B178E" w:rsidR="00031565" w:rsidRDefault="003B01A3" w:rsidP="00646C30">
      <w:pPr>
        <w:rPr>
          <w:color w:val="4BACC6" w:themeColor="accent5"/>
        </w:rPr>
      </w:pPr>
      <w:r>
        <w:rPr>
          <w:color w:val="4BACC6" w:themeColor="accent5"/>
        </w:rPr>
        <w:t xml:space="preserve">Invesco </w:t>
      </w:r>
      <w:r w:rsidR="00CD158D">
        <w:rPr>
          <w:color w:val="4BACC6" w:themeColor="accent5"/>
        </w:rPr>
        <w:t xml:space="preserve">finds the current quarterly liquidity calculation for bonds to be unrepresentative of the true liquidity of bonds, and we would welcome </w:t>
      </w:r>
      <w:r w:rsidR="00C56794">
        <w:rPr>
          <w:color w:val="4BACC6" w:themeColor="accent5"/>
        </w:rPr>
        <w:t xml:space="preserve">the introduction of </w:t>
      </w:r>
      <w:r w:rsidR="00CD158D">
        <w:rPr>
          <w:color w:val="4BACC6" w:themeColor="accent5"/>
        </w:rPr>
        <w:t>a simpler</w:t>
      </w:r>
      <w:r w:rsidR="00C56794">
        <w:rPr>
          <w:color w:val="4BACC6" w:themeColor="accent5"/>
        </w:rPr>
        <w:t xml:space="preserve"> framework</w:t>
      </w:r>
      <w:r w:rsidR="00CD158D">
        <w:rPr>
          <w:color w:val="4BACC6" w:themeColor="accent5"/>
        </w:rPr>
        <w:t xml:space="preserve">, </w:t>
      </w:r>
      <w:r w:rsidR="00C56794">
        <w:rPr>
          <w:color w:val="4BACC6" w:themeColor="accent5"/>
        </w:rPr>
        <w:t xml:space="preserve">with a </w:t>
      </w:r>
      <w:r w:rsidR="00CD158D">
        <w:rPr>
          <w:color w:val="4BACC6" w:themeColor="accent5"/>
        </w:rPr>
        <w:t xml:space="preserve">more frequent calculation of </w:t>
      </w:r>
      <w:r w:rsidR="00C56794">
        <w:rPr>
          <w:color w:val="4BACC6" w:themeColor="accent5"/>
        </w:rPr>
        <w:t xml:space="preserve">bond </w:t>
      </w:r>
      <w:r w:rsidR="00CD158D">
        <w:rPr>
          <w:color w:val="4BACC6" w:themeColor="accent5"/>
        </w:rPr>
        <w:t>liquidity</w:t>
      </w:r>
      <w:r w:rsidR="00C56794">
        <w:rPr>
          <w:color w:val="4BACC6" w:themeColor="accent5"/>
        </w:rPr>
        <w:t>.</w:t>
      </w:r>
    </w:p>
    <w:p w14:paraId="6716475D" w14:textId="77777777" w:rsidR="00C56794" w:rsidRPr="00C56794" w:rsidRDefault="00C56794" w:rsidP="00646C30">
      <w:pPr>
        <w:rPr>
          <w:color w:val="4BACC6" w:themeColor="accent5"/>
        </w:rPr>
      </w:pPr>
    </w:p>
    <w:p w14:paraId="606C0D6A" w14:textId="2C4B94E5" w:rsidR="00646C30" w:rsidRDefault="00646C30" w:rsidP="00646C30"/>
    <w:permEnd w:id="203690501"/>
    <w:p w14:paraId="6A9BD28E" w14:textId="77777777" w:rsidR="00646C30" w:rsidRDefault="00646C30" w:rsidP="00646C30"/>
    <w:p w14:paraId="5D9D8E52" w14:textId="45E09135" w:rsidR="00646C30" w:rsidRDefault="00646C30" w:rsidP="00646C30">
      <w:r>
        <w:lastRenderedPageBreak/>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2C43EEFE" w14:textId="77777777" w:rsidR="00527506" w:rsidRDefault="00527506" w:rsidP="00646C30">
      <w:permStart w:id="1935441367" w:edGrp="everyone"/>
    </w:p>
    <w:p w14:paraId="02EB2625" w14:textId="77777777" w:rsidR="00527506" w:rsidRDefault="00527506" w:rsidP="00646C30"/>
    <w:p w14:paraId="2E1D6CAB" w14:textId="60488874" w:rsidR="00C56794" w:rsidRDefault="00C56794" w:rsidP="00C56794">
      <w:r>
        <w:rPr>
          <w:color w:val="4BACC6" w:themeColor="accent5"/>
        </w:rPr>
        <w:t>Please refer to our response to Q25.</w:t>
      </w:r>
    </w:p>
    <w:p w14:paraId="66CD185F" w14:textId="652CD0AC" w:rsidR="00646C30" w:rsidRDefault="00646C30" w:rsidP="00646C30"/>
    <w:p w14:paraId="034E405D" w14:textId="6C07D625" w:rsidR="00646C30" w:rsidRDefault="00646C30" w:rsidP="00646C30"/>
    <w:permEnd w:id="1935441367"/>
    <w:p w14:paraId="03AF49A6" w14:textId="77777777" w:rsidR="00646C30" w:rsidRDefault="00646C30" w:rsidP="00646C30"/>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11347DE" w14:textId="77777777" w:rsidR="00AD0039" w:rsidRDefault="00AD0039" w:rsidP="00646C30">
      <w:permStart w:id="1284132493" w:edGrp="everyone"/>
    </w:p>
    <w:p w14:paraId="5ADA6C05" w14:textId="77777777" w:rsidR="00AD0039" w:rsidRDefault="00AD0039" w:rsidP="00646C30"/>
    <w:p w14:paraId="07059944" w14:textId="5AD5357C" w:rsidR="00646C30" w:rsidRPr="00AD0039" w:rsidRDefault="00AD0039" w:rsidP="00646C30">
      <w:pPr>
        <w:rPr>
          <w:color w:val="4BACC6" w:themeColor="accent5"/>
        </w:rPr>
      </w:pPr>
      <w:r>
        <w:rPr>
          <w:color w:val="4BACC6" w:themeColor="accent5"/>
        </w:rPr>
        <w:t xml:space="preserve">We agree with ESMA’s assessment, as set out in </w:t>
      </w:r>
      <w:r w:rsidR="00C179A4">
        <w:rPr>
          <w:color w:val="4BACC6" w:themeColor="accent5"/>
        </w:rPr>
        <w:t>p</w:t>
      </w:r>
      <w:r>
        <w:rPr>
          <w:color w:val="4BACC6" w:themeColor="accent5"/>
        </w:rPr>
        <w:t>aragraph 293 of the consultation, that “c</w:t>
      </w:r>
      <w:r w:rsidRPr="00AD0039">
        <w:rPr>
          <w:color w:val="4BACC6" w:themeColor="accent5"/>
        </w:rPr>
        <w:t>onsidering that ESMA will provide the first annual transparency calculation for all non-equity instruments other than bonds in the following months, it is considered premature to assess whether it is appropriate to move to stage 2 for those instruments at this point in time.</w:t>
      </w:r>
      <w:r>
        <w:rPr>
          <w:color w:val="4BACC6" w:themeColor="accent5"/>
        </w:rPr>
        <w:t xml:space="preserve">” </w:t>
      </w:r>
    </w:p>
    <w:p w14:paraId="48A0C2AA" w14:textId="5A58D7B6" w:rsidR="00646C30" w:rsidRDefault="00646C30" w:rsidP="00646C30"/>
    <w:p w14:paraId="1D5846CC" w14:textId="5EA0C63E" w:rsidR="00646C30" w:rsidRDefault="00646C30" w:rsidP="00646C30"/>
    <w:permEnd w:id="1284132493"/>
    <w:p w14:paraId="58E212F6" w14:textId="77777777" w:rsidR="00646C30" w:rsidRDefault="00646C30" w:rsidP="00646C30"/>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5235E71A" w14:textId="77777777" w:rsidR="0023319C" w:rsidRDefault="0023319C" w:rsidP="00646C30">
      <w:permStart w:id="1735202609" w:edGrp="everyone"/>
    </w:p>
    <w:p w14:paraId="1E2DBB24" w14:textId="75A76267" w:rsidR="0023319C" w:rsidRDefault="0023319C" w:rsidP="00646C30"/>
    <w:p w14:paraId="31770846" w14:textId="61B9A91C" w:rsidR="004667D6" w:rsidRDefault="004667D6" w:rsidP="00646C30">
      <w:r>
        <w:rPr>
          <w:color w:val="4BACC6" w:themeColor="accent5"/>
        </w:rPr>
        <w:t xml:space="preserve">Noting that we have highlighted the need to reconsider the appropriateness </w:t>
      </w:r>
      <w:r w:rsidR="00CD2851">
        <w:rPr>
          <w:color w:val="4BACC6" w:themeColor="accent5"/>
        </w:rPr>
        <w:t xml:space="preserve">and effectiveness </w:t>
      </w:r>
      <w:r>
        <w:rPr>
          <w:color w:val="4BACC6" w:themeColor="accent5"/>
        </w:rPr>
        <w:t xml:space="preserve">of provisions relating to SSTI, we would not advocate </w:t>
      </w:r>
      <w:r w:rsidRPr="004667D6">
        <w:rPr>
          <w:color w:val="4BACC6" w:themeColor="accent5"/>
        </w:rPr>
        <w:t>to move to stage 2 for the determination of the pre-trade SSTI thresholds for bonds (except ETCs and ETNs)</w:t>
      </w:r>
      <w:r>
        <w:rPr>
          <w:color w:val="4BACC6" w:themeColor="accent5"/>
        </w:rPr>
        <w:t xml:space="preserve"> at this point. Instead, we encourage ESMA to consider provisions relating to SSTI holistically</w:t>
      </w:r>
      <w:r w:rsidR="00C179A4">
        <w:rPr>
          <w:color w:val="4BACC6" w:themeColor="accent5"/>
        </w:rPr>
        <w:t>.</w:t>
      </w:r>
    </w:p>
    <w:p w14:paraId="2B47CBBB" w14:textId="77777777" w:rsidR="00335DFC" w:rsidRDefault="00335DFC" w:rsidP="00646C30"/>
    <w:p w14:paraId="66DE8209" w14:textId="012F8431" w:rsidR="00646C30" w:rsidRDefault="00646C30" w:rsidP="00646C30"/>
    <w:permEnd w:id="1735202609"/>
    <w:p w14:paraId="16EEF504" w14:textId="77777777" w:rsidR="00646C30" w:rsidRDefault="00646C30" w:rsidP="00646C30"/>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 xml:space="preserve">What is your view on the current calibration of the ADNA and ADNT for commodity derivatives? Are there specific sub-asset classes for which the current calibration </w:t>
      </w:r>
      <w:r w:rsidRPr="00B27E7B">
        <w:lastRenderedPageBreak/>
        <w:t>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2E956E2F" w14:textId="77777777" w:rsidR="00CE6942" w:rsidRDefault="00CE6942" w:rsidP="00646C30">
      <w:permStart w:id="1113393043" w:edGrp="everyone"/>
    </w:p>
    <w:p w14:paraId="5CE4F384" w14:textId="77777777" w:rsidR="00CE6942" w:rsidRDefault="00CE6942" w:rsidP="00646C30"/>
    <w:p w14:paraId="0E557F14" w14:textId="565EE99E" w:rsidR="00646C30" w:rsidRDefault="00646C30" w:rsidP="00646C30">
      <w:r>
        <w:t>TYPE YOUR TEXT HERE</w:t>
      </w:r>
    </w:p>
    <w:p w14:paraId="12352400" w14:textId="1BB2C00F" w:rsidR="00646C30" w:rsidRDefault="00646C30" w:rsidP="00646C30"/>
    <w:p w14:paraId="337ED1CC" w14:textId="23434A7D" w:rsidR="00646C30" w:rsidRDefault="00646C30" w:rsidP="00646C30"/>
    <w:permEnd w:id="1113393043"/>
    <w:p w14:paraId="678D6CE8" w14:textId="77777777" w:rsidR="00646C30" w:rsidRDefault="00646C30" w:rsidP="00646C30"/>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7A75D328" w14:textId="77777777" w:rsidR="004E6019" w:rsidRDefault="004E6019" w:rsidP="00646C30">
      <w:permStart w:id="547110296" w:edGrp="everyone"/>
    </w:p>
    <w:p w14:paraId="60E3D46F" w14:textId="77777777" w:rsidR="004E6019" w:rsidRDefault="004E6019" w:rsidP="00646C30"/>
    <w:p w14:paraId="0FB3DBAF" w14:textId="7140BA21" w:rsidR="00646C30" w:rsidRDefault="00646C30" w:rsidP="00646C30">
      <w:r>
        <w:t>TYPE YOUR TEXT HER</w:t>
      </w:r>
      <w:bookmarkStart w:id="3" w:name="_GoBack"/>
      <w:bookmarkEnd w:id="3"/>
      <w:r>
        <w:t>E</w:t>
      </w:r>
    </w:p>
    <w:p w14:paraId="5240D826" w14:textId="1CB11B40" w:rsidR="00646C30" w:rsidRDefault="00646C30" w:rsidP="00646C30"/>
    <w:p w14:paraId="516F19E0" w14:textId="2E4085FC" w:rsidR="00646C30" w:rsidRDefault="00646C30" w:rsidP="00646C30"/>
    <w:permEnd w:id="547110296"/>
    <w:p w14:paraId="7C60E5B1" w14:textId="77777777" w:rsidR="00646C30" w:rsidRDefault="00646C30" w:rsidP="00646C30"/>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4CEBFF80" w14:textId="77777777" w:rsidR="004E6019" w:rsidRDefault="004E6019" w:rsidP="00B27E7B">
      <w:permStart w:id="1615734835" w:edGrp="everyone"/>
    </w:p>
    <w:p w14:paraId="18445CBD" w14:textId="77777777" w:rsidR="004E6019" w:rsidRDefault="004E6019" w:rsidP="00B27E7B"/>
    <w:p w14:paraId="593E91E6" w14:textId="11A67343" w:rsidR="00B27E7B" w:rsidRDefault="00B27E7B" w:rsidP="00B27E7B">
      <w:r>
        <w:t>TYPE YOUR TEXT HERE</w:t>
      </w:r>
    </w:p>
    <w:p w14:paraId="39A09873" w14:textId="610535B6" w:rsidR="00B27E7B" w:rsidRDefault="00B27E7B" w:rsidP="00B27E7B"/>
    <w:p w14:paraId="1FEA8154" w14:textId="027030D0" w:rsidR="00B27E7B" w:rsidRDefault="00B27E7B" w:rsidP="00B27E7B"/>
    <w:permEnd w:id="1615734835"/>
    <w:p w14:paraId="250D3F01" w14:textId="77777777" w:rsidR="00B27E7B" w:rsidRDefault="00B27E7B" w:rsidP="00B27E7B"/>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7ACAF" w14:textId="77777777" w:rsidR="004D65F1" w:rsidRDefault="004D65F1">
      <w:r>
        <w:separator/>
      </w:r>
    </w:p>
    <w:p w14:paraId="0FE88DEB" w14:textId="77777777" w:rsidR="004D65F1" w:rsidRDefault="004D65F1"/>
  </w:endnote>
  <w:endnote w:type="continuationSeparator" w:id="0">
    <w:p w14:paraId="79E42349" w14:textId="77777777" w:rsidR="004D65F1" w:rsidRDefault="004D65F1">
      <w:r>
        <w:continuationSeparator/>
      </w:r>
    </w:p>
    <w:p w14:paraId="402A949E" w14:textId="77777777" w:rsidR="004D65F1" w:rsidRDefault="004D65F1"/>
  </w:endnote>
  <w:endnote w:type="continuationNotice" w:id="1">
    <w:p w14:paraId="1D095803" w14:textId="77777777" w:rsidR="004D65F1" w:rsidRDefault="004D6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E1000AEF"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55001" w:rsidRPr="00616B9B" w14:paraId="313FAE1A" w14:textId="77777777" w:rsidTr="00315E96">
      <w:trPr>
        <w:trHeight w:val="284"/>
      </w:trPr>
      <w:tc>
        <w:tcPr>
          <w:tcW w:w="8460" w:type="dxa"/>
        </w:tcPr>
        <w:p w14:paraId="0BEF8BC6" w14:textId="77777777" w:rsidR="00455001" w:rsidRPr="00315E96" w:rsidRDefault="00455001" w:rsidP="00315E96">
          <w:pPr>
            <w:pStyle w:val="00Footer"/>
            <w:rPr>
              <w:lang w:val="fr-FR"/>
            </w:rPr>
          </w:pPr>
        </w:p>
      </w:tc>
      <w:tc>
        <w:tcPr>
          <w:tcW w:w="952" w:type="dxa"/>
        </w:tcPr>
        <w:p w14:paraId="7FD1DE07" w14:textId="77777777" w:rsidR="00455001" w:rsidRPr="00616B9B" w:rsidRDefault="0045500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55001" w:rsidRDefault="00455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455001" w:rsidRDefault="0045500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455001" w:rsidRDefault="0045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5DF2" w14:textId="77777777" w:rsidR="004D65F1" w:rsidRDefault="004D65F1">
      <w:r>
        <w:separator/>
      </w:r>
    </w:p>
    <w:p w14:paraId="684FB97F" w14:textId="77777777" w:rsidR="004D65F1" w:rsidRDefault="004D65F1"/>
  </w:footnote>
  <w:footnote w:type="continuationSeparator" w:id="0">
    <w:p w14:paraId="7ACA6172" w14:textId="77777777" w:rsidR="004D65F1" w:rsidRDefault="004D65F1">
      <w:r>
        <w:continuationSeparator/>
      </w:r>
    </w:p>
    <w:p w14:paraId="41094AE6" w14:textId="77777777" w:rsidR="004D65F1" w:rsidRDefault="004D65F1"/>
  </w:footnote>
  <w:footnote w:type="continuationNotice" w:id="1">
    <w:p w14:paraId="23B27631" w14:textId="77777777" w:rsidR="004D65F1" w:rsidRDefault="004D6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455001" w:rsidRDefault="00455001">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455001" w:rsidRDefault="00455001"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455001" w:rsidRDefault="004550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55001" w:rsidRPr="002F4496" w14:paraId="60C7474C" w14:textId="77777777" w:rsidTr="000C06C9">
      <w:trPr>
        <w:trHeight w:val="284"/>
      </w:trPr>
      <w:tc>
        <w:tcPr>
          <w:tcW w:w="8460" w:type="dxa"/>
        </w:tcPr>
        <w:p w14:paraId="54B7E7F0" w14:textId="77777777" w:rsidR="00455001" w:rsidRPr="000C3B6D" w:rsidRDefault="00455001" w:rsidP="000C06C9">
          <w:pPr>
            <w:pStyle w:val="00Footer"/>
            <w:rPr>
              <w:lang w:val="fr-FR"/>
            </w:rPr>
          </w:pPr>
        </w:p>
      </w:tc>
      <w:tc>
        <w:tcPr>
          <w:tcW w:w="952" w:type="dxa"/>
        </w:tcPr>
        <w:p w14:paraId="2E49D042" w14:textId="77777777" w:rsidR="00455001" w:rsidRPr="00146B34" w:rsidRDefault="00455001" w:rsidP="000C06C9">
          <w:pPr>
            <w:pStyle w:val="00aPagenumber"/>
            <w:rPr>
              <w:lang w:val="fr-FR"/>
            </w:rPr>
          </w:pPr>
        </w:p>
      </w:tc>
    </w:tr>
  </w:tbl>
  <w:p w14:paraId="580707D9" w14:textId="77777777" w:rsidR="00455001" w:rsidRPr="00DB46C3" w:rsidRDefault="00455001">
    <w:pPr>
      <w:rPr>
        <w:lang w:val="fr-FR"/>
      </w:rPr>
    </w:pPr>
  </w:p>
  <w:p w14:paraId="20C4F67C" w14:textId="77777777" w:rsidR="00455001" w:rsidRPr="002F4496" w:rsidRDefault="00455001">
    <w:pPr>
      <w:pStyle w:val="Header"/>
      <w:rPr>
        <w:lang w:val="fr-FR"/>
      </w:rPr>
    </w:pPr>
  </w:p>
  <w:p w14:paraId="3F30C70B" w14:textId="77777777" w:rsidR="00455001" w:rsidRPr="002F4496" w:rsidRDefault="00455001" w:rsidP="000C06C9">
    <w:pPr>
      <w:pStyle w:val="Header"/>
      <w:tabs>
        <w:tab w:val="clear" w:pos="4536"/>
        <w:tab w:val="clear" w:pos="9072"/>
        <w:tab w:val="left" w:pos="8227"/>
      </w:tabs>
      <w:rPr>
        <w:lang w:val="fr-FR"/>
      </w:rPr>
    </w:pPr>
  </w:p>
  <w:p w14:paraId="4D50BC39" w14:textId="77777777" w:rsidR="00455001" w:rsidRPr="002F4496" w:rsidRDefault="00455001" w:rsidP="00583885">
    <w:pPr>
      <w:pStyle w:val="Header"/>
      <w:jc w:val="right"/>
      <w:rPr>
        <w:lang w:val="fr-FR"/>
      </w:rPr>
    </w:pPr>
  </w:p>
  <w:p w14:paraId="2D51BEA2" w14:textId="77777777" w:rsidR="00455001" w:rsidRPr="002F4496" w:rsidRDefault="00455001">
    <w:pPr>
      <w:pStyle w:val="Header"/>
      <w:rPr>
        <w:lang w:val="fr-FR"/>
      </w:rPr>
    </w:pPr>
  </w:p>
  <w:p w14:paraId="340B2438" w14:textId="77777777" w:rsidR="00455001" w:rsidRPr="002F4496" w:rsidRDefault="00455001">
    <w:pPr>
      <w:pStyle w:val="Header"/>
      <w:rPr>
        <w:lang w:val="fr-FR"/>
      </w:rPr>
    </w:pPr>
  </w:p>
  <w:p w14:paraId="2A794A3E" w14:textId="77777777" w:rsidR="00455001" w:rsidRPr="002F4496" w:rsidRDefault="00455001">
    <w:pPr>
      <w:pStyle w:val="Header"/>
      <w:rPr>
        <w:lang w:val="fr-FR"/>
      </w:rPr>
    </w:pPr>
  </w:p>
  <w:p w14:paraId="0A21F475" w14:textId="77777777" w:rsidR="00455001" w:rsidRPr="002F4496" w:rsidRDefault="00455001">
    <w:pPr>
      <w:pStyle w:val="Header"/>
      <w:rPr>
        <w:highlight w:val="yellow"/>
        <w:lang w:val="fr-FR"/>
      </w:rPr>
    </w:pPr>
  </w:p>
  <w:p w14:paraId="53ABEE5D" w14:textId="77777777" w:rsidR="00455001" w:rsidRDefault="00455001">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5A3F07"/>
    <w:multiLevelType w:val="hybridMultilevel"/>
    <w:tmpl w:val="3E92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080B"/>
    <w:multiLevelType w:val="hybridMultilevel"/>
    <w:tmpl w:val="7D24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141987"/>
    <w:multiLevelType w:val="hybridMultilevel"/>
    <w:tmpl w:val="FD0E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F8D5607"/>
    <w:multiLevelType w:val="hybridMultilevel"/>
    <w:tmpl w:val="4AA4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3"/>
  </w:num>
  <w:num w:numId="4">
    <w:abstractNumId w:val="25"/>
  </w:num>
  <w:num w:numId="5">
    <w:abstractNumId w:val="27"/>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8"/>
  </w:num>
  <w:num w:numId="30">
    <w:abstractNumId w:val="4"/>
  </w:num>
  <w:num w:numId="31">
    <w:abstractNumId w:val="23"/>
  </w:num>
  <w:num w:numId="32">
    <w:abstractNumId w:val="22"/>
  </w:num>
  <w:num w:numId="33">
    <w:abstractNumId w:val="36"/>
  </w:num>
  <w:num w:numId="34">
    <w:abstractNumId w:val="35"/>
  </w:num>
  <w:num w:numId="35">
    <w:abstractNumId w:val="6"/>
  </w:num>
  <w:num w:numId="36">
    <w:abstractNumId w:val="37"/>
  </w:num>
  <w:num w:numId="37">
    <w:abstractNumId w:val="22"/>
    <w:lvlOverride w:ilvl="0">
      <w:startOverride w:val="1"/>
    </w:lvlOverride>
  </w:num>
  <w:num w:numId="38">
    <w:abstractNumId w:val="22"/>
  </w:num>
  <w:num w:numId="39">
    <w:abstractNumId w:val="10"/>
  </w:num>
  <w:num w:numId="40">
    <w:abstractNumId w:val="2"/>
  </w:num>
  <w:num w:numId="41">
    <w:abstractNumId w:val="3"/>
  </w:num>
  <w:num w:numId="42">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1565"/>
    <w:rsid w:val="000344D6"/>
    <w:rsid w:val="00034960"/>
    <w:rsid w:val="00036FAE"/>
    <w:rsid w:val="00041858"/>
    <w:rsid w:val="0004389E"/>
    <w:rsid w:val="00045CA6"/>
    <w:rsid w:val="000463A6"/>
    <w:rsid w:val="00046CC9"/>
    <w:rsid w:val="00046E91"/>
    <w:rsid w:val="00047350"/>
    <w:rsid w:val="000502FE"/>
    <w:rsid w:val="0005126D"/>
    <w:rsid w:val="000515AE"/>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4CF6"/>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D56"/>
    <w:rsid w:val="00164F15"/>
    <w:rsid w:val="001651A4"/>
    <w:rsid w:val="0016552B"/>
    <w:rsid w:val="00166B04"/>
    <w:rsid w:val="001670A6"/>
    <w:rsid w:val="001701FA"/>
    <w:rsid w:val="00171183"/>
    <w:rsid w:val="00171A6F"/>
    <w:rsid w:val="001725A5"/>
    <w:rsid w:val="00172681"/>
    <w:rsid w:val="00173AC7"/>
    <w:rsid w:val="001745D7"/>
    <w:rsid w:val="00175754"/>
    <w:rsid w:val="00176982"/>
    <w:rsid w:val="0017701C"/>
    <w:rsid w:val="0018007A"/>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1DB"/>
    <w:rsid w:val="001E66EC"/>
    <w:rsid w:val="001E68C5"/>
    <w:rsid w:val="001F0F63"/>
    <w:rsid w:val="001F3996"/>
    <w:rsid w:val="001F44A4"/>
    <w:rsid w:val="001F579D"/>
    <w:rsid w:val="001F65EF"/>
    <w:rsid w:val="001F697B"/>
    <w:rsid w:val="001F71D9"/>
    <w:rsid w:val="002005A6"/>
    <w:rsid w:val="00204CBC"/>
    <w:rsid w:val="002051F1"/>
    <w:rsid w:val="002067BA"/>
    <w:rsid w:val="0021014F"/>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19C"/>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6BF1"/>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430D"/>
    <w:rsid w:val="002C53AA"/>
    <w:rsid w:val="002C5B2D"/>
    <w:rsid w:val="002C6AF9"/>
    <w:rsid w:val="002C7DFC"/>
    <w:rsid w:val="002D01C8"/>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89D"/>
    <w:rsid w:val="00315E96"/>
    <w:rsid w:val="00317FC8"/>
    <w:rsid w:val="003223D7"/>
    <w:rsid w:val="00323D9F"/>
    <w:rsid w:val="00324B8C"/>
    <w:rsid w:val="00324FDB"/>
    <w:rsid w:val="00325F48"/>
    <w:rsid w:val="0033194F"/>
    <w:rsid w:val="00332304"/>
    <w:rsid w:val="00332406"/>
    <w:rsid w:val="00332D8D"/>
    <w:rsid w:val="00335DFC"/>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1A3"/>
    <w:rsid w:val="003B08C8"/>
    <w:rsid w:val="003B17BE"/>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1BE"/>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2C6"/>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4416"/>
    <w:rsid w:val="00455001"/>
    <w:rsid w:val="0045503F"/>
    <w:rsid w:val="00455273"/>
    <w:rsid w:val="00460905"/>
    <w:rsid w:val="00461E35"/>
    <w:rsid w:val="004621DB"/>
    <w:rsid w:val="004634A7"/>
    <w:rsid w:val="004635C8"/>
    <w:rsid w:val="00463787"/>
    <w:rsid w:val="004667D6"/>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2F8"/>
    <w:rsid w:val="004A0D09"/>
    <w:rsid w:val="004A116E"/>
    <w:rsid w:val="004A357F"/>
    <w:rsid w:val="004A363B"/>
    <w:rsid w:val="004A3DAD"/>
    <w:rsid w:val="004A734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0449"/>
    <w:rsid w:val="004D1410"/>
    <w:rsid w:val="004D1478"/>
    <w:rsid w:val="004D19EE"/>
    <w:rsid w:val="004D1CF2"/>
    <w:rsid w:val="004D2D3A"/>
    <w:rsid w:val="004D374D"/>
    <w:rsid w:val="004D3DEC"/>
    <w:rsid w:val="004D42C8"/>
    <w:rsid w:val="004D4F57"/>
    <w:rsid w:val="004D50F6"/>
    <w:rsid w:val="004D5A0D"/>
    <w:rsid w:val="004D65F1"/>
    <w:rsid w:val="004D7910"/>
    <w:rsid w:val="004D7DEA"/>
    <w:rsid w:val="004E0A28"/>
    <w:rsid w:val="004E1A0F"/>
    <w:rsid w:val="004E2E89"/>
    <w:rsid w:val="004E33C2"/>
    <w:rsid w:val="004E3B9A"/>
    <w:rsid w:val="004E49B0"/>
    <w:rsid w:val="004E6019"/>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4F10"/>
    <w:rsid w:val="00516783"/>
    <w:rsid w:val="005171FB"/>
    <w:rsid w:val="00517EF8"/>
    <w:rsid w:val="00520083"/>
    <w:rsid w:val="0052029E"/>
    <w:rsid w:val="0052076A"/>
    <w:rsid w:val="00520A2C"/>
    <w:rsid w:val="00520E25"/>
    <w:rsid w:val="0052183D"/>
    <w:rsid w:val="00521FCC"/>
    <w:rsid w:val="00522B01"/>
    <w:rsid w:val="00522F44"/>
    <w:rsid w:val="0052360A"/>
    <w:rsid w:val="005242BA"/>
    <w:rsid w:val="005243B8"/>
    <w:rsid w:val="005252DD"/>
    <w:rsid w:val="00527506"/>
    <w:rsid w:val="00530A8D"/>
    <w:rsid w:val="00530E9C"/>
    <w:rsid w:val="00531C6D"/>
    <w:rsid w:val="00532EF4"/>
    <w:rsid w:val="005347CE"/>
    <w:rsid w:val="00535477"/>
    <w:rsid w:val="00535DEA"/>
    <w:rsid w:val="0053694D"/>
    <w:rsid w:val="0053723A"/>
    <w:rsid w:val="00537636"/>
    <w:rsid w:val="00537B1D"/>
    <w:rsid w:val="00540191"/>
    <w:rsid w:val="00540A2A"/>
    <w:rsid w:val="00541F27"/>
    <w:rsid w:val="00542297"/>
    <w:rsid w:val="005424BC"/>
    <w:rsid w:val="00542A28"/>
    <w:rsid w:val="005441D4"/>
    <w:rsid w:val="0054672D"/>
    <w:rsid w:val="00550F4E"/>
    <w:rsid w:val="00551E98"/>
    <w:rsid w:val="00552A0B"/>
    <w:rsid w:val="005532B5"/>
    <w:rsid w:val="00554A05"/>
    <w:rsid w:val="00554CFE"/>
    <w:rsid w:val="00555849"/>
    <w:rsid w:val="005559A8"/>
    <w:rsid w:val="00557048"/>
    <w:rsid w:val="00557FB5"/>
    <w:rsid w:val="00561AED"/>
    <w:rsid w:val="005648A8"/>
    <w:rsid w:val="00564DE3"/>
    <w:rsid w:val="00564E44"/>
    <w:rsid w:val="00566C6A"/>
    <w:rsid w:val="00566CE5"/>
    <w:rsid w:val="00566D36"/>
    <w:rsid w:val="005674C5"/>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10"/>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172"/>
    <w:rsid w:val="005D0750"/>
    <w:rsid w:val="005D1023"/>
    <w:rsid w:val="005D148F"/>
    <w:rsid w:val="005D2AD2"/>
    <w:rsid w:val="005D4A86"/>
    <w:rsid w:val="005D5EB1"/>
    <w:rsid w:val="005D6A29"/>
    <w:rsid w:val="005E0481"/>
    <w:rsid w:val="005E10BF"/>
    <w:rsid w:val="005E1834"/>
    <w:rsid w:val="005E22F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1B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0F84"/>
    <w:rsid w:val="00621089"/>
    <w:rsid w:val="00621A12"/>
    <w:rsid w:val="00621E1F"/>
    <w:rsid w:val="006228B2"/>
    <w:rsid w:val="006228E1"/>
    <w:rsid w:val="00622E32"/>
    <w:rsid w:val="00623688"/>
    <w:rsid w:val="0062387C"/>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2D5"/>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7B2"/>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5EFA"/>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6F7269"/>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094"/>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209D"/>
    <w:rsid w:val="00743DE7"/>
    <w:rsid w:val="0074509E"/>
    <w:rsid w:val="00745B9F"/>
    <w:rsid w:val="0074726F"/>
    <w:rsid w:val="007506F5"/>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64F"/>
    <w:rsid w:val="00775937"/>
    <w:rsid w:val="00775D3F"/>
    <w:rsid w:val="00777046"/>
    <w:rsid w:val="007770DA"/>
    <w:rsid w:val="007805B9"/>
    <w:rsid w:val="00780C3A"/>
    <w:rsid w:val="007834A1"/>
    <w:rsid w:val="007837F2"/>
    <w:rsid w:val="00791EB4"/>
    <w:rsid w:val="007928F1"/>
    <w:rsid w:val="0079357D"/>
    <w:rsid w:val="007937CC"/>
    <w:rsid w:val="00793A31"/>
    <w:rsid w:val="0079485D"/>
    <w:rsid w:val="00794979"/>
    <w:rsid w:val="007956B7"/>
    <w:rsid w:val="00795DDC"/>
    <w:rsid w:val="00795F1A"/>
    <w:rsid w:val="00796EDE"/>
    <w:rsid w:val="00797297"/>
    <w:rsid w:val="007974B3"/>
    <w:rsid w:val="00797875"/>
    <w:rsid w:val="007A076C"/>
    <w:rsid w:val="007A143A"/>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EC5"/>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113"/>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627"/>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7FA"/>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D4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184"/>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C65"/>
    <w:rsid w:val="0092751A"/>
    <w:rsid w:val="009305C4"/>
    <w:rsid w:val="00931FAF"/>
    <w:rsid w:val="00932478"/>
    <w:rsid w:val="009360F6"/>
    <w:rsid w:val="009371DC"/>
    <w:rsid w:val="0093759D"/>
    <w:rsid w:val="00940239"/>
    <w:rsid w:val="00941AD2"/>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81"/>
    <w:rsid w:val="00994621"/>
    <w:rsid w:val="009947FF"/>
    <w:rsid w:val="00994A15"/>
    <w:rsid w:val="0099544B"/>
    <w:rsid w:val="009961DC"/>
    <w:rsid w:val="009962A7"/>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492"/>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4DB"/>
    <w:rsid w:val="00A52518"/>
    <w:rsid w:val="00A52EBB"/>
    <w:rsid w:val="00A54BFF"/>
    <w:rsid w:val="00A54C63"/>
    <w:rsid w:val="00A54FBB"/>
    <w:rsid w:val="00A55BB1"/>
    <w:rsid w:val="00A55D71"/>
    <w:rsid w:val="00A55FD6"/>
    <w:rsid w:val="00A5619C"/>
    <w:rsid w:val="00A564CD"/>
    <w:rsid w:val="00A564CE"/>
    <w:rsid w:val="00A5675F"/>
    <w:rsid w:val="00A6046D"/>
    <w:rsid w:val="00A60D6F"/>
    <w:rsid w:val="00A61009"/>
    <w:rsid w:val="00A61762"/>
    <w:rsid w:val="00A61938"/>
    <w:rsid w:val="00A61CFD"/>
    <w:rsid w:val="00A62B86"/>
    <w:rsid w:val="00A63C96"/>
    <w:rsid w:val="00A65805"/>
    <w:rsid w:val="00A668F8"/>
    <w:rsid w:val="00A66BEE"/>
    <w:rsid w:val="00A671C9"/>
    <w:rsid w:val="00A67DFD"/>
    <w:rsid w:val="00A67E3C"/>
    <w:rsid w:val="00A72DA6"/>
    <w:rsid w:val="00A73FD4"/>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459"/>
    <w:rsid w:val="00AA2F67"/>
    <w:rsid w:val="00AA3569"/>
    <w:rsid w:val="00AA5F4C"/>
    <w:rsid w:val="00AA615C"/>
    <w:rsid w:val="00AA665F"/>
    <w:rsid w:val="00AA6711"/>
    <w:rsid w:val="00AB2AEC"/>
    <w:rsid w:val="00AB2DC1"/>
    <w:rsid w:val="00AB3102"/>
    <w:rsid w:val="00AB3516"/>
    <w:rsid w:val="00AB3D9A"/>
    <w:rsid w:val="00AB4824"/>
    <w:rsid w:val="00AB4B1D"/>
    <w:rsid w:val="00AB60CE"/>
    <w:rsid w:val="00AB6B5E"/>
    <w:rsid w:val="00AC047F"/>
    <w:rsid w:val="00AC3934"/>
    <w:rsid w:val="00AC4B91"/>
    <w:rsid w:val="00AC50C8"/>
    <w:rsid w:val="00AC5581"/>
    <w:rsid w:val="00AC56AD"/>
    <w:rsid w:val="00AC61BE"/>
    <w:rsid w:val="00AD0039"/>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B54"/>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5B7B"/>
    <w:rsid w:val="00BA64B3"/>
    <w:rsid w:val="00BA754A"/>
    <w:rsid w:val="00BA75BB"/>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07E4"/>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392"/>
    <w:rsid w:val="00C17750"/>
    <w:rsid w:val="00C179A4"/>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6794"/>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1691"/>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58D"/>
    <w:rsid w:val="00CD1FAE"/>
    <w:rsid w:val="00CD232F"/>
    <w:rsid w:val="00CD279E"/>
    <w:rsid w:val="00CD2851"/>
    <w:rsid w:val="00CD2F92"/>
    <w:rsid w:val="00CD4EB0"/>
    <w:rsid w:val="00CD512D"/>
    <w:rsid w:val="00CD5831"/>
    <w:rsid w:val="00CD6F6E"/>
    <w:rsid w:val="00CE157F"/>
    <w:rsid w:val="00CE1966"/>
    <w:rsid w:val="00CE1ED4"/>
    <w:rsid w:val="00CE2216"/>
    <w:rsid w:val="00CE3014"/>
    <w:rsid w:val="00CE30E5"/>
    <w:rsid w:val="00CE6942"/>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0D"/>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9AF"/>
    <w:rsid w:val="00D83D4B"/>
    <w:rsid w:val="00D871C6"/>
    <w:rsid w:val="00D91010"/>
    <w:rsid w:val="00D9143D"/>
    <w:rsid w:val="00D91BE7"/>
    <w:rsid w:val="00D91FB0"/>
    <w:rsid w:val="00D920D1"/>
    <w:rsid w:val="00DA0FA7"/>
    <w:rsid w:val="00DA12B0"/>
    <w:rsid w:val="00DA2BA0"/>
    <w:rsid w:val="00DA39AD"/>
    <w:rsid w:val="00DA5B13"/>
    <w:rsid w:val="00DA690D"/>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0580"/>
    <w:rsid w:val="00DD2CDA"/>
    <w:rsid w:val="00DD2D92"/>
    <w:rsid w:val="00DD3026"/>
    <w:rsid w:val="00DD33DC"/>
    <w:rsid w:val="00DD3BB0"/>
    <w:rsid w:val="00DD61F5"/>
    <w:rsid w:val="00DD7418"/>
    <w:rsid w:val="00DE428B"/>
    <w:rsid w:val="00DE64A6"/>
    <w:rsid w:val="00DE66EB"/>
    <w:rsid w:val="00DE7035"/>
    <w:rsid w:val="00DF12E3"/>
    <w:rsid w:val="00DF2A20"/>
    <w:rsid w:val="00DF3F1D"/>
    <w:rsid w:val="00DF5329"/>
    <w:rsid w:val="00DF595C"/>
    <w:rsid w:val="00DF7EA7"/>
    <w:rsid w:val="00E04548"/>
    <w:rsid w:val="00E0484E"/>
    <w:rsid w:val="00E063F8"/>
    <w:rsid w:val="00E113B5"/>
    <w:rsid w:val="00E114D6"/>
    <w:rsid w:val="00E1166E"/>
    <w:rsid w:val="00E11DBD"/>
    <w:rsid w:val="00E12D54"/>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27F11"/>
    <w:rsid w:val="00E3179E"/>
    <w:rsid w:val="00E32AC9"/>
    <w:rsid w:val="00E354DA"/>
    <w:rsid w:val="00E354F5"/>
    <w:rsid w:val="00E3687E"/>
    <w:rsid w:val="00E40974"/>
    <w:rsid w:val="00E40AAB"/>
    <w:rsid w:val="00E41205"/>
    <w:rsid w:val="00E41F32"/>
    <w:rsid w:val="00E42608"/>
    <w:rsid w:val="00E43536"/>
    <w:rsid w:val="00E43DA3"/>
    <w:rsid w:val="00E44B80"/>
    <w:rsid w:val="00E45438"/>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6F3"/>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4F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D7B"/>
    <w:rsid w:val="00EC3CB4"/>
    <w:rsid w:val="00EC443E"/>
    <w:rsid w:val="00EC4D83"/>
    <w:rsid w:val="00EC4EEE"/>
    <w:rsid w:val="00EC4F19"/>
    <w:rsid w:val="00EC634F"/>
    <w:rsid w:val="00EC6848"/>
    <w:rsid w:val="00EC6C6E"/>
    <w:rsid w:val="00EC7B97"/>
    <w:rsid w:val="00ED049C"/>
    <w:rsid w:val="00ED07B7"/>
    <w:rsid w:val="00ED19D7"/>
    <w:rsid w:val="00ED2167"/>
    <w:rsid w:val="00ED2D17"/>
    <w:rsid w:val="00ED351E"/>
    <w:rsid w:val="00ED4B27"/>
    <w:rsid w:val="00ED543C"/>
    <w:rsid w:val="00ED6BA4"/>
    <w:rsid w:val="00ED7DA7"/>
    <w:rsid w:val="00EE0598"/>
    <w:rsid w:val="00EE0E41"/>
    <w:rsid w:val="00EE311C"/>
    <w:rsid w:val="00EE447A"/>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07496"/>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9E5"/>
    <w:rsid w:val="00F26069"/>
    <w:rsid w:val="00F26B7E"/>
    <w:rsid w:val="00F27D7D"/>
    <w:rsid w:val="00F3002B"/>
    <w:rsid w:val="00F30BC9"/>
    <w:rsid w:val="00F32462"/>
    <w:rsid w:val="00F32FF7"/>
    <w:rsid w:val="00F33E8A"/>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8A7"/>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3A5"/>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AE0EA2CD-E0B4-4304-BBB3-94AD27AF8E27}">
  <ds:schemaRefs>
    <ds:schemaRef ds:uri="http://schemas.openxmlformats.org/officeDocument/2006/bibliography"/>
  </ds:schemaRefs>
</ds:datastoreItem>
</file>

<file path=customXml/itemProps6.xml><?xml version="1.0" encoding="utf-8"?>
<ds:datastoreItem xmlns:ds="http://schemas.openxmlformats.org/officeDocument/2006/customXml" ds:itemID="{05A2FE40-1B0D-467B-B59A-6D539C86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9046</TotalTime>
  <Pages>15</Pages>
  <Words>4074</Words>
  <Characters>23228</Characters>
  <Application>Microsoft Office Word</Application>
  <DocSecurity>8</DocSecurity>
  <Lines>193</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27248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Michael O'Shea</cp:lastModifiedBy>
  <cp:revision>61</cp:revision>
  <cp:lastPrinted>2015-02-18T11:01:00Z</cp:lastPrinted>
  <dcterms:created xsi:type="dcterms:W3CDTF">2020-05-04T12:58:00Z</dcterms:created>
  <dcterms:modified xsi:type="dcterms:W3CDTF">2020-06-14T12:40:00Z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