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2C785B" w:rsidRPr="00A52EBB" w14:paraId="490A6C18" w14:textId="77777777" w:rsidTr="005000BC">
        <w:trPr>
          <w:trHeight w:val="284"/>
        </w:trPr>
        <w:tc>
          <w:tcPr>
            <w:tcW w:w="9412" w:type="dxa"/>
          </w:tcPr>
          <w:p w14:paraId="562AF51E" w14:textId="77777777" w:rsidR="002C785B" w:rsidRPr="00583885" w:rsidRDefault="002C785B" w:rsidP="005000BC">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Pr>
                <w:rFonts w:cs="Arial"/>
                <w:color w:val="FFFFFF" w:themeColor="background1"/>
                <w:sz w:val="22"/>
                <w:szCs w:val="22"/>
              </w:rPr>
              <w:t>10 March 2020</w:t>
            </w:r>
          </w:p>
        </w:tc>
      </w:tr>
    </w:tbl>
    <w:p w14:paraId="228831E6" w14:textId="77777777" w:rsidR="00336496" w:rsidRPr="00336496" w:rsidRDefault="00336496" w:rsidP="00336496">
      <w:pPr>
        <w:rPr>
          <w:rFonts w:cs="Arial"/>
          <w:b/>
          <w:sz w:val="24"/>
        </w:rPr>
        <w:sectPr w:rsidR="00336496" w:rsidRPr="00336496">
          <w:pgSz w:w="11906" w:h="16838"/>
          <w:pgMar w:top="2835" w:right="1247" w:bottom="1361" w:left="1247" w:header="709" w:footer="709" w:gutter="0"/>
          <w:cols w:space="72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336496" w:rsidRPr="00336496" w14:paraId="3551C9B3" w14:textId="77777777" w:rsidTr="00336496">
        <w:trPr>
          <w:trHeight w:val="964"/>
        </w:trPr>
        <w:tc>
          <w:tcPr>
            <w:tcW w:w="2325" w:type="dxa"/>
            <w:hideMark/>
          </w:tcPr>
          <w:p w14:paraId="5DEF02F8" w14:textId="77777777" w:rsidR="00336496" w:rsidRPr="00336496" w:rsidRDefault="00336496" w:rsidP="00336496">
            <w:pPr>
              <w:spacing w:line="220" w:lineRule="exact"/>
              <w:rPr>
                <w:rFonts w:cs="Arial"/>
                <w:sz w:val="17"/>
              </w:rPr>
            </w:pPr>
            <w:r w:rsidRPr="00336496">
              <w:rPr>
                <w:rFonts w:cs="Arial"/>
                <w:sz w:val="17"/>
              </w:rPr>
              <w:t>Date: 10 March 2020</w:t>
            </w:r>
          </w:p>
        </w:tc>
      </w:tr>
    </w:tbl>
    <w:p w14:paraId="1DB39732" w14:textId="77777777" w:rsidR="00336496" w:rsidRPr="00336496" w:rsidRDefault="00336496" w:rsidP="00336496">
      <w:pPr>
        <w:spacing w:after="250" w:line="300" w:lineRule="exact"/>
        <w:jc w:val="both"/>
        <w:rPr>
          <w:rFonts w:eastAsia="Calibri" w:cs="Arial"/>
          <w:b/>
          <w:sz w:val="24"/>
        </w:rPr>
      </w:pPr>
      <w:bookmarkStart w:id="0" w:name="_Toc280628648"/>
      <w:r w:rsidRPr="00336496">
        <w:rPr>
          <w:rFonts w:eastAsia="Calibri" w:cs="Arial"/>
          <w:b/>
          <w:sz w:val="24"/>
          <w:lang w:val="en-US"/>
        </w:rPr>
        <w:t xml:space="preserve">Responding to this paper </w:t>
      </w:r>
    </w:p>
    <w:p w14:paraId="0DBC115D" w14:textId="77777777" w:rsidR="00336496" w:rsidRPr="00336496" w:rsidRDefault="00336496" w:rsidP="00336496">
      <w:pPr>
        <w:spacing w:before="120" w:after="120" w:line="276" w:lineRule="auto"/>
        <w:jc w:val="both"/>
        <w:rPr>
          <w:rFonts w:eastAsia="Calibri" w:cs="Arial"/>
          <w:sz w:val="22"/>
          <w:lang w:val="en-US"/>
        </w:rPr>
      </w:pPr>
      <w:r w:rsidRPr="00336496">
        <w:rPr>
          <w:rFonts w:eastAsia="Calibri" w:cs="Arial"/>
          <w:sz w:val="22"/>
          <w:lang w:val="en-US"/>
        </w:rPr>
        <w:t xml:space="preserve">The European Securities and Markets Authority (ESMA) invites responses to the specific questions listed in the Consultation Paper on the transparency regime for non-equity instruments and the trading obligations for derivatives MiFID II/ </w:t>
      </w:r>
      <w:proofErr w:type="spellStart"/>
      <w:r w:rsidRPr="00336496">
        <w:rPr>
          <w:rFonts w:eastAsia="Calibri" w:cs="Arial"/>
          <w:sz w:val="22"/>
          <w:lang w:val="en-US"/>
        </w:rPr>
        <w:t>MiFIR</w:t>
      </w:r>
      <w:proofErr w:type="spellEnd"/>
      <w:r w:rsidRPr="00336496">
        <w:rPr>
          <w:rFonts w:eastAsia="Calibri" w:cs="Arial"/>
          <w:sz w:val="22"/>
          <w:lang w:val="en-US"/>
        </w:rPr>
        <w:t xml:space="preserve"> review report published on the ESMA website.</w:t>
      </w:r>
    </w:p>
    <w:p w14:paraId="02F2D91B" w14:textId="77777777" w:rsidR="00336496" w:rsidRPr="00336496" w:rsidRDefault="00336496" w:rsidP="00336496">
      <w:pPr>
        <w:autoSpaceDE w:val="0"/>
        <w:autoSpaceDN w:val="0"/>
        <w:adjustRightInd w:val="0"/>
        <w:spacing w:before="120" w:after="120" w:line="276" w:lineRule="auto"/>
        <w:jc w:val="both"/>
        <w:rPr>
          <w:b/>
          <w:bCs/>
          <w:i/>
        </w:rPr>
      </w:pPr>
    </w:p>
    <w:p w14:paraId="397F9CC1" w14:textId="77777777" w:rsidR="00336496" w:rsidRPr="00336496" w:rsidRDefault="00336496" w:rsidP="00336496">
      <w:pPr>
        <w:autoSpaceDE w:val="0"/>
        <w:autoSpaceDN w:val="0"/>
        <w:adjustRightInd w:val="0"/>
        <w:spacing w:before="120" w:after="120" w:line="276" w:lineRule="auto"/>
        <w:jc w:val="both"/>
        <w:rPr>
          <w:rFonts w:cs="Arial"/>
          <w:b/>
          <w:bCs/>
          <w:i/>
        </w:rPr>
      </w:pPr>
      <w:r w:rsidRPr="00336496">
        <w:rPr>
          <w:rFonts w:cs="Arial"/>
          <w:b/>
          <w:bCs/>
          <w:i/>
        </w:rPr>
        <w:t>Instructions</w:t>
      </w:r>
    </w:p>
    <w:p w14:paraId="6FAD5794" w14:textId="77777777" w:rsidR="00336496" w:rsidRPr="00336496" w:rsidRDefault="00336496" w:rsidP="00336496">
      <w:pPr>
        <w:spacing w:before="120" w:after="120" w:line="276" w:lineRule="auto"/>
        <w:jc w:val="both"/>
        <w:rPr>
          <w:rFonts w:eastAsia="Calibri" w:cs="Arial"/>
          <w:sz w:val="22"/>
          <w:lang w:val="en-US"/>
        </w:rPr>
      </w:pPr>
      <w:r w:rsidRPr="00336496">
        <w:rPr>
          <w:rFonts w:eastAsia="Calibri" w:cs="Arial"/>
          <w:sz w:val="22"/>
          <w:lang w:val="en-US"/>
        </w:rPr>
        <w:t xml:space="preserve">Please note that, </w:t>
      </w:r>
      <w:proofErr w:type="gramStart"/>
      <w:r w:rsidRPr="00336496">
        <w:rPr>
          <w:rFonts w:eastAsia="Calibri" w:cs="Arial"/>
          <w:sz w:val="22"/>
          <w:lang w:val="en-US"/>
        </w:rPr>
        <w:t>in order to</w:t>
      </w:r>
      <w:proofErr w:type="gramEnd"/>
      <w:r w:rsidRPr="00336496">
        <w:rPr>
          <w:rFonts w:eastAsia="Calibri" w:cs="Arial"/>
          <w:sz w:val="22"/>
          <w:lang w:val="en-US"/>
        </w:rPr>
        <w:t xml:space="preserve">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14:paraId="6805B3D6" w14:textId="77777777" w:rsidR="00336496" w:rsidRPr="00336496" w:rsidRDefault="00336496" w:rsidP="00B61F24">
      <w:pPr>
        <w:numPr>
          <w:ilvl w:val="0"/>
          <w:numId w:val="45"/>
        </w:numPr>
        <w:spacing w:before="120" w:after="120" w:line="276" w:lineRule="auto"/>
        <w:jc w:val="both"/>
        <w:rPr>
          <w:rFonts w:eastAsia="Calibri" w:cs="Arial"/>
          <w:sz w:val="22"/>
          <w:lang w:val="en-US"/>
        </w:rPr>
      </w:pPr>
      <w:r w:rsidRPr="00336496">
        <w:rPr>
          <w:rFonts w:eastAsia="Calibri" w:cs="Arial"/>
          <w:sz w:val="22"/>
          <w:lang w:val="en-US"/>
        </w:rPr>
        <w:t>use this form and send your responses in Word format (pdf documents will not be considered except for annexes</w:t>
      </w:r>
      <w:proofErr w:type="gramStart"/>
      <w:r w:rsidRPr="00336496">
        <w:rPr>
          <w:rFonts w:eastAsia="Calibri" w:cs="Arial"/>
          <w:sz w:val="22"/>
          <w:lang w:val="en-US"/>
        </w:rPr>
        <w:t>);</w:t>
      </w:r>
      <w:proofErr w:type="gramEnd"/>
    </w:p>
    <w:p w14:paraId="3DD10850" w14:textId="77777777" w:rsidR="00336496" w:rsidRPr="00336496" w:rsidRDefault="00336496" w:rsidP="00B61F24">
      <w:pPr>
        <w:numPr>
          <w:ilvl w:val="0"/>
          <w:numId w:val="45"/>
        </w:numPr>
        <w:spacing w:before="120" w:after="120" w:line="276" w:lineRule="auto"/>
        <w:jc w:val="both"/>
        <w:rPr>
          <w:rFonts w:eastAsia="Calibri" w:cs="Arial"/>
          <w:sz w:val="22"/>
          <w:lang w:val="en-US"/>
        </w:rPr>
      </w:pPr>
      <w:r w:rsidRPr="00336496">
        <w:rPr>
          <w:rFonts w:eastAsia="Calibri" w:cs="Arial"/>
          <w:sz w:val="22"/>
          <w:lang w:val="en-US"/>
        </w:rPr>
        <w:t xml:space="preserve">do not remove the tags of type &lt;ESMA_QUESTION_CP_MIFID_NQT_1&gt; - i.e. the response to one question has to be framed by the 2 tags corresponding to the </w:t>
      </w:r>
      <w:proofErr w:type="gramStart"/>
      <w:r w:rsidRPr="00336496">
        <w:rPr>
          <w:rFonts w:eastAsia="Calibri" w:cs="Arial"/>
          <w:sz w:val="22"/>
          <w:lang w:val="en-US"/>
        </w:rPr>
        <w:t>question;</w:t>
      </w:r>
      <w:proofErr w:type="gramEnd"/>
      <w:r w:rsidRPr="00336496">
        <w:rPr>
          <w:rFonts w:eastAsia="Calibri" w:cs="Arial"/>
          <w:sz w:val="22"/>
          <w:lang w:val="en-US"/>
        </w:rPr>
        <w:t xml:space="preserve"> and</w:t>
      </w:r>
    </w:p>
    <w:p w14:paraId="1738AA4D" w14:textId="77777777" w:rsidR="00336496" w:rsidRPr="00336496" w:rsidRDefault="00336496" w:rsidP="00B61F24">
      <w:pPr>
        <w:numPr>
          <w:ilvl w:val="0"/>
          <w:numId w:val="45"/>
        </w:numPr>
        <w:spacing w:before="120" w:after="120" w:line="276" w:lineRule="auto"/>
        <w:jc w:val="both"/>
        <w:rPr>
          <w:rFonts w:eastAsia="Calibri" w:cs="Arial"/>
          <w:sz w:val="22"/>
          <w:lang w:val="en-US"/>
        </w:rPr>
      </w:pPr>
      <w:r w:rsidRPr="00336496">
        <w:rPr>
          <w:rFonts w:eastAsia="Calibri" w:cs="Arial"/>
          <w:sz w:val="22"/>
          <w:lang w:val="en-US"/>
        </w:rPr>
        <w:t>if you do not have a response to a question, do not delete it and leave the text “TYPE YOUR TEXT HERE” between the tags.</w:t>
      </w:r>
    </w:p>
    <w:p w14:paraId="73E9F927" w14:textId="77777777" w:rsidR="00336496" w:rsidRPr="00336496" w:rsidRDefault="00336496" w:rsidP="00336496">
      <w:pPr>
        <w:tabs>
          <w:tab w:val="left" w:pos="720"/>
        </w:tabs>
        <w:spacing w:before="120" w:after="120" w:line="276" w:lineRule="auto"/>
        <w:jc w:val="both"/>
        <w:rPr>
          <w:rFonts w:eastAsia="Calibri" w:cs="Arial"/>
          <w:sz w:val="22"/>
          <w:lang w:val="en-US"/>
        </w:rPr>
      </w:pPr>
      <w:r w:rsidRPr="00336496">
        <w:rPr>
          <w:rFonts w:eastAsia="Calibri" w:cs="Arial"/>
          <w:sz w:val="22"/>
          <w:lang w:val="en-US"/>
        </w:rPr>
        <w:t>Responses are most helpful:</w:t>
      </w:r>
    </w:p>
    <w:p w14:paraId="72083B4F" w14:textId="77777777" w:rsidR="00336496" w:rsidRPr="00336496" w:rsidRDefault="00336496" w:rsidP="00B61F24">
      <w:pPr>
        <w:numPr>
          <w:ilvl w:val="0"/>
          <w:numId w:val="46"/>
        </w:numPr>
        <w:spacing w:before="120" w:after="120" w:line="276" w:lineRule="auto"/>
        <w:jc w:val="both"/>
        <w:rPr>
          <w:rFonts w:eastAsia="Calibri" w:cs="Arial"/>
          <w:sz w:val="22"/>
          <w:lang w:val="en-US"/>
        </w:rPr>
      </w:pPr>
      <w:r w:rsidRPr="00336496">
        <w:rPr>
          <w:rFonts w:eastAsia="Calibri" w:cs="Arial"/>
          <w:sz w:val="22"/>
          <w:lang w:val="en-US"/>
        </w:rPr>
        <w:t xml:space="preserve">if they respond to the question </w:t>
      </w:r>
      <w:proofErr w:type="gramStart"/>
      <w:r w:rsidRPr="00336496">
        <w:rPr>
          <w:rFonts w:eastAsia="Calibri" w:cs="Arial"/>
          <w:sz w:val="22"/>
          <w:lang w:val="en-US"/>
        </w:rPr>
        <w:t>stated;</w:t>
      </w:r>
      <w:proofErr w:type="gramEnd"/>
    </w:p>
    <w:p w14:paraId="40D84680" w14:textId="77777777" w:rsidR="00336496" w:rsidRPr="00336496" w:rsidRDefault="00336496" w:rsidP="00B61F24">
      <w:pPr>
        <w:numPr>
          <w:ilvl w:val="0"/>
          <w:numId w:val="46"/>
        </w:numPr>
        <w:spacing w:before="120" w:after="120" w:line="276" w:lineRule="auto"/>
        <w:jc w:val="both"/>
        <w:rPr>
          <w:rFonts w:eastAsia="Calibri" w:cs="Arial"/>
          <w:sz w:val="22"/>
          <w:lang w:val="en-US"/>
        </w:rPr>
      </w:pPr>
      <w:r w:rsidRPr="00336496">
        <w:rPr>
          <w:rFonts w:eastAsia="Calibri" w:cs="Arial"/>
          <w:sz w:val="22"/>
          <w:lang w:val="en-US"/>
        </w:rPr>
        <w:t xml:space="preserve">indicate the specific question to which the comment </w:t>
      </w:r>
      <w:proofErr w:type="gramStart"/>
      <w:r w:rsidRPr="00336496">
        <w:rPr>
          <w:rFonts w:eastAsia="Calibri" w:cs="Arial"/>
          <w:sz w:val="22"/>
          <w:lang w:val="en-US"/>
        </w:rPr>
        <w:t>relates;</w:t>
      </w:r>
      <w:proofErr w:type="gramEnd"/>
    </w:p>
    <w:p w14:paraId="44157FA1" w14:textId="77777777" w:rsidR="00336496" w:rsidRPr="00336496" w:rsidRDefault="00336496" w:rsidP="00B61F24">
      <w:pPr>
        <w:numPr>
          <w:ilvl w:val="0"/>
          <w:numId w:val="46"/>
        </w:numPr>
        <w:spacing w:before="120" w:after="120" w:line="276" w:lineRule="auto"/>
        <w:jc w:val="both"/>
        <w:rPr>
          <w:rFonts w:eastAsia="Calibri" w:cs="Arial"/>
          <w:sz w:val="22"/>
          <w:lang w:val="en-US"/>
        </w:rPr>
      </w:pPr>
      <w:r w:rsidRPr="00336496">
        <w:rPr>
          <w:rFonts w:eastAsia="Calibri" w:cs="Arial"/>
          <w:sz w:val="22"/>
          <w:lang w:val="en-US"/>
        </w:rPr>
        <w:t>contain a clear rationale; and</w:t>
      </w:r>
    </w:p>
    <w:p w14:paraId="07CE293F" w14:textId="77777777" w:rsidR="00336496" w:rsidRPr="00336496" w:rsidRDefault="00336496" w:rsidP="00B61F24">
      <w:pPr>
        <w:numPr>
          <w:ilvl w:val="0"/>
          <w:numId w:val="46"/>
        </w:numPr>
        <w:spacing w:before="120" w:after="120" w:line="276" w:lineRule="auto"/>
        <w:jc w:val="both"/>
        <w:rPr>
          <w:rFonts w:eastAsia="Calibri" w:cs="Arial"/>
          <w:sz w:val="22"/>
          <w:lang w:val="en-US"/>
        </w:rPr>
      </w:pPr>
      <w:r w:rsidRPr="00336496">
        <w:rPr>
          <w:rFonts w:eastAsia="Calibri" w:cs="Arial"/>
          <w:sz w:val="22"/>
          <w:lang w:val="en-US"/>
        </w:rPr>
        <w:t>describe any alternatives ESMA should consider.</w:t>
      </w:r>
    </w:p>
    <w:p w14:paraId="0B10FCA1" w14:textId="77777777" w:rsidR="00336496" w:rsidRPr="00336496" w:rsidRDefault="00336496" w:rsidP="00336496">
      <w:pPr>
        <w:spacing w:before="120" w:after="120" w:line="276" w:lineRule="auto"/>
        <w:rPr>
          <w:rFonts w:eastAsia="Calibri" w:cs="Arial"/>
          <w:b/>
          <w:sz w:val="22"/>
          <w:lang w:val="en-US"/>
        </w:rPr>
      </w:pPr>
    </w:p>
    <w:p w14:paraId="25B85C72" w14:textId="77777777" w:rsidR="00336496" w:rsidRPr="00336496" w:rsidRDefault="00336496" w:rsidP="00336496">
      <w:pPr>
        <w:spacing w:before="120" w:after="120" w:line="276" w:lineRule="auto"/>
        <w:rPr>
          <w:rFonts w:eastAsia="Calibri" w:cs="Arial"/>
          <w:b/>
          <w:sz w:val="22"/>
          <w:lang w:val="en-US"/>
        </w:rPr>
      </w:pPr>
      <w:r w:rsidRPr="00336496">
        <w:rPr>
          <w:rFonts w:eastAsia="Calibri" w:cs="Arial"/>
          <w:b/>
          <w:sz w:val="22"/>
          <w:lang w:val="en-US"/>
        </w:rPr>
        <w:t>Naming protocol</w:t>
      </w:r>
    </w:p>
    <w:p w14:paraId="2CBF3E7B" w14:textId="77777777" w:rsidR="00336496" w:rsidRPr="00336496" w:rsidRDefault="00336496" w:rsidP="00336496">
      <w:pPr>
        <w:spacing w:before="120" w:after="120" w:line="276" w:lineRule="auto"/>
        <w:rPr>
          <w:rFonts w:eastAsia="Calibri" w:cs="Arial"/>
          <w:sz w:val="22"/>
          <w:lang w:val="en-US"/>
        </w:rPr>
      </w:pPr>
      <w:proofErr w:type="gramStart"/>
      <w:r w:rsidRPr="00336496">
        <w:rPr>
          <w:rFonts w:eastAsia="Calibri" w:cs="Arial"/>
          <w:sz w:val="22"/>
          <w:lang w:val="en-US"/>
        </w:rPr>
        <w:t>In order to</w:t>
      </w:r>
      <w:proofErr w:type="gramEnd"/>
      <w:r w:rsidRPr="00336496">
        <w:rPr>
          <w:rFonts w:eastAsia="Calibri" w:cs="Arial"/>
          <w:sz w:val="22"/>
          <w:lang w:val="en-US"/>
        </w:rPr>
        <w:t xml:space="preserve"> facilitate the handling of stakeholders’ responses please save your document using the following format:</w:t>
      </w:r>
    </w:p>
    <w:p w14:paraId="3FCCCFF2" w14:textId="77777777" w:rsidR="00336496" w:rsidRPr="00336496" w:rsidRDefault="00336496" w:rsidP="00336496">
      <w:pPr>
        <w:spacing w:before="120" w:after="120" w:line="276" w:lineRule="auto"/>
        <w:rPr>
          <w:rFonts w:eastAsia="Calibri" w:cs="Arial"/>
          <w:sz w:val="22"/>
          <w:lang w:val="en-US"/>
        </w:rPr>
      </w:pPr>
      <w:r w:rsidRPr="00336496">
        <w:rPr>
          <w:rFonts w:eastAsia="Calibri" w:cs="Arial"/>
          <w:sz w:val="22"/>
          <w:lang w:val="en-US"/>
        </w:rPr>
        <w:t>ESMA_CP_MIFID_NQT_NAMEOFCOMPANY_NAMEOFDOCUMENT.</w:t>
      </w:r>
    </w:p>
    <w:p w14:paraId="2F5259E5" w14:textId="77777777" w:rsidR="00336496" w:rsidRPr="00336496" w:rsidRDefault="00336496" w:rsidP="00336496">
      <w:pPr>
        <w:spacing w:before="120" w:after="120" w:line="276" w:lineRule="auto"/>
        <w:rPr>
          <w:rFonts w:eastAsia="Calibri" w:cs="Arial"/>
          <w:sz w:val="22"/>
          <w:lang w:val="en-US"/>
        </w:rPr>
      </w:pPr>
      <w:r w:rsidRPr="00336496">
        <w:rPr>
          <w:rFonts w:eastAsia="Calibri" w:cs="Arial"/>
          <w:sz w:val="22"/>
          <w:lang w:val="en-US"/>
        </w:rPr>
        <w:t>e.g. if the respondent were ESMA, the name of the reply form would be:</w:t>
      </w:r>
    </w:p>
    <w:p w14:paraId="054F7E03" w14:textId="77777777" w:rsidR="00336496" w:rsidRPr="00336496" w:rsidRDefault="00336496" w:rsidP="00336496">
      <w:pPr>
        <w:spacing w:before="120" w:after="120" w:line="276" w:lineRule="auto"/>
        <w:rPr>
          <w:rFonts w:eastAsia="Calibri" w:cs="Arial"/>
          <w:sz w:val="22"/>
          <w:lang w:val="en-US"/>
        </w:rPr>
      </w:pPr>
      <w:r w:rsidRPr="00336496">
        <w:rPr>
          <w:rFonts w:eastAsia="Calibri" w:cs="Arial"/>
          <w:sz w:val="22"/>
          <w:lang w:val="en-US"/>
        </w:rPr>
        <w:t xml:space="preserve">ESMA_CP_MIFID_NQT_ESMA_REPLYFORM or </w:t>
      </w:r>
    </w:p>
    <w:p w14:paraId="55A1E812" w14:textId="77777777" w:rsidR="00336496" w:rsidRPr="00336496" w:rsidRDefault="00336496" w:rsidP="00336496">
      <w:pPr>
        <w:spacing w:before="120" w:after="120" w:line="276" w:lineRule="auto"/>
        <w:rPr>
          <w:rFonts w:eastAsia="Calibri" w:cs="Arial"/>
          <w:sz w:val="22"/>
          <w:lang w:val="en-US"/>
        </w:rPr>
      </w:pPr>
      <w:r w:rsidRPr="00336496">
        <w:rPr>
          <w:rFonts w:eastAsia="Calibri" w:cs="Arial"/>
          <w:sz w:val="22"/>
          <w:lang w:val="en-US"/>
        </w:rPr>
        <w:t>ESMA_CP_MIFID_NQT_ANNEX1</w:t>
      </w:r>
    </w:p>
    <w:p w14:paraId="3F50D01C" w14:textId="77777777" w:rsidR="00336496" w:rsidRPr="00336496" w:rsidRDefault="00336496" w:rsidP="00336496">
      <w:pPr>
        <w:autoSpaceDE w:val="0"/>
        <w:autoSpaceDN w:val="0"/>
        <w:adjustRightInd w:val="0"/>
        <w:spacing w:before="120" w:after="120" w:line="276" w:lineRule="auto"/>
        <w:jc w:val="both"/>
        <w:rPr>
          <w:rFonts w:cs="Arial"/>
          <w:b/>
          <w:bCs/>
          <w:i/>
          <w:color w:val="000000"/>
          <w:szCs w:val="20"/>
          <w:lang w:eastAsia="en-GB"/>
        </w:rPr>
      </w:pPr>
    </w:p>
    <w:p w14:paraId="1A4C8649" w14:textId="77777777" w:rsidR="00336496" w:rsidRPr="00336496" w:rsidRDefault="00336496" w:rsidP="00336496">
      <w:pPr>
        <w:autoSpaceDE w:val="0"/>
        <w:autoSpaceDN w:val="0"/>
        <w:adjustRightInd w:val="0"/>
        <w:spacing w:before="120" w:after="120" w:line="276" w:lineRule="auto"/>
        <w:jc w:val="both"/>
        <w:rPr>
          <w:rFonts w:cs="Arial"/>
          <w:b/>
          <w:bCs/>
          <w:i/>
          <w:color w:val="000000"/>
          <w:szCs w:val="20"/>
          <w:lang w:eastAsia="en-GB"/>
        </w:rPr>
      </w:pPr>
      <w:r w:rsidRPr="00336496">
        <w:rPr>
          <w:rFonts w:cs="Arial"/>
          <w:b/>
          <w:bCs/>
          <w:i/>
          <w:color w:val="000000"/>
          <w:szCs w:val="20"/>
          <w:lang w:eastAsia="en-GB"/>
        </w:rPr>
        <w:t>Deadline</w:t>
      </w:r>
    </w:p>
    <w:p w14:paraId="04C85645" w14:textId="77777777" w:rsidR="00336496" w:rsidRPr="00336496" w:rsidRDefault="00336496" w:rsidP="00336496">
      <w:pPr>
        <w:spacing w:before="120" w:after="120" w:line="276" w:lineRule="auto"/>
        <w:jc w:val="both"/>
        <w:rPr>
          <w:rFonts w:eastAsia="Calibri" w:cs="Arial"/>
          <w:sz w:val="22"/>
          <w:lang w:val="en-US"/>
        </w:rPr>
      </w:pPr>
      <w:r w:rsidRPr="00336496">
        <w:rPr>
          <w:rFonts w:eastAsia="Calibri" w:cs="Arial"/>
          <w:sz w:val="22"/>
          <w:lang w:val="en-US"/>
        </w:rPr>
        <w:t xml:space="preserve">Responses must reach us by </w:t>
      </w:r>
      <w:r w:rsidRPr="00336496">
        <w:rPr>
          <w:rFonts w:eastAsia="Calibri" w:cs="Arial"/>
          <w:b/>
          <w:sz w:val="22"/>
          <w:lang w:val="en-US"/>
        </w:rPr>
        <w:t>19 April 2020.</w:t>
      </w:r>
    </w:p>
    <w:p w14:paraId="14A24DF1" w14:textId="77777777" w:rsidR="00336496" w:rsidRPr="00336496" w:rsidRDefault="00336496" w:rsidP="00336496">
      <w:pPr>
        <w:autoSpaceDE w:val="0"/>
        <w:autoSpaceDN w:val="0"/>
        <w:adjustRightInd w:val="0"/>
        <w:spacing w:before="120" w:after="120" w:line="276" w:lineRule="auto"/>
        <w:jc w:val="both"/>
        <w:rPr>
          <w:rFonts w:cs="Arial"/>
          <w:b/>
          <w:bCs/>
          <w:i/>
          <w:color w:val="000000"/>
          <w:szCs w:val="20"/>
          <w:lang w:eastAsia="en-GB"/>
        </w:rPr>
      </w:pPr>
      <w:bookmarkStart w:id="1" w:name="_Toc335141334"/>
      <w:r w:rsidRPr="00336496">
        <w:t xml:space="preserve">All contributions should be submitted online at </w:t>
      </w:r>
      <w:hyperlink r:id="rId11" w:history="1">
        <w:r w:rsidRPr="00336496">
          <w:rPr>
            <w:color w:val="0000FF"/>
            <w:u w:val="single"/>
          </w:rPr>
          <w:t>www.esma.europa.eu</w:t>
        </w:r>
      </w:hyperlink>
      <w:r w:rsidRPr="00336496">
        <w:t xml:space="preserve"> under the heading ‘Your input - Consultations’.</w:t>
      </w:r>
    </w:p>
    <w:p w14:paraId="3194C4DC" w14:textId="77777777" w:rsidR="00336496" w:rsidRPr="00336496" w:rsidRDefault="00336496" w:rsidP="00336496">
      <w:pPr>
        <w:autoSpaceDE w:val="0"/>
        <w:autoSpaceDN w:val="0"/>
        <w:adjustRightInd w:val="0"/>
        <w:spacing w:before="120" w:after="120" w:line="276" w:lineRule="auto"/>
        <w:jc w:val="both"/>
        <w:rPr>
          <w:rFonts w:cs="Arial"/>
          <w:b/>
          <w:bCs/>
          <w:i/>
          <w:color w:val="000000"/>
          <w:szCs w:val="20"/>
          <w:lang w:eastAsia="en-GB"/>
        </w:rPr>
      </w:pPr>
    </w:p>
    <w:p w14:paraId="3350E924" w14:textId="77777777" w:rsidR="00336496" w:rsidRPr="00336496" w:rsidRDefault="00336496" w:rsidP="00336496">
      <w:pPr>
        <w:autoSpaceDE w:val="0"/>
        <w:autoSpaceDN w:val="0"/>
        <w:adjustRightInd w:val="0"/>
        <w:spacing w:before="120" w:after="120" w:line="276" w:lineRule="auto"/>
        <w:jc w:val="both"/>
        <w:rPr>
          <w:rFonts w:cs="Arial"/>
          <w:b/>
          <w:bCs/>
          <w:i/>
          <w:color w:val="000000"/>
          <w:szCs w:val="20"/>
          <w:lang w:eastAsia="en-GB"/>
        </w:rPr>
      </w:pPr>
      <w:r w:rsidRPr="00336496">
        <w:rPr>
          <w:rFonts w:cs="Arial"/>
          <w:b/>
          <w:bCs/>
          <w:i/>
          <w:color w:val="000000"/>
          <w:szCs w:val="20"/>
          <w:lang w:eastAsia="en-GB"/>
        </w:rPr>
        <w:t>Publication of responses</w:t>
      </w:r>
      <w:bookmarkEnd w:id="1"/>
    </w:p>
    <w:p w14:paraId="420CCCEA" w14:textId="77777777" w:rsidR="00336496" w:rsidRPr="00336496" w:rsidRDefault="00336496" w:rsidP="00336496">
      <w:pPr>
        <w:spacing w:before="120" w:after="120" w:line="276" w:lineRule="auto"/>
        <w:jc w:val="both"/>
        <w:rPr>
          <w:rFonts w:eastAsia="Calibri" w:cs="Arial"/>
          <w:sz w:val="22"/>
          <w:lang w:val="en-US"/>
        </w:rPr>
      </w:pPr>
      <w:r w:rsidRPr="00336496">
        <w:rPr>
          <w:rFonts w:eastAsia="Calibri" w:cs="Arial"/>
          <w:sz w:val="22"/>
          <w:lang w:val="en-US"/>
        </w:rPr>
        <w:t xml:space="preserve">All contributions received will be published following the end of the consultation period, unless otherwise requested. </w:t>
      </w:r>
      <w:r w:rsidRPr="00336496">
        <w:rPr>
          <w:rFonts w:eastAsia="Calibri" w:cs="Arial"/>
          <w:b/>
          <w:sz w:val="22"/>
          <w:lang w:val="en-US"/>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336496">
        <w:rPr>
          <w:rFonts w:eastAsia="Calibri" w:cs="Arial"/>
          <w:sz w:val="22"/>
          <w:lang w:val="en-US"/>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001E07C0" w14:textId="77777777" w:rsidR="00336496" w:rsidRPr="00336496" w:rsidRDefault="00336496" w:rsidP="00336496">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B1C02F4" w14:textId="77777777" w:rsidR="00336496" w:rsidRPr="00336496" w:rsidRDefault="00336496" w:rsidP="00336496">
      <w:pPr>
        <w:autoSpaceDE w:val="0"/>
        <w:autoSpaceDN w:val="0"/>
        <w:adjustRightInd w:val="0"/>
        <w:spacing w:before="120" w:after="120" w:line="276" w:lineRule="auto"/>
        <w:jc w:val="both"/>
        <w:rPr>
          <w:rFonts w:cs="Arial"/>
          <w:b/>
          <w:bCs/>
          <w:i/>
          <w:color w:val="000000"/>
          <w:szCs w:val="20"/>
          <w:lang w:eastAsia="en-GB"/>
        </w:rPr>
      </w:pPr>
      <w:r w:rsidRPr="00336496">
        <w:rPr>
          <w:rFonts w:cs="Arial"/>
          <w:b/>
          <w:bCs/>
          <w:i/>
          <w:color w:val="000000"/>
          <w:szCs w:val="20"/>
          <w:lang w:eastAsia="en-GB"/>
        </w:rPr>
        <w:t>Data protection</w:t>
      </w:r>
      <w:bookmarkEnd w:id="2"/>
    </w:p>
    <w:p w14:paraId="1CAA18F2" w14:textId="77777777" w:rsidR="00336496" w:rsidRPr="00336496" w:rsidRDefault="00336496" w:rsidP="00336496">
      <w:pPr>
        <w:autoSpaceDE w:val="0"/>
        <w:autoSpaceDN w:val="0"/>
        <w:adjustRightInd w:val="0"/>
        <w:spacing w:before="120" w:after="120" w:line="276" w:lineRule="auto"/>
        <w:jc w:val="both"/>
        <w:rPr>
          <w:rFonts w:cs="Arial"/>
          <w:szCs w:val="20"/>
        </w:rPr>
      </w:pPr>
      <w:r w:rsidRPr="00336496">
        <w:rPr>
          <w:rFonts w:cs="Arial"/>
          <w:szCs w:val="20"/>
        </w:rPr>
        <w:t xml:space="preserve">Information on data protection can be found at </w:t>
      </w:r>
      <w:hyperlink r:id="rId12" w:history="1">
        <w:r w:rsidRPr="00336496">
          <w:rPr>
            <w:rFonts w:cs="Arial"/>
            <w:color w:val="0000FF"/>
            <w:szCs w:val="20"/>
            <w:u w:val="single"/>
          </w:rPr>
          <w:t>www.esma.europa.eu</w:t>
        </w:r>
      </w:hyperlink>
      <w:r w:rsidRPr="00336496">
        <w:rPr>
          <w:rFonts w:cs="Arial"/>
          <w:szCs w:val="20"/>
        </w:rPr>
        <w:t xml:space="preserve"> under the </w:t>
      </w:r>
      <w:r w:rsidRPr="00336496">
        <w:rPr>
          <w:rFonts w:cs="Arial"/>
          <w:szCs w:val="22"/>
          <w:lang w:eastAsia="en-GB"/>
        </w:rPr>
        <w:t>headings ‘Legal notice’ and ‘Data protection’.</w:t>
      </w:r>
    </w:p>
    <w:p w14:paraId="448BB6A8" w14:textId="77777777" w:rsidR="00336496" w:rsidRPr="00336496" w:rsidRDefault="00336496" w:rsidP="00336496">
      <w:pPr>
        <w:autoSpaceDE w:val="0"/>
        <w:autoSpaceDN w:val="0"/>
        <w:adjustRightInd w:val="0"/>
        <w:spacing w:before="120" w:after="120" w:line="276" w:lineRule="auto"/>
        <w:jc w:val="both"/>
        <w:rPr>
          <w:rFonts w:cs="Arial"/>
          <w:szCs w:val="20"/>
        </w:rPr>
      </w:pPr>
    </w:p>
    <w:bookmarkEnd w:id="0"/>
    <w:p w14:paraId="3EEB3475" w14:textId="77777777" w:rsidR="00336496" w:rsidRPr="00336496" w:rsidRDefault="00336496" w:rsidP="00336496">
      <w:pPr>
        <w:rPr>
          <w:rFonts w:cs="Arial"/>
          <w:b/>
          <w:bCs/>
          <w:kern w:val="32"/>
          <w:sz w:val="24"/>
          <w:szCs w:val="32"/>
        </w:rPr>
      </w:pPr>
      <w:r w:rsidRPr="00336496">
        <w:br w:type="page"/>
      </w:r>
    </w:p>
    <w:p w14:paraId="019BE27C" w14:textId="77777777" w:rsidR="002C785B" w:rsidRPr="00AB6D88" w:rsidRDefault="002C785B" w:rsidP="002C785B">
      <w:pPr>
        <w:pStyle w:val="Heading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C785B" w:rsidRPr="00AB6D88" w14:paraId="5B2BE885" w14:textId="77777777" w:rsidTr="005000BC">
        <w:tc>
          <w:tcPr>
            <w:tcW w:w="3929" w:type="dxa"/>
            <w:shd w:val="clear" w:color="auto" w:fill="auto"/>
          </w:tcPr>
          <w:p w14:paraId="544C65F8" w14:textId="77777777" w:rsidR="002C785B" w:rsidRPr="00E40A5C" w:rsidRDefault="002C785B" w:rsidP="005000BC">
            <w:pPr>
              <w:rPr>
                <w:rFonts w:cs="Arial"/>
                <w:sz w:val="22"/>
              </w:rPr>
            </w:pPr>
            <w:r w:rsidRPr="00E40A5C">
              <w:rPr>
                <w:rFonts w:cs="Arial"/>
                <w:sz w:val="22"/>
              </w:rPr>
              <w:t>Name of the company / organisation</w:t>
            </w:r>
          </w:p>
        </w:tc>
        <w:tc>
          <w:tcPr>
            <w:tcW w:w="5595" w:type="dxa"/>
            <w:shd w:val="clear" w:color="auto" w:fill="auto"/>
          </w:tcPr>
          <w:p w14:paraId="11F0BA68" w14:textId="77777777" w:rsidR="002C785B" w:rsidRPr="00AB6D88" w:rsidRDefault="00B61F24" w:rsidP="005000BC">
            <w:pPr>
              <w:rPr>
                <w:rStyle w:val="PlaceholderText"/>
                <w:rFonts w:cs="Arial"/>
              </w:rPr>
            </w:pPr>
            <w:sdt>
              <w:sdtPr>
                <w:rPr>
                  <w:rStyle w:val="PlaceholderText"/>
                  <w:rFonts w:cs="Arial"/>
                </w:rPr>
                <w:id w:val="651570699"/>
                <w:text/>
              </w:sdtPr>
              <w:sdtEndPr>
                <w:rPr>
                  <w:rStyle w:val="PlaceholderText"/>
                </w:rPr>
              </w:sdtEndPr>
              <w:sdtContent>
                <w:r w:rsidR="00F40E41">
                  <w:rPr>
                    <w:rStyle w:val="PlaceholderText"/>
                    <w:rFonts w:cs="Arial"/>
                  </w:rPr>
                  <w:t>FIA European Principal Traders Association</w:t>
                </w:r>
              </w:sdtContent>
            </w:sdt>
          </w:p>
        </w:tc>
      </w:tr>
      <w:tr w:rsidR="002C785B" w:rsidRPr="00AB6D88" w14:paraId="787D87C7" w14:textId="77777777" w:rsidTr="005000BC">
        <w:tc>
          <w:tcPr>
            <w:tcW w:w="3929" w:type="dxa"/>
            <w:shd w:val="clear" w:color="auto" w:fill="auto"/>
          </w:tcPr>
          <w:p w14:paraId="3E840DC2" w14:textId="77777777" w:rsidR="002C785B" w:rsidRPr="00E40A5C" w:rsidRDefault="002C785B" w:rsidP="005000BC">
            <w:pPr>
              <w:rPr>
                <w:rFonts w:cs="Arial"/>
                <w:sz w:val="22"/>
              </w:rPr>
            </w:pPr>
            <w:r w:rsidRPr="00E40A5C">
              <w:rPr>
                <w:rFonts w:cs="Arial"/>
                <w:sz w:val="22"/>
              </w:rPr>
              <w:t>Activity</w:t>
            </w:r>
          </w:p>
        </w:tc>
        <w:tc>
          <w:tcPr>
            <w:tcW w:w="5595" w:type="dxa"/>
            <w:shd w:val="clear" w:color="auto" w:fill="auto"/>
          </w:tcPr>
          <w:p w14:paraId="6B10A457" w14:textId="293FA5A7" w:rsidR="002C785B" w:rsidRPr="00AB6D88" w:rsidRDefault="00B61F24" w:rsidP="005000BC">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B7E9D">
                  <w:rPr>
                    <w:rFonts w:cs="Arial"/>
                  </w:rPr>
                  <w:t>Other Financial service providers</w:t>
                </w:r>
              </w:sdtContent>
            </w:sdt>
          </w:p>
        </w:tc>
      </w:tr>
      <w:tr w:rsidR="002C785B" w:rsidRPr="00AB6D88" w14:paraId="3E2D36CB" w14:textId="77777777" w:rsidTr="005000BC">
        <w:tc>
          <w:tcPr>
            <w:tcW w:w="3929" w:type="dxa"/>
            <w:shd w:val="clear" w:color="auto" w:fill="auto"/>
          </w:tcPr>
          <w:p w14:paraId="02CEC5F9" w14:textId="77777777" w:rsidR="002C785B" w:rsidRPr="00E40A5C" w:rsidRDefault="002C785B" w:rsidP="005000BC">
            <w:pPr>
              <w:rPr>
                <w:rFonts w:cs="Arial"/>
                <w:sz w:val="22"/>
              </w:rPr>
            </w:pPr>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518D8B7E" w14:textId="0057B566" w:rsidR="002C785B" w:rsidRPr="00AB6D88" w:rsidRDefault="00D319BE" w:rsidP="005000BC">
                <w:pPr>
                  <w:rPr>
                    <w:rFonts w:cs="Arial"/>
                  </w:rPr>
                </w:pPr>
                <w:r>
                  <w:rPr>
                    <w:rFonts w:ascii="MS Gothic" w:eastAsia="MS Gothic" w:hAnsi="MS Gothic" w:cs="Arial" w:hint="eastAsia"/>
                  </w:rPr>
                  <w:t>☒</w:t>
                </w:r>
              </w:p>
            </w:tc>
          </w:sdtContent>
        </w:sdt>
      </w:tr>
      <w:tr w:rsidR="002C785B" w:rsidRPr="00AB6D88" w14:paraId="247E0AC3" w14:textId="77777777" w:rsidTr="005000BC">
        <w:tc>
          <w:tcPr>
            <w:tcW w:w="3929" w:type="dxa"/>
            <w:shd w:val="clear" w:color="auto" w:fill="auto"/>
          </w:tcPr>
          <w:p w14:paraId="679BE84E" w14:textId="77777777" w:rsidR="002C785B" w:rsidRPr="00E40A5C" w:rsidRDefault="002C785B" w:rsidP="005000BC">
            <w:pPr>
              <w:rPr>
                <w:rFonts w:cs="Arial"/>
                <w:sz w:val="22"/>
              </w:rPr>
            </w:pPr>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32BDB04" w14:textId="55741247" w:rsidR="002C785B" w:rsidRPr="00AB6D88" w:rsidRDefault="00FB7E9D" w:rsidP="005000BC">
                <w:pPr>
                  <w:rPr>
                    <w:rFonts w:cs="Arial"/>
                  </w:rPr>
                </w:pPr>
                <w:r>
                  <w:rPr>
                    <w:rFonts w:cs="Arial"/>
                  </w:rPr>
                  <w:t>Netherlands</w:t>
                </w:r>
              </w:p>
            </w:tc>
          </w:sdtContent>
        </w:sdt>
      </w:tr>
    </w:tbl>
    <w:p w14:paraId="126F9A4F" w14:textId="77777777" w:rsidR="002C785B" w:rsidRDefault="002C785B" w:rsidP="002C785B">
      <w:pPr>
        <w:spacing w:after="120" w:line="264" w:lineRule="auto"/>
      </w:pPr>
    </w:p>
    <w:p w14:paraId="5E7F7667" w14:textId="77777777" w:rsidR="002C785B" w:rsidRDefault="002C785B" w:rsidP="002C785B">
      <w:pPr>
        <w:spacing w:after="120" w:line="264" w:lineRule="auto"/>
      </w:pPr>
    </w:p>
    <w:p w14:paraId="5AEE45FA" w14:textId="77777777" w:rsidR="002C785B" w:rsidRDefault="002C785B" w:rsidP="002C785B">
      <w:pPr>
        <w:pStyle w:val="Heading1"/>
        <w:numPr>
          <w:ilvl w:val="0"/>
          <w:numId w:val="0"/>
        </w:numPr>
        <w:ind w:left="431" w:hanging="431"/>
      </w:pPr>
      <w:r>
        <w:t>Introduction</w:t>
      </w:r>
    </w:p>
    <w:p w14:paraId="01FF6BA1" w14:textId="77777777" w:rsidR="002C785B" w:rsidRPr="001D47A5" w:rsidRDefault="002C785B" w:rsidP="002C785B">
      <w:pPr>
        <w:rPr>
          <w:rStyle w:val="IntenseEmphasis"/>
        </w:rPr>
      </w:pPr>
      <w:r w:rsidRPr="001D47A5">
        <w:rPr>
          <w:rStyle w:val="IntenseEmphasis"/>
        </w:rPr>
        <w:t>Please make your introductory comments below, if any:</w:t>
      </w:r>
    </w:p>
    <w:p w14:paraId="3ED0B0DE" w14:textId="77777777" w:rsidR="002C785B" w:rsidRPr="00BF28DA" w:rsidRDefault="002C785B" w:rsidP="002C785B"/>
    <w:p w14:paraId="671E0306" w14:textId="77777777" w:rsidR="002C785B" w:rsidRPr="006F4535" w:rsidRDefault="002C785B" w:rsidP="002C785B">
      <w:r w:rsidRPr="006F4535">
        <w:t>&lt;ESMA_COMMENT_</w:t>
      </w:r>
      <w:r>
        <w:t>CP_MIFID_NQT_</w:t>
      </w:r>
      <w:r w:rsidRPr="006F4535">
        <w:t>1&gt;</w:t>
      </w:r>
    </w:p>
    <w:p w14:paraId="0566EDE0" w14:textId="77777777" w:rsidR="00F70056" w:rsidRDefault="00F70056" w:rsidP="002C785B"/>
    <w:p w14:paraId="321D8002" w14:textId="77777777" w:rsidR="003C737A" w:rsidRPr="00C00B5A" w:rsidRDefault="00981B4A" w:rsidP="003C737A">
      <w:pPr>
        <w:tabs>
          <w:tab w:val="left" w:pos="125"/>
        </w:tabs>
        <w:spacing w:line="0" w:lineRule="atLeast"/>
        <w:jc w:val="both"/>
        <w:rPr>
          <w:rFonts w:eastAsia="Arial" w:cs="Arial"/>
          <w:lang w:eastAsia="en-GB"/>
        </w:rPr>
      </w:pPr>
      <w:r>
        <w:t>[</w:t>
      </w:r>
      <w:r w:rsidR="003C737A" w:rsidRPr="00C00B5A">
        <w:rPr>
          <w:rFonts w:eastAsia="Arial" w:cs="Arial"/>
          <w:lang w:eastAsia="en-GB"/>
        </w:rPr>
        <w:t xml:space="preserve">The FIA European Principal Traders Association (FIA EPTA) represents 28 independent European Principal Trading Firms (PTFs) that deal on own account, using their own money for their own risk, to provide liquidity and immediate risk-transfer in exchange-traded and centrally-cleared markets for a wide range of instruments, including shares, options, futures, bonds and ETFs. </w:t>
      </w:r>
    </w:p>
    <w:p w14:paraId="30C4A478" w14:textId="77777777" w:rsidR="003C737A" w:rsidRPr="00C00B5A" w:rsidRDefault="003C737A" w:rsidP="003C737A">
      <w:pPr>
        <w:tabs>
          <w:tab w:val="left" w:pos="125"/>
        </w:tabs>
        <w:spacing w:line="0" w:lineRule="atLeast"/>
        <w:jc w:val="both"/>
        <w:rPr>
          <w:rFonts w:eastAsia="Arial" w:cs="Arial"/>
          <w:lang w:eastAsia="en-GB"/>
        </w:rPr>
      </w:pPr>
    </w:p>
    <w:p w14:paraId="02E65DF9" w14:textId="77777777" w:rsidR="003C737A" w:rsidRPr="00C00B5A" w:rsidRDefault="003C737A" w:rsidP="003C737A">
      <w:pPr>
        <w:tabs>
          <w:tab w:val="left" w:pos="125"/>
        </w:tabs>
        <w:spacing w:line="0" w:lineRule="atLeast"/>
        <w:jc w:val="both"/>
        <w:rPr>
          <w:rFonts w:eastAsia="Arial" w:cs="Arial"/>
          <w:lang w:eastAsia="en-GB"/>
        </w:rPr>
      </w:pPr>
      <w:r w:rsidRPr="00C00B5A">
        <w:rPr>
          <w:rFonts w:eastAsia="Arial" w:cs="Arial"/>
          <w:lang w:eastAsia="en-GB"/>
        </w:rPr>
        <w:t xml:space="preserve">As market makers and liquidity providers, our members contribute to efficient, resilient, and high-quality secondary markets that serve the investment and risk management needs of end-investors and corporates throughout the EU. Our members are active participants on almost all European exchanges and platforms. Moreover, our members are important sources of liquidity for institutional investors accessing liquidity pools across Europe. </w:t>
      </w:r>
    </w:p>
    <w:p w14:paraId="5AAFCCC8" w14:textId="77777777" w:rsidR="003C737A" w:rsidRPr="00C00B5A" w:rsidRDefault="003C737A" w:rsidP="003C737A">
      <w:pPr>
        <w:tabs>
          <w:tab w:val="left" w:pos="125"/>
        </w:tabs>
        <w:spacing w:line="0" w:lineRule="atLeast"/>
        <w:jc w:val="both"/>
        <w:rPr>
          <w:rFonts w:eastAsia="Arial" w:cs="Arial"/>
          <w:lang w:eastAsia="en-GB"/>
        </w:rPr>
      </w:pPr>
    </w:p>
    <w:p w14:paraId="58AA7091" w14:textId="77777777" w:rsidR="003C737A" w:rsidRDefault="003C737A" w:rsidP="003C737A">
      <w:pPr>
        <w:tabs>
          <w:tab w:val="left" w:pos="125"/>
        </w:tabs>
        <w:spacing w:line="0" w:lineRule="atLeast"/>
        <w:jc w:val="both"/>
        <w:rPr>
          <w:rFonts w:eastAsia="Arial" w:cs="Arial"/>
          <w:lang w:eastAsia="en-GB"/>
        </w:rPr>
      </w:pPr>
      <w:r w:rsidRPr="00C00B5A">
        <w:rPr>
          <w:rFonts w:eastAsia="Arial" w:cs="Arial"/>
          <w:lang w:eastAsia="en-GB"/>
        </w:rPr>
        <w:t xml:space="preserve">FIA EPTA supports transparent, </w:t>
      </w:r>
      <w:proofErr w:type="gramStart"/>
      <w:r w:rsidRPr="00C00B5A">
        <w:rPr>
          <w:rFonts w:eastAsia="Arial" w:cs="Arial"/>
          <w:lang w:eastAsia="en-GB"/>
        </w:rPr>
        <w:t>robust</w:t>
      </w:r>
      <w:proofErr w:type="gramEnd"/>
      <w:r w:rsidRPr="00C00B5A">
        <w:rPr>
          <w:rFonts w:eastAsia="Arial" w:cs="Arial"/>
          <w:lang w:eastAsia="en-GB"/>
        </w:rPr>
        <w:t xml:space="preserve"> and safe markets with a level playing field and appropriate regulation for market participants.</w:t>
      </w:r>
      <w:r>
        <w:rPr>
          <w:rFonts w:eastAsia="Arial" w:cs="Arial"/>
          <w:lang w:eastAsia="en-GB"/>
        </w:rPr>
        <w:t xml:space="preserve"> </w:t>
      </w:r>
    </w:p>
    <w:p w14:paraId="1ECAC3DB" w14:textId="77777777" w:rsidR="003C737A" w:rsidRDefault="003C737A" w:rsidP="003C737A">
      <w:pPr>
        <w:tabs>
          <w:tab w:val="left" w:pos="125"/>
        </w:tabs>
        <w:spacing w:line="0" w:lineRule="atLeast"/>
        <w:jc w:val="both"/>
        <w:rPr>
          <w:rFonts w:eastAsia="Arial" w:cs="Arial"/>
          <w:lang w:eastAsia="en-GB"/>
        </w:rPr>
      </w:pPr>
    </w:p>
    <w:p w14:paraId="3065FF39" w14:textId="066266C0" w:rsidR="003C737A" w:rsidRDefault="003C737A" w:rsidP="003C737A">
      <w:pPr>
        <w:tabs>
          <w:tab w:val="left" w:pos="125"/>
        </w:tabs>
        <w:spacing w:line="0" w:lineRule="atLeast"/>
        <w:jc w:val="both"/>
      </w:pPr>
      <w:r>
        <w:rPr>
          <w:rFonts w:eastAsia="Arial" w:cs="Arial"/>
          <w:lang w:eastAsia="en-GB"/>
        </w:rPr>
        <w:t>FIA EPTA members strongly support the transparency objectives targeted by MiFID II/</w:t>
      </w:r>
      <w:proofErr w:type="spellStart"/>
      <w:r>
        <w:rPr>
          <w:rFonts w:eastAsia="Arial" w:cs="Arial"/>
          <w:lang w:eastAsia="en-GB"/>
        </w:rPr>
        <w:t>MiFIR</w:t>
      </w:r>
      <w:proofErr w:type="spellEnd"/>
      <w:r>
        <w:rPr>
          <w:rFonts w:eastAsia="Arial" w:cs="Arial"/>
          <w:lang w:eastAsia="en-GB"/>
        </w:rPr>
        <w:t xml:space="preserve"> and welcome the opportunity to respond to the ESMA consultation on its review report on the transparency regime for non-equity instruments and the trading obligations for derivatives.</w:t>
      </w:r>
    </w:p>
    <w:p w14:paraId="0914D3E6" w14:textId="77777777" w:rsidR="003C737A" w:rsidRDefault="003C737A" w:rsidP="002C785B"/>
    <w:p w14:paraId="58C0650B" w14:textId="5695D0B4" w:rsidR="00673506" w:rsidRDefault="007548CC" w:rsidP="002C785B">
      <w:pPr>
        <w:rPr>
          <w:rFonts w:cs="Arial"/>
          <w:color w:val="000000"/>
          <w:lang w:eastAsia="en-GB"/>
        </w:rPr>
      </w:pPr>
      <w:r>
        <w:t>FIA EPTA</w:t>
      </w:r>
      <w:r w:rsidR="00F70056" w:rsidRPr="002D440F">
        <w:rPr>
          <w:color w:val="000000"/>
        </w:rPr>
        <w:t xml:space="preserve"> </w:t>
      </w:r>
      <w:r w:rsidR="003C737A">
        <w:rPr>
          <w:color w:val="000000"/>
        </w:rPr>
        <w:t xml:space="preserve">members </w:t>
      </w:r>
      <w:r w:rsidR="00944F3A">
        <w:rPr>
          <w:rFonts w:cs="Arial"/>
          <w:color w:val="000000"/>
          <w:lang w:eastAsia="en-GB"/>
        </w:rPr>
        <w:t>observe that</w:t>
      </w:r>
      <w:r w:rsidR="00F70056">
        <w:rPr>
          <w:rFonts w:cs="Arial"/>
          <w:color w:val="000000"/>
          <w:lang w:eastAsia="en-GB"/>
        </w:rPr>
        <w:t xml:space="preserve"> there </w:t>
      </w:r>
      <w:r w:rsidR="003C737A">
        <w:rPr>
          <w:rFonts w:cs="Arial"/>
          <w:color w:val="000000"/>
          <w:lang w:eastAsia="en-GB"/>
        </w:rPr>
        <w:t>remain</w:t>
      </w:r>
      <w:r w:rsidR="00F70056">
        <w:rPr>
          <w:rFonts w:cs="Arial"/>
          <w:color w:val="000000"/>
          <w:lang w:eastAsia="en-GB"/>
        </w:rPr>
        <w:t xml:space="preserve"> serious market structure deficiencies in the </w:t>
      </w:r>
      <w:r w:rsidR="00D33152">
        <w:rPr>
          <w:rFonts w:cs="Arial"/>
          <w:color w:val="000000"/>
          <w:lang w:eastAsia="en-GB"/>
        </w:rPr>
        <w:t>non-</w:t>
      </w:r>
      <w:r w:rsidR="00CE37CC">
        <w:rPr>
          <w:rFonts w:cs="Arial"/>
          <w:color w:val="000000"/>
          <w:lang w:eastAsia="en-GB"/>
        </w:rPr>
        <w:t>equity</w:t>
      </w:r>
      <w:r w:rsidR="00D33152">
        <w:rPr>
          <w:rFonts w:cs="Arial"/>
          <w:color w:val="000000"/>
          <w:lang w:eastAsia="en-GB"/>
        </w:rPr>
        <w:t xml:space="preserve"> </w:t>
      </w:r>
      <w:r w:rsidR="00F70056">
        <w:rPr>
          <w:rFonts w:cs="Arial"/>
          <w:color w:val="000000"/>
          <w:lang w:eastAsia="en-GB"/>
        </w:rPr>
        <w:t xml:space="preserve">market in Europe. The root cause of these problems </w:t>
      </w:r>
      <w:proofErr w:type="gramStart"/>
      <w:r w:rsidR="00F70056">
        <w:rPr>
          <w:rFonts w:cs="Arial"/>
          <w:color w:val="000000"/>
          <w:lang w:eastAsia="en-GB"/>
        </w:rPr>
        <w:t>relate</w:t>
      </w:r>
      <w:proofErr w:type="gramEnd"/>
      <w:r w:rsidR="00F70056">
        <w:rPr>
          <w:rFonts w:cs="Arial"/>
          <w:color w:val="000000"/>
          <w:lang w:eastAsia="en-GB"/>
        </w:rPr>
        <w:t xml:space="preserve"> to </w:t>
      </w:r>
      <w:r w:rsidR="003C737A">
        <w:rPr>
          <w:rFonts w:cs="Arial"/>
          <w:color w:val="000000"/>
          <w:lang w:eastAsia="en-GB"/>
        </w:rPr>
        <w:t xml:space="preserve">persistent shortcomings in the </w:t>
      </w:r>
      <w:r w:rsidR="00F70056">
        <w:rPr>
          <w:rFonts w:cs="Arial"/>
          <w:color w:val="000000"/>
          <w:lang w:eastAsia="en-GB"/>
        </w:rPr>
        <w:t>pre</w:t>
      </w:r>
      <w:r w:rsidR="003C737A">
        <w:rPr>
          <w:rFonts w:cs="Arial"/>
          <w:color w:val="000000"/>
          <w:lang w:eastAsia="en-GB"/>
        </w:rPr>
        <w:t>-</w:t>
      </w:r>
      <w:r w:rsidR="00F70056">
        <w:rPr>
          <w:rFonts w:cs="Arial"/>
          <w:color w:val="000000"/>
          <w:lang w:eastAsia="en-GB"/>
        </w:rPr>
        <w:t xml:space="preserve"> and post</w:t>
      </w:r>
      <w:r w:rsidR="003C737A">
        <w:rPr>
          <w:rFonts w:cs="Arial"/>
          <w:color w:val="000000"/>
          <w:lang w:eastAsia="en-GB"/>
        </w:rPr>
        <w:t>-</w:t>
      </w:r>
      <w:r w:rsidR="00F70056">
        <w:rPr>
          <w:rFonts w:cs="Arial"/>
          <w:color w:val="000000"/>
          <w:lang w:eastAsia="en-GB"/>
        </w:rPr>
        <w:t>trade transparency</w:t>
      </w:r>
      <w:r w:rsidR="003C737A">
        <w:rPr>
          <w:rFonts w:cs="Arial"/>
          <w:color w:val="000000"/>
          <w:lang w:eastAsia="en-GB"/>
        </w:rPr>
        <w:t xml:space="preserve"> regime</w:t>
      </w:r>
      <w:r w:rsidR="00D33152">
        <w:rPr>
          <w:rFonts w:cs="Arial"/>
          <w:color w:val="000000"/>
          <w:lang w:eastAsia="en-GB"/>
        </w:rPr>
        <w:t xml:space="preserve">, with </w:t>
      </w:r>
      <w:r w:rsidR="00D33152">
        <w:t>t</w:t>
      </w:r>
      <w:r w:rsidR="00D33152" w:rsidRPr="005A7430">
        <w:t>he inconsistent and liberal use of post-trade deferral</w:t>
      </w:r>
      <w:r w:rsidR="003C737A">
        <w:t xml:space="preserve">s </w:t>
      </w:r>
      <w:r w:rsidR="00D33152" w:rsidRPr="005A7430">
        <w:t xml:space="preserve">for non-equities </w:t>
      </w:r>
      <w:r w:rsidR="00D33152">
        <w:t>effectively denying</w:t>
      </w:r>
      <w:r w:rsidR="00D33152" w:rsidRPr="005A7430">
        <w:t xml:space="preserve"> the market </w:t>
      </w:r>
      <w:r w:rsidR="003C737A" w:rsidRPr="005A7430">
        <w:t>meani</w:t>
      </w:r>
      <w:r w:rsidR="003C737A">
        <w:t>n</w:t>
      </w:r>
      <w:r w:rsidR="003C737A" w:rsidRPr="005A7430">
        <w:t>gful</w:t>
      </w:r>
      <w:r w:rsidR="00D33152" w:rsidRPr="005A7430">
        <w:t xml:space="preserve"> post-tra</w:t>
      </w:r>
      <w:r w:rsidR="00D33152">
        <w:t>de transparency</w:t>
      </w:r>
      <w:r w:rsidR="003C737A">
        <w:t>.</w:t>
      </w:r>
      <w:r w:rsidR="00F70056">
        <w:rPr>
          <w:rFonts w:cs="Arial"/>
          <w:color w:val="000000"/>
          <w:lang w:eastAsia="en-GB"/>
        </w:rPr>
        <w:t xml:space="preserve"> As ESMA points out,</w:t>
      </w:r>
      <w:r w:rsidR="00D33152">
        <w:rPr>
          <w:rFonts w:cs="Arial"/>
          <w:color w:val="000000"/>
          <w:lang w:eastAsia="en-GB"/>
        </w:rPr>
        <w:t xml:space="preserve"> </w:t>
      </w:r>
      <w:r w:rsidR="00F70056">
        <w:rPr>
          <w:rFonts w:cs="Arial"/>
          <w:color w:val="000000"/>
          <w:lang w:eastAsia="en-GB"/>
        </w:rPr>
        <w:t>85% of bond trades in Europe result in a trade reporting deferral</w:t>
      </w:r>
      <w:r w:rsidR="000641CF">
        <w:rPr>
          <w:rFonts w:cs="Arial"/>
          <w:color w:val="000000"/>
          <w:lang w:eastAsia="en-GB"/>
        </w:rPr>
        <w:t>,</w:t>
      </w:r>
      <w:r w:rsidR="00D33152" w:rsidRPr="005A7430">
        <w:t xml:space="preserve"> with full transaction details often absent when eventually published</w:t>
      </w:r>
      <w:r w:rsidR="00F70056">
        <w:rPr>
          <w:rFonts w:cs="Arial"/>
          <w:color w:val="000000"/>
          <w:lang w:eastAsia="en-GB"/>
        </w:rPr>
        <w:t xml:space="preserve">. </w:t>
      </w:r>
    </w:p>
    <w:p w14:paraId="67F13973" w14:textId="77777777" w:rsidR="00673506" w:rsidRDefault="00673506" w:rsidP="002C785B"/>
    <w:p w14:paraId="2C35E48B" w14:textId="77777777" w:rsidR="00673506" w:rsidRDefault="002C785B" w:rsidP="002C785B">
      <w:pPr>
        <w:rPr>
          <w:rFonts w:cs="Arial"/>
          <w:color w:val="000000"/>
          <w:lang w:eastAsia="en-GB"/>
        </w:rPr>
      </w:pPr>
      <w:r w:rsidRPr="005A7430">
        <w:t>Currently, only 5% of off-venue trading activity in OTC derivatives is subject to post-trade transparency, due in large part to problems in the interpretation of the Traded on a Trading Venue (</w:t>
      </w:r>
      <w:proofErr w:type="spellStart"/>
      <w:r w:rsidRPr="005A7430">
        <w:t>ToTV</w:t>
      </w:r>
      <w:proofErr w:type="spellEnd"/>
      <w:r w:rsidRPr="005A7430">
        <w:t>) concept. Furthermore, 90% of on-venue trading activity in OTC derivatives is bei</w:t>
      </w:r>
      <w:r w:rsidR="00F70056">
        <w:t>ng granted a four-week deferral</w:t>
      </w:r>
      <w:r w:rsidR="00925CA5">
        <w:t xml:space="preserve"> and deferrals for listed</w:t>
      </w:r>
      <w:r w:rsidR="000641CF">
        <w:t xml:space="preserve"> derivatives are significantly longer than </w:t>
      </w:r>
      <w:r w:rsidR="003A1FF6">
        <w:t>warranted</w:t>
      </w:r>
      <w:r w:rsidR="00F70056">
        <w:t>.</w:t>
      </w:r>
      <w:r w:rsidR="000D1689">
        <w:t xml:space="preserve"> </w:t>
      </w:r>
      <w:r w:rsidR="00F70056">
        <w:rPr>
          <w:rFonts w:cs="Arial"/>
          <w:color w:val="000000"/>
          <w:lang w:eastAsia="en-GB"/>
        </w:rPr>
        <w:t>Data is widely dispersed amongst high numbers of APAs, venues, vendors and dealers and there is no consolidated tape</w:t>
      </w:r>
      <w:r w:rsidR="00AC0933">
        <w:rPr>
          <w:rFonts w:cs="Arial"/>
          <w:color w:val="000000"/>
          <w:lang w:eastAsia="en-GB"/>
        </w:rPr>
        <w:t xml:space="preserve"> providing </w:t>
      </w:r>
      <w:r w:rsidR="00544F54">
        <w:rPr>
          <w:rFonts w:cs="Arial"/>
          <w:color w:val="000000"/>
          <w:lang w:eastAsia="en-GB"/>
        </w:rPr>
        <w:t>a comprehensive view of the market</w:t>
      </w:r>
      <w:r w:rsidR="00F70056">
        <w:rPr>
          <w:rFonts w:cs="Arial"/>
          <w:color w:val="000000"/>
          <w:lang w:eastAsia="en-GB"/>
        </w:rPr>
        <w:t>.</w:t>
      </w:r>
      <w:r w:rsidR="000D1689">
        <w:rPr>
          <w:rFonts w:cs="Arial"/>
          <w:color w:val="000000"/>
          <w:lang w:eastAsia="en-GB"/>
        </w:rPr>
        <w:t xml:space="preserve"> </w:t>
      </w:r>
      <w:r w:rsidR="00484AA0">
        <w:rPr>
          <w:rFonts w:cs="Arial"/>
          <w:color w:val="000000"/>
          <w:lang w:eastAsia="en-GB"/>
        </w:rPr>
        <w:t xml:space="preserve">These deficiencies significantly hamper EU non-equity markets, leading to </w:t>
      </w:r>
      <w:r w:rsidR="00BA0167">
        <w:rPr>
          <w:rFonts w:cs="Arial"/>
          <w:color w:val="000000"/>
          <w:lang w:eastAsia="en-GB"/>
        </w:rPr>
        <w:t xml:space="preserve">lower levels of liquidity and </w:t>
      </w:r>
      <w:r w:rsidR="00484AA0">
        <w:rPr>
          <w:rFonts w:cs="Arial"/>
          <w:color w:val="000000"/>
          <w:lang w:eastAsia="en-GB"/>
        </w:rPr>
        <w:t xml:space="preserve">higher costs for end-investors. </w:t>
      </w:r>
    </w:p>
    <w:p w14:paraId="2A8D7453" w14:textId="77777777" w:rsidR="00673506" w:rsidRDefault="00673506" w:rsidP="002C785B"/>
    <w:p w14:paraId="0FB4671A" w14:textId="77777777" w:rsidR="002C785B" w:rsidRDefault="007F51A7" w:rsidP="002C785B">
      <w:r w:rsidRPr="005A7430">
        <w:t xml:space="preserve">Independent market makers would be very well suited to provide the necessary liquidity </w:t>
      </w:r>
      <w:r>
        <w:t xml:space="preserve">to non-equity markets </w:t>
      </w:r>
      <w:r w:rsidRPr="005A7430">
        <w:t xml:space="preserve">but can only do so </w:t>
      </w:r>
      <w:r>
        <w:t xml:space="preserve">efficiently and effectively </w:t>
      </w:r>
      <w:r w:rsidRPr="005A7430">
        <w:t xml:space="preserve">if </w:t>
      </w:r>
      <w:r>
        <w:t>pre</w:t>
      </w:r>
      <w:r w:rsidR="006F0D4B">
        <w:t>-</w:t>
      </w:r>
      <w:r>
        <w:t xml:space="preserve"> and </w:t>
      </w:r>
      <w:r w:rsidRPr="005A7430">
        <w:t xml:space="preserve">post-trade </w:t>
      </w:r>
      <w:r>
        <w:t xml:space="preserve">transparency is significantly improved. </w:t>
      </w:r>
      <w:r w:rsidR="008C2E40">
        <w:t>MiFID II has so far</w:t>
      </w:r>
      <w:r w:rsidR="002F7CE4">
        <w:t xml:space="preserve"> failed to achieve</w:t>
      </w:r>
      <w:r w:rsidR="0094187A">
        <w:t xml:space="preserve"> its intention to create meaningful non-equity market transparency and the r</w:t>
      </w:r>
      <w:r w:rsidR="008C2E40">
        <w:t>emaining legacy st</w:t>
      </w:r>
      <w:r w:rsidR="0094187A">
        <w:t>ructures</w:t>
      </w:r>
      <w:r w:rsidR="00FE1622" w:rsidRPr="005A7430">
        <w:t xml:space="preserve"> </w:t>
      </w:r>
      <w:r w:rsidR="002C785B" w:rsidRPr="005A7430">
        <w:t xml:space="preserve">hamper our members’ ability to price and trade such instruments, or derived instruments (such as derivatives or ETFs) correctly. </w:t>
      </w:r>
    </w:p>
    <w:p w14:paraId="16E406D9" w14:textId="77777777" w:rsidR="00F70056" w:rsidRDefault="00F70056" w:rsidP="002C785B"/>
    <w:p w14:paraId="44E7615D" w14:textId="77777777" w:rsidR="00673506" w:rsidRDefault="00F70056" w:rsidP="00F70056">
      <w:pPr>
        <w:rPr>
          <w:rFonts w:cs="Arial"/>
          <w:color w:val="000000"/>
          <w:lang w:eastAsia="en-GB"/>
        </w:rPr>
      </w:pPr>
      <w:r>
        <w:rPr>
          <w:rFonts w:cs="Arial"/>
          <w:color w:val="000000"/>
          <w:lang w:eastAsia="en-GB"/>
        </w:rPr>
        <w:t>It</w:t>
      </w:r>
      <w:r w:rsidR="0022351F">
        <w:rPr>
          <w:rFonts w:cs="Arial"/>
          <w:color w:val="000000"/>
          <w:lang w:eastAsia="en-GB"/>
        </w:rPr>
        <w:t xml:space="preserve"> i</w:t>
      </w:r>
      <w:r>
        <w:rPr>
          <w:rFonts w:cs="Arial"/>
          <w:color w:val="000000"/>
          <w:lang w:eastAsia="en-GB"/>
        </w:rPr>
        <w:t>s worth reiterating why these deficiencies matter</w:t>
      </w:r>
      <w:r w:rsidR="00E95C58">
        <w:rPr>
          <w:rFonts w:cs="Arial"/>
          <w:color w:val="000000"/>
          <w:lang w:eastAsia="en-GB"/>
        </w:rPr>
        <w:t xml:space="preserve"> for </w:t>
      </w:r>
      <w:r w:rsidR="00BC0D3A">
        <w:rPr>
          <w:rFonts w:cs="Arial"/>
          <w:color w:val="000000"/>
          <w:lang w:eastAsia="en-GB"/>
        </w:rPr>
        <w:t xml:space="preserve">end-investors and for the wider market (including beyond </w:t>
      </w:r>
      <w:r w:rsidR="00CF01EE">
        <w:rPr>
          <w:rFonts w:cs="Arial"/>
          <w:color w:val="000000"/>
          <w:lang w:eastAsia="en-GB"/>
        </w:rPr>
        <w:t>non-equities proper):</w:t>
      </w:r>
      <w:r>
        <w:rPr>
          <w:rFonts w:cs="Arial"/>
          <w:color w:val="000000"/>
          <w:lang w:eastAsia="en-GB"/>
        </w:rPr>
        <w:t xml:space="preserve"> Greater transparency leads to greater competition which leads to better pricing for end investors. If trade information is subject to delays and deferrals it leads to information asymmetry amongst market participants. Participants in the market, wary of what they do</w:t>
      </w:r>
      <w:r w:rsidR="006E3BD1">
        <w:rPr>
          <w:rFonts w:cs="Arial"/>
          <w:color w:val="000000"/>
          <w:lang w:eastAsia="en-GB"/>
        </w:rPr>
        <w:t xml:space="preserve"> </w:t>
      </w:r>
      <w:r>
        <w:rPr>
          <w:rFonts w:cs="Arial"/>
          <w:color w:val="000000"/>
          <w:lang w:eastAsia="en-GB"/>
        </w:rPr>
        <w:t>n</w:t>
      </w:r>
      <w:r w:rsidR="006E3BD1">
        <w:rPr>
          <w:rFonts w:cs="Arial"/>
          <w:color w:val="000000"/>
          <w:lang w:eastAsia="en-GB"/>
        </w:rPr>
        <w:t>o</w:t>
      </w:r>
      <w:r>
        <w:rPr>
          <w:rFonts w:cs="Arial"/>
          <w:color w:val="000000"/>
          <w:lang w:eastAsia="en-GB"/>
        </w:rPr>
        <w:t xml:space="preserve">t know, </w:t>
      </w:r>
      <w:r w:rsidR="006E3BD1">
        <w:rPr>
          <w:rFonts w:cs="Arial"/>
          <w:color w:val="000000"/>
          <w:lang w:eastAsia="en-GB"/>
        </w:rPr>
        <w:t>will respond by</w:t>
      </w:r>
      <w:r>
        <w:rPr>
          <w:rFonts w:cs="Arial"/>
          <w:color w:val="000000"/>
          <w:lang w:eastAsia="en-GB"/>
        </w:rPr>
        <w:t xml:space="preserve"> widen</w:t>
      </w:r>
      <w:r w:rsidR="006E3BD1">
        <w:rPr>
          <w:rFonts w:cs="Arial"/>
          <w:color w:val="000000"/>
          <w:lang w:eastAsia="en-GB"/>
        </w:rPr>
        <w:t>ing</w:t>
      </w:r>
      <w:r>
        <w:rPr>
          <w:rFonts w:cs="Arial"/>
          <w:color w:val="000000"/>
          <w:lang w:eastAsia="en-GB"/>
        </w:rPr>
        <w:t xml:space="preserve"> their prices in case the</w:t>
      </w:r>
      <w:r w:rsidR="006E3BD1">
        <w:rPr>
          <w:rFonts w:cs="Arial"/>
          <w:color w:val="000000"/>
          <w:lang w:eastAsia="en-GB"/>
        </w:rPr>
        <w:t>ir</w:t>
      </w:r>
      <w:r>
        <w:rPr>
          <w:rFonts w:cs="Arial"/>
          <w:color w:val="000000"/>
          <w:lang w:eastAsia="en-GB"/>
        </w:rPr>
        <w:t xml:space="preserve"> counterparty knows something they do</w:t>
      </w:r>
      <w:r w:rsidR="00673506">
        <w:rPr>
          <w:rFonts w:cs="Arial"/>
          <w:color w:val="000000"/>
          <w:lang w:eastAsia="en-GB"/>
        </w:rPr>
        <w:t xml:space="preserve"> </w:t>
      </w:r>
      <w:r w:rsidR="006E3BD1">
        <w:rPr>
          <w:rFonts w:cs="Arial"/>
          <w:color w:val="000000"/>
          <w:lang w:eastAsia="en-GB"/>
        </w:rPr>
        <w:t>no</w:t>
      </w:r>
      <w:r>
        <w:rPr>
          <w:rFonts w:cs="Arial"/>
          <w:color w:val="000000"/>
          <w:lang w:eastAsia="en-GB"/>
        </w:rPr>
        <w:t>t. This “adverse selection” risk is ultimately a cost on end-</w:t>
      </w:r>
      <w:r w:rsidR="00EB0345">
        <w:rPr>
          <w:rFonts w:cs="Arial"/>
          <w:color w:val="000000"/>
          <w:lang w:eastAsia="en-GB"/>
        </w:rPr>
        <w:t>investors</w:t>
      </w:r>
      <w:r w:rsidR="003A1FF6">
        <w:rPr>
          <w:rFonts w:cs="Arial"/>
          <w:color w:val="000000"/>
          <w:lang w:eastAsia="en-GB"/>
        </w:rPr>
        <w:t xml:space="preserve"> </w:t>
      </w:r>
      <w:r w:rsidR="007548CC">
        <w:rPr>
          <w:rFonts w:cs="Arial"/>
          <w:color w:val="000000"/>
          <w:lang w:eastAsia="en-GB"/>
        </w:rPr>
        <w:t>i</w:t>
      </w:r>
      <w:r>
        <w:rPr>
          <w:rFonts w:cs="Arial"/>
          <w:color w:val="000000"/>
          <w:lang w:eastAsia="en-GB"/>
        </w:rPr>
        <w:t xml:space="preserve">s not just a problem contained to the </w:t>
      </w:r>
      <w:r w:rsidR="007548CC">
        <w:rPr>
          <w:rFonts w:cs="Arial"/>
          <w:color w:val="000000"/>
          <w:lang w:eastAsia="en-GB"/>
        </w:rPr>
        <w:t>specific</w:t>
      </w:r>
      <w:r>
        <w:rPr>
          <w:rFonts w:cs="Arial"/>
          <w:color w:val="000000"/>
          <w:lang w:eastAsia="en-GB"/>
        </w:rPr>
        <w:t xml:space="preserve"> market itself deficiencies increasingly impact </w:t>
      </w:r>
      <w:r w:rsidR="007548CC">
        <w:rPr>
          <w:rFonts w:cs="Arial"/>
          <w:color w:val="000000"/>
          <w:lang w:eastAsia="en-GB"/>
        </w:rPr>
        <w:t xml:space="preserve">other related markets such as </w:t>
      </w:r>
      <w:r w:rsidR="00006558">
        <w:rPr>
          <w:rFonts w:cs="Arial"/>
          <w:color w:val="000000"/>
          <w:lang w:eastAsia="en-GB"/>
        </w:rPr>
        <w:t xml:space="preserve">those for </w:t>
      </w:r>
      <w:r>
        <w:rPr>
          <w:rFonts w:cs="Arial"/>
          <w:color w:val="000000"/>
          <w:lang w:eastAsia="en-GB"/>
        </w:rPr>
        <w:t>ETF</w:t>
      </w:r>
      <w:r w:rsidR="00006558">
        <w:rPr>
          <w:rFonts w:cs="Arial"/>
          <w:color w:val="000000"/>
          <w:lang w:eastAsia="en-GB"/>
        </w:rPr>
        <w:t>s</w:t>
      </w:r>
      <w:r>
        <w:rPr>
          <w:rFonts w:cs="Arial"/>
          <w:color w:val="000000"/>
          <w:lang w:eastAsia="en-GB"/>
        </w:rPr>
        <w:t xml:space="preserve"> </w:t>
      </w:r>
      <w:r w:rsidR="00006558">
        <w:rPr>
          <w:rFonts w:cs="Arial"/>
          <w:color w:val="000000"/>
          <w:lang w:eastAsia="en-GB"/>
        </w:rPr>
        <w:t>which</w:t>
      </w:r>
      <w:r>
        <w:rPr>
          <w:rFonts w:cs="Arial"/>
          <w:color w:val="000000"/>
          <w:lang w:eastAsia="en-GB"/>
        </w:rPr>
        <w:t xml:space="preserve"> are increasingly popular investment </w:t>
      </w:r>
      <w:r w:rsidR="00006558">
        <w:rPr>
          <w:rFonts w:cs="Arial"/>
          <w:color w:val="000000"/>
          <w:lang w:eastAsia="en-GB"/>
        </w:rPr>
        <w:t xml:space="preserve">products </w:t>
      </w:r>
      <w:r>
        <w:rPr>
          <w:rFonts w:cs="Arial"/>
          <w:color w:val="000000"/>
          <w:lang w:eastAsia="en-GB"/>
        </w:rPr>
        <w:t xml:space="preserve">for </w:t>
      </w:r>
      <w:r w:rsidR="00006558">
        <w:rPr>
          <w:rFonts w:cs="Arial"/>
          <w:color w:val="000000"/>
          <w:lang w:eastAsia="en-GB"/>
        </w:rPr>
        <w:t xml:space="preserve">both </w:t>
      </w:r>
      <w:r>
        <w:rPr>
          <w:rFonts w:cs="Arial"/>
          <w:color w:val="000000"/>
          <w:lang w:eastAsia="en-GB"/>
        </w:rPr>
        <w:t>retail and institutional investors</w:t>
      </w:r>
      <w:r w:rsidR="00006558">
        <w:rPr>
          <w:rFonts w:cs="Arial"/>
          <w:color w:val="000000"/>
          <w:lang w:eastAsia="en-GB"/>
        </w:rPr>
        <w:t xml:space="preserve"> alike</w:t>
      </w:r>
      <w:r>
        <w:rPr>
          <w:rFonts w:cs="Arial"/>
          <w:color w:val="000000"/>
          <w:lang w:eastAsia="en-GB"/>
        </w:rPr>
        <w:t xml:space="preserve">. </w:t>
      </w:r>
    </w:p>
    <w:p w14:paraId="7B8EFEE7" w14:textId="77777777" w:rsidR="00673506" w:rsidRDefault="00673506" w:rsidP="00F70056">
      <w:pPr>
        <w:rPr>
          <w:rFonts w:cs="Arial"/>
          <w:color w:val="000000"/>
          <w:lang w:eastAsia="en-GB"/>
        </w:rPr>
      </w:pPr>
    </w:p>
    <w:p w14:paraId="37D5E71E" w14:textId="77777777" w:rsidR="00673506" w:rsidRDefault="00673506" w:rsidP="00F70056">
      <w:pPr>
        <w:rPr>
          <w:rFonts w:cs="Arial"/>
          <w:color w:val="000000"/>
          <w:lang w:eastAsia="en-GB"/>
        </w:rPr>
      </w:pPr>
      <w:r>
        <w:rPr>
          <w:rFonts w:cs="Arial"/>
          <w:color w:val="000000"/>
          <w:lang w:eastAsia="en-GB"/>
        </w:rPr>
        <w:t>Firstly, f</w:t>
      </w:r>
      <w:r w:rsidR="00F70056">
        <w:rPr>
          <w:rFonts w:cs="Arial"/>
          <w:color w:val="000000"/>
          <w:lang w:eastAsia="en-GB"/>
        </w:rPr>
        <w:t xml:space="preserve">ixed income ETF market makers hold large portfolios of bonds as part of their </w:t>
      </w:r>
      <w:r w:rsidR="00006558">
        <w:rPr>
          <w:rFonts w:cs="Arial"/>
          <w:color w:val="000000"/>
          <w:lang w:eastAsia="en-GB"/>
        </w:rPr>
        <w:t xml:space="preserve">regular </w:t>
      </w:r>
      <w:r w:rsidR="00F70056">
        <w:rPr>
          <w:rFonts w:cs="Arial"/>
          <w:color w:val="000000"/>
          <w:lang w:eastAsia="en-GB"/>
        </w:rPr>
        <w:t xml:space="preserve">market making </w:t>
      </w:r>
      <w:r w:rsidR="000F53DF">
        <w:rPr>
          <w:rFonts w:cs="Arial"/>
          <w:color w:val="000000"/>
          <w:lang w:eastAsia="en-GB"/>
        </w:rPr>
        <w:t xml:space="preserve">as well as </w:t>
      </w:r>
      <w:r w:rsidR="00F70056">
        <w:rPr>
          <w:rFonts w:cs="Arial"/>
          <w:color w:val="000000"/>
          <w:lang w:eastAsia="en-GB"/>
        </w:rPr>
        <w:t xml:space="preserve">creation and redemption activities. ETF market makers need to hedge these portfolios by trading against other bond dealers and as a result may also suffer from this same adverse selection by trading against dealers with more information than they have. These additional costs borne by the ETF market maker are </w:t>
      </w:r>
      <w:r w:rsidR="000C0136">
        <w:rPr>
          <w:rFonts w:cs="Arial"/>
          <w:color w:val="000000"/>
          <w:lang w:eastAsia="en-GB"/>
        </w:rPr>
        <w:t xml:space="preserve">then </w:t>
      </w:r>
      <w:r w:rsidR="00F70056">
        <w:rPr>
          <w:rFonts w:cs="Arial"/>
          <w:color w:val="000000"/>
          <w:lang w:eastAsia="en-GB"/>
        </w:rPr>
        <w:t xml:space="preserve">passed </w:t>
      </w:r>
      <w:r w:rsidR="000C0136">
        <w:rPr>
          <w:rFonts w:cs="Arial"/>
          <w:color w:val="000000"/>
          <w:lang w:eastAsia="en-GB"/>
        </w:rPr>
        <w:t xml:space="preserve">on </w:t>
      </w:r>
      <w:r w:rsidR="00F70056">
        <w:rPr>
          <w:rFonts w:cs="Arial"/>
          <w:color w:val="000000"/>
          <w:lang w:eastAsia="en-GB"/>
        </w:rPr>
        <w:t xml:space="preserve">to ETF investors </w:t>
      </w:r>
      <w:r w:rsidR="00EB0345">
        <w:rPr>
          <w:rFonts w:cs="Arial"/>
          <w:color w:val="000000"/>
          <w:lang w:eastAsia="en-GB"/>
        </w:rPr>
        <w:t>via</w:t>
      </w:r>
      <w:r w:rsidR="00F70056">
        <w:rPr>
          <w:rFonts w:cs="Arial"/>
          <w:color w:val="000000"/>
          <w:lang w:eastAsia="en-GB"/>
        </w:rPr>
        <w:t xml:space="preserve"> wider quotes </w:t>
      </w:r>
      <w:r w:rsidR="00EB0345">
        <w:rPr>
          <w:rFonts w:cs="Arial"/>
          <w:color w:val="000000"/>
          <w:lang w:eastAsia="en-GB"/>
        </w:rPr>
        <w:t>raising execution costs for these end-investors</w:t>
      </w:r>
      <w:r w:rsidR="00F70056">
        <w:rPr>
          <w:rFonts w:cs="Arial"/>
          <w:color w:val="000000"/>
          <w:lang w:eastAsia="en-GB"/>
        </w:rPr>
        <w:t>. </w:t>
      </w:r>
    </w:p>
    <w:p w14:paraId="241045D6" w14:textId="77777777" w:rsidR="00673506" w:rsidRDefault="00673506" w:rsidP="00F70056">
      <w:pPr>
        <w:rPr>
          <w:rFonts w:cs="Arial"/>
          <w:color w:val="000000"/>
          <w:szCs w:val="20"/>
          <w:lang w:eastAsia="en-GB"/>
        </w:rPr>
      </w:pPr>
    </w:p>
    <w:p w14:paraId="1F53F7B7" w14:textId="77777777" w:rsidR="00673506" w:rsidRDefault="00673506" w:rsidP="00F70056">
      <w:pPr>
        <w:rPr>
          <w:rFonts w:cs="Arial"/>
          <w:color w:val="000000"/>
          <w:szCs w:val="20"/>
          <w:lang w:eastAsia="en-GB"/>
        </w:rPr>
      </w:pPr>
      <w:r>
        <w:rPr>
          <w:rFonts w:cs="Arial"/>
          <w:color w:val="000000"/>
          <w:szCs w:val="20"/>
          <w:lang w:eastAsia="en-GB"/>
        </w:rPr>
        <w:t>Secondly, pricing information relating to underlying fixed income instruments is essential for market makers to price fixed income ETFs tightly</w:t>
      </w:r>
      <w:r w:rsidR="008B210A">
        <w:rPr>
          <w:rFonts w:cs="Arial"/>
          <w:color w:val="000000"/>
          <w:szCs w:val="20"/>
          <w:lang w:eastAsia="en-GB"/>
        </w:rPr>
        <w:t>. Thus, non-equity</w:t>
      </w:r>
      <w:r w:rsidR="009E02C2">
        <w:rPr>
          <w:rFonts w:cs="Arial"/>
          <w:color w:val="000000"/>
          <w:szCs w:val="20"/>
          <w:lang w:eastAsia="en-GB"/>
        </w:rPr>
        <w:t xml:space="preserve"> transparency promotes stronger</w:t>
      </w:r>
      <w:r>
        <w:rPr>
          <w:rFonts w:cs="Arial"/>
          <w:color w:val="000000"/>
          <w:szCs w:val="20"/>
          <w:lang w:eastAsia="en-GB"/>
        </w:rPr>
        <w:t xml:space="preserve"> liquidity and </w:t>
      </w:r>
      <w:r w:rsidR="009E02C2">
        <w:rPr>
          <w:rFonts w:cs="Arial"/>
          <w:color w:val="000000"/>
          <w:szCs w:val="20"/>
          <w:lang w:eastAsia="en-GB"/>
        </w:rPr>
        <w:t>effective</w:t>
      </w:r>
      <w:r>
        <w:rPr>
          <w:rFonts w:cs="Arial"/>
          <w:color w:val="000000"/>
          <w:szCs w:val="20"/>
          <w:lang w:eastAsia="en-GB"/>
        </w:rPr>
        <w:t xml:space="preserve"> price discovery for th</w:t>
      </w:r>
      <w:r w:rsidR="009E02C2">
        <w:rPr>
          <w:rFonts w:cs="Arial"/>
          <w:color w:val="000000"/>
          <w:szCs w:val="20"/>
          <w:lang w:eastAsia="en-GB"/>
        </w:rPr>
        <w:t>o</w:t>
      </w:r>
      <w:r>
        <w:rPr>
          <w:rFonts w:cs="Arial"/>
          <w:color w:val="000000"/>
          <w:szCs w:val="20"/>
          <w:lang w:eastAsia="en-GB"/>
        </w:rPr>
        <w:t xml:space="preserve">se </w:t>
      </w:r>
      <w:r w:rsidR="00AA2B49">
        <w:rPr>
          <w:rFonts w:cs="Arial"/>
          <w:color w:val="000000"/>
          <w:szCs w:val="20"/>
          <w:lang w:eastAsia="en-GB"/>
        </w:rPr>
        <w:t xml:space="preserve">ETF </w:t>
      </w:r>
      <w:r>
        <w:rPr>
          <w:rFonts w:cs="Arial"/>
          <w:color w:val="000000"/>
          <w:szCs w:val="20"/>
          <w:lang w:eastAsia="en-GB"/>
        </w:rPr>
        <w:t xml:space="preserve">instruments. </w:t>
      </w:r>
    </w:p>
    <w:p w14:paraId="7352DA34" w14:textId="77777777" w:rsidR="00D35F81" w:rsidRDefault="00D35F81" w:rsidP="00F70056">
      <w:pPr>
        <w:rPr>
          <w:rFonts w:cs="Arial"/>
          <w:color w:val="000000"/>
          <w:szCs w:val="20"/>
          <w:lang w:eastAsia="en-GB"/>
        </w:rPr>
      </w:pPr>
    </w:p>
    <w:p w14:paraId="4C89FBF8" w14:textId="77777777" w:rsidR="00F70056" w:rsidRPr="00925CA5" w:rsidRDefault="00673506" w:rsidP="00F70056">
      <w:pPr>
        <w:rPr>
          <w:rFonts w:cs="Arial"/>
          <w:color w:val="000000"/>
          <w:szCs w:val="20"/>
          <w:lang w:eastAsia="en-GB"/>
        </w:rPr>
      </w:pPr>
      <w:r>
        <w:rPr>
          <w:rFonts w:cs="Arial"/>
          <w:color w:val="000000"/>
          <w:szCs w:val="20"/>
          <w:lang w:eastAsia="en-GB"/>
        </w:rPr>
        <w:lastRenderedPageBreak/>
        <w:t>For derivatives</w:t>
      </w:r>
      <w:r w:rsidR="00925CA5" w:rsidRPr="00925CA5">
        <w:rPr>
          <w:rFonts w:cs="Arial"/>
          <w:color w:val="000000"/>
          <w:szCs w:val="20"/>
          <w:lang w:eastAsia="en-GB"/>
        </w:rPr>
        <w:t xml:space="preserve">, it is worth noting that </w:t>
      </w:r>
      <w:r w:rsidR="00925CA5" w:rsidRPr="008C0434">
        <w:rPr>
          <w:szCs w:val="20"/>
        </w:rPr>
        <w:t>the most activel</w:t>
      </w:r>
      <w:r w:rsidR="00925CA5" w:rsidRPr="00925CA5">
        <w:rPr>
          <w:szCs w:val="20"/>
        </w:rPr>
        <w:t>y traded listed derivatives</w:t>
      </w:r>
      <w:r w:rsidR="00925CA5" w:rsidRPr="008C0434">
        <w:rPr>
          <w:szCs w:val="20"/>
        </w:rPr>
        <w:t xml:space="preserve"> in the EU existed without limits to post-trade disclosure before MIFID II came into effect. Exchange participants were informed about every trade once it was crossed on the</w:t>
      </w:r>
      <w:r w:rsidR="007F4239" w:rsidRPr="007F4239">
        <w:rPr>
          <w:szCs w:val="20"/>
        </w:rPr>
        <w:t xml:space="preserve"> exchange. In this respect, </w:t>
      </w:r>
      <w:r w:rsidR="00925CA5" w:rsidRPr="008C0434">
        <w:rPr>
          <w:szCs w:val="20"/>
        </w:rPr>
        <w:t xml:space="preserve">deferred </w:t>
      </w:r>
      <w:r w:rsidR="007F4239" w:rsidRPr="007F4239">
        <w:rPr>
          <w:szCs w:val="20"/>
        </w:rPr>
        <w:t>publication actually represents</w:t>
      </w:r>
      <w:r w:rsidR="00925CA5" w:rsidRPr="008C0434">
        <w:rPr>
          <w:szCs w:val="20"/>
        </w:rPr>
        <w:t xml:space="preserve"> a decr</w:t>
      </w:r>
      <w:r w:rsidR="008C500E" w:rsidRPr="008C500E">
        <w:rPr>
          <w:szCs w:val="20"/>
        </w:rPr>
        <w:t xml:space="preserve">ease in </w:t>
      </w:r>
      <w:r w:rsidR="00001A89">
        <w:rPr>
          <w:szCs w:val="20"/>
        </w:rPr>
        <w:t>post-</w:t>
      </w:r>
      <w:r w:rsidR="008C500E" w:rsidRPr="008C500E">
        <w:rPr>
          <w:szCs w:val="20"/>
        </w:rPr>
        <w:t>trade transparency since</w:t>
      </w:r>
      <w:r w:rsidR="00925CA5" w:rsidRPr="008C0434">
        <w:rPr>
          <w:szCs w:val="20"/>
        </w:rPr>
        <w:t xml:space="preserve"> the introduction of MiFID II.</w:t>
      </w:r>
    </w:p>
    <w:p w14:paraId="64943554" w14:textId="77777777" w:rsidR="00F70056" w:rsidRDefault="00F70056" w:rsidP="00F70056">
      <w:pPr>
        <w:ind w:hanging="360"/>
        <w:rPr>
          <w:rFonts w:cs="Arial"/>
          <w:color w:val="000000"/>
          <w:lang w:eastAsia="en-GB"/>
        </w:rPr>
      </w:pPr>
    </w:p>
    <w:p w14:paraId="24CEC85C" w14:textId="5DE0BBB7" w:rsidR="00F70056" w:rsidRDefault="00680C99" w:rsidP="00F70056">
      <w:pPr>
        <w:rPr>
          <w:rFonts w:cs="Arial"/>
          <w:color w:val="000000"/>
          <w:lang w:eastAsia="en-GB"/>
        </w:rPr>
      </w:pPr>
      <w:r>
        <w:rPr>
          <w:rFonts w:cs="Arial"/>
          <w:color w:val="000000"/>
          <w:lang w:eastAsia="en-GB"/>
        </w:rPr>
        <w:t>FIA EPTA members are convince</w:t>
      </w:r>
      <w:r w:rsidR="00683CC3">
        <w:rPr>
          <w:rFonts w:cs="Arial"/>
          <w:color w:val="000000"/>
          <w:lang w:eastAsia="en-GB"/>
        </w:rPr>
        <w:t>d</w:t>
      </w:r>
      <w:r>
        <w:rPr>
          <w:rFonts w:cs="Arial"/>
          <w:color w:val="000000"/>
          <w:lang w:eastAsia="en-GB"/>
        </w:rPr>
        <w:t xml:space="preserve"> that</w:t>
      </w:r>
      <w:r w:rsidR="00F70056">
        <w:rPr>
          <w:rFonts w:cs="Arial"/>
          <w:color w:val="000000"/>
          <w:lang w:eastAsia="en-GB"/>
        </w:rPr>
        <w:t xml:space="preserve"> improving transparency in the non-equit</w:t>
      </w:r>
      <w:r w:rsidR="00944F3A">
        <w:rPr>
          <w:rFonts w:cs="Arial"/>
          <w:color w:val="000000"/>
          <w:lang w:eastAsia="en-GB"/>
        </w:rPr>
        <w:t>y</w:t>
      </w:r>
      <w:r w:rsidR="00F70056">
        <w:rPr>
          <w:rFonts w:cs="Arial"/>
          <w:color w:val="000000"/>
          <w:lang w:eastAsia="en-GB"/>
        </w:rPr>
        <w:t xml:space="preserve"> markets will increase fairness, competition and investor confidence in </w:t>
      </w:r>
      <w:r>
        <w:rPr>
          <w:rFonts w:cs="Arial"/>
          <w:color w:val="000000"/>
          <w:lang w:eastAsia="en-GB"/>
        </w:rPr>
        <w:t>these and related</w:t>
      </w:r>
      <w:r w:rsidR="00F70056">
        <w:rPr>
          <w:rFonts w:cs="Arial"/>
          <w:color w:val="000000"/>
          <w:lang w:eastAsia="en-GB"/>
        </w:rPr>
        <w:t xml:space="preserve"> markets. </w:t>
      </w:r>
    </w:p>
    <w:p w14:paraId="2BE93A07" w14:textId="77777777" w:rsidR="00F70056" w:rsidRDefault="00F70056" w:rsidP="00F70056">
      <w:pPr>
        <w:ind w:left="720" w:hanging="360"/>
        <w:rPr>
          <w:rFonts w:cs="Arial"/>
          <w:color w:val="000000"/>
          <w:lang w:eastAsia="en-GB"/>
        </w:rPr>
      </w:pPr>
    </w:p>
    <w:p w14:paraId="2D63F8C2" w14:textId="77777777" w:rsidR="00F70056" w:rsidRDefault="00D33152" w:rsidP="00F70056">
      <w:pPr>
        <w:rPr>
          <w:rFonts w:cs="Arial"/>
          <w:color w:val="000000"/>
          <w:lang w:eastAsia="en-GB"/>
        </w:rPr>
      </w:pPr>
      <w:r>
        <w:rPr>
          <w:rFonts w:cs="Arial"/>
          <w:color w:val="000000"/>
          <w:lang w:eastAsia="en-GB"/>
        </w:rPr>
        <w:t>FIA EPTA members</w:t>
      </w:r>
      <w:r w:rsidR="008212A0">
        <w:rPr>
          <w:rFonts w:cs="Arial"/>
          <w:color w:val="000000"/>
          <w:lang w:eastAsia="en-GB"/>
        </w:rPr>
        <w:t xml:space="preserve"> believe</w:t>
      </w:r>
      <w:r w:rsidR="0028765C">
        <w:rPr>
          <w:rFonts w:cs="Arial"/>
          <w:color w:val="000000"/>
          <w:lang w:eastAsia="en-GB"/>
        </w:rPr>
        <w:t xml:space="preserve"> the</w:t>
      </w:r>
      <w:r w:rsidR="00981B4A">
        <w:rPr>
          <w:rFonts w:cs="Arial"/>
          <w:color w:val="000000"/>
          <w:lang w:eastAsia="en-GB"/>
        </w:rPr>
        <w:t xml:space="preserve"> following</w:t>
      </w:r>
      <w:r w:rsidR="00F70056">
        <w:rPr>
          <w:rFonts w:cs="Arial"/>
          <w:color w:val="000000"/>
          <w:lang w:eastAsia="en-GB"/>
        </w:rPr>
        <w:t xml:space="preserve"> key points </w:t>
      </w:r>
      <w:r w:rsidR="008212A0">
        <w:rPr>
          <w:rFonts w:cs="Arial"/>
          <w:color w:val="000000"/>
          <w:lang w:eastAsia="en-GB"/>
        </w:rPr>
        <w:t>require immediate attention</w:t>
      </w:r>
      <w:r w:rsidR="00981B4A">
        <w:rPr>
          <w:rFonts w:cs="Arial"/>
          <w:color w:val="000000"/>
          <w:lang w:eastAsia="en-GB"/>
        </w:rPr>
        <w:t xml:space="preserve"> and </w:t>
      </w:r>
      <w:r w:rsidR="00CF01EE">
        <w:rPr>
          <w:rFonts w:cs="Arial"/>
          <w:color w:val="000000"/>
          <w:lang w:eastAsia="en-GB"/>
        </w:rPr>
        <w:t xml:space="preserve">we </w:t>
      </w:r>
      <w:r w:rsidR="00981B4A">
        <w:rPr>
          <w:rFonts w:cs="Arial"/>
          <w:color w:val="000000"/>
          <w:lang w:eastAsia="en-GB"/>
        </w:rPr>
        <w:t xml:space="preserve">provide further </w:t>
      </w:r>
      <w:r w:rsidR="00F70056">
        <w:rPr>
          <w:rFonts w:cs="Arial"/>
          <w:color w:val="000000"/>
          <w:lang w:eastAsia="en-GB"/>
        </w:rPr>
        <w:t xml:space="preserve">detail </w:t>
      </w:r>
      <w:r w:rsidR="00981B4A">
        <w:rPr>
          <w:rFonts w:cs="Arial"/>
          <w:color w:val="000000"/>
          <w:lang w:eastAsia="en-GB"/>
        </w:rPr>
        <w:t>on these</w:t>
      </w:r>
      <w:r w:rsidR="00F70056">
        <w:rPr>
          <w:rFonts w:cs="Arial"/>
          <w:color w:val="000000"/>
          <w:lang w:eastAsia="en-GB"/>
        </w:rPr>
        <w:t xml:space="preserve"> in our response below:</w:t>
      </w:r>
    </w:p>
    <w:p w14:paraId="6F4AF8A0" w14:textId="77777777" w:rsidR="00F70056" w:rsidRDefault="00F70056" w:rsidP="00F70056">
      <w:pPr>
        <w:ind w:left="720"/>
        <w:rPr>
          <w:rFonts w:cs="Arial"/>
          <w:color w:val="000000"/>
          <w:lang w:eastAsia="en-GB"/>
        </w:rPr>
      </w:pPr>
    </w:p>
    <w:p w14:paraId="2A30FD46" w14:textId="77777777" w:rsidR="00F70056" w:rsidRPr="0028765C" w:rsidRDefault="00F70056" w:rsidP="00B61F24">
      <w:pPr>
        <w:pStyle w:val="ListParagraph"/>
        <w:numPr>
          <w:ilvl w:val="0"/>
          <w:numId w:val="39"/>
        </w:numPr>
        <w:rPr>
          <w:rFonts w:cs="Arial"/>
          <w:color w:val="000000"/>
          <w:lang w:eastAsia="en-GB"/>
        </w:rPr>
      </w:pPr>
      <w:r w:rsidRPr="003B1A5A">
        <w:rPr>
          <w:b/>
          <w:color w:val="000000"/>
        </w:rPr>
        <w:t>Remov</w:t>
      </w:r>
      <w:r w:rsidR="00375A1F" w:rsidRPr="003B1A5A">
        <w:rPr>
          <w:b/>
          <w:color w:val="000000"/>
        </w:rPr>
        <w:t>ing</w:t>
      </w:r>
      <w:r w:rsidRPr="003B1A5A">
        <w:rPr>
          <w:b/>
          <w:color w:val="000000"/>
        </w:rPr>
        <w:t xml:space="preserve"> the </w:t>
      </w:r>
      <w:proofErr w:type="spellStart"/>
      <w:r w:rsidRPr="003B1A5A">
        <w:rPr>
          <w:b/>
          <w:color w:val="000000"/>
        </w:rPr>
        <w:t>ToTV</w:t>
      </w:r>
      <w:proofErr w:type="spellEnd"/>
      <w:r w:rsidRPr="003B1A5A">
        <w:rPr>
          <w:b/>
          <w:color w:val="000000"/>
        </w:rPr>
        <w:t xml:space="preserve"> concept</w:t>
      </w:r>
      <w:r w:rsidRPr="0028765C">
        <w:rPr>
          <w:rFonts w:cs="Arial"/>
          <w:color w:val="000000"/>
          <w:lang w:eastAsia="en-GB"/>
        </w:rPr>
        <w:t xml:space="preserve"> such that there is a level playing field between trading venues and SIs, which establishes a comprehensive transparency framework supporting the creation of a consolidated tape.</w:t>
      </w:r>
    </w:p>
    <w:p w14:paraId="347136AE" w14:textId="77777777" w:rsidR="00F70056" w:rsidRPr="0028765C" w:rsidRDefault="00F70056" w:rsidP="00B61F24">
      <w:pPr>
        <w:pStyle w:val="ListParagraph"/>
        <w:numPr>
          <w:ilvl w:val="0"/>
          <w:numId w:val="39"/>
        </w:numPr>
        <w:rPr>
          <w:rFonts w:cs="Arial"/>
          <w:color w:val="000000"/>
          <w:lang w:eastAsia="en-GB"/>
        </w:rPr>
      </w:pPr>
      <w:r w:rsidRPr="003B1A5A">
        <w:rPr>
          <w:b/>
          <w:color w:val="000000"/>
        </w:rPr>
        <w:t>Simplify</w:t>
      </w:r>
      <w:r w:rsidR="00375A1F" w:rsidRPr="003B1A5A">
        <w:rPr>
          <w:b/>
          <w:color w:val="000000"/>
        </w:rPr>
        <w:t>ing</w:t>
      </w:r>
      <w:r w:rsidRPr="003B1A5A">
        <w:rPr>
          <w:b/>
          <w:color w:val="000000"/>
        </w:rPr>
        <w:t xml:space="preserve"> the pre-trade transparency framework</w:t>
      </w:r>
      <w:r w:rsidRPr="0028765C">
        <w:rPr>
          <w:rFonts w:cs="Arial"/>
          <w:color w:val="000000"/>
          <w:lang w:eastAsia="en-GB"/>
        </w:rPr>
        <w:t>, including by removing the SSTI waiver</w:t>
      </w:r>
      <w:r w:rsidR="0028765C" w:rsidRPr="008C0434">
        <w:rPr>
          <w:rFonts w:cs="Arial"/>
          <w:color w:val="000000"/>
          <w:lang w:eastAsia="en-GB"/>
        </w:rPr>
        <w:t>, increasing the number of instruments subject to the requirement and increasing LIS levels</w:t>
      </w:r>
      <w:r w:rsidR="005F4FCF">
        <w:rPr>
          <w:rFonts w:cs="Arial"/>
          <w:color w:val="000000"/>
          <w:lang w:eastAsia="en-GB"/>
        </w:rPr>
        <w:t xml:space="preserve"> for derivatives and </w:t>
      </w:r>
      <w:r w:rsidR="005867A4">
        <w:rPr>
          <w:rFonts w:cs="Arial"/>
          <w:color w:val="000000"/>
          <w:lang w:eastAsia="en-GB"/>
        </w:rPr>
        <w:t>calibrating</w:t>
      </w:r>
      <w:r w:rsidR="005F4FCF">
        <w:rPr>
          <w:rFonts w:cs="Arial"/>
          <w:color w:val="000000"/>
          <w:lang w:eastAsia="en-GB"/>
        </w:rPr>
        <w:t xml:space="preserve"> appropriate LIS levels </w:t>
      </w:r>
      <w:r w:rsidR="006331A6">
        <w:rPr>
          <w:rFonts w:cs="Arial"/>
          <w:color w:val="000000"/>
          <w:lang w:eastAsia="en-GB"/>
        </w:rPr>
        <w:t>for the type and liquidity profile of bonds</w:t>
      </w:r>
      <w:r w:rsidRPr="0028765C">
        <w:rPr>
          <w:rFonts w:cs="Arial"/>
          <w:color w:val="000000"/>
          <w:lang w:eastAsia="en-GB"/>
        </w:rPr>
        <w:t>.</w:t>
      </w:r>
    </w:p>
    <w:p w14:paraId="764B794A" w14:textId="77777777" w:rsidR="00F70056" w:rsidRPr="0028765C" w:rsidRDefault="00F70056" w:rsidP="00B61F24">
      <w:pPr>
        <w:pStyle w:val="ListParagraph"/>
        <w:numPr>
          <w:ilvl w:val="0"/>
          <w:numId w:val="39"/>
        </w:numPr>
        <w:rPr>
          <w:rFonts w:cs="Arial"/>
          <w:color w:val="000000"/>
          <w:lang w:eastAsia="en-GB"/>
        </w:rPr>
      </w:pPr>
      <w:r w:rsidRPr="003B1A5A">
        <w:rPr>
          <w:b/>
          <w:color w:val="000000"/>
        </w:rPr>
        <w:t>Maximis</w:t>
      </w:r>
      <w:r w:rsidR="00375A1F" w:rsidRPr="003B1A5A">
        <w:rPr>
          <w:b/>
          <w:color w:val="000000"/>
        </w:rPr>
        <w:t>ing</w:t>
      </w:r>
      <w:r w:rsidRPr="003B1A5A">
        <w:rPr>
          <w:b/>
          <w:color w:val="000000"/>
        </w:rPr>
        <w:t xml:space="preserve"> real-time post-trade transparency</w:t>
      </w:r>
      <w:r w:rsidR="0028765C">
        <w:rPr>
          <w:rFonts w:cs="Arial"/>
          <w:color w:val="000000"/>
          <w:lang w:eastAsia="en-GB"/>
        </w:rPr>
        <w:t>, so that it becomes the norm rather than the exception,</w:t>
      </w:r>
      <w:r w:rsidRPr="0028765C">
        <w:rPr>
          <w:rFonts w:cs="Arial"/>
          <w:color w:val="000000"/>
          <w:lang w:eastAsia="en-GB"/>
        </w:rPr>
        <w:t xml:space="preserve"> by limiting the scope of existing deferrals and materially shortening the length of any deferral</w:t>
      </w:r>
      <w:r w:rsidR="007F4C6B" w:rsidRPr="0028765C">
        <w:rPr>
          <w:rFonts w:cs="Arial"/>
          <w:color w:val="000000"/>
          <w:lang w:eastAsia="en-GB"/>
        </w:rPr>
        <w:t xml:space="preserve"> to more closely reflect existing US rules</w:t>
      </w:r>
      <w:r w:rsidR="006331A6">
        <w:rPr>
          <w:rFonts w:cs="Arial"/>
          <w:color w:val="000000"/>
          <w:lang w:eastAsia="en-GB"/>
        </w:rPr>
        <w:t xml:space="preserve"> and the post-trade regime for equities</w:t>
      </w:r>
      <w:r w:rsidRPr="0028765C">
        <w:rPr>
          <w:rFonts w:cs="Arial"/>
          <w:color w:val="000000"/>
          <w:lang w:eastAsia="en-GB"/>
        </w:rPr>
        <w:t>.</w:t>
      </w:r>
    </w:p>
    <w:p w14:paraId="4879020B" w14:textId="77777777" w:rsidR="00F70056" w:rsidRPr="00991C92" w:rsidRDefault="000160DB" w:rsidP="00B61F24">
      <w:pPr>
        <w:pStyle w:val="ListParagraph"/>
        <w:numPr>
          <w:ilvl w:val="0"/>
          <w:numId w:val="39"/>
        </w:numPr>
        <w:rPr>
          <w:rFonts w:cs="Arial"/>
          <w:color w:val="000000"/>
          <w:lang w:eastAsia="en-GB"/>
        </w:rPr>
      </w:pPr>
      <w:r w:rsidRPr="003B1A5A">
        <w:rPr>
          <w:b/>
          <w:color w:val="000000"/>
        </w:rPr>
        <w:t>At minimum, r</w:t>
      </w:r>
      <w:r w:rsidR="00375A1F" w:rsidRPr="003B1A5A">
        <w:rPr>
          <w:b/>
          <w:color w:val="000000"/>
        </w:rPr>
        <w:t>ecalibrat</w:t>
      </w:r>
      <w:r w:rsidRPr="003B1A5A">
        <w:rPr>
          <w:b/>
          <w:color w:val="000000"/>
        </w:rPr>
        <w:t>ing</w:t>
      </w:r>
      <w:r w:rsidR="00375A1F" w:rsidRPr="003B1A5A">
        <w:rPr>
          <w:b/>
          <w:color w:val="000000"/>
        </w:rPr>
        <w:t xml:space="preserve"> the existing approach</w:t>
      </w:r>
      <w:r w:rsidR="00D62AC3" w:rsidRPr="003B1A5A">
        <w:rPr>
          <w:b/>
          <w:color w:val="000000"/>
        </w:rPr>
        <w:t xml:space="preserve"> for </w:t>
      </w:r>
      <w:r w:rsidR="009E594D" w:rsidRPr="003B1A5A">
        <w:rPr>
          <w:b/>
          <w:color w:val="000000"/>
        </w:rPr>
        <w:t>waivers and deferrals</w:t>
      </w:r>
      <w:r w:rsidR="009E594D">
        <w:rPr>
          <w:rFonts w:cs="Arial"/>
          <w:color w:val="000000"/>
          <w:lang w:eastAsia="en-GB"/>
        </w:rPr>
        <w:t xml:space="preserve"> that are based</w:t>
      </w:r>
      <w:r w:rsidR="00375A1F" w:rsidRPr="00D702FE">
        <w:rPr>
          <w:rFonts w:cs="Arial"/>
          <w:color w:val="000000"/>
          <w:lang w:eastAsia="en-GB"/>
        </w:rPr>
        <w:t xml:space="preserve"> </w:t>
      </w:r>
      <w:r w:rsidR="009E594D">
        <w:rPr>
          <w:rFonts w:cs="Arial"/>
          <w:color w:val="000000"/>
          <w:lang w:eastAsia="en-GB"/>
        </w:rPr>
        <w:t>on liquidity assessments; this should</w:t>
      </w:r>
      <w:r w:rsidR="00275F0B">
        <w:rPr>
          <w:rFonts w:cs="Arial"/>
          <w:color w:val="000000"/>
          <w:lang w:eastAsia="en-GB"/>
        </w:rPr>
        <w:t xml:space="preserve"> </w:t>
      </w:r>
      <w:proofErr w:type="gramStart"/>
      <w:r w:rsidR="00375A1F" w:rsidRPr="00D702FE">
        <w:rPr>
          <w:rFonts w:cs="Arial"/>
          <w:color w:val="000000"/>
          <w:lang w:eastAsia="en-GB"/>
        </w:rPr>
        <w:t>take into account</w:t>
      </w:r>
      <w:proofErr w:type="gramEnd"/>
      <w:r w:rsidR="00375A1F" w:rsidRPr="00D702FE">
        <w:rPr>
          <w:rFonts w:cs="Arial"/>
          <w:color w:val="000000"/>
          <w:lang w:eastAsia="en-GB"/>
        </w:rPr>
        <w:t xml:space="preserve"> data quality issues, the lack of comprehensive market-wide data, and Brexit.</w:t>
      </w:r>
      <w:r w:rsidR="000D1689">
        <w:rPr>
          <w:rFonts w:cs="Arial"/>
          <w:color w:val="000000"/>
          <w:lang w:eastAsia="en-GB"/>
        </w:rPr>
        <w:t xml:space="preserve"> </w:t>
      </w:r>
      <w:r w:rsidR="00C411B1">
        <w:rPr>
          <w:rFonts w:cs="Arial"/>
          <w:color w:val="000000"/>
          <w:lang w:eastAsia="en-GB"/>
        </w:rPr>
        <w:t>At the very least,</w:t>
      </w:r>
      <w:r w:rsidR="007F4C6B" w:rsidRPr="00D702FE">
        <w:rPr>
          <w:rFonts w:cs="Arial"/>
          <w:color w:val="000000"/>
          <w:lang w:eastAsia="en-GB"/>
        </w:rPr>
        <w:t xml:space="preserve"> qualitative criteria should be added, such as ensuring that all OTC derivatives subject to the clearing oblig</w:t>
      </w:r>
      <w:r w:rsidR="007F4C6B" w:rsidRPr="00991C92">
        <w:rPr>
          <w:rFonts w:cs="Arial"/>
          <w:color w:val="000000"/>
          <w:lang w:eastAsia="en-GB"/>
        </w:rPr>
        <w:t>ation are considered liquid for transparency purposes.</w:t>
      </w:r>
      <w:r w:rsidR="000D1689">
        <w:rPr>
          <w:rFonts w:cs="Arial"/>
          <w:color w:val="000000"/>
          <w:lang w:eastAsia="en-GB"/>
        </w:rPr>
        <w:t xml:space="preserve"> </w:t>
      </w:r>
    </w:p>
    <w:p w14:paraId="65504B11" w14:textId="77777777" w:rsidR="00F70056" w:rsidRPr="007A240A" w:rsidRDefault="000222B3" w:rsidP="00B61F24">
      <w:pPr>
        <w:pStyle w:val="ListParagraph"/>
        <w:numPr>
          <w:ilvl w:val="0"/>
          <w:numId w:val="39"/>
        </w:numPr>
        <w:rPr>
          <w:rFonts w:cs="Arial"/>
          <w:color w:val="000000"/>
          <w:lang w:eastAsia="en-GB"/>
        </w:rPr>
      </w:pPr>
      <w:r w:rsidRPr="003B1A5A">
        <w:rPr>
          <w:b/>
          <w:color w:val="000000"/>
        </w:rPr>
        <w:t xml:space="preserve">Accelerating the creation of </w:t>
      </w:r>
      <w:r w:rsidR="00F70056" w:rsidRPr="003B1A5A">
        <w:rPr>
          <w:b/>
          <w:color w:val="000000"/>
        </w:rPr>
        <w:t xml:space="preserve">a </w:t>
      </w:r>
      <w:r w:rsidR="00FB4401" w:rsidRPr="003B1A5A">
        <w:rPr>
          <w:b/>
          <w:color w:val="000000"/>
        </w:rPr>
        <w:t xml:space="preserve">post-trade </w:t>
      </w:r>
      <w:r w:rsidR="00F70056" w:rsidRPr="003B1A5A">
        <w:rPr>
          <w:b/>
          <w:color w:val="000000"/>
        </w:rPr>
        <w:t xml:space="preserve">consolidated tape </w:t>
      </w:r>
      <w:r w:rsidR="007F4C6B" w:rsidRPr="003B1A5A">
        <w:rPr>
          <w:b/>
          <w:color w:val="000000"/>
        </w:rPr>
        <w:t>for non-equities</w:t>
      </w:r>
      <w:r w:rsidR="007F4C6B" w:rsidRPr="007A240A">
        <w:rPr>
          <w:rFonts w:cs="Arial"/>
          <w:color w:val="000000"/>
          <w:lang w:eastAsia="en-GB"/>
        </w:rPr>
        <w:t xml:space="preserve"> </w:t>
      </w:r>
      <w:r>
        <w:rPr>
          <w:rFonts w:cs="Arial"/>
          <w:color w:val="000000"/>
          <w:lang w:eastAsia="en-GB"/>
        </w:rPr>
        <w:t xml:space="preserve">so that </w:t>
      </w:r>
      <w:r w:rsidR="00D403DE">
        <w:rPr>
          <w:rFonts w:cs="Arial"/>
          <w:color w:val="000000"/>
          <w:lang w:eastAsia="en-GB"/>
        </w:rPr>
        <w:t xml:space="preserve">market participants will finally be able to have a </w:t>
      </w:r>
      <w:r w:rsidR="00FB4401">
        <w:rPr>
          <w:rFonts w:cs="Arial"/>
          <w:color w:val="000000"/>
          <w:lang w:eastAsia="en-GB"/>
        </w:rPr>
        <w:t>full view of the European market.</w:t>
      </w:r>
    </w:p>
    <w:p w14:paraId="545CBAAB" w14:textId="77777777" w:rsidR="00981B4A" w:rsidRDefault="00981B4A" w:rsidP="00981B4A"/>
    <w:p w14:paraId="047216C1" w14:textId="77777777" w:rsidR="0076523F" w:rsidRDefault="000D1689" w:rsidP="007F4C6B">
      <w:r>
        <w:rPr>
          <w:rFonts w:cs="Arial"/>
          <w:color w:val="000000"/>
          <w:lang w:eastAsia="en-GB"/>
        </w:rPr>
        <w:t xml:space="preserve">Further </w:t>
      </w:r>
      <w:r w:rsidR="007F4C6B">
        <w:rPr>
          <w:rFonts w:cs="Arial"/>
          <w:color w:val="000000"/>
          <w:lang w:eastAsia="en-GB"/>
        </w:rPr>
        <w:t xml:space="preserve">with respect to the DTO, </w:t>
      </w:r>
      <w:r w:rsidR="004936F8">
        <w:rPr>
          <w:rFonts w:cs="Arial"/>
          <w:color w:val="000000"/>
          <w:lang w:eastAsia="en-GB"/>
        </w:rPr>
        <w:t xml:space="preserve">we consider that </w:t>
      </w:r>
      <w:r w:rsidR="007F4C6B">
        <w:rPr>
          <w:rFonts w:cs="Arial"/>
          <w:color w:val="000000"/>
          <w:lang w:eastAsia="en-GB"/>
        </w:rPr>
        <w:t>ESMA should take steps to ensure that all market participants can access the trading venues where these instruments are listed.</w:t>
      </w:r>
      <w:r>
        <w:rPr>
          <w:rFonts w:cs="Arial"/>
          <w:color w:val="000000"/>
          <w:lang w:eastAsia="en-GB"/>
        </w:rPr>
        <w:t xml:space="preserve"> </w:t>
      </w:r>
      <w:r w:rsidR="007F4C6B">
        <w:rPr>
          <w:rFonts w:cs="Arial"/>
          <w:color w:val="000000"/>
          <w:lang w:eastAsia="en-GB"/>
        </w:rPr>
        <w:t xml:space="preserve">At the moment, the continued use of the practice of post-trade name give-up violates non-discriminatory access requirements and impedes the ability of </w:t>
      </w:r>
      <w:r w:rsidR="006D02B0">
        <w:rPr>
          <w:rFonts w:cs="Arial"/>
          <w:color w:val="000000"/>
          <w:lang w:eastAsia="en-GB"/>
        </w:rPr>
        <w:t xml:space="preserve">non-bank </w:t>
      </w:r>
      <w:r w:rsidR="007F4C6B">
        <w:rPr>
          <w:rFonts w:cs="Arial"/>
          <w:color w:val="000000"/>
          <w:lang w:eastAsia="en-GB"/>
        </w:rPr>
        <w:t>liquidity providers to join certain MTFs and OTFs.</w:t>
      </w:r>
      <w:r>
        <w:rPr>
          <w:rFonts w:cs="Arial"/>
          <w:color w:val="000000"/>
          <w:lang w:eastAsia="en-GB"/>
        </w:rPr>
        <w:t xml:space="preserve"> </w:t>
      </w:r>
      <w:r w:rsidR="007F4C6B">
        <w:rPr>
          <w:rFonts w:cs="Arial"/>
          <w:color w:val="000000"/>
          <w:lang w:eastAsia="en-GB"/>
        </w:rPr>
        <w:t>We recommend that ESMA issue additional guidance to prohibit this practice.</w:t>
      </w:r>
      <w:r w:rsidR="0076523F" w:rsidRPr="0076523F">
        <w:t xml:space="preserve"> </w:t>
      </w:r>
    </w:p>
    <w:p w14:paraId="27DF9B6B" w14:textId="77777777" w:rsidR="00981B4A" w:rsidRDefault="00981B4A" w:rsidP="002C785B"/>
    <w:p w14:paraId="485A1F47" w14:textId="77777777" w:rsidR="002C785B" w:rsidRDefault="006D02B0" w:rsidP="00F40E41">
      <w:pPr>
        <w:pStyle w:val="Default"/>
      </w:pPr>
      <w:r>
        <w:rPr>
          <w:rFonts w:ascii="Arial" w:hAnsi="Arial" w:cs="Arial"/>
          <w:color w:val="auto"/>
          <w:sz w:val="20"/>
          <w:szCs w:val="20"/>
          <w:lang w:val="en-GB"/>
        </w:rPr>
        <w:t>Finally</w:t>
      </w:r>
      <w:r w:rsidR="00925CA5" w:rsidRPr="008C0434">
        <w:rPr>
          <w:rFonts w:ascii="Arial" w:hAnsi="Arial" w:cs="Arial"/>
          <w:color w:val="auto"/>
          <w:sz w:val="20"/>
          <w:szCs w:val="20"/>
          <w:lang w:val="en-GB"/>
        </w:rPr>
        <w:t xml:space="preserve">, </w:t>
      </w:r>
      <w:r w:rsidR="00B85C67" w:rsidRPr="008C0434">
        <w:rPr>
          <w:rFonts w:ascii="Arial" w:hAnsi="Arial" w:cs="Arial"/>
          <w:color w:val="auto"/>
          <w:sz w:val="20"/>
          <w:szCs w:val="20"/>
          <w:lang w:val="en-GB"/>
        </w:rPr>
        <w:t xml:space="preserve">FIA EPTA members remain concerned </w:t>
      </w:r>
      <w:r w:rsidR="0080785A">
        <w:rPr>
          <w:rFonts w:ascii="Arial" w:hAnsi="Arial" w:cs="Arial"/>
          <w:color w:val="auto"/>
          <w:sz w:val="20"/>
          <w:szCs w:val="20"/>
          <w:lang w:val="en-GB"/>
        </w:rPr>
        <w:t>about</w:t>
      </w:r>
      <w:r w:rsidR="00B85C67" w:rsidRPr="008C0434">
        <w:rPr>
          <w:rFonts w:ascii="Arial" w:hAnsi="Arial" w:cs="Arial"/>
          <w:color w:val="auto"/>
          <w:sz w:val="20"/>
          <w:szCs w:val="20"/>
          <w:lang w:val="en-GB"/>
        </w:rPr>
        <w:t xml:space="preserve"> certain listed structured products that are insufficiently transparent and deliver sub-optimal results for retail investors such as sprinters, turbos, speeders, warrants</w:t>
      </w:r>
      <w:r w:rsidR="00D711C7">
        <w:rPr>
          <w:rFonts w:ascii="Arial" w:hAnsi="Arial" w:cs="Arial"/>
          <w:color w:val="auto"/>
          <w:sz w:val="20"/>
          <w:szCs w:val="20"/>
          <w:lang w:val="en-GB"/>
        </w:rPr>
        <w:t>, funds</w:t>
      </w:r>
      <w:r w:rsidR="00B85C67" w:rsidRPr="008C0434">
        <w:rPr>
          <w:rFonts w:ascii="Arial" w:hAnsi="Arial" w:cs="Arial"/>
          <w:color w:val="auto"/>
          <w:sz w:val="20"/>
          <w:szCs w:val="20"/>
          <w:lang w:val="en-GB"/>
        </w:rPr>
        <w:t xml:space="preserve"> and CFDs. These products suffer from significant conflicts of interest: quotes are provided by only one market maker which is normally affiliated with the issuer of the product. In the absence of competition by other liquidity providers, these market makers have full discretion to set spreads and pricing rules in a manner that disadvantages retail clients.</w:t>
      </w:r>
      <w:r w:rsidR="00C56652">
        <w:rPr>
          <w:rFonts w:ascii="Arial" w:hAnsi="Arial" w:cs="Arial"/>
          <w:color w:val="auto"/>
          <w:sz w:val="20"/>
          <w:szCs w:val="20"/>
          <w:lang w:val="en-GB"/>
        </w:rPr>
        <w:t xml:space="preserve"> </w:t>
      </w:r>
      <w:r w:rsidR="004E11BE">
        <w:rPr>
          <w:rFonts w:ascii="Arial" w:hAnsi="Arial" w:cs="Arial"/>
          <w:color w:val="auto"/>
          <w:sz w:val="20"/>
          <w:szCs w:val="20"/>
          <w:lang w:val="en-GB"/>
        </w:rPr>
        <w:t>Consequently</w:t>
      </w:r>
      <w:r w:rsidR="00C56652">
        <w:rPr>
          <w:rFonts w:ascii="Arial" w:hAnsi="Arial" w:cs="Arial"/>
          <w:color w:val="auto"/>
          <w:sz w:val="20"/>
          <w:szCs w:val="20"/>
          <w:lang w:val="en-GB"/>
        </w:rPr>
        <w:t>, we would ask ESMA to investigate how to open up this essentially closed market</w:t>
      </w:r>
      <w:r w:rsidR="00B43CDB">
        <w:rPr>
          <w:rFonts w:ascii="Arial" w:hAnsi="Arial" w:cs="Arial"/>
          <w:color w:val="auto"/>
          <w:sz w:val="20"/>
          <w:szCs w:val="20"/>
          <w:lang w:val="en-GB"/>
        </w:rPr>
        <w:t xml:space="preserve"> structure</w:t>
      </w:r>
      <w:r w:rsidR="00C13250">
        <w:rPr>
          <w:rFonts w:ascii="Arial" w:hAnsi="Arial" w:cs="Arial"/>
          <w:color w:val="auto"/>
          <w:sz w:val="20"/>
          <w:szCs w:val="20"/>
          <w:lang w:val="en-GB"/>
        </w:rPr>
        <w:t>,</w:t>
      </w:r>
      <w:r w:rsidR="00B43CDB">
        <w:rPr>
          <w:rFonts w:ascii="Arial" w:hAnsi="Arial" w:cs="Arial"/>
          <w:color w:val="auto"/>
          <w:sz w:val="20"/>
          <w:szCs w:val="20"/>
          <w:lang w:val="en-GB"/>
        </w:rPr>
        <w:t xml:space="preserve"> which violates multilateral systems requirements</w:t>
      </w:r>
      <w:r w:rsidR="00C13250">
        <w:rPr>
          <w:rFonts w:ascii="Arial" w:hAnsi="Arial" w:cs="Arial"/>
          <w:color w:val="auto"/>
          <w:sz w:val="20"/>
          <w:szCs w:val="20"/>
          <w:lang w:val="en-GB"/>
        </w:rPr>
        <w:t>,</w:t>
      </w:r>
      <w:r w:rsidR="00C56652">
        <w:rPr>
          <w:rFonts w:ascii="Arial" w:hAnsi="Arial" w:cs="Arial"/>
          <w:color w:val="auto"/>
          <w:sz w:val="20"/>
          <w:szCs w:val="20"/>
          <w:lang w:val="en-GB"/>
        </w:rPr>
        <w:t xml:space="preserve"> to more participants</w:t>
      </w:r>
      <w:r w:rsidR="00BE6668">
        <w:rPr>
          <w:rFonts w:ascii="Arial" w:hAnsi="Arial" w:cs="Arial"/>
          <w:color w:val="auto"/>
          <w:sz w:val="20"/>
          <w:szCs w:val="20"/>
          <w:lang w:val="en-GB"/>
        </w:rPr>
        <w:t xml:space="preserve"> so as to ensure non-discriminatory access and better outcomes for end-investors</w:t>
      </w:r>
      <w:r w:rsidR="00C56652">
        <w:rPr>
          <w:rFonts w:ascii="Arial" w:hAnsi="Arial" w:cs="Arial"/>
          <w:color w:val="auto"/>
          <w:sz w:val="20"/>
          <w:szCs w:val="20"/>
          <w:lang w:val="en-GB"/>
        </w:rPr>
        <w:t>.</w:t>
      </w:r>
      <w:r w:rsidR="004E64A6">
        <w:rPr>
          <w:rFonts w:ascii="Arial" w:hAnsi="Arial" w:cs="Arial"/>
          <w:color w:val="auto"/>
          <w:sz w:val="20"/>
          <w:szCs w:val="20"/>
          <w:lang w:val="en-GB"/>
        </w:rPr>
        <w:t>]</w:t>
      </w:r>
    </w:p>
    <w:p w14:paraId="446EC49A" w14:textId="77777777" w:rsidR="002C785B" w:rsidRDefault="002C785B" w:rsidP="002C785B"/>
    <w:p w14:paraId="367C716F" w14:textId="77777777" w:rsidR="008B438E" w:rsidRDefault="002C785B" w:rsidP="00E3231A">
      <w:r w:rsidRPr="00BF28DA">
        <w:t>&lt;ESMA_COMMENT_</w:t>
      </w:r>
      <w:r>
        <w:t>CP_MIFID_NQT_</w:t>
      </w:r>
      <w:r w:rsidRPr="00BF28DA">
        <w:t>1&gt;</w:t>
      </w:r>
    </w:p>
    <w:p w14:paraId="47732E8C" w14:textId="77777777" w:rsidR="008B438E" w:rsidRDefault="008B438E" w:rsidP="00E3231A"/>
    <w:p w14:paraId="7096A377" w14:textId="77777777" w:rsidR="008B438E" w:rsidRDefault="008B438E" w:rsidP="00E3231A"/>
    <w:p w14:paraId="57D9BAA8" w14:textId="38312B80" w:rsidR="008B438E" w:rsidRDefault="008B438E" w:rsidP="00B61F24">
      <w:pPr>
        <w:pStyle w:val="CPQuestions"/>
        <w:numPr>
          <w:ilvl w:val="0"/>
          <w:numId w:val="47"/>
        </w:numPr>
        <w:ind w:left="720"/>
      </w:pPr>
      <w:r>
        <w:t>What benefits or impacts would you see in increased pre-trade transparency in the different non-equity markets? How could the benefits/impacts of such pre-trade transparency be achieved/be mitigated via changes of the Level 1 text?</w:t>
      </w:r>
    </w:p>
    <w:p w14:paraId="7E9D4040" w14:textId="448F189C" w:rsidR="002C785B" w:rsidRDefault="002C785B" w:rsidP="002C785B">
      <w:r>
        <w:t>&lt;ESMA_QUESTION_CP_MIFID_NQT_1&gt;</w:t>
      </w:r>
    </w:p>
    <w:p w14:paraId="40B004B8" w14:textId="77777777" w:rsidR="008B438E" w:rsidRDefault="008B438E" w:rsidP="002C785B"/>
    <w:p w14:paraId="71B6DC9F" w14:textId="77777777" w:rsidR="002C785B" w:rsidRDefault="00E1229C" w:rsidP="002C785B">
      <w:r>
        <w:t>[</w:t>
      </w:r>
      <w:r w:rsidR="002C785B">
        <w:t>FIA EPTA members agree</w:t>
      </w:r>
      <w:r w:rsidR="0080785A">
        <w:t>,</w:t>
      </w:r>
      <w:r w:rsidR="002C785B">
        <w:t xml:space="preserve"> with the market participants cited in the consultation paper, that </w:t>
      </w:r>
      <w:r w:rsidR="002C785B" w:rsidRPr="00941068">
        <w:t>the current pre-trade transparency regime is not providing sufficient tr</w:t>
      </w:r>
      <w:r w:rsidR="002C785B">
        <w:t>ansparency due to the high number</w:t>
      </w:r>
      <w:r w:rsidR="002C785B" w:rsidRPr="00941068">
        <w:t xml:space="preserve"> of instruments</w:t>
      </w:r>
      <w:r w:rsidR="00946A35">
        <w:t xml:space="preserve"> </w:t>
      </w:r>
      <w:r w:rsidR="009C59A8">
        <w:t xml:space="preserve">unduly </w:t>
      </w:r>
      <w:r w:rsidR="00946A35">
        <w:t>deemed illiquid</w:t>
      </w:r>
      <w:r w:rsidR="002C785B" w:rsidRPr="00941068">
        <w:t xml:space="preserve"> and the high</w:t>
      </w:r>
      <w:r w:rsidR="002C785B">
        <w:t xml:space="preserve"> level of trading volume</w:t>
      </w:r>
      <w:r w:rsidR="002C785B" w:rsidRPr="00941068">
        <w:t xml:space="preserve"> </w:t>
      </w:r>
      <w:r w:rsidR="0004590A">
        <w:t>subject to</w:t>
      </w:r>
      <w:r w:rsidR="002C785B" w:rsidRPr="00941068">
        <w:t xml:space="preserve"> wai</w:t>
      </w:r>
      <w:r w:rsidR="002C785B">
        <w:t>vers</w:t>
      </w:r>
      <w:r w:rsidR="002C785B" w:rsidRPr="00941068">
        <w:t>.</w:t>
      </w:r>
      <w:r w:rsidR="002C785B">
        <w:t xml:space="preserve"> FIA EPTA members support a market structure where the trading of non-equity instruments take</w:t>
      </w:r>
      <w:r w:rsidR="0004590A">
        <w:t>s</w:t>
      </w:r>
      <w:r w:rsidR="002C785B">
        <w:t xml:space="preserve"> place to the greatest extent in </w:t>
      </w:r>
      <w:r w:rsidR="00FD33C5">
        <w:t>a transparent</w:t>
      </w:r>
      <w:r w:rsidR="002C785B">
        <w:t xml:space="preserve"> trading environment which is subject to calibrated transparency requirements. As set out in </w:t>
      </w:r>
      <w:proofErr w:type="spellStart"/>
      <w:r w:rsidR="002C785B">
        <w:t>MiFIR</w:t>
      </w:r>
      <w:proofErr w:type="spellEnd"/>
      <w:r w:rsidR="002C785B">
        <w:t xml:space="preserve">, the transparency waivers should only be available in certain limited cases rather than being the norm. However, </w:t>
      </w:r>
      <w:r w:rsidR="006F0323">
        <w:t>non-deferred</w:t>
      </w:r>
      <w:r w:rsidR="002C785B">
        <w:t xml:space="preserve"> transparency is currently the exception as the waivers</w:t>
      </w:r>
      <w:r w:rsidR="002C785B" w:rsidRPr="00BF2713">
        <w:t xml:space="preserve"> </w:t>
      </w:r>
      <w:r w:rsidR="002C785B">
        <w:t>significantly overstep their objectives to the detriment of</w:t>
      </w:r>
      <w:r w:rsidR="009D08C9">
        <w:t xml:space="preserve"> </w:t>
      </w:r>
      <w:r w:rsidR="002C785B">
        <w:t>non-equity markets</w:t>
      </w:r>
      <w:r w:rsidR="00A22021">
        <w:t xml:space="preserve"> quality</w:t>
      </w:r>
      <w:r w:rsidR="002C785B">
        <w:t xml:space="preserve">. </w:t>
      </w:r>
    </w:p>
    <w:p w14:paraId="0F3AA5E4" w14:textId="77777777" w:rsidR="002C785B" w:rsidRDefault="002C785B" w:rsidP="002C785B"/>
    <w:p w14:paraId="57FAE57B" w14:textId="77777777" w:rsidR="002C785B" w:rsidRDefault="002C785B" w:rsidP="002C785B">
      <w:r>
        <w:t>FIA EPTA members believe that the</w:t>
      </w:r>
      <w:r w:rsidR="008309B9">
        <w:t xml:space="preserve"> calibration of the</w:t>
      </w:r>
      <w:r>
        <w:t xml:space="preserve"> waivers should be modified so as to allow for more pre-trade transparency and that, as long as hedging risks </w:t>
      </w:r>
      <w:r w:rsidR="00D42F3F">
        <w:t xml:space="preserve">can be </w:t>
      </w:r>
      <w:r>
        <w:t xml:space="preserve">appropriately minimised, increased </w:t>
      </w:r>
      <w:r w:rsidR="00D42F3F">
        <w:t xml:space="preserve">pre-trade </w:t>
      </w:r>
      <w:r>
        <w:t xml:space="preserve">transparency will not have a negative impact on non-equity markets. </w:t>
      </w:r>
    </w:p>
    <w:p w14:paraId="4F428EBA" w14:textId="77777777" w:rsidR="002C785B" w:rsidRDefault="002C785B" w:rsidP="002C785B"/>
    <w:p w14:paraId="476A56C1" w14:textId="77777777" w:rsidR="002C785B" w:rsidRDefault="002C785B" w:rsidP="002C785B">
      <w:r>
        <w:t xml:space="preserve">FIA EPTA members are in favour of a material increase in the level of pre-trade transparency in the non-equity markets and consider the benefits </w:t>
      </w:r>
      <w:r w:rsidR="00EA52D9">
        <w:t xml:space="preserve">will </w:t>
      </w:r>
      <w:r>
        <w:t xml:space="preserve">be increased liquidity and more efficient pricing, as investors </w:t>
      </w:r>
      <w:r w:rsidR="00EA52D9">
        <w:t xml:space="preserve">will </w:t>
      </w:r>
      <w:r>
        <w:t xml:space="preserve">have more knowledge of trading interest in advance of placing orders and </w:t>
      </w:r>
      <w:r w:rsidR="00EA52D9">
        <w:t xml:space="preserve">consequently will have </w:t>
      </w:r>
      <w:r>
        <w:t>more confidence to trade.</w:t>
      </w:r>
      <w:r w:rsidR="000D1689">
        <w:t xml:space="preserve"> </w:t>
      </w:r>
    </w:p>
    <w:p w14:paraId="558EF424" w14:textId="77777777" w:rsidR="002C785B" w:rsidRDefault="002C785B" w:rsidP="002C785B"/>
    <w:p w14:paraId="6838F499" w14:textId="77777777" w:rsidR="002C785B" w:rsidRDefault="002C785B" w:rsidP="002C785B">
      <w:pPr>
        <w:spacing w:after="120"/>
      </w:pPr>
      <w:r>
        <w:t>The Level 1 text sets out that the pre-trade transparency requirements for trading venues can be waived</w:t>
      </w:r>
      <w:r w:rsidR="00EA52D9">
        <w:t xml:space="preserve"> in the following circumstances</w:t>
      </w:r>
      <w:r>
        <w:t>:</w:t>
      </w:r>
    </w:p>
    <w:p w14:paraId="6C0C8485" w14:textId="77777777" w:rsidR="002C785B" w:rsidRDefault="002C785B" w:rsidP="002C785B">
      <w:pPr>
        <w:pStyle w:val="ListParagraph"/>
        <w:numPr>
          <w:ilvl w:val="0"/>
          <w:numId w:val="35"/>
        </w:numPr>
        <w:spacing w:after="240"/>
        <w:ind w:left="777" w:hanging="357"/>
      </w:pPr>
      <w:r>
        <w:t>For orders that are large in scale (LIS);</w:t>
      </w:r>
    </w:p>
    <w:p w14:paraId="3744D495" w14:textId="77777777" w:rsidR="002C785B" w:rsidRDefault="002C785B" w:rsidP="002C785B">
      <w:pPr>
        <w:pStyle w:val="ListParagraph"/>
        <w:numPr>
          <w:ilvl w:val="0"/>
          <w:numId w:val="35"/>
        </w:numPr>
        <w:spacing w:after="120"/>
        <w:ind w:left="777" w:hanging="357"/>
      </w:pPr>
      <w:r>
        <w:t>For orders held in an OMF pending disclosure;</w:t>
      </w:r>
    </w:p>
    <w:p w14:paraId="669C321E" w14:textId="77777777" w:rsidR="002C785B" w:rsidRDefault="002C785B" w:rsidP="002C785B">
      <w:pPr>
        <w:pStyle w:val="ListParagraph"/>
        <w:numPr>
          <w:ilvl w:val="0"/>
          <w:numId w:val="35"/>
        </w:numPr>
        <w:spacing w:after="120"/>
        <w:ind w:left="777" w:hanging="357"/>
      </w:pPr>
      <w:r>
        <w:t xml:space="preserve">For actionable indications of interest above SSTI in RFQ and voice trading systems (although the venues are required, in this case, to make public indicative pre-trade bid and offer prices which are close in price to the active interest); </w:t>
      </w:r>
    </w:p>
    <w:p w14:paraId="113B8883" w14:textId="77777777" w:rsidR="002C785B" w:rsidRDefault="002C785B" w:rsidP="002C785B">
      <w:pPr>
        <w:pStyle w:val="ListParagraph"/>
        <w:numPr>
          <w:ilvl w:val="0"/>
          <w:numId w:val="35"/>
        </w:numPr>
        <w:spacing w:after="120"/>
        <w:ind w:left="777" w:hanging="357"/>
      </w:pPr>
      <w:r>
        <w:t xml:space="preserve">For instruments not subject to the trading obligation and for illiquid instruments (ILQ); </w:t>
      </w:r>
    </w:p>
    <w:p w14:paraId="33F0B460" w14:textId="77777777" w:rsidR="002C785B" w:rsidRDefault="00FC7A43" w:rsidP="002C785B">
      <w:pPr>
        <w:pStyle w:val="ListParagraph"/>
        <w:numPr>
          <w:ilvl w:val="0"/>
          <w:numId w:val="35"/>
        </w:numPr>
        <w:spacing w:after="120"/>
        <w:ind w:left="777" w:hanging="357"/>
      </w:pPr>
      <w:r>
        <w:t>F</w:t>
      </w:r>
      <w:r w:rsidR="002C785B">
        <w:t>or ‘hedging’ orders of non-financial counterparties, where they are reducing risks directly related to commercial or treasury financing activity.</w:t>
      </w:r>
    </w:p>
    <w:p w14:paraId="344495DA" w14:textId="77777777" w:rsidR="002C785B" w:rsidRDefault="002C785B" w:rsidP="002C785B"/>
    <w:p w14:paraId="463590E8" w14:textId="77777777" w:rsidR="002C785B" w:rsidRDefault="002C785B" w:rsidP="002C785B">
      <w:r>
        <w:t xml:space="preserve">FIA EPTA members </w:t>
      </w:r>
      <w:r w:rsidR="00FC7A43">
        <w:t xml:space="preserve">consider </w:t>
      </w:r>
      <w:r w:rsidR="00E37530">
        <w:t>that these</w:t>
      </w:r>
      <w:r w:rsidR="000B28B5">
        <w:t xml:space="preserve"> scenarios</w:t>
      </w:r>
      <w:r>
        <w:t xml:space="preserve"> </w:t>
      </w:r>
      <w:r w:rsidR="000B28B5">
        <w:t xml:space="preserve">enabling the application of pre-trade transparency </w:t>
      </w:r>
      <w:r>
        <w:t xml:space="preserve">waivers </w:t>
      </w:r>
      <w:r w:rsidR="000B28B5">
        <w:t xml:space="preserve">are </w:t>
      </w:r>
      <w:r>
        <w:t>too broad</w:t>
      </w:r>
      <w:r w:rsidR="000B28B5">
        <w:t>ly defined</w:t>
      </w:r>
      <w:r>
        <w:t xml:space="preserve"> and </w:t>
      </w:r>
      <w:r w:rsidR="000B28B5">
        <w:t xml:space="preserve">should </w:t>
      </w:r>
      <w:r>
        <w:t xml:space="preserve">be </w:t>
      </w:r>
      <w:r w:rsidR="000B28B5">
        <w:t xml:space="preserve">significantly </w:t>
      </w:r>
      <w:r>
        <w:t xml:space="preserve">narrowed. As ESMA has highlighted in </w:t>
      </w:r>
      <w:r w:rsidR="00BD5A77">
        <w:t xml:space="preserve">its </w:t>
      </w:r>
      <w:r>
        <w:t>consultation paper, the LIS and ILQ waivers are most predominately used</w:t>
      </w:r>
      <w:r w:rsidR="00D10457">
        <w:t>. Consequently,</w:t>
      </w:r>
      <w:r w:rsidR="009A414E">
        <w:t xml:space="preserve"> policy efforts at</w:t>
      </w:r>
      <w:r w:rsidR="00B40E62">
        <w:t xml:space="preserve"> improving non-equity transparency should be </w:t>
      </w:r>
      <w:r>
        <w:t xml:space="preserve">targeted at these two waivers </w:t>
      </w:r>
      <w:r w:rsidR="00B40E62">
        <w:t>in particular</w:t>
      </w:r>
      <w:r>
        <w:t xml:space="preserve">. </w:t>
      </w:r>
    </w:p>
    <w:p w14:paraId="1004DD6A" w14:textId="77777777" w:rsidR="002C785B" w:rsidRDefault="002C785B" w:rsidP="002C785B"/>
    <w:p w14:paraId="25AEE9C6" w14:textId="77777777" w:rsidR="002C785B" w:rsidRDefault="002C785B" w:rsidP="002C785B">
      <w:r>
        <w:t xml:space="preserve">FIA EPTA members would recommend excluding certain instruments </w:t>
      </w:r>
      <w:r w:rsidR="00BB790D">
        <w:t xml:space="preserve">currently </w:t>
      </w:r>
      <w:r>
        <w:t xml:space="preserve">classified as illiquid from the ILQ pre-trade transparency </w:t>
      </w:r>
      <w:r w:rsidRPr="00D111A3">
        <w:t>waiver</w:t>
      </w:r>
      <w:r w:rsidR="00B3464E" w:rsidRPr="00D111A3">
        <w:t>, removing the SSTI waiver as suggested by ESMA</w:t>
      </w:r>
      <w:r w:rsidRPr="00D111A3">
        <w:t xml:space="preserve"> and, </w:t>
      </w:r>
      <w:r w:rsidR="00F9786C" w:rsidRPr="00D111A3">
        <w:t>at Level 2</w:t>
      </w:r>
      <w:r w:rsidR="00B3464E" w:rsidRPr="00D111A3">
        <w:t>,</w:t>
      </w:r>
      <w:r w:rsidRPr="00D111A3">
        <w:t xml:space="preserve"> increasing the LIS thresholds</w:t>
      </w:r>
      <w:r w:rsidR="00921848" w:rsidRPr="00D111A3">
        <w:t xml:space="preserve"> </w:t>
      </w:r>
      <w:r w:rsidR="00921848" w:rsidRPr="00DB377B">
        <w:t>for derivatives</w:t>
      </w:r>
      <w:r w:rsidRPr="00D111A3">
        <w:t>.</w:t>
      </w:r>
      <w:r w:rsidR="007A5123" w:rsidRPr="00D111A3">
        <w:t xml:space="preserve"> For bonds</w:t>
      </w:r>
      <w:r w:rsidR="007218EF" w:rsidRPr="00D111A3">
        <w:t>,</w:t>
      </w:r>
      <w:r w:rsidR="007A5123" w:rsidRPr="00D111A3">
        <w:t xml:space="preserve"> a more granular liquidity-based LIS </w:t>
      </w:r>
      <w:r w:rsidR="00BB69DA" w:rsidRPr="00D111A3">
        <w:t xml:space="preserve">should be calibrated to </w:t>
      </w:r>
      <w:proofErr w:type="gramStart"/>
      <w:r w:rsidR="00BB69DA" w:rsidRPr="00D111A3">
        <w:t>take into account</w:t>
      </w:r>
      <w:proofErr w:type="gramEnd"/>
      <w:r w:rsidR="00BB69DA" w:rsidRPr="00D111A3">
        <w:t xml:space="preserve"> the varying level of</w:t>
      </w:r>
      <w:r w:rsidR="00BB69DA">
        <w:t xml:space="preserve"> liquidity</w:t>
      </w:r>
      <w:r w:rsidR="00D925A2">
        <w:t xml:space="preserve"> for different types of fixed income</w:t>
      </w:r>
      <w:r w:rsidR="007A5123">
        <w:t xml:space="preserve"> instruments (sovereign, corporate, covered, convertible, high-yield</w:t>
      </w:r>
      <w:r w:rsidR="00D925A2">
        <w:t>,</w:t>
      </w:r>
      <w:r w:rsidR="007A5123">
        <w:t xml:space="preserve"> etc.).</w:t>
      </w:r>
    </w:p>
    <w:p w14:paraId="424B2899" w14:textId="77777777" w:rsidR="002C785B" w:rsidRDefault="002C785B" w:rsidP="002C785B"/>
    <w:p w14:paraId="58613CFD" w14:textId="77777777" w:rsidR="009315D9" w:rsidRDefault="00985D84" w:rsidP="002C785B">
      <w:proofErr w:type="gramStart"/>
      <w:r>
        <w:t>Specifically</w:t>
      </w:r>
      <w:proofErr w:type="gramEnd"/>
      <w:r w:rsidR="002C785B">
        <w:t xml:space="preserve"> </w:t>
      </w:r>
      <w:r w:rsidR="00113EF7">
        <w:t>for derivatives listed on a regulated trading venue</w:t>
      </w:r>
      <w:r w:rsidR="00444F15">
        <w:t>, we</w:t>
      </w:r>
      <w:r w:rsidR="00113EF7">
        <w:t xml:space="preserve"> </w:t>
      </w:r>
      <w:r w:rsidR="002C785B">
        <w:t xml:space="preserve">believe that there is no </w:t>
      </w:r>
      <w:r w:rsidR="00626DEC">
        <w:t>requirement</w:t>
      </w:r>
      <w:r w:rsidR="00444F15">
        <w:t xml:space="preserve"> </w:t>
      </w:r>
      <w:r w:rsidR="002C785B">
        <w:t xml:space="preserve">for </w:t>
      </w:r>
      <w:r w:rsidR="00444F15">
        <w:t xml:space="preserve">the </w:t>
      </w:r>
      <w:r w:rsidR="002C785B">
        <w:t>ILQ pre-trade waiver</w:t>
      </w:r>
      <w:r w:rsidR="00444F15">
        <w:t xml:space="preserve"> at all</w:t>
      </w:r>
      <w:r w:rsidR="002C785B">
        <w:t xml:space="preserve">. Where a </w:t>
      </w:r>
      <w:r w:rsidR="001A46AC">
        <w:t xml:space="preserve">trading venue </w:t>
      </w:r>
      <w:r w:rsidR="002C785B">
        <w:t xml:space="preserve">has chosen to list a derivative and has actively engaged market maker(s) to support these contracts, excluding pre-trade transparency is counterintuitive to MiFID II's objectives. Market making obligations are in place to ensure a minimum level of liquidity during all market conditions, including </w:t>
      </w:r>
      <w:r w:rsidR="00EB378E">
        <w:t xml:space="preserve">when </w:t>
      </w:r>
      <w:r w:rsidR="002C785B">
        <w:t>stressed,</w:t>
      </w:r>
      <w:r w:rsidR="002C785B" w:rsidRPr="0071475D">
        <w:t xml:space="preserve"> </w:t>
      </w:r>
      <w:r w:rsidR="002C785B">
        <w:t xml:space="preserve">and providing this transparency will promote end investor </w:t>
      </w:r>
      <w:r w:rsidR="002C785B">
        <w:lastRenderedPageBreak/>
        <w:t xml:space="preserve">interest resulting in enhanced liquidity. By its very nature, permitting pre-trade transparency to be waived for illiquid instruments stifles the natural growth of </w:t>
      </w:r>
      <w:r w:rsidR="00B82F87">
        <w:t xml:space="preserve">liquidity in </w:t>
      </w:r>
      <w:r w:rsidR="002C785B">
        <w:t xml:space="preserve">those instruments as investors do not have an accurate view of the depth of interest in those products. </w:t>
      </w:r>
    </w:p>
    <w:p w14:paraId="256D93B9" w14:textId="77777777" w:rsidR="009315D9" w:rsidRDefault="009315D9" w:rsidP="002C785B"/>
    <w:p w14:paraId="77C8E391" w14:textId="77777777" w:rsidR="002C785B" w:rsidRPr="009315D9" w:rsidRDefault="00B82F87" w:rsidP="002C785B">
      <w:r>
        <w:t>Consequently</w:t>
      </w:r>
      <w:r w:rsidR="002C785B">
        <w:t>, FIA EPTA members would recommend modifying Article 9</w:t>
      </w:r>
      <w:r w:rsidR="00CE77B6">
        <w:t>(</w:t>
      </w:r>
      <w:r w:rsidR="002C785B">
        <w:t>1</w:t>
      </w:r>
      <w:r w:rsidR="00CE77B6">
        <w:t>)</w:t>
      </w:r>
      <w:r w:rsidR="002C785B">
        <w:t xml:space="preserve">(c) to state “derivatives </w:t>
      </w:r>
      <w:r w:rsidR="00B61A71">
        <w:t xml:space="preserve">which are not subject to the trading obligations specified in Article 28 </w:t>
      </w:r>
      <w:r w:rsidR="002C785B">
        <w:t xml:space="preserve">and other financial instruments for which there is not a liquid </w:t>
      </w:r>
      <w:r w:rsidR="002C785B" w:rsidRPr="00943FC0">
        <w:t>market</w:t>
      </w:r>
      <w:r w:rsidR="002C785B" w:rsidRPr="00943FC0">
        <w:rPr>
          <w:i/>
          <w:iCs/>
        </w:rPr>
        <w:t xml:space="preserve"> </w:t>
      </w:r>
      <w:r w:rsidR="002C785B" w:rsidRPr="009315D9">
        <w:rPr>
          <w:i/>
          <w:iCs/>
          <w:u w:val="single"/>
        </w:rPr>
        <w:t xml:space="preserve">with the exception of derivatives listed on a regulated </w:t>
      </w:r>
      <w:r w:rsidR="001A46AC" w:rsidRPr="009315D9">
        <w:rPr>
          <w:i/>
          <w:iCs/>
          <w:u w:val="single"/>
        </w:rPr>
        <w:t>trading venue</w:t>
      </w:r>
      <w:r w:rsidR="002C785B" w:rsidRPr="004E64A6">
        <w:rPr>
          <w:i/>
          <w:iCs/>
        </w:rPr>
        <w:t xml:space="preserve">” </w:t>
      </w:r>
      <w:r w:rsidR="002C785B" w:rsidRPr="009315D9">
        <w:t>to support this change.</w:t>
      </w:r>
    </w:p>
    <w:p w14:paraId="70CF16D4" w14:textId="77777777" w:rsidR="002C785B" w:rsidRDefault="002C785B" w:rsidP="002C785B"/>
    <w:p w14:paraId="53ABA53F" w14:textId="77777777" w:rsidR="002C785B" w:rsidRPr="005A7430" w:rsidRDefault="002C785B" w:rsidP="002C785B">
      <w:pPr>
        <w:pStyle w:val="Default"/>
        <w:rPr>
          <w:rFonts w:ascii="Arial" w:hAnsi="Arial" w:cs="Arial"/>
          <w:color w:val="auto"/>
          <w:sz w:val="20"/>
          <w:szCs w:val="20"/>
          <w:lang w:val="en-GB"/>
        </w:rPr>
      </w:pPr>
      <w:r w:rsidRPr="00405CE1">
        <w:rPr>
          <w:rFonts w:ascii="Arial" w:hAnsi="Arial" w:cs="Arial"/>
          <w:sz w:val="20"/>
          <w:szCs w:val="20"/>
          <w:lang w:val="en-GB"/>
        </w:rPr>
        <w:t xml:space="preserve">In </w:t>
      </w:r>
      <w:r>
        <w:rPr>
          <w:rFonts w:ascii="Arial" w:hAnsi="Arial" w:cs="Arial"/>
          <w:sz w:val="20"/>
          <w:szCs w:val="20"/>
          <w:lang w:val="en-GB"/>
        </w:rPr>
        <w:t>addition,</w:t>
      </w:r>
      <w:r w:rsidRPr="00405CE1">
        <w:rPr>
          <w:rFonts w:ascii="Arial" w:hAnsi="Arial" w:cs="Arial"/>
          <w:sz w:val="20"/>
          <w:szCs w:val="20"/>
          <w:lang w:val="en-GB"/>
        </w:rPr>
        <w:t xml:space="preserve"> FIA EPTA members believe that LIS thresholds for exchange-traded derivatives should be raised where possible</w:t>
      </w:r>
      <w:r>
        <w:rPr>
          <w:rFonts w:ascii="Arial" w:hAnsi="Arial" w:cs="Arial"/>
          <w:sz w:val="20"/>
          <w:szCs w:val="20"/>
          <w:lang w:val="en-GB"/>
        </w:rPr>
        <w:t xml:space="preserve"> as further detailed in </w:t>
      </w:r>
      <w:r w:rsidR="00C650FD">
        <w:rPr>
          <w:rFonts w:ascii="Arial" w:hAnsi="Arial" w:cs="Arial"/>
          <w:sz w:val="20"/>
          <w:szCs w:val="20"/>
          <w:lang w:val="en-GB"/>
        </w:rPr>
        <w:t xml:space="preserve">our response to </w:t>
      </w:r>
      <w:r>
        <w:rPr>
          <w:rFonts w:ascii="Arial" w:hAnsi="Arial" w:cs="Arial"/>
          <w:sz w:val="20"/>
          <w:szCs w:val="20"/>
          <w:lang w:val="en-GB"/>
        </w:rPr>
        <w:t>Q</w:t>
      </w:r>
      <w:r w:rsidR="00C650FD">
        <w:rPr>
          <w:rFonts w:ascii="Arial" w:hAnsi="Arial" w:cs="Arial"/>
          <w:sz w:val="20"/>
          <w:szCs w:val="20"/>
          <w:lang w:val="en-GB"/>
        </w:rPr>
        <w:t xml:space="preserve">uestion </w:t>
      </w:r>
      <w:r>
        <w:rPr>
          <w:rFonts w:ascii="Arial" w:hAnsi="Arial" w:cs="Arial"/>
          <w:sz w:val="20"/>
          <w:szCs w:val="20"/>
          <w:lang w:val="en-GB"/>
        </w:rPr>
        <w:t>2</w:t>
      </w:r>
      <w:r w:rsidRPr="00405CE1">
        <w:rPr>
          <w:rFonts w:ascii="Arial" w:hAnsi="Arial" w:cs="Arial"/>
          <w:sz w:val="20"/>
          <w:szCs w:val="20"/>
          <w:lang w:val="en-GB"/>
        </w:rPr>
        <w:t>. Many market participants and tra</w:t>
      </w:r>
      <w:r>
        <w:rPr>
          <w:rFonts w:ascii="Arial" w:hAnsi="Arial" w:cs="Arial"/>
          <w:sz w:val="20"/>
          <w:szCs w:val="20"/>
          <w:lang w:val="en-GB"/>
        </w:rPr>
        <w:t xml:space="preserve">ding venues have found </w:t>
      </w:r>
      <w:r w:rsidRPr="00405CE1">
        <w:rPr>
          <w:rFonts w:ascii="Arial" w:hAnsi="Arial" w:cs="Arial"/>
          <w:sz w:val="20"/>
          <w:szCs w:val="20"/>
          <w:lang w:val="en-GB"/>
        </w:rPr>
        <w:t>ways to circumvent Ar</w:t>
      </w:r>
      <w:r>
        <w:rPr>
          <w:rFonts w:ascii="Arial" w:hAnsi="Arial" w:cs="Arial"/>
          <w:sz w:val="20"/>
          <w:szCs w:val="20"/>
          <w:lang w:val="en-GB"/>
        </w:rPr>
        <w:t xml:space="preserve">ticle 8 </w:t>
      </w:r>
      <w:proofErr w:type="spellStart"/>
      <w:r>
        <w:rPr>
          <w:rFonts w:ascii="Arial" w:hAnsi="Arial" w:cs="Arial"/>
          <w:sz w:val="20"/>
          <w:szCs w:val="20"/>
          <w:lang w:val="en-GB"/>
        </w:rPr>
        <w:t>MiFIR</w:t>
      </w:r>
      <w:proofErr w:type="spellEnd"/>
      <w:r>
        <w:rPr>
          <w:rFonts w:ascii="Arial" w:hAnsi="Arial" w:cs="Arial"/>
          <w:sz w:val="20"/>
          <w:szCs w:val="20"/>
          <w:lang w:val="en-GB"/>
        </w:rPr>
        <w:t xml:space="preserve"> requirements and</w:t>
      </w:r>
      <w:r w:rsidRPr="00405CE1">
        <w:rPr>
          <w:rFonts w:ascii="Arial" w:hAnsi="Arial" w:cs="Arial"/>
          <w:sz w:val="20"/>
          <w:szCs w:val="20"/>
          <w:lang w:val="en-GB"/>
        </w:rPr>
        <w:t xml:space="preserve"> market quality has suffer</w:t>
      </w:r>
      <w:r w:rsidR="00C650FD">
        <w:rPr>
          <w:rFonts w:ascii="Arial" w:hAnsi="Arial" w:cs="Arial"/>
          <w:sz w:val="20"/>
          <w:szCs w:val="20"/>
          <w:lang w:val="en-GB"/>
        </w:rPr>
        <w:t>ed</w:t>
      </w:r>
      <w:r w:rsidRPr="00405CE1">
        <w:rPr>
          <w:rFonts w:ascii="Arial" w:hAnsi="Arial" w:cs="Arial"/>
          <w:sz w:val="20"/>
          <w:szCs w:val="20"/>
          <w:lang w:val="en-GB"/>
        </w:rPr>
        <w:t xml:space="preserve"> as a result. In particular, </w:t>
      </w:r>
      <w:r w:rsidRPr="005A7430">
        <w:rPr>
          <w:rFonts w:ascii="Arial" w:hAnsi="Arial" w:cs="Arial"/>
          <w:color w:val="auto"/>
          <w:sz w:val="20"/>
          <w:szCs w:val="20"/>
          <w:lang w:val="en-GB"/>
        </w:rPr>
        <w:t>FIA EPTA members consider that an ADNA approach to calculating LIS thresholds is warranted for a wider range of interest rate derivatives including</w:t>
      </w:r>
      <w:r w:rsidR="00A534A4">
        <w:rPr>
          <w:rFonts w:ascii="Arial" w:hAnsi="Arial" w:cs="Arial"/>
          <w:color w:val="auto"/>
          <w:sz w:val="20"/>
          <w:szCs w:val="20"/>
          <w:lang w:val="en-GB"/>
        </w:rPr>
        <w:t>,</w:t>
      </w:r>
      <w:r w:rsidRPr="005A7430">
        <w:rPr>
          <w:rFonts w:ascii="Arial" w:hAnsi="Arial" w:cs="Arial"/>
          <w:color w:val="auto"/>
          <w:sz w:val="20"/>
          <w:szCs w:val="20"/>
          <w:lang w:val="en-GB"/>
        </w:rPr>
        <w:t xml:space="preserve"> at least</w:t>
      </w:r>
      <w:r w:rsidR="00A534A4">
        <w:rPr>
          <w:rFonts w:ascii="Arial" w:hAnsi="Arial" w:cs="Arial"/>
          <w:color w:val="auto"/>
          <w:sz w:val="20"/>
          <w:szCs w:val="20"/>
          <w:lang w:val="en-GB"/>
        </w:rPr>
        <w:t>,</w:t>
      </w:r>
      <w:r w:rsidRPr="005A7430">
        <w:rPr>
          <w:rFonts w:ascii="Arial" w:hAnsi="Arial" w:cs="Arial"/>
          <w:color w:val="auto"/>
          <w:sz w:val="20"/>
          <w:szCs w:val="20"/>
          <w:lang w:val="en-GB"/>
        </w:rPr>
        <w:t xml:space="preserve"> bond futures and options. Also, FIA EPTA members agree with classifying more instruments, in particular bonds and interest rate derivatives</w:t>
      </w:r>
      <w:r w:rsidR="00A534A4">
        <w:rPr>
          <w:rFonts w:ascii="Arial" w:hAnsi="Arial" w:cs="Arial"/>
          <w:color w:val="auto"/>
          <w:sz w:val="20"/>
          <w:szCs w:val="20"/>
          <w:lang w:val="en-GB"/>
        </w:rPr>
        <w:t>,</w:t>
      </w:r>
      <w:r w:rsidRPr="005A7430">
        <w:rPr>
          <w:rFonts w:ascii="Arial" w:hAnsi="Arial" w:cs="Arial"/>
          <w:color w:val="auto"/>
          <w:sz w:val="20"/>
          <w:szCs w:val="20"/>
          <w:lang w:val="en-GB"/>
        </w:rPr>
        <w:t xml:space="preserve"> as liquid in order to become subject to pre-trade transparency requirements. </w:t>
      </w:r>
    </w:p>
    <w:p w14:paraId="7AEF40D1" w14:textId="77777777" w:rsidR="002C785B" w:rsidRPr="005A7430" w:rsidRDefault="002C785B" w:rsidP="002C785B"/>
    <w:p w14:paraId="47969773" w14:textId="77777777" w:rsidR="00F115B7" w:rsidRDefault="00831B95" w:rsidP="00365077">
      <w:r>
        <w:t>By way of concluding summary</w:t>
      </w:r>
      <w:r w:rsidR="009A362A">
        <w:t>,</w:t>
      </w:r>
      <w:r w:rsidR="002264D2">
        <w:t xml:space="preserve"> </w:t>
      </w:r>
      <w:r w:rsidR="002C785B" w:rsidRPr="005A7430">
        <w:t>FIA EPTA members believe</w:t>
      </w:r>
      <w:r w:rsidR="00E65B90">
        <w:t xml:space="preserve"> </w:t>
      </w:r>
      <w:r w:rsidR="002264D2">
        <w:t xml:space="preserve">that the following </w:t>
      </w:r>
      <w:r w:rsidR="00F115B7">
        <w:t xml:space="preserve">three </w:t>
      </w:r>
      <w:r w:rsidR="002264D2">
        <w:t xml:space="preserve">concrete measures </w:t>
      </w:r>
      <w:r w:rsidR="00056C08">
        <w:t xml:space="preserve">to improve </w:t>
      </w:r>
      <w:r w:rsidR="006F3BFC">
        <w:t xml:space="preserve">non-equity </w:t>
      </w:r>
      <w:r w:rsidR="00056C08">
        <w:t xml:space="preserve">market transparency </w:t>
      </w:r>
      <w:r w:rsidR="002264D2">
        <w:t>would</w:t>
      </w:r>
      <w:r w:rsidR="006F3BFC">
        <w:t xml:space="preserve"> </w:t>
      </w:r>
      <w:r w:rsidR="00D75AB7">
        <w:t>most directly benefit end</w:t>
      </w:r>
      <w:r w:rsidR="008510E1">
        <w:t>-</w:t>
      </w:r>
      <w:r w:rsidR="00D75AB7">
        <w:t>investors:</w:t>
      </w:r>
      <w:r w:rsidR="00D111A3">
        <w:t xml:space="preserve"> </w:t>
      </w:r>
    </w:p>
    <w:p w14:paraId="773CE4A0" w14:textId="77777777" w:rsidR="00F115B7" w:rsidRDefault="00F115B7" w:rsidP="00B61F24">
      <w:pPr>
        <w:pStyle w:val="ListParagraph"/>
        <w:numPr>
          <w:ilvl w:val="0"/>
          <w:numId w:val="44"/>
        </w:numPr>
      </w:pPr>
      <w:r>
        <w:t>T</w:t>
      </w:r>
      <w:r w:rsidR="002264D2">
        <w:t xml:space="preserve">he universe of bonds deemed to be liquid needs to be rapidly and vastly expanded </w:t>
      </w:r>
      <w:r w:rsidR="00365077">
        <w:t xml:space="preserve">to capture sufficiently liquid bonds </w:t>
      </w:r>
      <w:r w:rsidR="002264D2">
        <w:t>(we give an example of how this might be achieved in our response to Q</w:t>
      </w:r>
      <w:r w:rsidR="003170A5">
        <w:t xml:space="preserve">uestion </w:t>
      </w:r>
      <w:r w:rsidR="002264D2">
        <w:t xml:space="preserve">25); </w:t>
      </w:r>
    </w:p>
    <w:p w14:paraId="761BC3C2" w14:textId="77777777" w:rsidR="00C755E8" w:rsidRDefault="00F115B7" w:rsidP="00B61F24">
      <w:pPr>
        <w:pStyle w:val="ListParagraph"/>
        <w:numPr>
          <w:ilvl w:val="0"/>
          <w:numId w:val="44"/>
        </w:numPr>
      </w:pPr>
      <w:r>
        <w:t>R</w:t>
      </w:r>
      <w:r w:rsidR="002264D2">
        <w:t>emoval of SSTI as a pre-trade waiver</w:t>
      </w:r>
      <w:r w:rsidR="003170A5">
        <w:t xml:space="preserve"> as</w:t>
      </w:r>
      <w:r w:rsidR="002264D2">
        <w:t xml:space="preserve"> this </w:t>
      </w:r>
      <w:r w:rsidR="00FF6701">
        <w:t xml:space="preserve">is an uncalled-for </w:t>
      </w:r>
      <w:r w:rsidR="002264D2">
        <w:t>waiver w</w:t>
      </w:r>
      <w:r w:rsidR="009D3D34">
        <w:t>ith no added benefits while causing</w:t>
      </w:r>
      <w:r w:rsidR="002264D2">
        <w:t xml:space="preserve"> complexity and further cloud</w:t>
      </w:r>
      <w:r w:rsidR="009D3D34">
        <w:t>ing</w:t>
      </w:r>
      <w:r w:rsidR="002264D2">
        <w:t xml:space="preserve"> the pre-trade transparency picture in fixed income;</w:t>
      </w:r>
      <w:r w:rsidR="000D1689">
        <w:t xml:space="preserve"> </w:t>
      </w:r>
    </w:p>
    <w:p w14:paraId="2231F093" w14:textId="77777777" w:rsidR="005C711D" w:rsidRDefault="00C755E8" w:rsidP="00B61F24">
      <w:pPr>
        <w:pStyle w:val="ListParagraph"/>
        <w:numPr>
          <w:ilvl w:val="0"/>
          <w:numId w:val="44"/>
        </w:numPr>
      </w:pPr>
      <w:r>
        <w:t>T</w:t>
      </w:r>
      <w:r w:rsidR="002264D2">
        <w:t xml:space="preserve">o deal with the market fragmentation in pre-trade transparency, we suggest that all </w:t>
      </w:r>
      <w:r w:rsidR="00943FC0">
        <w:t>below</w:t>
      </w:r>
      <w:r w:rsidR="002264D2">
        <w:t xml:space="preserve"> LIS trades move to</w:t>
      </w:r>
      <w:r w:rsidR="002C785B" w:rsidRPr="005A7430">
        <w:t xml:space="preserve"> multilateral </w:t>
      </w:r>
      <w:r w:rsidR="003170A5">
        <w:t>t</w:t>
      </w:r>
      <w:r w:rsidR="002264D2">
        <w:t xml:space="preserve">rading </w:t>
      </w:r>
      <w:r w:rsidR="003170A5">
        <w:t>v</w:t>
      </w:r>
      <w:r w:rsidR="002264D2">
        <w:t xml:space="preserve">enues </w:t>
      </w:r>
      <w:r w:rsidR="002E13C1">
        <w:t>and SIs</w:t>
      </w:r>
      <w:r w:rsidR="00D111A3">
        <w:t xml:space="preserve"> </w:t>
      </w:r>
      <w:r w:rsidR="002264D2">
        <w:t xml:space="preserve">which would improve meaningful pre and post trade transparency. </w:t>
      </w:r>
    </w:p>
    <w:p w14:paraId="70E6FE0F" w14:textId="77777777" w:rsidR="005C711D" w:rsidRDefault="005C711D" w:rsidP="00365077"/>
    <w:p w14:paraId="68AD6A4D" w14:textId="77777777" w:rsidR="002264D2" w:rsidRDefault="00C755E8">
      <w:r>
        <w:t>Jointly, these changes</w:t>
      </w:r>
      <w:r w:rsidR="002264D2">
        <w:t xml:space="preserve"> would also lead to m</w:t>
      </w:r>
      <w:r w:rsidR="002C785B" w:rsidRPr="005A7430">
        <w:t>ore competition</w:t>
      </w:r>
      <w:r w:rsidR="005C711D">
        <w:t>, better price formation,</w:t>
      </w:r>
      <w:r w:rsidR="002C785B" w:rsidRPr="005A7430">
        <w:t xml:space="preserve"> and </w:t>
      </w:r>
      <w:r w:rsidR="005C711D">
        <w:t xml:space="preserve">increased </w:t>
      </w:r>
      <w:r w:rsidR="002C785B" w:rsidRPr="005A7430">
        <w:t>liquidity provision by</w:t>
      </w:r>
      <w:r w:rsidR="00E65B90">
        <w:t xml:space="preserve"> our members (i.e.</w:t>
      </w:r>
      <w:r w:rsidR="002C785B" w:rsidRPr="005A7430">
        <w:t xml:space="preserve"> non-traditional electronic market makers</w:t>
      </w:r>
      <w:r w:rsidR="00E65B90">
        <w:t>)</w:t>
      </w:r>
      <w:r w:rsidR="00933558">
        <w:t xml:space="preserve">, as </w:t>
      </w:r>
      <w:r w:rsidR="005C711D">
        <w:t xml:space="preserve">also </w:t>
      </w:r>
      <w:r w:rsidR="00933558">
        <w:t xml:space="preserve">requested by </w:t>
      </w:r>
      <w:r w:rsidR="00B47D3B">
        <w:t xml:space="preserve">many </w:t>
      </w:r>
      <w:r w:rsidR="00933558">
        <w:t xml:space="preserve">buy-side </w:t>
      </w:r>
      <w:r w:rsidR="00B47D3B">
        <w:t xml:space="preserve">participants </w:t>
      </w:r>
      <w:r w:rsidR="00933558">
        <w:t xml:space="preserve">(given that </w:t>
      </w:r>
      <w:r w:rsidR="00BE545F">
        <w:t>incumbent</w:t>
      </w:r>
      <w:r w:rsidR="00933558">
        <w:t xml:space="preserve"> dealers have </w:t>
      </w:r>
      <w:r w:rsidR="009D3984">
        <w:t xml:space="preserve">needed </w:t>
      </w:r>
      <w:r w:rsidR="00933558">
        <w:t xml:space="preserve">to withdraw </w:t>
      </w:r>
      <w:r w:rsidR="009D3984">
        <w:t xml:space="preserve">their market making activities </w:t>
      </w:r>
      <w:r w:rsidR="00933558">
        <w:t xml:space="preserve">to more complex transactions </w:t>
      </w:r>
      <w:r w:rsidR="00A96BCF">
        <w:t>due to new</w:t>
      </w:r>
      <w:r w:rsidR="00933558">
        <w:t xml:space="preserve"> prudential and regulatory requirements)</w:t>
      </w:r>
      <w:r w:rsidR="00933558">
        <w:rPr>
          <w:rStyle w:val="FootnoteReference"/>
        </w:rPr>
        <w:footnoteReference w:id="2"/>
      </w:r>
      <w:r w:rsidR="002C785B" w:rsidRPr="005A7430">
        <w:t xml:space="preserve">. </w:t>
      </w:r>
    </w:p>
    <w:p w14:paraId="5FD3F8B1" w14:textId="77777777" w:rsidR="0020661F" w:rsidRDefault="0020661F" w:rsidP="002264D2"/>
    <w:p w14:paraId="61F88DA4" w14:textId="77777777" w:rsidR="0020661F" w:rsidRDefault="00D37666" w:rsidP="002264D2">
      <w:r>
        <w:t>In our view</w:t>
      </w:r>
      <w:r w:rsidR="0020661F">
        <w:t xml:space="preserve">, </w:t>
      </w:r>
      <w:r w:rsidR="00EB2EC7">
        <w:t>the</w:t>
      </w:r>
      <w:r w:rsidR="00FE674A">
        <w:t xml:space="preserve"> pre-trade transparency</w:t>
      </w:r>
      <w:r w:rsidR="00EB2EC7">
        <w:t xml:space="preserve"> regime</w:t>
      </w:r>
      <w:r w:rsidR="00FE674A">
        <w:t xml:space="preserve"> </w:t>
      </w:r>
      <w:r w:rsidR="003E3F20">
        <w:t>for</w:t>
      </w:r>
      <w:r w:rsidR="00FE674A">
        <w:t xml:space="preserve"> non-equities market</w:t>
      </w:r>
      <w:r w:rsidR="003E3F20">
        <w:t>s should consequently</w:t>
      </w:r>
      <w:r w:rsidR="00FE674A">
        <w:t xml:space="preserve"> evolve in the following manner</w:t>
      </w:r>
      <w:r w:rsidR="0020661F">
        <w:t xml:space="preserve"> </w:t>
      </w:r>
      <w:r w:rsidR="00FE674A">
        <w:t>(</w:t>
      </w:r>
      <w:r w:rsidR="0020661F">
        <w:t>by asset class</w:t>
      </w:r>
      <w:r w:rsidR="00FE674A">
        <w:t>)</w:t>
      </w:r>
      <w:r w:rsidR="00B049B9">
        <w:t>, as set out in Table 1 below</w:t>
      </w:r>
      <w:r w:rsidR="00FE674A">
        <w:t>:</w:t>
      </w:r>
    </w:p>
    <w:p w14:paraId="175EC9A3" w14:textId="77777777" w:rsidR="0020661F" w:rsidRDefault="0020661F" w:rsidP="002264D2"/>
    <w:p w14:paraId="2A6A2BC3" w14:textId="77777777" w:rsidR="00FA53F0" w:rsidRDefault="00FA53F0" w:rsidP="002264D2">
      <w:r>
        <w:t>Table 1</w:t>
      </w:r>
    </w:p>
    <w:tbl>
      <w:tblPr>
        <w:tblStyle w:val="TableGrid"/>
        <w:tblW w:w="0" w:type="auto"/>
        <w:tblLook w:val="04A0" w:firstRow="1" w:lastRow="0" w:firstColumn="1" w:lastColumn="0" w:noHBand="0" w:noVBand="1"/>
      </w:tblPr>
      <w:tblGrid>
        <w:gridCol w:w="1413"/>
        <w:gridCol w:w="2268"/>
        <w:gridCol w:w="2835"/>
        <w:gridCol w:w="2886"/>
      </w:tblGrid>
      <w:tr w:rsidR="00FE674A" w14:paraId="0CFAE13D" w14:textId="77777777" w:rsidTr="008C0434">
        <w:tc>
          <w:tcPr>
            <w:tcW w:w="1413" w:type="dxa"/>
          </w:tcPr>
          <w:p w14:paraId="461D9E7F" w14:textId="77777777" w:rsidR="0020661F" w:rsidRPr="008C0434" w:rsidRDefault="00FE674A" w:rsidP="002264D2">
            <w:pPr>
              <w:rPr>
                <w:b/>
              </w:rPr>
            </w:pPr>
            <w:r>
              <w:rPr>
                <w:b/>
              </w:rPr>
              <w:t xml:space="preserve">Pre-trade </w:t>
            </w:r>
            <w:r w:rsidRPr="00FE674A">
              <w:rPr>
                <w:b/>
              </w:rPr>
              <w:t>w</w:t>
            </w:r>
            <w:r w:rsidR="0020661F" w:rsidRPr="008C0434">
              <w:rPr>
                <w:b/>
              </w:rPr>
              <w:t>aiver type</w:t>
            </w:r>
          </w:p>
        </w:tc>
        <w:tc>
          <w:tcPr>
            <w:tcW w:w="2268" w:type="dxa"/>
          </w:tcPr>
          <w:p w14:paraId="795652FD" w14:textId="77777777" w:rsidR="0020661F" w:rsidRPr="008C0434" w:rsidRDefault="0020661F" w:rsidP="002264D2">
            <w:pPr>
              <w:rPr>
                <w:b/>
              </w:rPr>
            </w:pPr>
            <w:r>
              <w:rPr>
                <w:b/>
              </w:rPr>
              <w:t>Listed</w:t>
            </w:r>
            <w:r w:rsidRPr="008C0434">
              <w:rPr>
                <w:b/>
              </w:rPr>
              <w:t xml:space="preserve"> derivatives</w:t>
            </w:r>
          </w:p>
        </w:tc>
        <w:tc>
          <w:tcPr>
            <w:tcW w:w="2835" w:type="dxa"/>
          </w:tcPr>
          <w:p w14:paraId="7FBAA07A" w14:textId="77777777" w:rsidR="0020661F" w:rsidRPr="008C0434" w:rsidRDefault="0020661F" w:rsidP="002264D2">
            <w:pPr>
              <w:rPr>
                <w:b/>
              </w:rPr>
            </w:pPr>
            <w:r w:rsidRPr="008C0434">
              <w:rPr>
                <w:b/>
              </w:rPr>
              <w:t>OTC derivatives</w:t>
            </w:r>
          </w:p>
        </w:tc>
        <w:tc>
          <w:tcPr>
            <w:tcW w:w="2886" w:type="dxa"/>
          </w:tcPr>
          <w:p w14:paraId="35AB702B" w14:textId="77777777" w:rsidR="0020661F" w:rsidRPr="008C0434" w:rsidRDefault="0020661F" w:rsidP="002264D2">
            <w:pPr>
              <w:rPr>
                <w:b/>
              </w:rPr>
            </w:pPr>
            <w:r w:rsidRPr="008C0434">
              <w:rPr>
                <w:b/>
              </w:rPr>
              <w:t xml:space="preserve">Fixed Income </w:t>
            </w:r>
          </w:p>
        </w:tc>
      </w:tr>
      <w:tr w:rsidR="00FE674A" w14:paraId="1F24745D" w14:textId="77777777" w:rsidTr="008C0434">
        <w:tc>
          <w:tcPr>
            <w:tcW w:w="1413" w:type="dxa"/>
          </w:tcPr>
          <w:p w14:paraId="0F9F9CCE" w14:textId="77777777" w:rsidR="0020661F" w:rsidRDefault="0020661F" w:rsidP="002264D2">
            <w:r>
              <w:t>ILQ</w:t>
            </w:r>
          </w:p>
        </w:tc>
        <w:tc>
          <w:tcPr>
            <w:tcW w:w="2268" w:type="dxa"/>
          </w:tcPr>
          <w:p w14:paraId="794F54C9" w14:textId="77777777" w:rsidR="0020661F" w:rsidRDefault="00FE674A" w:rsidP="002264D2">
            <w:r>
              <w:t>No longer available</w:t>
            </w:r>
          </w:p>
        </w:tc>
        <w:tc>
          <w:tcPr>
            <w:tcW w:w="2835" w:type="dxa"/>
          </w:tcPr>
          <w:p w14:paraId="7374ADEF" w14:textId="77777777" w:rsidR="0020661F" w:rsidRDefault="0020661F" w:rsidP="002264D2">
            <w:r>
              <w:t>Reduced coverage</w:t>
            </w:r>
            <w:r w:rsidR="009D08C9">
              <w:t xml:space="preserve">          </w:t>
            </w:r>
            <w:proofErr w:type="gramStart"/>
            <w:r w:rsidR="009D08C9">
              <w:t xml:space="preserve">  </w:t>
            </w:r>
            <w:r w:rsidR="00270EAB">
              <w:t xml:space="preserve"> </w:t>
            </w:r>
            <w:r w:rsidRPr="008C0434">
              <w:rPr>
                <w:sz w:val="16"/>
                <w:szCs w:val="16"/>
              </w:rPr>
              <w:t>(</w:t>
            </w:r>
            <w:proofErr w:type="gramEnd"/>
            <w:r w:rsidRPr="008C0434">
              <w:rPr>
                <w:sz w:val="16"/>
                <w:szCs w:val="16"/>
              </w:rPr>
              <w:t>increased number of instruments deemed liquid</w:t>
            </w:r>
            <w:r>
              <w:t>)</w:t>
            </w:r>
          </w:p>
        </w:tc>
        <w:tc>
          <w:tcPr>
            <w:tcW w:w="2886" w:type="dxa"/>
          </w:tcPr>
          <w:p w14:paraId="5E41A109" w14:textId="77777777" w:rsidR="0020661F" w:rsidRDefault="0020661F" w:rsidP="002264D2">
            <w:r>
              <w:t>Reduced coverage</w:t>
            </w:r>
          </w:p>
          <w:p w14:paraId="16CBAFD0" w14:textId="77777777" w:rsidR="0020661F" w:rsidRDefault="0020661F" w:rsidP="002264D2">
            <w:r w:rsidRPr="006509D4">
              <w:rPr>
                <w:sz w:val="16"/>
                <w:szCs w:val="16"/>
              </w:rPr>
              <w:t>(increased number of instruments deemed liquid</w:t>
            </w:r>
            <w:r>
              <w:t>)</w:t>
            </w:r>
          </w:p>
        </w:tc>
      </w:tr>
      <w:tr w:rsidR="00FE674A" w14:paraId="4706FA5D" w14:textId="77777777" w:rsidTr="008C0434">
        <w:tc>
          <w:tcPr>
            <w:tcW w:w="1413" w:type="dxa"/>
          </w:tcPr>
          <w:p w14:paraId="5490D74B" w14:textId="77777777" w:rsidR="0020661F" w:rsidRDefault="0020661F" w:rsidP="002264D2">
            <w:r>
              <w:t xml:space="preserve">LIS </w:t>
            </w:r>
          </w:p>
        </w:tc>
        <w:tc>
          <w:tcPr>
            <w:tcW w:w="2268" w:type="dxa"/>
          </w:tcPr>
          <w:p w14:paraId="53A04B56" w14:textId="77777777" w:rsidR="0020661F" w:rsidRDefault="0020661F" w:rsidP="002264D2">
            <w:r>
              <w:t>Increased thresholds</w:t>
            </w:r>
          </w:p>
        </w:tc>
        <w:tc>
          <w:tcPr>
            <w:tcW w:w="2835" w:type="dxa"/>
          </w:tcPr>
          <w:p w14:paraId="4776FC15" w14:textId="77777777" w:rsidR="0020661F" w:rsidRDefault="00FE674A" w:rsidP="002264D2">
            <w:r>
              <w:t>All &lt; LIS on trading venues</w:t>
            </w:r>
          </w:p>
        </w:tc>
        <w:tc>
          <w:tcPr>
            <w:tcW w:w="2886" w:type="dxa"/>
          </w:tcPr>
          <w:p w14:paraId="3AB1834D" w14:textId="77777777" w:rsidR="0020661F" w:rsidRDefault="00FE674A" w:rsidP="002264D2">
            <w:r>
              <w:t>All &lt; LIS on trading venues</w:t>
            </w:r>
          </w:p>
        </w:tc>
      </w:tr>
      <w:tr w:rsidR="00FE674A" w14:paraId="4443C005" w14:textId="77777777" w:rsidTr="00FE674A">
        <w:tc>
          <w:tcPr>
            <w:tcW w:w="1413" w:type="dxa"/>
          </w:tcPr>
          <w:p w14:paraId="71BF9002" w14:textId="77777777" w:rsidR="0020661F" w:rsidRDefault="0020661F" w:rsidP="002264D2">
            <w:r>
              <w:t>SSTI</w:t>
            </w:r>
          </w:p>
        </w:tc>
        <w:tc>
          <w:tcPr>
            <w:tcW w:w="2268" w:type="dxa"/>
          </w:tcPr>
          <w:p w14:paraId="5D048ED7" w14:textId="77777777" w:rsidR="0020661F" w:rsidRDefault="0020661F" w:rsidP="002264D2">
            <w:r>
              <w:t>No longer available</w:t>
            </w:r>
          </w:p>
        </w:tc>
        <w:tc>
          <w:tcPr>
            <w:tcW w:w="2835" w:type="dxa"/>
          </w:tcPr>
          <w:p w14:paraId="12E8C086" w14:textId="77777777" w:rsidR="0020661F" w:rsidRDefault="0020661F" w:rsidP="002264D2">
            <w:r>
              <w:t>No longer available</w:t>
            </w:r>
          </w:p>
        </w:tc>
        <w:tc>
          <w:tcPr>
            <w:tcW w:w="2886" w:type="dxa"/>
          </w:tcPr>
          <w:p w14:paraId="062E962C" w14:textId="77777777" w:rsidR="0020661F" w:rsidRDefault="0020661F" w:rsidP="002264D2">
            <w:r>
              <w:t xml:space="preserve">No longer available </w:t>
            </w:r>
          </w:p>
        </w:tc>
      </w:tr>
    </w:tbl>
    <w:p w14:paraId="762A55D5" w14:textId="77777777" w:rsidR="008F05DC" w:rsidRDefault="008F05DC" w:rsidP="00E1229C"/>
    <w:p w14:paraId="512BBA4C" w14:textId="77777777" w:rsidR="00E1229C" w:rsidRDefault="00E1229C" w:rsidP="00E1229C">
      <w:r>
        <w:t>]</w:t>
      </w:r>
    </w:p>
    <w:p w14:paraId="58532169" w14:textId="461655D8" w:rsidR="002C785B" w:rsidRDefault="000D1689" w:rsidP="002C785B">
      <w:r>
        <w:t xml:space="preserve"> </w:t>
      </w:r>
      <w:r w:rsidR="002C785B">
        <w:t>&lt;ESMA_QUESTION_CP_MIFID_NQT_1&gt;</w:t>
      </w:r>
    </w:p>
    <w:p w14:paraId="08359AEE" w14:textId="77777777" w:rsidR="002C785B" w:rsidRDefault="002C785B" w:rsidP="002C785B"/>
    <w:p w14:paraId="0B855184" w14:textId="77777777" w:rsidR="002C785B" w:rsidRPr="00431DA4" w:rsidRDefault="002C785B" w:rsidP="008B438E">
      <w:pPr>
        <w:pStyle w:val="CPQuestions"/>
      </w:pPr>
      <w:r w:rsidRPr="007254DD">
        <w:lastRenderedPageBreak/>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1494D925" w14:textId="77777777" w:rsidR="002C785B" w:rsidRDefault="002C785B" w:rsidP="002C785B">
      <w:r>
        <w:t>&lt;ESMA_QUESTION_CP_MIFID_NQT_2&gt;</w:t>
      </w:r>
    </w:p>
    <w:p w14:paraId="2D5B3004" w14:textId="77777777" w:rsidR="0074318F" w:rsidRDefault="00E1229C" w:rsidP="002C785B">
      <w:r>
        <w:t>[</w:t>
      </w:r>
      <w:r w:rsidR="00D702FE">
        <w:t xml:space="preserve">In addition to the changes </w:t>
      </w:r>
      <w:r w:rsidR="004A3092">
        <w:t>recommended in</w:t>
      </w:r>
      <w:r w:rsidR="00D702FE">
        <w:t xml:space="preserve"> our response to Q</w:t>
      </w:r>
      <w:r w:rsidR="00FD61F2">
        <w:t xml:space="preserve">uestion </w:t>
      </w:r>
      <w:r w:rsidR="00D702FE">
        <w:t xml:space="preserve">1, </w:t>
      </w:r>
      <w:r w:rsidR="002C785B" w:rsidRPr="00E630BC">
        <w:t xml:space="preserve">FIA EPTA members would like to propose </w:t>
      </w:r>
      <w:r w:rsidR="00D702FE">
        <w:t>the following</w:t>
      </w:r>
      <w:r w:rsidR="002C785B" w:rsidRPr="00E630BC">
        <w:t xml:space="preserve"> change</w:t>
      </w:r>
      <w:r w:rsidR="002C785B">
        <w:t>s</w:t>
      </w:r>
      <w:r w:rsidR="00D702FE">
        <w:t xml:space="preserve"> (covered in detail below)</w:t>
      </w:r>
      <w:r w:rsidR="002C785B" w:rsidRPr="00E630BC">
        <w:t xml:space="preserve"> to improve the level of pre-trade transparency available</w:t>
      </w:r>
      <w:r w:rsidR="00D702FE">
        <w:t>:</w:t>
      </w:r>
    </w:p>
    <w:p w14:paraId="1E4DDF8C" w14:textId="77777777" w:rsidR="00C07455" w:rsidRDefault="00C07455" w:rsidP="00B61F24">
      <w:pPr>
        <w:pStyle w:val="ListParagraph"/>
        <w:numPr>
          <w:ilvl w:val="0"/>
          <w:numId w:val="42"/>
        </w:numPr>
      </w:pPr>
      <w:r>
        <w:t>Standardis</w:t>
      </w:r>
      <w:r w:rsidR="00FD61F2">
        <w:t>ing</w:t>
      </w:r>
      <w:r>
        <w:t xml:space="preserve"> the method of determining LIS thresholds for all non-equity instruments</w:t>
      </w:r>
      <w:r w:rsidR="00D702FE">
        <w:t>;</w:t>
      </w:r>
    </w:p>
    <w:p w14:paraId="2C85CC63" w14:textId="77777777" w:rsidR="0074318F" w:rsidRDefault="00C07455" w:rsidP="00B61F24">
      <w:pPr>
        <w:pStyle w:val="ListParagraph"/>
        <w:numPr>
          <w:ilvl w:val="0"/>
          <w:numId w:val="42"/>
        </w:numPr>
      </w:pPr>
      <w:r>
        <w:t>Accelerat</w:t>
      </w:r>
      <w:r w:rsidR="00FD61F2">
        <w:t>ing</w:t>
      </w:r>
      <w:r>
        <w:t xml:space="preserve"> the thresholds for bonds to S4</w:t>
      </w:r>
      <w:r w:rsidR="00D702FE">
        <w:t>;</w:t>
      </w:r>
    </w:p>
    <w:p w14:paraId="23FEB33B" w14:textId="77777777" w:rsidR="00C07455" w:rsidRDefault="00C07455" w:rsidP="00B61F24">
      <w:pPr>
        <w:pStyle w:val="ListParagraph"/>
        <w:numPr>
          <w:ilvl w:val="0"/>
          <w:numId w:val="42"/>
        </w:numPr>
      </w:pPr>
      <w:r>
        <w:t>Includ</w:t>
      </w:r>
      <w:r w:rsidR="00FD61F2">
        <w:t>ing</w:t>
      </w:r>
      <w:r>
        <w:t xml:space="preserve"> a trading volume component in the classification of bond liquidity</w:t>
      </w:r>
      <w:r w:rsidR="00D702FE">
        <w:t>;</w:t>
      </w:r>
    </w:p>
    <w:p w14:paraId="7D2E99EC" w14:textId="77777777" w:rsidR="00777CD3" w:rsidRDefault="00777CD3" w:rsidP="00B61F24">
      <w:pPr>
        <w:pStyle w:val="ListParagraph"/>
        <w:numPr>
          <w:ilvl w:val="0"/>
          <w:numId w:val="42"/>
        </w:numPr>
      </w:pPr>
      <w:r>
        <w:t xml:space="preserve">Removing </w:t>
      </w:r>
      <w:proofErr w:type="spellStart"/>
      <w:r>
        <w:t>ToTV</w:t>
      </w:r>
      <w:proofErr w:type="spellEnd"/>
      <w:r>
        <w:t>;</w:t>
      </w:r>
    </w:p>
    <w:p w14:paraId="7FD3FB7A" w14:textId="77777777" w:rsidR="00E470A9" w:rsidRDefault="00C07455" w:rsidP="00B61F24">
      <w:pPr>
        <w:pStyle w:val="ListParagraph"/>
        <w:numPr>
          <w:ilvl w:val="0"/>
          <w:numId w:val="42"/>
        </w:numPr>
      </w:pPr>
      <w:r>
        <w:t>Recalibrat</w:t>
      </w:r>
      <w:r w:rsidR="00FD61F2">
        <w:t>ing</w:t>
      </w:r>
      <w:r>
        <w:t xml:space="preserve"> the liquidity determinations</w:t>
      </w:r>
      <w:r w:rsidR="00270EAB">
        <w:t>;</w:t>
      </w:r>
      <w:r w:rsidR="00E470A9" w:rsidRPr="00E470A9">
        <w:t xml:space="preserve"> </w:t>
      </w:r>
    </w:p>
    <w:p w14:paraId="02636432" w14:textId="77777777" w:rsidR="00C07455" w:rsidRDefault="00E470A9" w:rsidP="00B61F24">
      <w:pPr>
        <w:pStyle w:val="ListParagraph"/>
        <w:numPr>
          <w:ilvl w:val="0"/>
          <w:numId w:val="42"/>
        </w:numPr>
      </w:pPr>
      <w:r>
        <w:t>Increasing the LIS thresholds for listed derivatives</w:t>
      </w:r>
      <w:r w:rsidR="00270EAB">
        <w:t>.</w:t>
      </w:r>
    </w:p>
    <w:p w14:paraId="3A0782CB" w14:textId="77777777" w:rsidR="002C785B" w:rsidRDefault="002C785B" w:rsidP="002C785B">
      <w:pPr>
        <w:rPr>
          <w:color w:val="FF0000"/>
        </w:rPr>
      </w:pPr>
    </w:p>
    <w:p w14:paraId="4D317B2B" w14:textId="77777777" w:rsidR="00E470A9" w:rsidRPr="00B316B4" w:rsidRDefault="00E470A9" w:rsidP="00B61F24">
      <w:pPr>
        <w:pStyle w:val="ListParagraph"/>
        <w:numPr>
          <w:ilvl w:val="0"/>
          <w:numId w:val="43"/>
        </w:numPr>
        <w:rPr>
          <w:b/>
        </w:rPr>
      </w:pPr>
      <w:r w:rsidRPr="00B316B4">
        <w:rPr>
          <w:b/>
        </w:rPr>
        <w:t>Standardis</w:t>
      </w:r>
      <w:r w:rsidR="00331D2F">
        <w:rPr>
          <w:b/>
        </w:rPr>
        <w:t>ing</w:t>
      </w:r>
      <w:r w:rsidRPr="00B316B4">
        <w:rPr>
          <w:b/>
        </w:rPr>
        <w:t xml:space="preserve"> the method of determining LIS thresholds </w:t>
      </w:r>
      <w:r w:rsidRPr="00B0159B">
        <w:rPr>
          <w:b/>
        </w:rPr>
        <w:t>for non-equity instruments</w:t>
      </w:r>
      <w:r w:rsidRPr="00B316B4">
        <w:rPr>
          <w:b/>
        </w:rPr>
        <w:t xml:space="preserve"> </w:t>
      </w:r>
    </w:p>
    <w:p w14:paraId="7E4EEDCB" w14:textId="77777777" w:rsidR="000E30A1" w:rsidRDefault="00E470A9" w:rsidP="00E470A9">
      <w:pPr>
        <w:ind w:left="709"/>
        <w:rPr>
          <w:szCs w:val="20"/>
        </w:rPr>
      </w:pPr>
      <w:r>
        <w:t xml:space="preserve">FIA </w:t>
      </w:r>
      <w:r w:rsidRPr="00F10015">
        <w:t>EPTA members believe that standardisation for derivatives as well as fixed income</w:t>
      </w:r>
      <w:r>
        <w:t xml:space="preserve"> instruments</w:t>
      </w:r>
      <w:r w:rsidRPr="00F10015">
        <w:t xml:space="preserve"> would </w:t>
      </w:r>
      <w:r>
        <w:t xml:space="preserve">make </w:t>
      </w:r>
      <w:r w:rsidRPr="00F10015">
        <w:t xml:space="preserve">them more tradable and comparable, removing unnecessary obscuring factors. </w:t>
      </w:r>
      <w:r>
        <w:t xml:space="preserve">For example, </w:t>
      </w:r>
      <w:r>
        <w:rPr>
          <w:szCs w:val="20"/>
        </w:rPr>
        <w:t>t</w:t>
      </w:r>
      <w:r w:rsidRPr="00F10015">
        <w:rPr>
          <w:szCs w:val="20"/>
        </w:rPr>
        <w:t xml:space="preserve">he model used for determining the LIS threshold value for fixed income options is substantially different to the approach taken for index and equity options. </w:t>
      </w:r>
    </w:p>
    <w:p w14:paraId="35058865" w14:textId="77777777" w:rsidR="000E30A1" w:rsidRDefault="000E30A1" w:rsidP="00E470A9">
      <w:pPr>
        <w:ind w:left="709"/>
        <w:rPr>
          <w:szCs w:val="20"/>
        </w:rPr>
      </w:pPr>
    </w:p>
    <w:p w14:paraId="304E6A14" w14:textId="77777777" w:rsidR="000E30A1" w:rsidRDefault="00BD3432" w:rsidP="00E470A9">
      <w:pPr>
        <w:ind w:left="709"/>
        <w:rPr>
          <w:szCs w:val="20"/>
        </w:rPr>
      </w:pPr>
      <w:r>
        <w:rPr>
          <w:szCs w:val="20"/>
        </w:rPr>
        <w:t>For derivatives, u</w:t>
      </w:r>
      <w:r w:rsidR="00E470A9" w:rsidRPr="00F10015">
        <w:rPr>
          <w:szCs w:val="20"/>
        </w:rPr>
        <w:t xml:space="preserve">sing the 70th percentile approach for fixed income options has almost the opposite effect to using the ADNA number for index and equity options. This discrepancy has created a current situation in the Bund and the Schatz options where the less liquid Schatz options have a </w:t>
      </w:r>
      <w:r w:rsidR="00E470A9" w:rsidRPr="00986E82">
        <w:rPr>
          <w:szCs w:val="20"/>
        </w:rPr>
        <w:t xml:space="preserve">LIS block trade size of 1250 lots, compared to 100 lots for Bund options which trade 225% more than </w:t>
      </w:r>
      <w:r w:rsidR="00E470A9" w:rsidRPr="00F10015">
        <w:rPr>
          <w:szCs w:val="20"/>
        </w:rPr>
        <w:t xml:space="preserve">Schatz options. </w:t>
      </w:r>
    </w:p>
    <w:p w14:paraId="4B483D82" w14:textId="77777777" w:rsidR="000E30A1" w:rsidRDefault="000E30A1" w:rsidP="00E470A9">
      <w:pPr>
        <w:ind w:left="709"/>
        <w:rPr>
          <w:szCs w:val="20"/>
        </w:rPr>
      </w:pPr>
    </w:p>
    <w:p w14:paraId="2D6C7F91" w14:textId="77777777" w:rsidR="000E30A1" w:rsidRDefault="00E470A9" w:rsidP="00E470A9">
      <w:pPr>
        <w:ind w:left="709"/>
        <w:rPr>
          <w:szCs w:val="20"/>
        </w:rPr>
      </w:pPr>
      <w:r w:rsidRPr="00F10015">
        <w:rPr>
          <w:szCs w:val="20"/>
        </w:rPr>
        <w:t xml:space="preserve">By using the percentile approach, products with an active order book will have a </w:t>
      </w:r>
      <w:r w:rsidRPr="00F10015">
        <w:rPr>
          <w:i/>
          <w:iCs/>
          <w:szCs w:val="20"/>
        </w:rPr>
        <w:t xml:space="preserve">lower </w:t>
      </w:r>
      <w:r w:rsidRPr="00F10015">
        <w:rPr>
          <w:szCs w:val="20"/>
        </w:rPr>
        <w:t>block trade threshold as a higher number of smaller trades get executed in the order book. Further, less liquid products tend to trade more off-order book in a larger trade size resulting in a larger LIS block trade threshold using the percentile approach. FIA EPTA members believe that the more active and liquid products should have a higher LIS threshold</w:t>
      </w:r>
      <w:r w:rsidR="00BD3432">
        <w:rPr>
          <w:szCs w:val="20"/>
        </w:rPr>
        <w:t xml:space="preserve"> for derivatives</w:t>
      </w:r>
      <w:r w:rsidRPr="00F10015">
        <w:rPr>
          <w:szCs w:val="20"/>
        </w:rPr>
        <w:t xml:space="preserve">. </w:t>
      </w:r>
    </w:p>
    <w:p w14:paraId="3666A143" w14:textId="77777777" w:rsidR="000E30A1" w:rsidRDefault="000E30A1" w:rsidP="00E470A9">
      <w:pPr>
        <w:ind w:left="709"/>
        <w:rPr>
          <w:szCs w:val="20"/>
        </w:rPr>
      </w:pPr>
    </w:p>
    <w:p w14:paraId="1A455B0A" w14:textId="77777777" w:rsidR="00E470A9" w:rsidRDefault="00E470A9" w:rsidP="00E470A9">
      <w:pPr>
        <w:ind w:left="709"/>
        <w:rPr>
          <w:szCs w:val="20"/>
        </w:rPr>
      </w:pPr>
      <w:r w:rsidRPr="00F10015">
        <w:rPr>
          <w:szCs w:val="20"/>
        </w:rPr>
        <w:t>It is FIA EPTA members’ opinion that the percentile approach does not reflect the market for these instruments and would value a review of the appropriateness of the 70th trade size percentile over the ADNA method for fixed income options, as in practice this method results in less transparency than intended with the introduction of MiFID II.</w:t>
      </w:r>
    </w:p>
    <w:p w14:paraId="71C23DFC" w14:textId="77777777" w:rsidR="00BD3432" w:rsidRDefault="00BD3432" w:rsidP="002B3C86">
      <w:pPr>
        <w:pStyle w:val="ListParagraph"/>
        <w:rPr>
          <w:szCs w:val="20"/>
        </w:rPr>
      </w:pPr>
    </w:p>
    <w:p w14:paraId="43D0E4F5" w14:textId="77777777" w:rsidR="00BD3432" w:rsidRPr="00F10015" w:rsidRDefault="00BD3432" w:rsidP="00E470A9">
      <w:pPr>
        <w:ind w:left="709"/>
        <w:rPr>
          <w:szCs w:val="20"/>
        </w:rPr>
      </w:pPr>
      <w:r>
        <w:rPr>
          <w:szCs w:val="20"/>
        </w:rPr>
        <w:t>For fixed income, given the large variety of instruments and differences in liquidity profile, a more granular/bespoke LIS determination would be recommended, distinguishing between type (sovereign, corporate, high-yield, convertible, covered etc.) and liquidity profile</w:t>
      </w:r>
      <w:r w:rsidR="00E4261D">
        <w:rPr>
          <w:szCs w:val="20"/>
        </w:rPr>
        <w:t>s</w:t>
      </w:r>
      <w:r w:rsidR="00C31948">
        <w:rPr>
          <w:szCs w:val="20"/>
        </w:rPr>
        <w:t xml:space="preserve"> – see under 3. below</w:t>
      </w:r>
      <w:r w:rsidR="00E4261D">
        <w:rPr>
          <w:szCs w:val="20"/>
        </w:rPr>
        <w:t>.</w:t>
      </w:r>
    </w:p>
    <w:p w14:paraId="3FEC60F2" w14:textId="77777777" w:rsidR="00E470A9" w:rsidRDefault="00E470A9" w:rsidP="00E470A9">
      <w:pPr>
        <w:pStyle w:val="ListParagraph"/>
      </w:pPr>
    </w:p>
    <w:p w14:paraId="6A500ADD" w14:textId="77777777" w:rsidR="00E470A9" w:rsidRPr="00F10015" w:rsidRDefault="00E470A9" w:rsidP="00B61F24">
      <w:pPr>
        <w:pStyle w:val="ListParagraph"/>
        <w:numPr>
          <w:ilvl w:val="0"/>
          <w:numId w:val="43"/>
        </w:numPr>
      </w:pPr>
      <w:r w:rsidRPr="00F10015">
        <w:rPr>
          <w:b/>
        </w:rPr>
        <w:t>Accelerat</w:t>
      </w:r>
      <w:r w:rsidR="00331D2F">
        <w:rPr>
          <w:b/>
        </w:rPr>
        <w:t>ing</w:t>
      </w:r>
      <w:r w:rsidRPr="00F10015">
        <w:rPr>
          <w:b/>
        </w:rPr>
        <w:t xml:space="preserve"> the thresholds in RTS 2 for bonds to S4</w:t>
      </w:r>
      <w:r w:rsidRPr="00F10015">
        <w:t xml:space="preserve"> </w:t>
      </w:r>
    </w:p>
    <w:p w14:paraId="1BBDB028" w14:textId="77777777" w:rsidR="00F66303" w:rsidRDefault="00E470A9" w:rsidP="00E470A9">
      <w:pPr>
        <w:pStyle w:val="ListParagraph"/>
      </w:pPr>
      <w:r>
        <w:t>FIA EPTA members believe that one of the key impediments to transparency in the fixed income markets is the determination of ‘liquid’ versus ‘illiquid’. As ESMA points out only a tiny fraction of bonds are determined to be ‘liquid’</w:t>
      </w:r>
      <w:r w:rsidR="000D5F77">
        <w:t xml:space="preserve"> while a much </w:t>
      </w:r>
      <w:r w:rsidR="00643F7F">
        <w:t>larger</w:t>
      </w:r>
      <w:r w:rsidR="000D5F77">
        <w:t xml:space="preserve"> number of bonds is included in relevant indices, which </w:t>
      </w:r>
      <w:r w:rsidR="00BD5DCE">
        <w:t>are</w:t>
      </w:r>
      <w:r w:rsidR="000D5F77">
        <w:t xml:space="preserve"> relevant for fixed income ETFs</w:t>
      </w:r>
      <w:r>
        <w:t xml:space="preserve">. This is a fundamental problem as pre-trade transparency for illiquid bonds is essentially non-existent. </w:t>
      </w:r>
    </w:p>
    <w:p w14:paraId="571BA946" w14:textId="77777777" w:rsidR="00F66303" w:rsidRDefault="00F66303" w:rsidP="00E470A9">
      <w:pPr>
        <w:pStyle w:val="ListParagraph"/>
      </w:pPr>
    </w:p>
    <w:p w14:paraId="5B39CBDA" w14:textId="77777777" w:rsidR="00E470A9" w:rsidRDefault="00E470A9" w:rsidP="00E470A9">
      <w:pPr>
        <w:pStyle w:val="ListParagraph"/>
      </w:pPr>
      <w:r>
        <w:t>FIA EPTA believe more bonds should be determined liquid and that the current methodology is not fit for purpose. We have set out more on this point in our response to Q</w:t>
      </w:r>
      <w:r w:rsidR="007E2C5D">
        <w:t xml:space="preserve">uestion </w:t>
      </w:r>
      <w:r>
        <w:t xml:space="preserve">25. But in any </w:t>
      </w:r>
      <w:r>
        <w:lastRenderedPageBreak/>
        <w:t>event s</w:t>
      </w:r>
      <w:r w:rsidRPr="00F10015">
        <w:t>hould the percentile phased approach for bond transparency be maintained, FIA EPTA members would advocate a move to the highest percentile level in an effort to capture at least 80% of the tradeable bond universe including leading indices (such as the Bloomberg Barclays indices for aggregate, corporate and high-yield bonds) as sufficiently liquid. FIA EPTA members believe real</w:t>
      </w:r>
      <w:r w:rsidR="00331D2F">
        <w:t>-</w:t>
      </w:r>
      <w:r w:rsidRPr="00F10015">
        <w:t xml:space="preserve"> time transparency is critical to an efficiently operating market and that ambitious steps should be taken to increase transparency to the greatest effect. </w:t>
      </w:r>
    </w:p>
    <w:p w14:paraId="534E59D6" w14:textId="77777777" w:rsidR="008510E1" w:rsidRDefault="008510E1" w:rsidP="00E470A9">
      <w:pPr>
        <w:pStyle w:val="ListParagraph"/>
      </w:pPr>
    </w:p>
    <w:p w14:paraId="7FD9594E" w14:textId="77777777" w:rsidR="00E470A9" w:rsidRDefault="00E470A9" w:rsidP="00E470A9">
      <w:pPr>
        <w:ind w:left="720"/>
      </w:pPr>
      <w:r>
        <w:t xml:space="preserve">In addition, </w:t>
      </w:r>
      <w:r w:rsidR="00D81296">
        <w:t xml:space="preserve">many bonds </w:t>
      </w:r>
      <w:r w:rsidR="000C73AB">
        <w:t xml:space="preserve">currently </w:t>
      </w:r>
      <w:r w:rsidR="00666A21">
        <w:t xml:space="preserve">have characteristics that preclude them to become highly liquid. Issue size </w:t>
      </w:r>
      <w:r w:rsidR="000C73AB">
        <w:t>is normally kept</w:t>
      </w:r>
      <w:r w:rsidR="00666A21">
        <w:t xml:space="preserve"> small</w:t>
      </w:r>
      <w:r w:rsidR="00330BB6">
        <w:t>.</w:t>
      </w:r>
      <w:r w:rsidR="00666A21">
        <w:t xml:space="preserve"> </w:t>
      </w:r>
      <w:r w:rsidR="00330BB6">
        <w:t>This</w:t>
      </w:r>
      <w:r w:rsidR="0041103C">
        <w:t xml:space="preserve"> </w:t>
      </w:r>
      <w:r w:rsidR="00666A21">
        <w:t>could be addressed by re-opening existing issuances as is more common in the US</w:t>
      </w:r>
      <w:r w:rsidR="00330BB6">
        <w:t>. T</w:t>
      </w:r>
      <w:r w:rsidR="00666A21">
        <w:t xml:space="preserve">erms and conditions differ across products, as do maturity and coupons. Of note, </w:t>
      </w:r>
      <w:r>
        <w:t>m</w:t>
      </w:r>
      <w:r w:rsidRPr="00F10015">
        <w:t>any instruments (even if affixed with an ISIN and a pro-forma listing) are non-tradable in practice: either because they are deposited with the ECB, or the registration is effectively a shelf while the bonds are kept on-book by dealers and others.</w:t>
      </w:r>
      <w:r w:rsidR="00666A21">
        <w:t xml:space="preserve"> In order to promote bond liquidity, standardisation and increasing issuance size </w:t>
      </w:r>
      <w:r w:rsidR="00881419">
        <w:t>should be targeted as this</w:t>
      </w:r>
      <w:r w:rsidR="000C73AB">
        <w:t xml:space="preserve"> would</w:t>
      </w:r>
      <w:r w:rsidR="00666A21">
        <w:t xml:space="preserve"> have a significant impact</w:t>
      </w:r>
      <w:r w:rsidR="0050168D">
        <w:t xml:space="preserve"> on</w:t>
      </w:r>
      <w:r w:rsidR="000C73AB">
        <w:t xml:space="preserve"> improving</w:t>
      </w:r>
      <w:r w:rsidR="0050168D">
        <w:t xml:space="preserve"> inherent </w:t>
      </w:r>
      <w:r w:rsidR="00155C11">
        <w:t>tradability and liquidity</w:t>
      </w:r>
      <w:r w:rsidR="00666A21">
        <w:t>.</w:t>
      </w:r>
    </w:p>
    <w:p w14:paraId="5043FB1F" w14:textId="77777777" w:rsidR="00E470A9" w:rsidRDefault="00E470A9" w:rsidP="002B3C86"/>
    <w:p w14:paraId="5B05C2C8" w14:textId="77777777" w:rsidR="00E470A9" w:rsidRDefault="00E470A9" w:rsidP="00B61F24">
      <w:pPr>
        <w:pStyle w:val="ListParagraph"/>
        <w:numPr>
          <w:ilvl w:val="0"/>
          <w:numId w:val="43"/>
        </w:numPr>
      </w:pPr>
      <w:r>
        <w:rPr>
          <w:b/>
        </w:rPr>
        <w:t>Includ</w:t>
      </w:r>
      <w:r w:rsidR="00331D2F">
        <w:rPr>
          <w:b/>
        </w:rPr>
        <w:t>ing</w:t>
      </w:r>
      <w:r>
        <w:rPr>
          <w:b/>
        </w:rPr>
        <w:t xml:space="preserve"> a trading volume component in the classification of bond liquidity</w:t>
      </w:r>
      <w:r w:rsidRPr="002B3C86">
        <w:rPr>
          <w:b/>
        </w:rPr>
        <w:t xml:space="preserve"> </w:t>
      </w:r>
    </w:p>
    <w:p w14:paraId="070E496D" w14:textId="77777777" w:rsidR="00E470A9" w:rsidRPr="00303873" w:rsidRDefault="00E470A9" w:rsidP="00E470A9">
      <w:pPr>
        <w:ind w:left="720"/>
      </w:pPr>
      <w:r w:rsidRPr="00303873">
        <w:t>For all relevant classes of bonds, we would welcome a table that clarifies whether an instrument is liquid, depending on average turnover and other factors included in RTS 2. A sensible threshold is reflected in RTS 2 although</w:t>
      </w:r>
      <w:r w:rsidRPr="006509D4">
        <w:t>, as per point 3 above,</w:t>
      </w:r>
      <w:r w:rsidRPr="00303873">
        <w:t xml:space="preserve"> we believe many more instruments should be deemed liquid than currently the case (i.e. use the determinants identified for phase 4 (S4)</w:t>
      </w:r>
      <w:r w:rsidR="008F1B39">
        <w:t>)</w:t>
      </w:r>
      <w:r w:rsidRPr="00303873">
        <w:t xml:space="preserve">. </w:t>
      </w:r>
    </w:p>
    <w:p w14:paraId="4A239B1C" w14:textId="77777777" w:rsidR="00E470A9" w:rsidRPr="006509D4" w:rsidRDefault="00E470A9" w:rsidP="00E470A9"/>
    <w:p w14:paraId="53026A12" w14:textId="77777777" w:rsidR="00E470A9" w:rsidRPr="006509D4" w:rsidRDefault="00E470A9" w:rsidP="00E470A9">
      <w:pPr>
        <w:ind w:left="720"/>
      </w:pPr>
      <w:r w:rsidRPr="006509D4">
        <w:t>Subsequently, a sensible threshold (per type of fixed income instrument and per liquidity band) should be designed for pre-trade and post-trade transparency and available waivers (LIS) and deferrals (for trading above LIS).</w:t>
      </w:r>
    </w:p>
    <w:p w14:paraId="1EAC19C5" w14:textId="77777777" w:rsidR="00E470A9" w:rsidRPr="006509D4" w:rsidRDefault="00E470A9" w:rsidP="00E470A9"/>
    <w:p w14:paraId="4B655D41" w14:textId="77777777" w:rsidR="00E470A9" w:rsidRPr="00AC0933" w:rsidRDefault="00E470A9" w:rsidP="00E470A9">
      <w:pPr>
        <w:pStyle w:val="Default"/>
        <w:spacing w:after="253"/>
        <w:ind w:left="720"/>
        <w:rPr>
          <w:rFonts w:cs="Arial"/>
          <w:szCs w:val="20"/>
        </w:rPr>
      </w:pPr>
      <w:r w:rsidRPr="006509D4">
        <w:rPr>
          <w:rFonts w:ascii="Arial" w:hAnsi="Arial" w:cs="Arial"/>
          <w:sz w:val="20"/>
          <w:szCs w:val="20"/>
          <w:lang w:val="en-GB"/>
        </w:rPr>
        <w:t>We suggest incorporating a trading volume component into the pre-trade thresholds in order to ensure that a minimum amount of total trading activity (by notional) is subject to pre-trade transparency.</w:t>
      </w:r>
      <w:r>
        <w:rPr>
          <w:rFonts w:ascii="Arial" w:hAnsi="Arial" w:cs="Arial"/>
          <w:sz w:val="20"/>
          <w:szCs w:val="20"/>
          <w:lang w:val="en-GB"/>
        </w:rPr>
        <w:t xml:space="preserve"> </w:t>
      </w:r>
      <w:r w:rsidRPr="006509D4">
        <w:rPr>
          <w:rFonts w:ascii="Arial" w:hAnsi="Arial" w:cs="Arial"/>
          <w:sz w:val="20"/>
          <w:szCs w:val="20"/>
          <w:lang w:val="en-GB"/>
        </w:rPr>
        <w:t>As this level should be lower than the corresponding levels for post-trade transparency, we suggest that the pre-trade LIS threshold for each sub-class should be the greater of (a) the 60th percentile by trade count and (b) the 50th percentile by volume. At the moment, excluding 40% of trades could easily exclude over 75% of trading volume (by notional).</w:t>
      </w:r>
      <w:r>
        <w:rPr>
          <w:rFonts w:ascii="Arial" w:hAnsi="Arial" w:cs="Arial"/>
          <w:sz w:val="20"/>
          <w:szCs w:val="20"/>
          <w:lang w:val="en-GB"/>
        </w:rPr>
        <w:t xml:space="preserve"> </w:t>
      </w:r>
    </w:p>
    <w:p w14:paraId="0AB7536B" w14:textId="77777777" w:rsidR="00EA65BB" w:rsidRDefault="00C64F13" w:rsidP="00B61F24">
      <w:pPr>
        <w:pStyle w:val="ListParagraph"/>
        <w:numPr>
          <w:ilvl w:val="0"/>
          <w:numId w:val="43"/>
        </w:numPr>
      </w:pPr>
      <w:r w:rsidRPr="00EA65BB">
        <w:rPr>
          <w:b/>
        </w:rPr>
        <w:t>Remov</w:t>
      </w:r>
      <w:r w:rsidR="00480D8D">
        <w:rPr>
          <w:b/>
        </w:rPr>
        <w:t>ing</w:t>
      </w:r>
      <w:r w:rsidRPr="00EA65BB">
        <w:rPr>
          <w:b/>
        </w:rPr>
        <w:t xml:space="preserve"> </w:t>
      </w:r>
      <w:proofErr w:type="spellStart"/>
      <w:r w:rsidRPr="00EA65BB">
        <w:rPr>
          <w:b/>
        </w:rPr>
        <w:t>ToTV</w:t>
      </w:r>
      <w:proofErr w:type="spellEnd"/>
    </w:p>
    <w:p w14:paraId="3607EA51" w14:textId="77777777" w:rsidR="00C64F13" w:rsidRPr="007548CC" w:rsidRDefault="00C64F13" w:rsidP="00EA65BB">
      <w:pPr>
        <w:pStyle w:val="ListParagraph"/>
      </w:pPr>
      <w:r w:rsidRPr="00323690">
        <w:t>At the moment, ~95% of OTC derivatives are completely excluded from the M</w:t>
      </w:r>
      <w:r w:rsidR="00FF2EB1" w:rsidRPr="00323690">
        <w:t>i</w:t>
      </w:r>
      <w:r w:rsidRPr="00323690">
        <w:t xml:space="preserve">FID II transparency framework due to not being considered </w:t>
      </w:r>
      <w:proofErr w:type="spellStart"/>
      <w:r w:rsidRPr="00323690">
        <w:t>ToTV</w:t>
      </w:r>
      <w:proofErr w:type="spellEnd"/>
      <w:r w:rsidRPr="00323690">
        <w:t xml:space="preserve">, even though in </w:t>
      </w:r>
      <w:r w:rsidRPr="00943344">
        <w:t>many cases the instruments are extremely similar to instruments listed on regulated trading venues.</w:t>
      </w:r>
      <w:r w:rsidR="00CF01EE" w:rsidRPr="00943344">
        <w:t xml:space="preserve"> </w:t>
      </w:r>
      <w:r w:rsidRPr="00943344">
        <w:t>In</w:t>
      </w:r>
      <w:r w:rsidR="00323690" w:rsidRPr="00943344">
        <w:t xml:space="preserve"> relation to pre-trade transparency for non-equity SIs, in</w:t>
      </w:r>
      <w:r w:rsidRPr="00943344">
        <w:t xml:space="preserve">stead of seeking to redefine </w:t>
      </w:r>
      <w:proofErr w:type="spellStart"/>
      <w:r w:rsidRPr="00943344">
        <w:t>ToTV</w:t>
      </w:r>
      <w:proofErr w:type="spellEnd"/>
      <w:r w:rsidRPr="00943344">
        <w:t>, it should be removed in order to ensure a level playing field between on-venue and off-venue trading</w:t>
      </w:r>
      <w:r w:rsidRPr="00323690">
        <w:t xml:space="preserve"> activity.</w:t>
      </w:r>
    </w:p>
    <w:p w14:paraId="68B4F2F9" w14:textId="77777777" w:rsidR="00C64F13" w:rsidRPr="00892BCB" w:rsidRDefault="00C64F13" w:rsidP="00892BCB">
      <w:pPr>
        <w:pStyle w:val="ListParagraph"/>
      </w:pPr>
    </w:p>
    <w:p w14:paraId="00DA3A97" w14:textId="77777777" w:rsidR="00E470A9" w:rsidRDefault="00E470A9" w:rsidP="00B61F24">
      <w:pPr>
        <w:pStyle w:val="ListParagraph"/>
        <w:numPr>
          <w:ilvl w:val="0"/>
          <w:numId w:val="43"/>
        </w:numPr>
      </w:pPr>
      <w:r w:rsidRPr="00F80F11">
        <w:rPr>
          <w:b/>
        </w:rPr>
        <w:t>Recalibrat</w:t>
      </w:r>
      <w:r w:rsidR="00480D8D">
        <w:rPr>
          <w:b/>
        </w:rPr>
        <w:t>ing</w:t>
      </w:r>
      <w:r w:rsidRPr="00F80F11">
        <w:rPr>
          <w:b/>
        </w:rPr>
        <w:t xml:space="preserve"> the liquidity determinations</w:t>
      </w:r>
      <w:r>
        <w:t xml:space="preserve"> </w:t>
      </w:r>
    </w:p>
    <w:p w14:paraId="4F065732" w14:textId="77777777" w:rsidR="00E470A9" w:rsidRDefault="00E470A9" w:rsidP="00E470A9">
      <w:pPr>
        <w:pStyle w:val="ListParagraph"/>
      </w:pPr>
      <w:r w:rsidRPr="0022111A">
        <w:t xml:space="preserve">Data quality issues, a lack of comprehensive data due to </w:t>
      </w:r>
      <w:proofErr w:type="spellStart"/>
      <w:r w:rsidRPr="0022111A">
        <w:t>ToTV</w:t>
      </w:r>
      <w:proofErr w:type="spellEnd"/>
      <w:r w:rsidRPr="0022111A">
        <w:t>, the potential loss of data related to UK trading venues and SIs, and mis</w:t>
      </w:r>
      <w:r>
        <w:t>-</w:t>
      </w:r>
      <w:r w:rsidRPr="0022111A">
        <w:t>calibrated liquidity criteria have all combined to create a situation where the liquidity assessments by ESMA do not accurately reflect market conditions.</w:t>
      </w:r>
      <w:r>
        <w:t xml:space="preserve"> </w:t>
      </w:r>
      <w:r w:rsidRPr="0022111A">
        <w:t>Far too many non-equities</w:t>
      </w:r>
      <w:r w:rsidR="008F1B39">
        <w:t xml:space="preserve"> instruments</w:t>
      </w:r>
      <w:r w:rsidRPr="0022111A">
        <w:t xml:space="preserve"> are considered to be illiquid for transparency purposes.</w:t>
      </w:r>
      <w:r>
        <w:t xml:space="preserve"> </w:t>
      </w:r>
      <w:r w:rsidRPr="0022111A">
        <w:t>ESMA must either recalibrate the thresholds and add qualitative criteria (such as ensuring OTC derivatives subject to the EMIR clearing obligation are always considered liquid for transparency) or remove waivers and deferrals that directly depend on a</w:t>
      </w:r>
      <w:r w:rsidRPr="00592889">
        <w:t xml:space="preserve"> liquidity assessment.</w:t>
      </w:r>
      <w:r>
        <w:t xml:space="preserve"> </w:t>
      </w:r>
    </w:p>
    <w:p w14:paraId="414BF6AD" w14:textId="77777777" w:rsidR="00E470A9" w:rsidRDefault="00E470A9" w:rsidP="008C0434">
      <w:pPr>
        <w:pStyle w:val="ListParagraph"/>
        <w:rPr>
          <w:b/>
        </w:rPr>
      </w:pPr>
    </w:p>
    <w:p w14:paraId="1A43242A" w14:textId="77777777" w:rsidR="002C785B" w:rsidRPr="00986E82" w:rsidRDefault="002C785B" w:rsidP="00B61F24">
      <w:pPr>
        <w:pStyle w:val="ListParagraph"/>
        <w:numPr>
          <w:ilvl w:val="0"/>
          <w:numId w:val="43"/>
        </w:numPr>
        <w:rPr>
          <w:b/>
        </w:rPr>
      </w:pPr>
      <w:r w:rsidRPr="0044533C">
        <w:rPr>
          <w:b/>
        </w:rPr>
        <w:t>Increas</w:t>
      </w:r>
      <w:r w:rsidR="00FD61F2">
        <w:rPr>
          <w:b/>
        </w:rPr>
        <w:t>ing</w:t>
      </w:r>
      <w:r w:rsidRPr="0044533C">
        <w:rPr>
          <w:b/>
        </w:rPr>
        <w:t xml:space="preserve"> LIS thresholds</w:t>
      </w:r>
      <w:r>
        <w:rPr>
          <w:b/>
        </w:rPr>
        <w:t xml:space="preserve"> for </w:t>
      </w:r>
      <w:r w:rsidR="00593F56">
        <w:rPr>
          <w:b/>
        </w:rPr>
        <w:t xml:space="preserve">listed </w:t>
      </w:r>
      <w:r>
        <w:rPr>
          <w:b/>
        </w:rPr>
        <w:t>derivatives</w:t>
      </w:r>
      <w:r w:rsidRPr="0044533C">
        <w:rPr>
          <w:b/>
        </w:rPr>
        <w:t xml:space="preserve"> to more appropriate levels by using data provided by regulated markets </w:t>
      </w:r>
    </w:p>
    <w:p w14:paraId="1CCF2684" w14:textId="77777777" w:rsidR="002C785B" w:rsidRDefault="002C785B" w:rsidP="002C785B">
      <w:pPr>
        <w:pStyle w:val="ListParagraph"/>
      </w:pPr>
      <w:r>
        <w:t xml:space="preserve">It is FIA EPTA members’ view that broadly speaking the LIS thresholds </w:t>
      </w:r>
      <w:r w:rsidR="008F1B39">
        <w:t>for listed derivatives</w:t>
      </w:r>
      <w:r>
        <w:t xml:space="preserve"> are too low and do not accurately reflect the liquidity present in the market. </w:t>
      </w:r>
      <w:r w:rsidR="0032244E">
        <w:t xml:space="preserve">In this regard, we refer to </w:t>
      </w:r>
      <w:r w:rsidR="008520DE">
        <w:t>our analysis presented in T</w:t>
      </w:r>
      <w:r>
        <w:t xml:space="preserve">able </w:t>
      </w:r>
      <w:r w:rsidR="00B049B9">
        <w:t>2</w:t>
      </w:r>
      <w:r>
        <w:t xml:space="preserve"> below which </w:t>
      </w:r>
      <w:r w:rsidR="008520DE">
        <w:t xml:space="preserve">provides </w:t>
      </w:r>
      <w:r>
        <w:t xml:space="preserve">an aggregated </w:t>
      </w:r>
      <w:r w:rsidR="008520DE">
        <w:t xml:space="preserve">summary </w:t>
      </w:r>
      <w:proofErr w:type="gramStart"/>
      <w:r>
        <w:t>of</w:t>
      </w:r>
      <w:r w:rsidR="009D08C9">
        <w:t xml:space="preserve">  </w:t>
      </w:r>
      <w:r>
        <w:t>all</w:t>
      </w:r>
      <w:proofErr w:type="gramEnd"/>
      <w:r>
        <w:t xml:space="preserve"> </w:t>
      </w:r>
      <w:r w:rsidR="00950882">
        <w:t>equity</w:t>
      </w:r>
      <w:r>
        <w:t xml:space="preserve"> options </w:t>
      </w:r>
      <w:r w:rsidR="00950882">
        <w:t xml:space="preserve">traded on EU </w:t>
      </w:r>
      <w:r>
        <w:t>orderbook</w:t>
      </w:r>
      <w:r w:rsidR="00950882">
        <w:t>s</w:t>
      </w:r>
      <w:r>
        <w:t xml:space="preserve"> from Jan</w:t>
      </w:r>
      <w:r w:rsidR="00950882">
        <w:t>uary</w:t>
      </w:r>
      <w:r>
        <w:t xml:space="preserve"> 2018 to Dec</w:t>
      </w:r>
      <w:r w:rsidR="00950882">
        <w:t>ember</w:t>
      </w:r>
      <w:r>
        <w:t xml:space="preserve"> 2019)</w:t>
      </w:r>
      <w:r w:rsidR="00950882">
        <w:t xml:space="preserve">. From this </w:t>
      </w:r>
      <w:r w:rsidR="000F002A">
        <w:t>table</w:t>
      </w:r>
      <w:r>
        <w:t xml:space="preserve"> it is clear </w:t>
      </w:r>
      <w:r>
        <w:lastRenderedPageBreak/>
        <w:t>that the LIS thresholds are sub-optimal for stock options</w:t>
      </w:r>
      <w:r w:rsidR="000F002A">
        <w:t>, as</w:t>
      </w:r>
      <w:r>
        <w:t xml:space="preserve"> 56% of orderbook trades in stock options with a notional value below €5 million are above the ESMA LIS level and 15% for the next ADNA tier.</w:t>
      </w:r>
    </w:p>
    <w:p w14:paraId="520565D3" w14:textId="77777777" w:rsidR="002C785B" w:rsidRPr="00CA45B9" w:rsidRDefault="002C785B" w:rsidP="002C785B">
      <w:pPr>
        <w:pStyle w:val="ListParagraph"/>
      </w:pPr>
    </w:p>
    <w:p w14:paraId="3420419F" w14:textId="77777777" w:rsidR="002C785B" w:rsidRPr="00B049B9" w:rsidRDefault="002C785B" w:rsidP="002C785B">
      <w:pPr>
        <w:ind w:firstLine="709"/>
        <w:rPr>
          <w:bCs/>
        </w:rPr>
      </w:pPr>
      <w:r w:rsidRPr="00B049B9">
        <w:rPr>
          <w:bCs/>
        </w:rPr>
        <w:t xml:space="preserve">Table </w:t>
      </w:r>
      <w:r w:rsidR="00B049B9" w:rsidRPr="00B049B9">
        <w:rPr>
          <w:bCs/>
        </w:rPr>
        <w:t>2</w:t>
      </w:r>
    </w:p>
    <w:tbl>
      <w:tblPr>
        <w:tblW w:w="8647" w:type="dxa"/>
        <w:tblInd w:w="699" w:type="dxa"/>
        <w:tblCellMar>
          <w:left w:w="0" w:type="dxa"/>
          <w:right w:w="0" w:type="dxa"/>
        </w:tblCellMar>
        <w:tblLook w:val="04A0" w:firstRow="1" w:lastRow="0" w:firstColumn="1" w:lastColumn="0" w:noHBand="0" w:noVBand="1"/>
      </w:tblPr>
      <w:tblGrid>
        <w:gridCol w:w="1418"/>
        <w:gridCol w:w="2001"/>
        <w:gridCol w:w="1542"/>
        <w:gridCol w:w="1843"/>
        <w:gridCol w:w="1843"/>
      </w:tblGrid>
      <w:tr w:rsidR="002C785B" w:rsidRPr="00CA45B9" w14:paraId="2B3D2749" w14:textId="77777777" w:rsidTr="003B1A5A">
        <w:trPr>
          <w:trHeight w:val="263"/>
        </w:trPr>
        <w:tc>
          <w:tcPr>
            <w:tcW w:w="14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822ECD" w14:textId="77777777" w:rsidR="002C785B" w:rsidRPr="00CA45B9" w:rsidRDefault="002C785B" w:rsidP="005000BC">
            <w:pPr>
              <w:rPr>
                <w:color w:val="000000"/>
                <w:sz w:val="16"/>
                <w:szCs w:val="16"/>
                <w:lang w:eastAsia="en-IE"/>
              </w:rPr>
            </w:pPr>
            <w:r w:rsidRPr="00CA45B9">
              <w:rPr>
                <w:color w:val="000000"/>
                <w:sz w:val="16"/>
                <w:szCs w:val="16"/>
                <w:lang w:eastAsia="en-IE"/>
              </w:rPr>
              <w:t> </w:t>
            </w:r>
          </w:p>
        </w:tc>
        <w:tc>
          <w:tcPr>
            <w:tcW w:w="200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4A5799" w14:textId="77777777" w:rsidR="002C785B" w:rsidRPr="003B1A5A" w:rsidRDefault="002C785B" w:rsidP="005000BC">
            <w:pPr>
              <w:rPr>
                <w:b/>
                <w:color w:val="000000"/>
                <w:sz w:val="16"/>
              </w:rPr>
            </w:pPr>
            <w:r w:rsidRPr="003B1A5A">
              <w:rPr>
                <w:b/>
                <w:color w:val="000000"/>
                <w:sz w:val="16"/>
              </w:rPr>
              <w:t>ADNA upper threshold</w:t>
            </w:r>
          </w:p>
        </w:tc>
        <w:tc>
          <w:tcPr>
            <w:tcW w:w="15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0F5C5A" w14:textId="77777777" w:rsidR="002C785B" w:rsidRPr="003B1A5A" w:rsidRDefault="002C785B" w:rsidP="005000BC">
            <w:pPr>
              <w:rPr>
                <w:b/>
                <w:color w:val="000000"/>
                <w:sz w:val="16"/>
              </w:rPr>
            </w:pPr>
            <w:r w:rsidRPr="003B1A5A">
              <w:rPr>
                <w:b/>
                <w:color w:val="000000"/>
                <w:sz w:val="16"/>
              </w:rPr>
              <w:t>Current ESMA LIS</w:t>
            </w:r>
          </w:p>
        </w:tc>
        <w:tc>
          <w:tcPr>
            <w:tcW w:w="18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56C562" w14:textId="77777777" w:rsidR="002C785B" w:rsidRPr="003B1A5A" w:rsidRDefault="002C785B" w:rsidP="005000BC">
            <w:pPr>
              <w:rPr>
                <w:b/>
                <w:color w:val="000000"/>
                <w:sz w:val="16"/>
              </w:rPr>
            </w:pPr>
            <w:r w:rsidRPr="003B1A5A">
              <w:rPr>
                <w:b/>
                <w:color w:val="000000"/>
                <w:sz w:val="16"/>
              </w:rPr>
              <w:t>UNDER ESMA Level</w:t>
            </w:r>
          </w:p>
        </w:tc>
        <w:tc>
          <w:tcPr>
            <w:tcW w:w="18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DF0E86" w14:textId="77777777" w:rsidR="002C785B" w:rsidRPr="003B1A5A" w:rsidRDefault="002C785B" w:rsidP="005000BC">
            <w:pPr>
              <w:rPr>
                <w:b/>
                <w:color w:val="000000"/>
                <w:sz w:val="16"/>
              </w:rPr>
            </w:pPr>
            <w:r w:rsidRPr="003B1A5A">
              <w:rPr>
                <w:b/>
                <w:color w:val="000000"/>
                <w:sz w:val="16"/>
              </w:rPr>
              <w:t>OVER ESMA Level</w:t>
            </w:r>
          </w:p>
        </w:tc>
      </w:tr>
      <w:tr w:rsidR="002C785B" w:rsidRPr="00CA45B9" w14:paraId="2B9013CF" w14:textId="77777777" w:rsidTr="003B1A5A">
        <w:trPr>
          <w:trHeight w:val="263"/>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18F80E" w14:textId="77777777" w:rsidR="002C785B" w:rsidRPr="003B1A5A" w:rsidRDefault="00071E41" w:rsidP="005000BC">
            <w:pPr>
              <w:rPr>
                <w:b/>
                <w:color w:val="000000"/>
                <w:sz w:val="16"/>
              </w:rPr>
            </w:pPr>
            <w:r w:rsidRPr="003B1A5A">
              <w:rPr>
                <w:b/>
                <w:color w:val="000000"/>
                <w:sz w:val="16"/>
              </w:rPr>
              <w:t xml:space="preserve">Equity </w:t>
            </w:r>
            <w:r w:rsidR="002C785B" w:rsidRPr="003B1A5A">
              <w:rPr>
                <w:b/>
                <w:color w:val="000000"/>
                <w:sz w:val="16"/>
              </w:rPr>
              <w:t>options</w:t>
            </w:r>
          </w:p>
        </w:tc>
        <w:tc>
          <w:tcPr>
            <w:tcW w:w="20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11771" w14:textId="77777777" w:rsidR="002C785B" w:rsidRPr="00CA45B9" w:rsidRDefault="002C785B" w:rsidP="005000BC">
            <w:pPr>
              <w:rPr>
                <w:color w:val="000000"/>
                <w:sz w:val="16"/>
                <w:szCs w:val="16"/>
                <w:lang w:eastAsia="en-IE"/>
              </w:rPr>
            </w:pPr>
            <w:r w:rsidRPr="00CA45B9">
              <w:rPr>
                <w:color w:val="000000"/>
                <w:sz w:val="16"/>
                <w:szCs w:val="16"/>
                <w:lang w:eastAsia="en-IE"/>
              </w:rPr>
              <w:t>&lt; € 5 mil</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1D022C" w14:textId="77777777" w:rsidR="002C785B" w:rsidRPr="00CA45B9" w:rsidRDefault="002C785B" w:rsidP="005000BC">
            <w:pPr>
              <w:jc w:val="right"/>
              <w:rPr>
                <w:color w:val="000000"/>
                <w:sz w:val="16"/>
                <w:szCs w:val="16"/>
                <w:lang w:eastAsia="en-IE"/>
              </w:rPr>
            </w:pPr>
            <w:r w:rsidRPr="00CA45B9">
              <w:rPr>
                <w:color w:val="000000"/>
                <w:sz w:val="16"/>
                <w:szCs w:val="16"/>
                <w:lang w:eastAsia="en-IE"/>
              </w:rPr>
              <w:t>25000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92DB2" w14:textId="77777777" w:rsidR="002C785B" w:rsidRPr="00CA45B9" w:rsidRDefault="002C785B" w:rsidP="005000BC">
            <w:pPr>
              <w:jc w:val="right"/>
              <w:rPr>
                <w:color w:val="000000"/>
                <w:sz w:val="16"/>
                <w:szCs w:val="16"/>
                <w:lang w:eastAsia="en-IE"/>
              </w:rPr>
            </w:pPr>
            <w:r w:rsidRPr="00CA45B9">
              <w:rPr>
                <w:color w:val="000000"/>
                <w:sz w:val="16"/>
                <w:szCs w:val="16"/>
                <w:lang w:eastAsia="en-IE"/>
              </w:rPr>
              <w:t>44%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AEC17" w14:textId="77777777" w:rsidR="002C785B" w:rsidRPr="00CA45B9" w:rsidRDefault="002C785B" w:rsidP="005000BC">
            <w:pPr>
              <w:jc w:val="right"/>
              <w:rPr>
                <w:color w:val="000000"/>
                <w:sz w:val="16"/>
                <w:szCs w:val="16"/>
                <w:lang w:eastAsia="en-IE"/>
              </w:rPr>
            </w:pPr>
            <w:r w:rsidRPr="00CA45B9">
              <w:rPr>
                <w:color w:val="000000"/>
                <w:sz w:val="16"/>
                <w:szCs w:val="16"/>
                <w:lang w:eastAsia="en-IE"/>
              </w:rPr>
              <w:t>56%</w:t>
            </w:r>
          </w:p>
        </w:tc>
      </w:tr>
      <w:tr w:rsidR="002C785B" w:rsidRPr="00CA45B9" w14:paraId="1316CD26" w14:textId="77777777" w:rsidTr="003B1A5A">
        <w:trPr>
          <w:trHeight w:val="263"/>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4C3CA" w14:textId="77777777" w:rsidR="002C785B" w:rsidRPr="003B1A5A" w:rsidRDefault="00071E41" w:rsidP="005000BC">
            <w:pPr>
              <w:rPr>
                <w:b/>
                <w:color w:val="000000"/>
                <w:sz w:val="16"/>
              </w:rPr>
            </w:pPr>
            <w:r w:rsidRPr="003B1A5A">
              <w:rPr>
                <w:b/>
                <w:color w:val="000000"/>
                <w:sz w:val="16"/>
              </w:rPr>
              <w:t xml:space="preserve">Equity </w:t>
            </w:r>
            <w:r w:rsidR="002C785B" w:rsidRPr="003B1A5A">
              <w:rPr>
                <w:b/>
                <w:color w:val="000000"/>
                <w:sz w:val="16"/>
              </w:rPr>
              <w:t>options</w:t>
            </w:r>
          </w:p>
        </w:tc>
        <w:tc>
          <w:tcPr>
            <w:tcW w:w="20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E8032F" w14:textId="77777777" w:rsidR="002C785B" w:rsidRPr="00CA45B9" w:rsidRDefault="002C785B" w:rsidP="005000BC">
            <w:pPr>
              <w:rPr>
                <w:color w:val="000000"/>
                <w:sz w:val="16"/>
                <w:szCs w:val="16"/>
                <w:lang w:eastAsia="en-IE"/>
              </w:rPr>
            </w:pPr>
            <w:r w:rsidRPr="00CA45B9">
              <w:rPr>
                <w:color w:val="000000"/>
                <w:sz w:val="16"/>
                <w:szCs w:val="16"/>
                <w:lang w:eastAsia="en-IE"/>
              </w:rPr>
              <w:t>€5 Mil &lt; ADNA&lt; €10 Mil</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CF0401" w14:textId="77777777" w:rsidR="002C785B" w:rsidRPr="00CA45B9" w:rsidRDefault="002C785B" w:rsidP="005000BC">
            <w:pPr>
              <w:jc w:val="right"/>
              <w:rPr>
                <w:color w:val="000000"/>
                <w:sz w:val="16"/>
                <w:szCs w:val="16"/>
                <w:lang w:eastAsia="en-IE"/>
              </w:rPr>
            </w:pPr>
            <w:r w:rsidRPr="00CA45B9">
              <w:rPr>
                <w:color w:val="000000"/>
                <w:sz w:val="16"/>
                <w:szCs w:val="16"/>
                <w:lang w:eastAsia="en-IE"/>
              </w:rPr>
              <w:t>300000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983B6" w14:textId="77777777" w:rsidR="002C785B" w:rsidRPr="00CA45B9" w:rsidRDefault="002C785B" w:rsidP="005000BC">
            <w:pPr>
              <w:jc w:val="right"/>
              <w:rPr>
                <w:color w:val="000000"/>
                <w:sz w:val="16"/>
                <w:szCs w:val="16"/>
                <w:lang w:eastAsia="en-IE"/>
              </w:rPr>
            </w:pPr>
            <w:r>
              <w:rPr>
                <w:color w:val="000000"/>
                <w:sz w:val="16"/>
                <w:szCs w:val="16"/>
                <w:lang w:eastAsia="en-IE"/>
              </w:rPr>
              <w:t>8</w:t>
            </w:r>
            <w:r w:rsidRPr="00CA45B9">
              <w:rPr>
                <w:color w:val="000000"/>
                <w:sz w:val="16"/>
                <w:szCs w:val="16"/>
                <w:lang w:eastAsia="en-IE"/>
              </w:rPr>
              <w:t>5%</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9EC5CC" w14:textId="77777777" w:rsidR="002C785B" w:rsidRPr="00CA45B9" w:rsidRDefault="002C785B" w:rsidP="005000BC">
            <w:pPr>
              <w:jc w:val="right"/>
              <w:rPr>
                <w:color w:val="000000"/>
                <w:sz w:val="16"/>
                <w:szCs w:val="16"/>
                <w:lang w:eastAsia="en-IE"/>
              </w:rPr>
            </w:pPr>
            <w:r w:rsidRPr="00CA45B9">
              <w:rPr>
                <w:color w:val="000000"/>
                <w:sz w:val="16"/>
                <w:szCs w:val="16"/>
                <w:lang w:eastAsia="en-IE"/>
              </w:rPr>
              <w:t>15%</w:t>
            </w:r>
          </w:p>
        </w:tc>
      </w:tr>
      <w:tr w:rsidR="002C785B" w:rsidRPr="00CA45B9" w14:paraId="78B20386" w14:textId="77777777" w:rsidTr="003B1A5A">
        <w:trPr>
          <w:trHeight w:val="263"/>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C8DA75" w14:textId="77777777" w:rsidR="002C785B" w:rsidRPr="003B1A5A" w:rsidRDefault="00071E41" w:rsidP="005000BC">
            <w:pPr>
              <w:rPr>
                <w:b/>
                <w:color w:val="000000"/>
                <w:sz w:val="16"/>
              </w:rPr>
            </w:pPr>
            <w:r w:rsidRPr="003B1A5A">
              <w:rPr>
                <w:b/>
                <w:color w:val="000000"/>
                <w:sz w:val="16"/>
              </w:rPr>
              <w:t xml:space="preserve">Equity </w:t>
            </w:r>
            <w:r w:rsidR="002C785B" w:rsidRPr="003B1A5A">
              <w:rPr>
                <w:b/>
                <w:color w:val="000000"/>
                <w:sz w:val="16"/>
              </w:rPr>
              <w:t>options</w:t>
            </w:r>
          </w:p>
        </w:tc>
        <w:tc>
          <w:tcPr>
            <w:tcW w:w="20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1A86C" w14:textId="77777777" w:rsidR="002C785B" w:rsidRPr="00CA45B9" w:rsidRDefault="002C785B" w:rsidP="005000BC">
            <w:pPr>
              <w:rPr>
                <w:color w:val="000000"/>
                <w:sz w:val="16"/>
                <w:szCs w:val="16"/>
                <w:lang w:eastAsia="en-IE"/>
              </w:rPr>
            </w:pPr>
            <w:r w:rsidRPr="00CA45B9">
              <w:rPr>
                <w:color w:val="000000"/>
                <w:sz w:val="16"/>
                <w:szCs w:val="16"/>
                <w:lang w:eastAsia="en-IE"/>
              </w:rPr>
              <w:t>€10 Mil&lt; ADNA &lt; €20 Mil</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57230E" w14:textId="77777777" w:rsidR="002C785B" w:rsidRPr="00CA45B9" w:rsidRDefault="002C785B" w:rsidP="005000BC">
            <w:pPr>
              <w:jc w:val="right"/>
              <w:rPr>
                <w:color w:val="000000"/>
                <w:sz w:val="16"/>
                <w:szCs w:val="16"/>
                <w:lang w:eastAsia="en-IE"/>
              </w:rPr>
            </w:pPr>
            <w:r w:rsidRPr="00CA45B9">
              <w:rPr>
                <w:color w:val="000000"/>
                <w:sz w:val="16"/>
                <w:szCs w:val="16"/>
                <w:lang w:eastAsia="en-IE"/>
              </w:rPr>
              <w:t>550000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E8B89C" w14:textId="77777777" w:rsidR="002C785B" w:rsidRPr="00CA45B9" w:rsidRDefault="002C785B" w:rsidP="005000BC">
            <w:pPr>
              <w:jc w:val="right"/>
              <w:rPr>
                <w:color w:val="000000"/>
                <w:sz w:val="16"/>
                <w:szCs w:val="16"/>
                <w:lang w:eastAsia="en-IE"/>
              </w:rPr>
            </w:pPr>
            <w:r w:rsidRPr="00CA45B9">
              <w:rPr>
                <w:color w:val="000000"/>
                <w:sz w:val="16"/>
                <w:szCs w:val="16"/>
                <w:lang w:eastAsia="en-IE"/>
              </w:rPr>
              <w:t>94%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F216D" w14:textId="77777777" w:rsidR="002C785B" w:rsidRPr="00CA45B9" w:rsidRDefault="002C785B" w:rsidP="005000BC">
            <w:pPr>
              <w:jc w:val="right"/>
              <w:rPr>
                <w:color w:val="000000"/>
                <w:sz w:val="16"/>
                <w:szCs w:val="16"/>
                <w:lang w:eastAsia="en-IE"/>
              </w:rPr>
            </w:pPr>
            <w:r w:rsidRPr="00CA45B9">
              <w:rPr>
                <w:color w:val="000000"/>
                <w:sz w:val="16"/>
                <w:szCs w:val="16"/>
                <w:lang w:eastAsia="en-IE"/>
              </w:rPr>
              <w:t>6%</w:t>
            </w:r>
          </w:p>
        </w:tc>
      </w:tr>
      <w:tr w:rsidR="002C785B" w:rsidRPr="00CA45B9" w14:paraId="0D428ADA" w14:textId="77777777" w:rsidTr="003B1A5A">
        <w:trPr>
          <w:trHeight w:val="263"/>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3E1CF8" w14:textId="77777777" w:rsidR="002C785B" w:rsidRPr="003B1A5A" w:rsidRDefault="00071E41" w:rsidP="005000BC">
            <w:pPr>
              <w:rPr>
                <w:b/>
                <w:color w:val="000000"/>
                <w:sz w:val="16"/>
              </w:rPr>
            </w:pPr>
            <w:r w:rsidRPr="003B1A5A">
              <w:rPr>
                <w:b/>
                <w:color w:val="000000"/>
                <w:sz w:val="16"/>
              </w:rPr>
              <w:t xml:space="preserve">Equity </w:t>
            </w:r>
            <w:r w:rsidR="002C785B" w:rsidRPr="003B1A5A">
              <w:rPr>
                <w:b/>
                <w:color w:val="000000"/>
                <w:sz w:val="16"/>
              </w:rPr>
              <w:t>options</w:t>
            </w:r>
          </w:p>
        </w:tc>
        <w:tc>
          <w:tcPr>
            <w:tcW w:w="20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EA4882" w14:textId="77777777" w:rsidR="002C785B" w:rsidRPr="00CA45B9" w:rsidRDefault="002C785B" w:rsidP="005000BC">
            <w:pPr>
              <w:rPr>
                <w:color w:val="000000"/>
                <w:sz w:val="16"/>
                <w:szCs w:val="16"/>
                <w:lang w:eastAsia="en-IE"/>
              </w:rPr>
            </w:pPr>
            <w:r w:rsidRPr="00CA45B9">
              <w:rPr>
                <w:color w:val="000000"/>
                <w:sz w:val="16"/>
                <w:szCs w:val="16"/>
                <w:lang w:eastAsia="en-IE"/>
              </w:rPr>
              <w:t>&gt;€20 Mil</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EC8B14" w14:textId="77777777" w:rsidR="002C785B" w:rsidRPr="00CA45B9" w:rsidRDefault="002C785B" w:rsidP="005000BC">
            <w:pPr>
              <w:jc w:val="right"/>
              <w:rPr>
                <w:color w:val="000000"/>
                <w:sz w:val="16"/>
                <w:szCs w:val="16"/>
                <w:lang w:eastAsia="en-IE"/>
              </w:rPr>
            </w:pPr>
            <w:r w:rsidRPr="00CA45B9">
              <w:rPr>
                <w:color w:val="000000"/>
                <w:sz w:val="16"/>
                <w:szCs w:val="16"/>
                <w:lang w:eastAsia="en-IE"/>
              </w:rPr>
              <w:t>1500000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A04EA9" w14:textId="77777777" w:rsidR="002C785B" w:rsidRPr="00CA45B9" w:rsidRDefault="002C785B" w:rsidP="005000BC">
            <w:pPr>
              <w:jc w:val="right"/>
              <w:rPr>
                <w:color w:val="000000"/>
                <w:sz w:val="16"/>
                <w:szCs w:val="16"/>
                <w:lang w:eastAsia="en-IE"/>
              </w:rPr>
            </w:pPr>
            <w:r w:rsidRPr="00CA45B9">
              <w:rPr>
                <w:color w:val="000000"/>
                <w:sz w:val="16"/>
                <w:szCs w:val="16"/>
                <w:lang w:eastAsia="en-IE"/>
              </w:rPr>
              <w:t>95%</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6A5C7" w14:textId="77777777" w:rsidR="002C785B" w:rsidRPr="00CA45B9" w:rsidRDefault="002C785B" w:rsidP="005000BC">
            <w:pPr>
              <w:jc w:val="right"/>
              <w:rPr>
                <w:color w:val="000000"/>
                <w:sz w:val="16"/>
                <w:szCs w:val="16"/>
                <w:lang w:eastAsia="en-IE"/>
              </w:rPr>
            </w:pPr>
            <w:r w:rsidRPr="00CA45B9">
              <w:rPr>
                <w:color w:val="000000"/>
                <w:sz w:val="16"/>
                <w:szCs w:val="16"/>
                <w:lang w:eastAsia="en-IE"/>
              </w:rPr>
              <w:t>5%</w:t>
            </w:r>
          </w:p>
        </w:tc>
      </w:tr>
    </w:tbl>
    <w:p w14:paraId="4CD59294" w14:textId="77777777" w:rsidR="002C785B" w:rsidRDefault="002C785B" w:rsidP="002C785B">
      <w:pPr>
        <w:rPr>
          <w:rFonts w:ascii="Calibri" w:eastAsiaTheme="minorHAnsi" w:hAnsi="Calibri" w:cs="Calibri"/>
          <w:color w:val="1F497D"/>
          <w:sz w:val="22"/>
          <w:szCs w:val="22"/>
          <w:lang w:eastAsia="en-US"/>
        </w:rPr>
      </w:pPr>
    </w:p>
    <w:p w14:paraId="19866BCB" w14:textId="77777777" w:rsidR="002C785B" w:rsidRDefault="002C785B" w:rsidP="002C785B">
      <w:pPr>
        <w:spacing w:after="160" w:line="259" w:lineRule="auto"/>
        <w:ind w:left="709"/>
        <w:jc w:val="both"/>
      </w:pPr>
      <w:r>
        <w:t>It is FIA EPTA members’ belief that orders that are below on-screen liquidity levels</w:t>
      </w:r>
      <w:r w:rsidR="008F1B39">
        <w:t>,</w:t>
      </w:r>
      <w:r>
        <w:t xml:space="preserve"> as set out per the below proposal</w:t>
      </w:r>
      <w:r w:rsidR="008F1B39">
        <w:t>,</w:t>
      </w:r>
      <w:r>
        <w:t xml:space="preserve"> should be traded in </w:t>
      </w:r>
      <w:r w:rsidR="001F4D7F">
        <w:t xml:space="preserve">a </w:t>
      </w:r>
      <w:r>
        <w:t xml:space="preserve">central limit order book (CLOB) and </w:t>
      </w:r>
      <w:r w:rsidR="001F4D7F">
        <w:t xml:space="preserve">that, therefore, </w:t>
      </w:r>
      <w:r>
        <w:t xml:space="preserve">LIS levels should be set above those levels. </w:t>
      </w:r>
      <w:r w:rsidR="001F4D7F">
        <w:t xml:space="preserve">Such a </w:t>
      </w:r>
      <w:r>
        <w:t xml:space="preserve">change will result in enhanced transparency and create a true on-screen liquidity pool resulting in </w:t>
      </w:r>
      <w:r w:rsidR="00870295">
        <w:t xml:space="preserve">greater </w:t>
      </w:r>
      <w:r>
        <w:t xml:space="preserve">competition and better pricing for end investors. </w:t>
      </w:r>
    </w:p>
    <w:p w14:paraId="54E1FF6B" w14:textId="77777777" w:rsidR="002C785B" w:rsidRDefault="002C785B" w:rsidP="002C785B">
      <w:pPr>
        <w:spacing w:after="160" w:line="259" w:lineRule="auto"/>
        <w:ind w:left="709"/>
        <w:jc w:val="both"/>
      </w:pPr>
      <w:r>
        <w:t xml:space="preserve">The current LIS levels result in an adverse situation whereby far fewer orders are pre-trade transparent. </w:t>
      </w:r>
      <w:proofErr w:type="gramStart"/>
      <w:r>
        <w:t>Specifically</w:t>
      </w:r>
      <w:proofErr w:type="gramEnd"/>
      <w:r>
        <w:t xml:space="preserve"> for index and single stock options</w:t>
      </w:r>
      <w:r w:rsidR="001D233B">
        <w:t>,</w:t>
      </w:r>
      <w:r>
        <w:t xml:space="preserve"> the liquidity present in the CLOB in the vast majority of cases is above the current LIS thresholds. The purpose of the LIS thresholds is to </w:t>
      </w:r>
      <w:r w:rsidR="00F302AF">
        <w:t>enable fair and orderly</w:t>
      </w:r>
      <w:r>
        <w:t xml:space="preserve"> trading by protecting large orders from adverse market impact and, in FIA EPTA members’ opinion, as long as the CLOB can handle the size of a trade with no disruption there is no justification for a pre-trade transparency waiver.</w:t>
      </w:r>
      <w:r w:rsidR="000D1689">
        <w:t xml:space="preserve"> </w:t>
      </w:r>
    </w:p>
    <w:p w14:paraId="7D10A04E" w14:textId="77777777" w:rsidR="002C785B" w:rsidRDefault="002C785B" w:rsidP="002C785B">
      <w:pPr>
        <w:pStyle w:val="ListParagraph"/>
      </w:pPr>
      <w:r>
        <w:t>FIA EPTA used the following measures to quantify the liquidity available in the orderbook for the purposes of this analysis:</w:t>
      </w:r>
    </w:p>
    <w:p w14:paraId="01E2DAE2" w14:textId="77777777" w:rsidR="002C785B" w:rsidRDefault="002C785B" w:rsidP="00B61F24">
      <w:pPr>
        <w:pStyle w:val="ListParagraph"/>
        <w:numPr>
          <w:ilvl w:val="0"/>
          <w:numId w:val="36"/>
        </w:numPr>
      </w:pPr>
      <w:r>
        <w:t>Minimum quote size;</w:t>
      </w:r>
    </w:p>
    <w:p w14:paraId="76F3BE08" w14:textId="77777777" w:rsidR="002C785B" w:rsidRDefault="002C785B" w:rsidP="00B61F24">
      <w:pPr>
        <w:pStyle w:val="ListParagraph"/>
        <w:numPr>
          <w:ilvl w:val="0"/>
          <w:numId w:val="36"/>
        </w:numPr>
      </w:pPr>
      <w:r w:rsidRPr="0075534A">
        <w:t>Aggregation of the minimum quote sizes</w:t>
      </w:r>
      <w:r>
        <w:t xml:space="preserve">; </w:t>
      </w:r>
    </w:p>
    <w:p w14:paraId="7FCE2002" w14:textId="77777777" w:rsidR="002C785B" w:rsidRDefault="00A73D8A" w:rsidP="00B61F24">
      <w:pPr>
        <w:pStyle w:val="ListParagraph"/>
        <w:numPr>
          <w:ilvl w:val="0"/>
          <w:numId w:val="36"/>
        </w:numPr>
      </w:pPr>
      <w:r>
        <w:t>Th</w:t>
      </w:r>
      <w:r w:rsidR="002C785B">
        <w:t>e max</w:t>
      </w:r>
      <w:r w:rsidR="008F1B39">
        <w:t>imum</w:t>
      </w:r>
      <w:r w:rsidR="00723C73">
        <w:t xml:space="preserve"> onscreen</w:t>
      </w:r>
      <w:r w:rsidR="002C785B">
        <w:t xml:space="preserve"> trade </w:t>
      </w:r>
      <w:r w:rsidR="008F1B39">
        <w:t>size</w:t>
      </w:r>
      <w:r w:rsidR="002C785B">
        <w:t xml:space="preserve"> executed. </w:t>
      </w:r>
    </w:p>
    <w:p w14:paraId="21AEDB3F" w14:textId="77777777" w:rsidR="002C785B" w:rsidRDefault="002C785B" w:rsidP="002C785B">
      <w:pPr>
        <w:ind w:left="709"/>
      </w:pPr>
    </w:p>
    <w:p w14:paraId="4C1DD6BA" w14:textId="77777777" w:rsidR="002C785B" w:rsidRDefault="002C785B" w:rsidP="002C785B">
      <w:pPr>
        <w:ind w:left="709"/>
      </w:pPr>
      <w:r>
        <w:t>Looking at each of these in turn</w:t>
      </w:r>
      <w:r w:rsidR="00257237">
        <w:t>:</w:t>
      </w:r>
      <w:r w:rsidR="009D08C9">
        <w:t xml:space="preserve">  </w:t>
      </w:r>
    </w:p>
    <w:p w14:paraId="2FC38B6B" w14:textId="77777777" w:rsidR="002C785B" w:rsidRDefault="002C785B" w:rsidP="002C785B">
      <w:pPr>
        <w:ind w:left="709"/>
      </w:pPr>
    </w:p>
    <w:p w14:paraId="7BC84648" w14:textId="77777777" w:rsidR="002C785B" w:rsidRPr="00AA662F" w:rsidRDefault="002C785B" w:rsidP="00B61F24">
      <w:pPr>
        <w:pStyle w:val="ListParagraph"/>
        <w:numPr>
          <w:ilvl w:val="0"/>
          <w:numId w:val="37"/>
        </w:numPr>
      </w:pPr>
      <w:r>
        <w:t xml:space="preserve">In FIA EPTA members’ opinion the </w:t>
      </w:r>
      <w:r w:rsidRPr="00A87A16">
        <w:rPr>
          <w:b/>
        </w:rPr>
        <w:t>minimum quote size</w:t>
      </w:r>
      <w:r w:rsidRPr="003B1A5A">
        <w:rPr>
          <w:b/>
        </w:rPr>
        <w:t xml:space="preserve"> should be the absolute lower bound </w:t>
      </w:r>
      <w:r>
        <w:t xml:space="preserve">below which no trades should be able to avail of a pre-trade transparency waiver. These minimum quote sizes are set independently by exchanges with feedback from market participants and </w:t>
      </w:r>
      <w:r w:rsidR="00CB4EB8">
        <w:t xml:space="preserve">our </w:t>
      </w:r>
      <w:r>
        <w:t xml:space="preserve">members believe they are a fair indicator of the level of liquidity that an individual market maker is prepared to show. </w:t>
      </w:r>
      <w:r w:rsidRPr="00AA662F">
        <w:t xml:space="preserve">It is counter-intuitive that </w:t>
      </w:r>
      <w:r w:rsidR="00370392">
        <w:t>the</w:t>
      </w:r>
      <w:r w:rsidR="00370392" w:rsidRPr="00AA662F">
        <w:t xml:space="preserve"> </w:t>
      </w:r>
      <w:r w:rsidRPr="00AA662F">
        <w:t>LIS threshold can be lower than an exchange</w:t>
      </w:r>
      <w:r w:rsidR="00370392">
        <w:t>’</w:t>
      </w:r>
      <w:r w:rsidRPr="00AA662F">
        <w:t>s minimum quote size and avail of a pre-transparency waiver.</w:t>
      </w:r>
    </w:p>
    <w:p w14:paraId="4D3D441F" w14:textId="77777777" w:rsidR="002C785B" w:rsidRDefault="000D1689" w:rsidP="002C785B">
      <w:pPr>
        <w:ind w:left="709"/>
      </w:pPr>
      <w:r>
        <w:t xml:space="preserve"> </w:t>
      </w:r>
    </w:p>
    <w:p w14:paraId="426B3ECA" w14:textId="250DE6D2" w:rsidR="002C785B" w:rsidRDefault="002C785B" w:rsidP="002C785B">
      <w:pPr>
        <w:ind w:left="1418"/>
      </w:pPr>
      <w:r>
        <w:t xml:space="preserve">Column 2 of Tables </w:t>
      </w:r>
      <w:r w:rsidR="001A10A3">
        <w:t>3</w:t>
      </w:r>
      <w:r>
        <w:t xml:space="preserve"> and </w:t>
      </w:r>
      <w:r w:rsidR="001A10A3">
        <w:t>4</w:t>
      </w:r>
      <w:r>
        <w:t xml:space="preserve">, below, shows the number of options on each exchange where that exchange’s minimum quote size exceeds the ESMA LIS threshold. The number of names in excess of this threshold demonstrate that the existing LIS thresholds are not reflective of </w:t>
      </w:r>
      <w:r w:rsidR="00EF30D9">
        <w:t xml:space="preserve">actual </w:t>
      </w:r>
      <w:r w:rsidR="001858B4">
        <w:t>liquidity available in the orderbook</w:t>
      </w:r>
      <w:r>
        <w:t xml:space="preserve">. For example, under </w:t>
      </w:r>
      <w:r w:rsidR="00AB0297">
        <w:t xml:space="preserve">the </w:t>
      </w:r>
      <w:r>
        <w:t xml:space="preserve">current regime the minimum quote size for </w:t>
      </w:r>
      <w:r w:rsidR="0073055D">
        <w:t xml:space="preserve">more than half of </w:t>
      </w:r>
      <w:r w:rsidR="00C1588F">
        <w:t xml:space="preserve">all </w:t>
      </w:r>
      <w:r>
        <w:t xml:space="preserve">equity option names and </w:t>
      </w:r>
      <w:r w:rsidR="00041F3B">
        <w:t>almost all</w:t>
      </w:r>
      <w:r w:rsidR="00AC2FA6">
        <w:t xml:space="preserve"> </w:t>
      </w:r>
      <w:r>
        <w:t xml:space="preserve">index option names </w:t>
      </w:r>
      <w:r w:rsidR="00041F3B">
        <w:t xml:space="preserve">traded </w:t>
      </w:r>
      <w:r w:rsidR="00C1588F">
        <w:t xml:space="preserve">on Eurex </w:t>
      </w:r>
      <w:r>
        <w:t>exceeds the current LIS threshold. This discrepancy is even starker when one looks at equity options on ICE Futures Europe (IFEU) and OMX where the minimum quote sizes for practically all names exceed the current LIS threshold.</w:t>
      </w:r>
      <w:r w:rsidR="000D1689">
        <w:t xml:space="preserve"> </w:t>
      </w:r>
    </w:p>
    <w:p w14:paraId="2754A9F2" w14:textId="77777777" w:rsidR="002C785B" w:rsidRDefault="002C785B" w:rsidP="002C785B">
      <w:pPr>
        <w:ind w:left="709"/>
      </w:pPr>
    </w:p>
    <w:p w14:paraId="7608653A" w14:textId="6FB8C641" w:rsidR="002C785B" w:rsidRDefault="002C785B" w:rsidP="00B61F24">
      <w:pPr>
        <w:pStyle w:val="ListParagraph"/>
        <w:numPr>
          <w:ilvl w:val="0"/>
          <w:numId w:val="37"/>
        </w:numPr>
      </w:pPr>
      <w:r>
        <w:t xml:space="preserve">The second measure is </w:t>
      </w:r>
      <w:r w:rsidRPr="00466E37">
        <w:rPr>
          <w:b/>
        </w:rPr>
        <w:t xml:space="preserve">the aggregation of the minimum quote sizes </w:t>
      </w:r>
      <w:r w:rsidRPr="00F260FD">
        <w:rPr>
          <w:b/>
        </w:rPr>
        <w:t>across all market makers in the orderbook</w:t>
      </w:r>
      <w:r>
        <w:t>.</w:t>
      </w:r>
      <w:r w:rsidR="000D1689">
        <w:t xml:space="preserve"> </w:t>
      </w:r>
      <w:r>
        <w:t xml:space="preserve">Aggregation is more representative of available liquidity for </w:t>
      </w:r>
      <w:r>
        <w:lastRenderedPageBreak/>
        <w:t>each instrument in the orderbook than the minimum quote size</w:t>
      </w:r>
      <w:r w:rsidRPr="00AA662F">
        <w:rPr>
          <w:color w:val="538135" w:themeColor="accent6" w:themeShade="BF"/>
        </w:rPr>
        <w:t xml:space="preserve"> </w:t>
      </w:r>
      <w:r w:rsidRPr="00AA662F">
        <w:t xml:space="preserve">as it represents all available liquidity as displayed </w:t>
      </w:r>
      <w:r w:rsidR="00E65B90">
        <w:t>b</w:t>
      </w:r>
      <w:r w:rsidRPr="00AA662F">
        <w:t>y market makers.</w:t>
      </w:r>
      <w:r w:rsidR="000D1689">
        <w:t xml:space="preserve"> </w:t>
      </w:r>
      <w:r w:rsidRPr="00AA662F">
        <w:t>As shown in colu</w:t>
      </w:r>
      <w:r>
        <w:t xml:space="preserve">mn 3 of Tables </w:t>
      </w:r>
      <w:r w:rsidR="001A10A3">
        <w:t>3</w:t>
      </w:r>
      <w:r>
        <w:t xml:space="preserve"> and </w:t>
      </w:r>
      <w:r w:rsidR="001A10A3">
        <w:t>4</w:t>
      </w:r>
      <w:r>
        <w:t xml:space="preserve"> below, however, the current LIS pre-trade transparency requirements capture very little of this liquidity.</w:t>
      </w:r>
      <w:r w:rsidR="000D1689">
        <w:t xml:space="preserve"> </w:t>
      </w:r>
      <w:r>
        <w:t xml:space="preserve">For Eurex, the available liquidity for </w:t>
      </w:r>
      <w:r w:rsidR="00410AF4">
        <w:t>79% of</w:t>
      </w:r>
      <w:r>
        <w:t xml:space="preserve"> equity option names exceeds the current LIS thresholds. This measure of liquidity on Euronext also exceeds the current LIS thresholds.</w:t>
      </w:r>
      <w:r w:rsidR="000D1689">
        <w:t xml:space="preserve"> </w:t>
      </w:r>
      <w:r>
        <w:t xml:space="preserve">It is clear that the current LIS thresholds do not capture a significant amount of the available liquidity for the vast majority of the products included in the below analysis. </w:t>
      </w:r>
    </w:p>
    <w:p w14:paraId="3B206ABD" w14:textId="77777777" w:rsidR="002C785B" w:rsidRDefault="002C785B" w:rsidP="002C785B">
      <w:pPr>
        <w:pStyle w:val="ListParagraph"/>
        <w:ind w:left="1429"/>
      </w:pPr>
    </w:p>
    <w:p w14:paraId="65ABBA7C" w14:textId="77777777" w:rsidR="002C785B" w:rsidRDefault="002C785B" w:rsidP="00B61F24">
      <w:pPr>
        <w:pStyle w:val="ListParagraph"/>
        <w:numPr>
          <w:ilvl w:val="0"/>
          <w:numId w:val="37"/>
        </w:numPr>
      </w:pPr>
      <w:r>
        <w:t xml:space="preserve">The </w:t>
      </w:r>
      <w:r w:rsidR="004665C3">
        <w:t>third</w:t>
      </w:r>
      <w:r>
        <w:t xml:space="preserve"> measure </w:t>
      </w:r>
      <w:r w:rsidR="00257237">
        <w:t>we</w:t>
      </w:r>
      <w:r>
        <w:t xml:space="preserve"> view as a </w:t>
      </w:r>
      <w:r w:rsidR="00257237">
        <w:t>key relevant</w:t>
      </w:r>
      <w:r>
        <w:t xml:space="preserve"> reflection of liquidity is the </w:t>
      </w:r>
      <w:r w:rsidRPr="007317A6">
        <w:rPr>
          <w:b/>
        </w:rPr>
        <w:t>maximum screen trade size</w:t>
      </w:r>
      <w:r>
        <w:t xml:space="preserve">. As this measure reflects a trade size that can be absorbed by an orderly </w:t>
      </w:r>
      <w:r w:rsidR="00723C73">
        <w:t>regulated</w:t>
      </w:r>
      <w:r>
        <w:t xml:space="preserve"> market, arguably only orders above this size </w:t>
      </w:r>
      <w:r w:rsidR="00723C73">
        <w:t>sh</w:t>
      </w:r>
      <w:r>
        <w:t>ould be large in scale.</w:t>
      </w:r>
      <w:r w:rsidR="000D1689">
        <w:t xml:space="preserve"> </w:t>
      </w:r>
      <w:r>
        <w:t>A LIS threshold calibrated to this level would represent a very robust level of transparency.</w:t>
      </w:r>
      <w:r w:rsidR="000D1689">
        <w:t xml:space="preserve"> </w:t>
      </w:r>
      <w:r>
        <w:t xml:space="preserve">Column 4 of Tables </w:t>
      </w:r>
      <w:r w:rsidR="00B049B9">
        <w:t>3</w:t>
      </w:r>
      <w:r>
        <w:t xml:space="preserve"> and </w:t>
      </w:r>
      <w:r w:rsidR="00B049B9">
        <w:t>4</w:t>
      </w:r>
      <w:r>
        <w:t>, below, shows that the maximum screen trade size in practically all names for both equity and index options exceed the current LIS threshold.</w:t>
      </w:r>
    </w:p>
    <w:p w14:paraId="081E217C" w14:textId="77777777" w:rsidR="002C785B" w:rsidRDefault="002C785B" w:rsidP="002C785B">
      <w:pPr>
        <w:pStyle w:val="ListParagraph"/>
        <w:ind w:left="1429"/>
      </w:pPr>
    </w:p>
    <w:p w14:paraId="06F73DE2" w14:textId="77777777" w:rsidR="002C785B" w:rsidRPr="00B049B9" w:rsidRDefault="002C785B" w:rsidP="002C785B">
      <w:pPr>
        <w:ind w:firstLine="709"/>
        <w:rPr>
          <w:szCs w:val="20"/>
        </w:rPr>
      </w:pPr>
      <w:r w:rsidRPr="00B049B9">
        <w:rPr>
          <w:szCs w:val="20"/>
        </w:rPr>
        <w:t xml:space="preserve">Table </w:t>
      </w:r>
      <w:r w:rsidR="00B049B9" w:rsidRPr="00B049B9">
        <w:rPr>
          <w:szCs w:val="20"/>
        </w:rPr>
        <w:t>3</w:t>
      </w:r>
      <w:r w:rsidRPr="00B049B9">
        <w:rPr>
          <w:szCs w:val="20"/>
        </w:rPr>
        <w:t xml:space="preserve"> (Single stock options)</w:t>
      </w:r>
    </w:p>
    <w:tbl>
      <w:tblPr>
        <w:tblStyle w:val="TableGrid"/>
        <w:tblW w:w="8505" w:type="dxa"/>
        <w:tblInd w:w="704" w:type="dxa"/>
        <w:tblLayout w:type="fixed"/>
        <w:tblLook w:val="04A0" w:firstRow="1" w:lastRow="0" w:firstColumn="1" w:lastColumn="0" w:noHBand="0" w:noVBand="1"/>
      </w:tblPr>
      <w:tblGrid>
        <w:gridCol w:w="1559"/>
        <w:gridCol w:w="1568"/>
        <w:gridCol w:w="1551"/>
        <w:gridCol w:w="1843"/>
        <w:gridCol w:w="1984"/>
      </w:tblGrid>
      <w:tr w:rsidR="002C785B" w:rsidRPr="004F09DE" w14:paraId="79B4BF21" w14:textId="77777777" w:rsidTr="00221877">
        <w:trPr>
          <w:trHeight w:val="236"/>
        </w:trPr>
        <w:tc>
          <w:tcPr>
            <w:tcW w:w="1559" w:type="dxa"/>
            <w:noWrap/>
            <w:hideMark/>
          </w:tcPr>
          <w:p w14:paraId="560DC48B" w14:textId="77777777" w:rsidR="002C785B" w:rsidRPr="008C0434" w:rsidRDefault="002C785B" w:rsidP="005000BC">
            <w:pPr>
              <w:rPr>
                <w:rFonts w:cs="Arial"/>
                <w:b/>
                <w:bCs/>
                <w:sz w:val="16"/>
                <w:szCs w:val="16"/>
              </w:rPr>
            </w:pPr>
            <w:r w:rsidRPr="008C0434">
              <w:rPr>
                <w:rFonts w:cs="Arial"/>
                <w:b/>
                <w:bCs/>
                <w:sz w:val="16"/>
                <w:szCs w:val="16"/>
              </w:rPr>
              <w:t>Exchange</w:t>
            </w:r>
          </w:p>
        </w:tc>
        <w:tc>
          <w:tcPr>
            <w:tcW w:w="1568" w:type="dxa"/>
            <w:noWrap/>
            <w:hideMark/>
          </w:tcPr>
          <w:p w14:paraId="6939E03C" w14:textId="77777777" w:rsidR="002C785B" w:rsidRPr="008C0434" w:rsidRDefault="002C785B" w:rsidP="005000BC">
            <w:pPr>
              <w:rPr>
                <w:rFonts w:cs="Arial"/>
                <w:b/>
                <w:bCs/>
                <w:sz w:val="16"/>
                <w:szCs w:val="16"/>
              </w:rPr>
            </w:pPr>
            <w:r w:rsidRPr="008C0434">
              <w:rPr>
                <w:rFonts w:cs="Arial"/>
                <w:b/>
                <w:bCs/>
                <w:sz w:val="16"/>
                <w:szCs w:val="16"/>
              </w:rPr>
              <w:t>Total unique ISIN's</w:t>
            </w:r>
          </w:p>
        </w:tc>
        <w:tc>
          <w:tcPr>
            <w:tcW w:w="1551" w:type="dxa"/>
            <w:noWrap/>
            <w:hideMark/>
          </w:tcPr>
          <w:p w14:paraId="6C5C5288" w14:textId="77777777" w:rsidR="002C785B" w:rsidRPr="008C0434" w:rsidRDefault="002C785B" w:rsidP="005000BC">
            <w:pPr>
              <w:rPr>
                <w:rFonts w:cs="Arial"/>
                <w:b/>
                <w:bCs/>
                <w:sz w:val="16"/>
                <w:szCs w:val="16"/>
              </w:rPr>
            </w:pPr>
            <w:r w:rsidRPr="008C0434">
              <w:rPr>
                <w:rFonts w:cs="Arial"/>
                <w:b/>
                <w:bCs/>
                <w:sz w:val="16"/>
                <w:szCs w:val="16"/>
                <w:lang w:val="fr-BE"/>
              </w:rPr>
              <w:t xml:space="preserve">Min </w:t>
            </w:r>
            <w:proofErr w:type="spellStart"/>
            <w:r w:rsidRPr="008C0434">
              <w:rPr>
                <w:rFonts w:cs="Arial"/>
                <w:b/>
                <w:bCs/>
                <w:sz w:val="16"/>
                <w:szCs w:val="16"/>
                <w:lang w:val="fr-BE"/>
              </w:rPr>
              <w:t>Quote</w:t>
            </w:r>
            <w:proofErr w:type="spellEnd"/>
            <w:r w:rsidRPr="008C0434">
              <w:rPr>
                <w:rFonts w:cs="Arial"/>
                <w:b/>
                <w:bCs/>
                <w:sz w:val="16"/>
                <w:szCs w:val="16"/>
                <w:lang w:val="fr-BE"/>
              </w:rPr>
              <w:t xml:space="preserve"> size &gt; LIS </w:t>
            </w:r>
            <w:proofErr w:type="spellStart"/>
            <w:r w:rsidRPr="008C0434">
              <w:rPr>
                <w:rFonts w:cs="Arial"/>
                <w:b/>
                <w:bCs/>
                <w:sz w:val="16"/>
                <w:szCs w:val="16"/>
                <w:lang w:val="fr-BE"/>
              </w:rPr>
              <w:t>Threshold</w:t>
            </w:r>
            <w:proofErr w:type="spellEnd"/>
          </w:p>
        </w:tc>
        <w:tc>
          <w:tcPr>
            <w:tcW w:w="1843" w:type="dxa"/>
            <w:noWrap/>
            <w:hideMark/>
          </w:tcPr>
          <w:p w14:paraId="2CD72B76" w14:textId="77777777" w:rsidR="002C785B" w:rsidRPr="008C0434" w:rsidRDefault="002C785B" w:rsidP="005000BC">
            <w:pPr>
              <w:rPr>
                <w:rFonts w:cs="Arial"/>
                <w:b/>
                <w:bCs/>
                <w:sz w:val="16"/>
                <w:szCs w:val="16"/>
              </w:rPr>
            </w:pPr>
            <w:r w:rsidRPr="008C0434">
              <w:rPr>
                <w:rFonts w:cs="Arial"/>
                <w:b/>
                <w:bCs/>
                <w:sz w:val="16"/>
                <w:szCs w:val="16"/>
              </w:rPr>
              <w:t>Screen Liquidity &gt; LIS Threshold</w:t>
            </w:r>
          </w:p>
        </w:tc>
        <w:tc>
          <w:tcPr>
            <w:tcW w:w="1984" w:type="dxa"/>
            <w:noWrap/>
            <w:hideMark/>
          </w:tcPr>
          <w:p w14:paraId="55AB11AD" w14:textId="77777777" w:rsidR="00F907ED" w:rsidRDefault="002C785B" w:rsidP="005000BC">
            <w:pPr>
              <w:rPr>
                <w:rFonts w:cs="Arial"/>
                <w:b/>
                <w:bCs/>
                <w:sz w:val="16"/>
                <w:szCs w:val="16"/>
              </w:rPr>
            </w:pPr>
            <w:r w:rsidRPr="008C0434">
              <w:rPr>
                <w:rFonts w:cs="Arial"/>
                <w:b/>
                <w:bCs/>
                <w:sz w:val="16"/>
                <w:szCs w:val="16"/>
              </w:rPr>
              <w:t xml:space="preserve">Max Screen trade &gt; </w:t>
            </w:r>
          </w:p>
          <w:p w14:paraId="1ED20273" w14:textId="77777777" w:rsidR="002C785B" w:rsidRPr="008C0434" w:rsidRDefault="002C785B" w:rsidP="005000BC">
            <w:pPr>
              <w:rPr>
                <w:rFonts w:cs="Arial"/>
                <w:b/>
                <w:bCs/>
                <w:sz w:val="16"/>
                <w:szCs w:val="16"/>
              </w:rPr>
            </w:pPr>
            <w:r w:rsidRPr="008C0434">
              <w:rPr>
                <w:rFonts w:cs="Arial"/>
                <w:b/>
                <w:bCs/>
                <w:sz w:val="16"/>
                <w:szCs w:val="16"/>
              </w:rPr>
              <w:t>LIS Threshold</w:t>
            </w:r>
          </w:p>
        </w:tc>
      </w:tr>
      <w:tr w:rsidR="002C785B" w:rsidRPr="004F09DE" w14:paraId="03AE3B70" w14:textId="77777777" w:rsidTr="00221877">
        <w:trPr>
          <w:trHeight w:val="236"/>
        </w:trPr>
        <w:tc>
          <w:tcPr>
            <w:tcW w:w="1559" w:type="dxa"/>
            <w:noWrap/>
            <w:hideMark/>
          </w:tcPr>
          <w:p w14:paraId="26154E86" w14:textId="77777777" w:rsidR="002C785B" w:rsidRPr="004F09DE" w:rsidRDefault="002C785B" w:rsidP="005000BC">
            <w:pPr>
              <w:rPr>
                <w:rFonts w:cs="Arial"/>
                <w:sz w:val="16"/>
                <w:szCs w:val="16"/>
              </w:rPr>
            </w:pPr>
            <w:r w:rsidRPr="004F09DE">
              <w:rPr>
                <w:rFonts w:cs="Arial"/>
                <w:sz w:val="16"/>
                <w:szCs w:val="16"/>
              </w:rPr>
              <w:t>Eurex</w:t>
            </w:r>
          </w:p>
        </w:tc>
        <w:tc>
          <w:tcPr>
            <w:tcW w:w="1568" w:type="dxa"/>
            <w:noWrap/>
            <w:hideMark/>
          </w:tcPr>
          <w:p w14:paraId="1A723623" w14:textId="77777777" w:rsidR="002C785B" w:rsidRPr="004F09DE" w:rsidRDefault="002C785B" w:rsidP="008C0434">
            <w:pPr>
              <w:jc w:val="right"/>
              <w:rPr>
                <w:rFonts w:cs="Arial"/>
                <w:sz w:val="16"/>
                <w:szCs w:val="16"/>
              </w:rPr>
            </w:pPr>
            <w:r w:rsidRPr="004F09DE">
              <w:rPr>
                <w:rFonts w:cs="Arial"/>
                <w:sz w:val="16"/>
                <w:szCs w:val="16"/>
              </w:rPr>
              <w:t>300</w:t>
            </w:r>
          </w:p>
        </w:tc>
        <w:tc>
          <w:tcPr>
            <w:tcW w:w="1551" w:type="dxa"/>
            <w:noWrap/>
            <w:hideMark/>
          </w:tcPr>
          <w:p w14:paraId="2A938CD2" w14:textId="77777777" w:rsidR="002C785B" w:rsidRPr="004F09DE" w:rsidRDefault="002C785B" w:rsidP="008C0434">
            <w:pPr>
              <w:jc w:val="right"/>
              <w:rPr>
                <w:rFonts w:cs="Arial"/>
                <w:sz w:val="16"/>
                <w:szCs w:val="16"/>
              </w:rPr>
            </w:pPr>
            <w:r w:rsidRPr="004F09DE">
              <w:rPr>
                <w:rFonts w:cs="Arial"/>
                <w:sz w:val="16"/>
                <w:szCs w:val="16"/>
              </w:rPr>
              <w:t>164</w:t>
            </w:r>
          </w:p>
        </w:tc>
        <w:tc>
          <w:tcPr>
            <w:tcW w:w="1843" w:type="dxa"/>
            <w:noWrap/>
            <w:hideMark/>
          </w:tcPr>
          <w:p w14:paraId="798E1F4A" w14:textId="77777777" w:rsidR="002C785B" w:rsidRPr="004F09DE" w:rsidRDefault="002C785B" w:rsidP="008C0434">
            <w:pPr>
              <w:jc w:val="right"/>
              <w:rPr>
                <w:rFonts w:cs="Arial"/>
                <w:sz w:val="16"/>
                <w:szCs w:val="16"/>
              </w:rPr>
            </w:pPr>
            <w:r w:rsidRPr="004F09DE">
              <w:rPr>
                <w:rFonts w:cs="Arial"/>
                <w:sz w:val="16"/>
                <w:szCs w:val="16"/>
              </w:rPr>
              <w:t>237</w:t>
            </w:r>
          </w:p>
        </w:tc>
        <w:tc>
          <w:tcPr>
            <w:tcW w:w="1984" w:type="dxa"/>
            <w:noWrap/>
            <w:hideMark/>
          </w:tcPr>
          <w:p w14:paraId="5C535344" w14:textId="77777777" w:rsidR="002C785B" w:rsidRPr="004F09DE" w:rsidRDefault="002C785B" w:rsidP="008C0434">
            <w:pPr>
              <w:jc w:val="right"/>
              <w:rPr>
                <w:rFonts w:cs="Arial"/>
                <w:sz w:val="16"/>
                <w:szCs w:val="16"/>
              </w:rPr>
            </w:pPr>
            <w:r w:rsidRPr="004F09DE">
              <w:rPr>
                <w:rFonts w:cs="Arial"/>
                <w:sz w:val="16"/>
                <w:szCs w:val="16"/>
              </w:rPr>
              <w:t>291</w:t>
            </w:r>
          </w:p>
        </w:tc>
      </w:tr>
      <w:tr w:rsidR="002C785B" w:rsidRPr="004F09DE" w14:paraId="0800E336" w14:textId="77777777" w:rsidTr="00221877">
        <w:trPr>
          <w:trHeight w:val="236"/>
        </w:trPr>
        <w:tc>
          <w:tcPr>
            <w:tcW w:w="1559" w:type="dxa"/>
            <w:noWrap/>
            <w:hideMark/>
          </w:tcPr>
          <w:p w14:paraId="4E2AE219" w14:textId="77777777" w:rsidR="002C785B" w:rsidRPr="004F09DE" w:rsidRDefault="002C785B" w:rsidP="005000BC">
            <w:pPr>
              <w:rPr>
                <w:rFonts w:cs="Arial"/>
                <w:sz w:val="16"/>
                <w:szCs w:val="16"/>
              </w:rPr>
            </w:pPr>
            <w:r w:rsidRPr="004F09DE">
              <w:rPr>
                <w:rFonts w:cs="Arial"/>
                <w:sz w:val="16"/>
                <w:szCs w:val="16"/>
              </w:rPr>
              <w:t>Euronext Belgian</w:t>
            </w:r>
          </w:p>
        </w:tc>
        <w:tc>
          <w:tcPr>
            <w:tcW w:w="1568" w:type="dxa"/>
            <w:noWrap/>
            <w:hideMark/>
          </w:tcPr>
          <w:p w14:paraId="5E30AB94" w14:textId="77777777" w:rsidR="002C785B" w:rsidRPr="004F09DE" w:rsidRDefault="002C785B" w:rsidP="008C0434">
            <w:pPr>
              <w:jc w:val="right"/>
              <w:rPr>
                <w:rFonts w:cs="Arial"/>
                <w:sz w:val="16"/>
                <w:szCs w:val="16"/>
              </w:rPr>
            </w:pPr>
            <w:r w:rsidRPr="004F09DE">
              <w:rPr>
                <w:rFonts w:cs="Arial"/>
                <w:sz w:val="16"/>
                <w:szCs w:val="16"/>
              </w:rPr>
              <w:t>17</w:t>
            </w:r>
          </w:p>
        </w:tc>
        <w:tc>
          <w:tcPr>
            <w:tcW w:w="1551" w:type="dxa"/>
            <w:noWrap/>
            <w:hideMark/>
          </w:tcPr>
          <w:p w14:paraId="0C332615" w14:textId="77777777" w:rsidR="002C785B" w:rsidRPr="004F09DE" w:rsidRDefault="002C785B" w:rsidP="008C0434">
            <w:pPr>
              <w:jc w:val="right"/>
              <w:rPr>
                <w:rFonts w:cs="Arial"/>
                <w:sz w:val="16"/>
                <w:szCs w:val="16"/>
              </w:rPr>
            </w:pPr>
            <w:r w:rsidRPr="004F09DE">
              <w:rPr>
                <w:rFonts w:cs="Arial"/>
                <w:sz w:val="16"/>
                <w:szCs w:val="16"/>
              </w:rPr>
              <w:t>2</w:t>
            </w:r>
          </w:p>
        </w:tc>
        <w:tc>
          <w:tcPr>
            <w:tcW w:w="1843" w:type="dxa"/>
            <w:noWrap/>
            <w:hideMark/>
          </w:tcPr>
          <w:p w14:paraId="2148BAE3" w14:textId="77777777" w:rsidR="002C785B" w:rsidRPr="004F09DE" w:rsidRDefault="002C785B" w:rsidP="008C0434">
            <w:pPr>
              <w:jc w:val="right"/>
              <w:rPr>
                <w:rFonts w:cs="Arial"/>
                <w:sz w:val="16"/>
                <w:szCs w:val="16"/>
              </w:rPr>
            </w:pPr>
            <w:r w:rsidRPr="004F09DE">
              <w:rPr>
                <w:rFonts w:cs="Arial"/>
                <w:sz w:val="16"/>
                <w:szCs w:val="16"/>
              </w:rPr>
              <w:t>5</w:t>
            </w:r>
          </w:p>
        </w:tc>
        <w:tc>
          <w:tcPr>
            <w:tcW w:w="1984" w:type="dxa"/>
            <w:noWrap/>
            <w:hideMark/>
          </w:tcPr>
          <w:p w14:paraId="7E366656" w14:textId="77777777" w:rsidR="002C785B" w:rsidRPr="004F09DE" w:rsidRDefault="002C785B" w:rsidP="008C0434">
            <w:pPr>
              <w:jc w:val="right"/>
              <w:rPr>
                <w:rFonts w:cs="Arial"/>
                <w:sz w:val="16"/>
                <w:szCs w:val="16"/>
              </w:rPr>
            </w:pPr>
            <w:r w:rsidRPr="004F09DE">
              <w:rPr>
                <w:rFonts w:cs="Arial"/>
                <w:sz w:val="16"/>
                <w:szCs w:val="16"/>
              </w:rPr>
              <w:t>16</w:t>
            </w:r>
          </w:p>
        </w:tc>
      </w:tr>
      <w:tr w:rsidR="002C785B" w:rsidRPr="004F09DE" w14:paraId="6F50E1EF" w14:textId="77777777" w:rsidTr="00221877">
        <w:trPr>
          <w:trHeight w:val="236"/>
        </w:trPr>
        <w:tc>
          <w:tcPr>
            <w:tcW w:w="1559" w:type="dxa"/>
            <w:noWrap/>
            <w:hideMark/>
          </w:tcPr>
          <w:p w14:paraId="25194CBC" w14:textId="77777777" w:rsidR="002C785B" w:rsidRPr="004F09DE" w:rsidRDefault="002C785B" w:rsidP="005000BC">
            <w:pPr>
              <w:rPr>
                <w:rFonts w:cs="Arial"/>
                <w:sz w:val="16"/>
                <w:szCs w:val="16"/>
              </w:rPr>
            </w:pPr>
            <w:r w:rsidRPr="004F09DE">
              <w:rPr>
                <w:rFonts w:cs="Arial"/>
                <w:sz w:val="16"/>
                <w:szCs w:val="16"/>
              </w:rPr>
              <w:t>Euronext French</w:t>
            </w:r>
          </w:p>
        </w:tc>
        <w:tc>
          <w:tcPr>
            <w:tcW w:w="1568" w:type="dxa"/>
            <w:noWrap/>
            <w:hideMark/>
          </w:tcPr>
          <w:p w14:paraId="56A19206" w14:textId="77777777" w:rsidR="002C785B" w:rsidRPr="004F09DE" w:rsidRDefault="002C785B" w:rsidP="008C0434">
            <w:pPr>
              <w:jc w:val="right"/>
              <w:rPr>
                <w:rFonts w:cs="Arial"/>
                <w:sz w:val="16"/>
                <w:szCs w:val="16"/>
              </w:rPr>
            </w:pPr>
            <w:r w:rsidRPr="004F09DE">
              <w:rPr>
                <w:rFonts w:cs="Arial"/>
                <w:sz w:val="16"/>
                <w:szCs w:val="16"/>
              </w:rPr>
              <w:t>46</w:t>
            </w:r>
          </w:p>
        </w:tc>
        <w:tc>
          <w:tcPr>
            <w:tcW w:w="1551" w:type="dxa"/>
            <w:noWrap/>
            <w:hideMark/>
          </w:tcPr>
          <w:p w14:paraId="0F6BE632" w14:textId="77777777" w:rsidR="002C785B" w:rsidRPr="004F09DE" w:rsidRDefault="002C785B" w:rsidP="008C0434">
            <w:pPr>
              <w:jc w:val="right"/>
              <w:rPr>
                <w:rFonts w:cs="Arial"/>
                <w:sz w:val="16"/>
                <w:szCs w:val="16"/>
              </w:rPr>
            </w:pPr>
            <w:r w:rsidRPr="004F09DE">
              <w:rPr>
                <w:rFonts w:cs="Arial"/>
                <w:sz w:val="16"/>
                <w:szCs w:val="16"/>
              </w:rPr>
              <w:t>20</w:t>
            </w:r>
          </w:p>
        </w:tc>
        <w:tc>
          <w:tcPr>
            <w:tcW w:w="1843" w:type="dxa"/>
            <w:noWrap/>
            <w:hideMark/>
          </w:tcPr>
          <w:p w14:paraId="396AC2DD" w14:textId="77777777" w:rsidR="002C785B" w:rsidRPr="004F09DE" w:rsidRDefault="002C785B" w:rsidP="008C0434">
            <w:pPr>
              <w:jc w:val="right"/>
              <w:rPr>
                <w:rFonts w:cs="Arial"/>
                <w:sz w:val="16"/>
                <w:szCs w:val="16"/>
              </w:rPr>
            </w:pPr>
            <w:r w:rsidRPr="004F09DE">
              <w:rPr>
                <w:rFonts w:cs="Arial"/>
                <w:sz w:val="16"/>
                <w:szCs w:val="16"/>
              </w:rPr>
              <w:t>27</w:t>
            </w:r>
          </w:p>
        </w:tc>
        <w:tc>
          <w:tcPr>
            <w:tcW w:w="1984" w:type="dxa"/>
            <w:noWrap/>
            <w:hideMark/>
          </w:tcPr>
          <w:p w14:paraId="4FC262B0" w14:textId="77777777" w:rsidR="002C785B" w:rsidRPr="004F09DE" w:rsidRDefault="002C785B" w:rsidP="008C0434">
            <w:pPr>
              <w:jc w:val="right"/>
              <w:rPr>
                <w:rFonts w:cs="Arial"/>
                <w:sz w:val="16"/>
                <w:szCs w:val="16"/>
              </w:rPr>
            </w:pPr>
            <w:r w:rsidRPr="004F09DE">
              <w:rPr>
                <w:rFonts w:cs="Arial"/>
                <w:sz w:val="16"/>
                <w:szCs w:val="16"/>
              </w:rPr>
              <w:t>42</w:t>
            </w:r>
          </w:p>
        </w:tc>
      </w:tr>
      <w:tr w:rsidR="002C785B" w:rsidRPr="004F09DE" w14:paraId="3621FB1D" w14:textId="77777777" w:rsidTr="00221877">
        <w:trPr>
          <w:trHeight w:val="236"/>
        </w:trPr>
        <w:tc>
          <w:tcPr>
            <w:tcW w:w="1559" w:type="dxa"/>
            <w:noWrap/>
            <w:hideMark/>
          </w:tcPr>
          <w:p w14:paraId="0CF89287" w14:textId="77777777" w:rsidR="002C785B" w:rsidRPr="004F09DE" w:rsidRDefault="002C785B" w:rsidP="005000BC">
            <w:pPr>
              <w:rPr>
                <w:rFonts w:cs="Arial"/>
                <w:sz w:val="16"/>
                <w:szCs w:val="16"/>
              </w:rPr>
            </w:pPr>
            <w:r w:rsidRPr="004F09DE">
              <w:rPr>
                <w:rFonts w:cs="Arial"/>
                <w:sz w:val="16"/>
                <w:szCs w:val="16"/>
              </w:rPr>
              <w:t>ICE</w:t>
            </w:r>
          </w:p>
        </w:tc>
        <w:tc>
          <w:tcPr>
            <w:tcW w:w="1568" w:type="dxa"/>
            <w:noWrap/>
            <w:hideMark/>
          </w:tcPr>
          <w:p w14:paraId="3719EC88" w14:textId="77777777" w:rsidR="002C785B" w:rsidRPr="004F09DE" w:rsidRDefault="002C785B" w:rsidP="008C0434">
            <w:pPr>
              <w:jc w:val="right"/>
              <w:rPr>
                <w:rFonts w:cs="Arial"/>
                <w:sz w:val="16"/>
                <w:szCs w:val="16"/>
              </w:rPr>
            </w:pPr>
            <w:r w:rsidRPr="004F09DE">
              <w:rPr>
                <w:rFonts w:cs="Arial"/>
                <w:sz w:val="16"/>
                <w:szCs w:val="16"/>
              </w:rPr>
              <w:t>71</w:t>
            </w:r>
          </w:p>
        </w:tc>
        <w:tc>
          <w:tcPr>
            <w:tcW w:w="1551" w:type="dxa"/>
            <w:noWrap/>
            <w:hideMark/>
          </w:tcPr>
          <w:p w14:paraId="7893ECAD" w14:textId="77777777" w:rsidR="002C785B" w:rsidRPr="004F09DE" w:rsidRDefault="002C785B" w:rsidP="008C0434">
            <w:pPr>
              <w:jc w:val="right"/>
              <w:rPr>
                <w:rFonts w:cs="Arial"/>
                <w:sz w:val="16"/>
                <w:szCs w:val="16"/>
              </w:rPr>
            </w:pPr>
            <w:r w:rsidRPr="004F09DE">
              <w:rPr>
                <w:rFonts w:cs="Arial"/>
                <w:sz w:val="16"/>
                <w:szCs w:val="16"/>
              </w:rPr>
              <w:t>71</w:t>
            </w:r>
          </w:p>
        </w:tc>
        <w:tc>
          <w:tcPr>
            <w:tcW w:w="1843" w:type="dxa"/>
            <w:noWrap/>
            <w:hideMark/>
          </w:tcPr>
          <w:p w14:paraId="5DEBAFCB"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35C3DDD5" w14:textId="77777777" w:rsidR="002C785B" w:rsidRPr="004F09DE" w:rsidRDefault="002C785B" w:rsidP="008C0434">
            <w:pPr>
              <w:jc w:val="right"/>
              <w:rPr>
                <w:rFonts w:cs="Arial"/>
                <w:sz w:val="16"/>
                <w:szCs w:val="16"/>
              </w:rPr>
            </w:pPr>
            <w:r w:rsidRPr="004F09DE">
              <w:rPr>
                <w:rFonts w:cs="Arial"/>
                <w:sz w:val="16"/>
                <w:szCs w:val="16"/>
              </w:rPr>
              <w:t>71</w:t>
            </w:r>
          </w:p>
        </w:tc>
      </w:tr>
      <w:tr w:rsidR="002C785B" w:rsidRPr="004F09DE" w14:paraId="0A208455" w14:textId="77777777" w:rsidTr="00221877">
        <w:trPr>
          <w:trHeight w:val="236"/>
        </w:trPr>
        <w:tc>
          <w:tcPr>
            <w:tcW w:w="1559" w:type="dxa"/>
            <w:noWrap/>
            <w:hideMark/>
          </w:tcPr>
          <w:p w14:paraId="50AB4CFE" w14:textId="77777777" w:rsidR="002C785B" w:rsidRPr="004F09DE" w:rsidRDefault="002C785B" w:rsidP="005000BC">
            <w:pPr>
              <w:rPr>
                <w:rFonts w:cs="Arial"/>
                <w:sz w:val="16"/>
                <w:szCs w:val="16"/>
              </w:rPr>
            </w:pPr>
            <w:r w:rsidRPr="004F09DE">
              <w:rPr>
                <w:rFonts w:cs="Arial"/>
                <w:sz w:val="16"/>
                <w:szCs w:val="16"/>
              </w:rPr>
              <w:t>Nasdaq OMX</w:t>
            </w:r>
          </w:p>
        </w:tc>
        <w:tc>
          <w:tcPr>
            <w:tcW w:w="1568" w:type="dxa"/>
            <w:noWrap/>
            <w:hideMark/>
          </w:tcPr>
          <w:p w14:paraId="56B594B9" w14:textId="77777777" w:rsidR="002C785B" w:rsidRPr="004F09DE" w:rsidRDefault="002C785B" w:rsidP="008C0434">
            <w:pPr>
              <w:jc w:val="right"/>
              <w:rPr>
                <w:rFonts w:cs="Arial"/>
                <w:sz w:val="16"/>
                <w:szCs w:val="16"/>
              </w:rPr>
            </w:pPr>
            <w:r w:rsidRPr="004F09DE">
              <w:rPr>
                <w:rFonts w:cs="Arial"/>
                <w:sz w:val="16"/>
                <w:szCs w:val="16"/>
              </w:rPr>
              <w:t>78</w:t>
            </w:r>
          </w:p>
        </w:tc>
        <w:tc>
          <w:tcPr>
            <w:tcW w:w="1551" w:type="dxa"/>
            <w:noWrap/>
            <w:hideMark/>
          </w:tcPr>
          <w:p w14:paraId="0F175EFE" w14:textId="77777777" w:rsidR="002C785B" w:rsidRPr="004F09DE" w:rsidRDefault="002C785B" w:rsidP="008C0434">
            <w:pPr>
              <w:jc w:val="right"/>
              <w:rPr>
                <w:rFonts w:cs="Arial"/>
                <w:sz w:val="16"/>
                <w:szCs w:val="16"/>
              </w:rPr>
            </w:pPr>
            <w:r w:rsidRPr="004F09DE">
              <w:rPr>
                <w:rFonts w:cs="Arial"/>
                <w:sz w:val="16"/>
                <w:szCs w:val="16"/>
              </w:rPr>
              <w:t>70</w:t>
            </w:r>
          </w:p>
        </w:tc>
        <w:tc>
          <w:tcPr>
            <w:tcW w:w="1843" w:type="dxa"/>
            <w:noWrap/>
            <w:hideMark/>
          </w:tcPr>
          <w:p w14:paraId="0EA3EB53"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418799B5" w14:textId="77777777" w:rsidR="002C785B" w:rsidRPr="004F09DE" w:rsidRDefault="002C785B" w:rsidP="008C0434">
            <w:pPr>
              <w:jc w:val="right"/>
              <w:rPr>
                <w:rFonts w:cs="Arial"/>
                <w:sz w:val="16"/>
                <w:szCs w:val="16"/>
              </w:rPr>
            </w:pPr>
            <w:r w:rsidRPr="004F09DE">
              <w:rPr>
                <w:rFonts w:cs="Arial"/>
                <w:sz w:val="16"/>
                <w:szCs w:val="16"/>
              </w:rPr>
              <w:t>76</w:t>
            </w:r>
          </w:p>
        </w:tc>
      </w:tr>
      <w:tr w:rsidR="002C785B" w:rsidRPr="004F09DE" w14:paraId="73B99FED" w14:textId="77777777" w:rsidTr="00221877">
        <w:trPr>
          <w:trHeight w:val="236"/>
        </w:trPr>
        <w:tc>
          <w:tcPr>
            <w:tcW w:w="1559" w:type="dxa"/>
            <w:noWrap/>
            <w:hideMark/>
          </w:tcPr>
          <w:p w14:paraId="1C81609C" w14:textId="77777777" w:rsidR="002C785B" w:rsidRPr="004F09DE" w:rsidRDefault="002C785B" w:rsidP="005000BC">
            <w:pPr>
              <w:rPr>
                <w:rFonts w:cs="Arial"/>
                <w:sz w:val="16"/>
                <w:szCs w:val="16"/>
              </w:rPr>
            </w:pPr>
            <w:r w:rsidRPr="004F09DE">
              <w:rPr>
                <w:rFonts w:cs="Arial"/>
                <w:sz w:val="16"/>
                <w:szCs w:val="16"/>
              </w:rPr>
              <w:t>Euronext Dutch</w:t>
            </w:r>
          </w:p>
        </w:tc>
        <w:tc>
          <w:tcPr>
            <w:tcW w:w="1568" w:type="dxa"/>
            <w:noWrap/>
            <w:hideMark/>
          </w:tcPr>
          <w:p w14:paraId="2A640F33" w14:textId="77777777" w:rsidR="002C785B" w:rsidRPr="004F09DE" w:rsidRDefault="002C785B" w:rsidP="008C0434">
            <w:pPr>
              <w:jc w:val="right"/>
              <w:rPr>
                <w:rFonts w:cs="Arial"/>
                <w:sz w:val="16"/>
                <w:szCs w:val="16"/>
              </w:rPr>
            </w:pPr>
            <w:r w:rsidRPr="004F09DE">
              <w:rPr>
                <w:rFonts w:cs="Arial"/>
                <w:sz w:val="16"/>
                <w:szCs w:val="16"/>
              </w:rPr>
              <w:t>47</w:t>
            </w:r>
          </w:p>
        </w:tc>
        <w:tc>
          <w:tcPr>
            <w:tcW w:w="1551" w:type="dxa"/>
            <w:noWrap/>
            <w:hideMark/>
          </w:tcPr>
          <w:p w14:paraId="5BA7D8CA" w14:textId="77777777" w:rsidR="002C785B" w:rsidRPr="004F09DE" w:rsidRDefault="002C785B" w:rsidP="008C0434">
            <w:pPr>
              <w:jc w:val="right"/>
              <w:rPr>
                <w:rFonts w:cs="Arial"/>
                <w:sz w:val="16"/>
                <w:szCs w:val="16"/>
              </w:rPr>
            </w:pPr>
            <w:r w:rsidRPr="004F09DE">
              <w:rPr>
                <w:rFonts w:cs="Arial"/>
                <w:sz w:val="16"/>
                <w:szCs w:val="16"/>
              </w:rPr>
              <w:t>20</w:t>
            </w:r>
          </w:p>
        </w:tc>
        <w:tc>
          <w:tcPr>
            <w:tcW w:w="1843" w:type="dxa"/>
            <w:noWrap/>
            <w:hideMark/>
          </w:tcPr>
          <w:p w14:paraId="51349F3D" w14:textId="77777777" w:rsidR="002C785B" w:rsidRPr="004F09DE" w:rsidRDefault="002C785B" w:rsidP="008C0434">
            <w:pPr>
              <w:jc w:val="right"/>
              <w:rPr>
                <w:rFonts w:cs="Arial"/>
                <w:sz w:val="16"/>
                <w:szCs w:val="16"/>
              </w:rPr>
            </w:pPr>
            <w:r w:rsidRPr="004F09DE">
              <w:rPr>
                <w:rFonts w:cs="Arial"/>
                <w:sz w:val="16"/>
                <w:szCs w:val="16"/>
              </w:rPr>
              <w:t>33</w:t>
            </w:r>
          </w:p>
        </w:tc>
        <w:tc>
          <w:tcPr>
            <w:tcW w:w="1984" w:type="dxa"/>
            <w:noWrap/>
            <w:hideMark/>
          </w:tcPr>
          <w:p w14:paraId="6ACDC98A" w14:textId="77777777" w:rsidR="002C785B" w:rsidRPr="004F09DE" w:rsidRDefault="002C785B" w:rsidP="008C0434">
            <w:pPr>
              <w:jc w:val="right"/>
              <w:rPr>
                <w:rFonts w:cs="Arial"/>
                <w:sz w:val="16"/>
                <w:szCs w:val="16"/>
              </w:rPr>
            </w:pPr>
            <w:r w:rsidRPr="004F09DE">
              <w:rPr>
                <w:rFonts w:cs="Arial"/>
                <w:sz w:val="16"/>
                <w:szCs w:val="16"/>
              </w:rPr>
              <w:t>43</w:t>
            </w:r>
          </w:p>
        </w:tc>
      </w:tr>
      <w:tr w:rsidR="002C785B" w:rsidRPr="004F09DE" w14:paraId="0EFBDB03" w14:textId="77777777" w:rsidTr="00221877">
        <w:trPr>
          <w:trHeight w:val="236"/>
        </w:trPr>
        <w:tc>
          <w:tcPr>
            <w:tcW w:w="1559" w:type="dxa"/>
            <w:noWrap/>
            <w:hideMark/>
          </w:tcPr>
          <w:p w14:paraId="33393D69" w14:textId="77777777" w:rsidR="002C785B" w:rsidRPr="004F09DE" w:rsidRDefault="002C785B" w:rsidP="005000BC">
            <w:pPr>
              <w:rPr>
                <w:rFonts w:cs="Arial"/>
                <w:sz w:val="16"/>
                <w:szCs w:val="16"/>
              </w:rPr>
            </w:pPr>
            <w:proofErr w:type="spellStart"/>
            <w:r w:rsidRPr="004F09DE">
              <w:rPr>
                <w:rFonts w:cs="Arial"/>
                <w:sz w:val="16"/>
                <w:szCs w:val="16"/>
              </w:rPr>
              <w:t>Borsa</w:t>
            </w:r>
            <w:proofErr w:type="spellEnd"/>
            <w:r w:rsidRPr="004F09DE">
              <w:rPr>
                <w:rFonts w:cs="Arial"/>
                <w:sz w:val="16"/>
                <w:szCs w:val="16"/>
              </w:rPr>
              <w:t xml:space="preserve"> </w:t>
            </w:r>
            <w:proofErr w:type="spellStart"/>
            <w:r w:rsidRPr="004F09DE">
              <w:rPr>
                <w:rFonts w:cs="Arial"/>
                <w:sz w:val="16"/>
                <w:szCs w:val="16"/>
              </w:rPr>
              <w:t>Italiana</w:t>
            </w:r>
            <w:proofErr w:type="spellEnd"/>
          </w:p>
        </w:tc>
        <w:tc>
          <w:tcPr>
            <w:tcW w:w="1568" w:type="dxa"/>
            <w:noWrap/>
            <w:hideMark/>
          </w:tcPr>
          <w:p w14:paraId="35F5B7CB" w14:textId="77777777" w:rsidR="002C785B" w:rsidRPr="004F09DE" w:rsidRDefault="002C785B" w:rsidP="008C0434">
            <w:pPr>
              <w:jc w:val="right"/>
              <w:rPr>
                <w:rFonts w:cs="Arial"/>
                <w:sz w:val="16"/>
                <w:szCs w:val="16"/>
              </w:rPr>
            </w:pPr>
            <w:r w:rsidRPr="004F09DE">
              <w:rPr>
                <w:rFonts w:cs="Arial"/>
                <w:sz w:val="16"/>
                <w:szCs w:val="16"/>
              </w:rPr>
              <w:t>43</w:t>
            </w:r>
          </w:p>
        </w:tc>
        <w:tc>
          <w:tcPr>
            <w:tcW w:w="1551" w:type="dxa"/>
            <w:noWrap/>
            <w:hideMark/>
          </w:tcPr>
          <w:p w14:paraId="2E98A7A3" w14:textId="77777777" w:rsidR="002C785B" w:rsidRPr="004F09DE" w:rsidRDefault="002C785B" w:rsidP="008C0434">
            <w:pPr>
              <w:jc w:val="right"/>
              <w:rPr>
                <w:rFonts w:cs="Arial"/>
                <w:sz w:val="16"/>
                <w:szCs w:val="16"/>
              </w:rPr>
            </w:pPr>
            <w:r w:rsidRPr="004F09DE">
              <w:rPr>
                <w:rFonts w:cs="Arial"/>
                <w:sz w:val="16"/>
                <w:szCs w:val="16"/>
              </w:rPr>
              <w:t>24</w:t>
            </w:r>
          </w:p>
        </w:tc>
        <w:tc>
          <w:tcPr>
            <w:tcW w:w="1843" w:type="dxa"/>
            <w:noWrap/>
            <w:hideMark/>
          </w:tcPr>
          <w:p w14:paraId="3163D73B"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5E44C30E" w14:textId="77777777" w:rsidR="002C785B" w:rsidRPr="004F09DE" w:rsidRDefault="002C785B" w:rsidP="008C0434">
            <w:pPr>
              <w:jc w:val="right"/>
              <w:rPr>
                <w:rFonts w:cs="Arial"/>
                <w:sz w:val="16"/>
                <w:szCs w:val="16"/>
              </w:rPr>
            </w:pPr>
            <w:r w:rsidRPr="004F09DE">
              <w:rPr>
                <w:rFonts w:cs="Arial"/>
                <w:sz w:val="16"/>
                <w:szCs w:val="16"/>
              </w:rPr>
              <w:t>39</w:t>
            </w:r>
          </w:p>
        </w:tc>
      </w:tr>
      <w:tr w:rsidR="002C785B" w:rsidRPr="004F09DE" w14:paraId="0AA92DB4" w14:textId="77777777" w:rsidTr="00221877">
        <w:trPr>
          <w:trHeight w:val="236"/>
        </w:trPr>
        <w:tc>
          <w:tcPr>
            <w:tcW w:w="1559" w:type="dxa"/>
            <w:noWrap/>
            <w:hideMark/>
          </w:tcPr>
          <w:p w14:paraId="6F0DBD48" w14:textId="77777777" w:rsidR="002C785B" w:rsidRPr="004F09DE" w:rsidRDefault="002C785B" w:rsidP="005000BC">
            <w:pPr>
              <w:rPr>
                <w:rFonts w:cs="Arial"/>
                <w:sz w:val="16"/>
                <w:szCs w:val="16"/>
              </w:rPr>
            </w:pPr>
            <w:r w:rsidRPr="004F09DE">
              <w:rPr>
                <w:rFonts w:cs="Arial"/>
                <w:sz w:val="16"/>
                <w:szCs w:val="16"/>
              </w:rPr>
              <w:t>LSE</w:t>
            </w:r>
          </w:p>
        </w:tc>
        <w:tc>
          <w:tcPr>
            <w:tcW w:w="1568" w:type="dxa"/>
            <w:noWrap/>
            <w:hideMark/>
          </w:tcPr>
          <w:p w14:paraId="7D236006" w14:textId="77777777" w:rsidR="002C785B" w:rsidRPr="004F09DE" w:rsidRDefault="002C785B" w:rsidP="008C0434">
            <w:pPr>
              <w:jc w:val="right"/>
              <w:rPr>
                <w:rFonts w:cs="Arial"/>
                <w:sz w:val="16"/>
                <w:szCs w:val="16"/>
              </w:rPr>
            </w:pPr>
            <w:r w:rsidRPr="004F09DE">
              <w:rPr>
                <w:rFonts w:cs="Arial"/>
                <w:sz w:val="16"/>
                <w:szCs w:val="16"/>
              </w:rPr>
              <w:t>5</w:t>
            </w:r>
          </w:p>
        </w:tc>
        <w:tc>
          <w:tcPr>
            <w:tcW w:w="1551" w:type="dxa"/>
            <w:noWrap/>
            <w:hideMark/>
          </w:tcPr>
          <w:p w14:paraId="5127C389" w14:textId="77777777" w:rsidR="002C785B" w:rsidRPr="004F09DE" w:rsidRDefault="002C785B" w:rsidP="008C0434">
            <w:pPr>
              <w:jc w:val="right"/>
              <w:rPr>
                <w:rFonts w:cs="Arial"/>
                <w:sz w:val="16"/>
                <w:szCs w:val="16"/>
              </w:rPr>
            </w:pPr>
            <w:r w:rsidRPr="004F09DE">
              <w:rPr>
                <w:rFonts w:cs="Arial"/>
                <w:sz w:val="16"/>
                <w:szCs w:val="16"/>
              </w:rPr>
              <w:t>5</w:t>
            </w:r>
          </w:p>
        </w:tc>
        <w:tc>
          <w:tcPr>
            <w:tcW w:w="1843" w:type="dxa"/>
            <w:noWrap/>
            <w:hideMark/>
          </w:tcPr>
          <w:p w14:paraId="7D853442"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7A32D1D7" w14:textId="77777777" w:rsidR="002C785B" w:rsidRPr="004F09DE" w:rsidRDefault="002C785B" w:rsidP="008C0434">
            <w:pPr>
              <w:jc w:val="right"/>
              <w:rPr>
                <w:rFonts w:cs="Arial"/>
                <w:sz w:val="16"/>
                <w:szCs w:val="16"/>
              </w:rPr>
            </w:pPr>
            <w:r w:rsidRPr="004F09DE">
              <w:rPr>
                <w:rFonts w:cs="Arial"/>
                <w:sz w:val="16"/>
                <w:szCs w:val="16"/>
              </w:rPr>
              <w:t>5</w:t>
            </w:r>
          </w:p>
        </w:tc>
      </w:tr>
      <w:tr w:rsidR="002C785B" w:rsidRPr="004F09DE" w14:paraId="1C2D312B" w14:textId="77777777" w:rsidTr="00221877">
        <w:trPr>
          <w:trHeight w:val="236"/>
        </w:trPr>
        <w:tc>
          <w:tcPr>
            <w:tcW w:w="1559" w:type="dxa"/>
            <w:noWrap/>
            <w:hideMark/>
          </w:tcPr>
          <w:p w14:paraId="174B0AF7" w14:textId="77777777" w:rsidR="002C785B" w:rsidRPr="004F09DE" w:rsidRDefault="002C785B" w:rsidP="005000BC">
            <w:pPr>
              <w:rPr>
                <w:rFonts w:cs="Arial"/>
                <w:sz w:val="16"/>
                <w:szCs w:val="16"/>
              </w:rPr>
            </w:pPr>
            <w:r w:rsidRPr="004F09DE">
              <w:rPr>
                <w:rFonts w:cs="Arial"/>
                <w:sz w:val="16"/>
                <w:szCs w:val="16"/>
              </w:rPr>
              <w:t>MEFF</w:t>
            </w:r>
          </w:p>
        </w:tc>
        <w:tc>
          <w:tcPr>
            <w:tcW w:w="1568" w:type="dxa"/>
            <w:noWrap/>
            <w:hideMark/>
          </w:tcPr>
          <w:p w14:paraId="34F05E87" w14:textId="77777777" w:rsidR="002C785B" w:rsidRPr="004F09DE" w:rsidRDefault="002C785B" w:rsidP="008C0434">
            <w:pPr>
              <w:jc w:val="right"/>
              <w:rPr>
                <w:rFonts w:cs="Arial"/>
                <w:sz w:val="16"/>
                <w:szCs w:val="16"/>
              </w:rPr>
            </w:pPr>
            <w:r w:rsidRPr="004F09DE">
              <w:rPr>
                <w:rFonts w:cs="Arial"/>
                <w:sz w:val="16"/>
                <w:szCs w:val="16"/>
              </w:rPr>
              <w:t>28</w:t>
            </w:r>
          </w:p>
        </w:tc>
        <w:tc>
          <w:tcPr>
            <w:tcW w:w="1551" w:type="dxa"/>
            <w:noWrap/>
            <w:hideMark/>
          </w:tcPr>
          <w:p w14:paraId="04672EBF" w14:textId="77777777" w:rsidR="002C785B" w:rsidRPr="004F09DE" w:rsidRDefault="002C785B" w:rsidP="008C0434">
            <w:pPr>
              <w:jc w:val="right"/>
              <w:rPr>
                <w:rFonts w:cs="Arial"/>
                <w:sz w:val="16"/>
                <w:szCs w:val="16"/>
              </w:rPr>
            </w:pPr>
            <w:r w:rsidRPr="004F09DE">
              <w:rPr>
                <w:rFonts w:cs="Arial"/>
                <w:sz w:val="16"/>
                <w:szCs w:val="16"/>
              </w:rPr>
              <w:t>11</w:t>
            </w:r>
          </w:p>
        </w:tc>
        <w:tc>
          <w:tcPr>
            <w:tcW w:w="1843" w:type="dxa"/>
            <w:noWrap/>
            <w:hideMark/>
          </w:tcPr>
          <w:p w14:paraId="057916BA"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1169A009" w14:textId="77777777" w:rsidR="002C785B" w:rsidRPr="004F09DE" w:rsidRDefault="002C785B" w:rsidP="008C0434">
            <w:pPr>
              <w:jc w:val="right"/>
              <w:rPr>
                <w:rFonts w:cs="Arial"/>
                <w:sz w:val="16"/>
                <w:szCs w:val="16"/>
              </w:rPr>
            </w:pPr>
            <w:r w:rsidRPr="004F09DE">
              <w:rPr>
                <w:rFonts w:cs="Arial"/>
                <w:sz w:val="16"/>
                <w:szCs w:val="16"/>
              </w:rPr>
              <w:t>24</w:t>
            </w:r>
          </w:p>
        </w:tc>
      </w:tr>
      <w:tr w:rsidR="002C785B" w:rsidRPr="004F09DE" w14:paraId="719AE002" w14:textId="77777777" w:rsidTr="00221877">
        <w:trPr>
          <w:trHeight w:val="236"/>
        </w:trPr>
        <w:tc>
          <w:tcPr>
            <w:tcW w:w="1559" w:type="dxa"/>
            <w:noWrap/>
            <w:hideMark/>
          </w:tcPr>
          <w:p w14:paraId="0CC4056F" w14:textId="77777777" w:rsidR="002C785B" w:rsidRPr="004F09DE" w:rsidRDefault="002C785B" w:rsidP="005000BC">
            <w:pPr>
              <w:rPr>
                <w:rFonts w:cs="Arial"/>
                <w:sz w:val="16"/>
                <w:szCs w:val="16"/>
              </w:rPr>
            </w:pPr>
            <w:r w:rsidRPr="004F09DE">
              <w:rPr>
                <w:rFonts w:cs="Arial"/>
                <w:sz w:val="16"/>
                <w:szCs w:val="16"/>
              </w:rPr>
              <w:t xml:space="preserve">Oslo </w:t>
            </w:r>
            <w:proofErr w:type="spellStart"/>
            <w:r w:rsidRPr="004F09DE">
              <w:rPr>
                <w:rFonts w:cs="Arial"/>
                <w:sz w:val="16"/>
                <w:szCs w:val="16"/>
              </w:rPr>
              <w:t>B</w:t>
            </w:r>
            <w:r w:rsidR="009A28A3">
              <w:rPr>
                <w:rFonts w:cs="Arial"/>
                <w:sz w:val="16"/>
                <w:szCs w:val="16"/>
              </w:rPr>
              <w:t>ø</w:t>
            </w:r>
            <w:r w:rsidRPr="004F09DE">
              <w:rPr>
                <w:rFonts w:cs="Arial"/>
                <w:sz w:val="16"/>
                <w:szCs w:val="16"/>
              </w:rPr>
              <w:t>rs</w:t>
            </w:r>
            <w:proofErr w:type="spellEnd"/>
          </w:p>
        </w:tc>
        <w:tc>
          <w:tcPr>
            <w:tcW w:w="1568" w:type="dxa"/>
            <w:noWrap/>
            <w:hideMark/>
          </w:tcPr>
          <w:p w14:paraId="57111963" w14:textId="77777777" w:rsidR="002C785B" w:rsidRPr="004F09DE" w:rsidRDefault="002C785B" w:rsidP="008C0434">
            <w:pPr>
              <w:jc w:val="right"/>
              <w:rPr>
                <w:rFonts w:cs="Arial"/>
                <w:sz w:val="16"/>
                <w:szCs w:val="16"/>
              </w:rPr>
            </w:pPr>
            <w:r w:rsidRPr="004F09DE">
              <w:rPr>
                <w:rFonts w:cs="Arial"/>
                <w:sz w:val="16"/>
                <w:szCs w:val="16"/>
              </w:rPr>
              <w:t>10</w:t>
            </w:r>
          </w:p>
        </w:tc>
        <w:tc>
          <w:tcPr>
            <w:tcW w:w="1551" w:type="dxa"/>
            <w:noWrap/>
            <w:hideMark/>
          </w:tcPr>
          <w:p w14:paraId="4607CF4B" w14:textId="77777777" w:rsidR="002C785B" w:rsidRPr="004F09DE" w:rsidRDefault="002C785B" w:rsidP="008C0434">
            <w:pPr>
              <w:jc w:val="right"/>
              <w:rPr>
                <w:rFonts w:cs="Arial"/>
                <w:sz w:val="16"/>
                <w:szCs w:val="16"/>
              </w:rPr>
            </w:pPr>
            <w:r w:rsidRPr="004F09DE">
              <w:rPr>
                <w:rFonts w:cs="Arial"/>
                <w:sz w:val="16"/>
                <w:szCs w:val="16"/>
              </w:rPr>
              <w:t>10</w:t>
            </w:r>
          </w:p>
        </w:tc>
        <w:tc>
          <w:tcPr>
            <w:tcW w:w="1843" w:type="dxa"/>
            <w:noWrap/>
            <w:hideMark/>
          </w:tcPr>
          <w:p w14:paraId="34A85267"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386E114F" w14:textId="77777777" w:rsidR="002C785B" w:rsidRPr="004F09DE" w:rsidRDefault="002C785B" w:rsidP="008C0434">
            <w:pPr>
              <w:jc w:val="right"/>
              <w:rPr>
                <w:rFonts w:cs="Arial"/>
                <w:sz w:val="16"/>
                <w:szCs w:val="16"/>
              </w:rPr>
            </w:pPr>
            <w:r w:rsidRPr="004F09DE">
              <w:rPr>
                <w:rFonts w:cs="Arial"/>
                <w:sz w:val="16"/>
                <w:szCs w:val="16"/>
              </w:rPr>
              <w:t>10</w:t>
            </w:r>
          </w:p>
        </w:tc>
      </w:tr>
      <w:tr w:rsidR="002C785B" w:rsidRPr="004F09DE" w14:paraId="0CF26731" w14:textId="77777777" w:rsidTr="00221877">
        <w:trPr>
          <w:trHeight w:val="236"/>
        </w:trPr>
        <w:tc>
          <w:tcPr>
            <w:tcW w:w="1559" w:type="dxa"/>
            <w:noWrap/>
            <w:hideMark/>
          </w:tcPr>
          <w:p w14:paraId="5D90A489" w14:textId="77777777" w:rsidR="002C785B" w:rsidRPr="00DB377B" w:rsidRDefault="002C785B" w:rsidP="005000BC">
            <w:pPr>
              <w:rPr>
                <w:b/>
                <w:bCs/>
                <w:sz w:val="16"/>
              </w:rPr>
            </w:pPr>
            <w:r w:rsidRPr="00DB377B">
              <w:rPr>
                <w:b/>
                <w:bCs/>
                <w:sz w:val="16"/>
              </w:rPr>
              <w:t>Total</w:t>
            </w:r>
          </w:p>
        </w:tc>
        <w:tc>
          <w:tcPr>
            <w:tcW w:w="1568" w:type="dxa"/>
            <w:noWrap/>
            <w:hideMark/>
          </w:tcPr>
          <w:p w14:paraId="110506B2" w14:textId="77777777" w:rsidR="002C785B" w:rsidRPr="00DB377B" w:rsidRDefault="002C785B" w:rsidP="008C0434">
            <w:pPr>
              <w:jc w:val="right"/>
              <w:rPr>
                <w:b/>
                <w:bCs/>
                <w:sz w:val="16"/>
              </w:rPr>
            </w:pPr>
            <w:r w:rsidRPr="00DB377B">
              <w:rPr>
                <w:b/>
                <w:bCs/>
                <w:sz w:val="16"/>
              </w:rPr>
              <w:t>645</w:t>
            </w:r>
          </w:p>
        </w:tc>
        <w:tc>
          <w:tcPr>
            <w:tcW w:w="1551" w:type="dxa"/>
            <w:noWrap/>
            <w:hideMark/>
          </w:tcPr>
          <w:p w14:paraId="08DE95DC" w14:textId="77777777" w:rsidR="002C785B" w:rsidRPr="00DB377B" w:rsidRDefault="002C785B" w:rsidP="008C0434">
            <w:pPr>
              <w:jc w:val="right"/>
              <w:rPr>
                <w:b/>
                <w:bCs/>
                <w:sz w:val="16"/>
              </w:rPr>
            </w:pPr>
            <w:r w:rsidRPr="00DB377B">
              <w:rPr>
                <w:b/>
                <w:bCs/>
                <w:sz w:val="16"/>
              </w:rPr>
              <w:t>397</w:t>
            </w:r>
          </w:p>
        </w:tc>
        <w:tc>
          <w:tcPr>
            <w:tcW w:w="1843" w:type="dxa"/>
            <w:noWrap/>
            <w:hideMark/>
          </w:tcPr>
          <w:p w14:paraId="5E27DF6E" w14:textId="77777777" w:rsidR="002C785B" w:rsidRPr="00DB377B" w:rsidRDefault="002C785B" w:rsidP="008C0434">
            <w:pPr>
              <w:jc w:val="right"/>
              <w:rPr>
                <w:b/>
                <w:bCs/>
                <w:sz w:val="16"/>
              </w:rPr>
            </w:pPr>
            <w:r w:rsidRPr="00DB377B">
              <w:rPr>
                <w:b/>
                <w:bCs/>
                <w:sz w:val="16"/>
              </w:rPr>
              <w:t>302</w:t>
            </w:r>
          </w:p>
        </w:tc>
        <w:tc>
          <w:tcPr>
            <w:tcW w:w="1984" w:type="dxa"/>
            <w:noWrap/>
            <w:hideMark/>
          </w:tcPr>
          <w:p w14:paraId="3AB355E1" w14:textId="77777777" w:rsidR="002C785B" w:rsidRPr="00DB377B" w:rsidRDefault="002C785B" w:rsidP="008C0434">
            <w:pPr>
              <w:jc w:val="right"/>
              <w:rPr>
                <w:b/>
                <w:bCs/>
                <w:sz w:val="16"/>
              </w:rPr>
            </w:pPr>
            <w:r w:rsidRPr="00DB377B">
              <w:rPr>
                <w:b/>
                <w:bCs/>
                <w:sz w:val="16"/>
              </w:rPr>
              <w:t>617</w:t>
            </w:r>
          </w:p>
        </w:tc>
      </w:tr>
    </w:tbl>
    <w:p w14:paraId="4A6D7D18" w14:textId="77777777" w:rsidR="002C785B" w:rsidRPr="004F09DE" w:rsidRDefault="002C785B" w:rsidP="002C785B">
      <w:pPr>
        <w:rPr>
          <w:rFonts w:cs="Arial"/>
          <w:sz w:val="16"/>
          <w:szCs w:val="16"/>
        </w:rPr>
      </w:pPr>
    </w:p>
    <w:p w14:paraId="6564E7B2" w14:textId="55B6D8BC" w:rsidR="002C785B" w:rsidRPr="00B049B9" w:rsidRDefault="002C785B" w:rsidP="002C785B">
      <w:pPr>
        <w:ind w:firstLine="709"/>
        <w:rPr>
          <w:szCs w:val="20"/>
        </w:rPr>
      </w:pPr>
      <w:r w:rsidRPr="00B049B9">
        <w:rPr>
          <w:szCs w:val="20"/>
        </w:rPr>
        <w:t xml:space="preserve">Table </w:t>
      </w:r>
      <w:r w:rsidR="001A10A3">
        <w:rPr>
          <w:szCs w:val="20"/>
        </w:rPr>
        <w:t>4</w:t>
      </w:r>
      <w:r w:rsidRPr="00B049B9">
        <w:rPr>
          <w:szCs w:val="20"/>
        </w:rPr>
        <w:t xml:space="preserve"> (Index options)</w:t>
      </w:r>
    </w:p>
    <w:tbl>
      <w:tblPr>
        <w:tblStyle w:val="TableGrid"/>
        <w:tblW w:w="0" w:type="auto"/>
        <w:tblInd w:w="704" w:type="dxa"/>
        <w:tblLook w:val="04A0" w:firstRow="1" w:lastRow="0" w:firstColumn="1" w:lastColumn="0" w:noHBand="0" w:noVBand="1"/>
      </w:tblPr>
      <w:tblGrid>
        <w:gridCol w:w="1454"/>
        <w:gridCol w:w="1665"/>
        <w:gridCol w:w="1559"/>
        <w:gridCol w:w="1843"/>
        <w:gridCol w:w="1984"/>
      </w:tblGrid>
      <w:tr w:rsidR="002C785B" w:rsidRPr="004F09DE" w14:paraId="0003960D" w14:textId="77777777" w:rsidTr="00EF2E9A">
        <w:trPr>
          <w:trHeight w:val="300"/>
        </w:trPr>
        <w:tc>
          <w:tcPr>
            <w:tcW w:w="1454" w:type="dxa"/>
            <w:noWrap/>
            <w:hideMark/>
          </w:tcPr>
          <w:p w14:paraId="6B1979AB" w14:textId="77777777" w:rsidR="002C785B" w:rsidRPr="008C0434" w:rsidRDefault="002C785B" w:rsidP="005000BC">
            <w:pPr>
              <w:rPr>
                <w:rFonts w:cs="Arial"/>
                <w:b/>
                <w:bCs/>
                <w:sz w:val="16"/>
                <w:szCs w:val="16"/>
              </w:rPr>
            </w:pPr>
            <w:r w:rsidRPr="008C0434">
              <w:rPr>
                <w:rFonts w:cs="Arial"/>
                <w:b/>
                <w:bCs/>
                <w:sz w:val="16"/>
                <w:szCs w:val="16"/>
              </w:rPr>
              <w:t>Exchange</w:t>
            </w:r>
          </w:p>
        </w:tc>
        <w:tc>
          <w:tcPr>
            <w:tcW w:w="1665" w:type="dxa"/>
            <w:noWrap/>
            <w:hideMark/>
          </w:tcPr>
          <w:p w14:paraId="4B5D8570" w14:textId="77777777" w:rsidR="002C785B" w:rsidRPr="008C0434" w:rsidRDefault="002C785B" w:rsidP="005000BC">
            <w:pPr>
              <w:rPr>
                <w:rFonts w:cs="Arial"/>
                <w:b/>
                <w:bCs/>
                <w:sz w:val="16"/>
                <w:szCs w:val="16"/>
              </w:rPr>
            </w:pPr>
            <w:r w:rsidRPr="008C0434">
              <w:rPr>
                <w:rFonts w:cs="Arial"/>
                <w:b/>
                <w:bCs/>
                <w:sz w:val="16"/>
                <w:szCs w:val="16"/>
              </w:rPr>
              <w:t>Total unique ISIN's</w:t>
            </w:r>
          </w:p>
        </w:tc>
        <w:tc>
          <w:tcPr>
            <w:tcW w:w="1559" w:type="dxa"/>
            <w:noWrap/>
            <w:hideMark/>
          </w:tcPr>
          <w:p w14:paraId="5DD4FE51" w14:textId="77777777" w:rsidR="002C785B" w:rsidRPr="008C0434" w:rsidRDefault="002C785B" w:rsidP="005000BC">
            <w:pPr>
              <w:rPr>
                <w:rFonts w:cs="Arial"/>
                <w:b/>
                <w:bCs/>
                <w:sz w:val="16"/>
                <w:szCs w:val="16"/>
              </w:rPr>
            </w:pPr>
            <w:r w:rsidRPr="008C0434">
              <w:rPr>
                <w:rFonts w:cs="Arial"/>
                <w:b/>
                <w:bCs/>
                <w:sz w:val="16"/>
                <w:szCs w:val="16"/>
                <w:lang w:val="fr-BE"/>
              </w:rPr>
              <w:t xml:space="preserve">Min </w:t>
            </w:r>
            <w:proofErr w:type="spellStart"/>
            <w:r w:rsidRPr="008C0434">
              <w:rPr>
                <w:rFonts w:cs="Arial"/>
                <w:b/>
                <w:bCs/>
                <w:sz w:val="16"/>
                <w:szCs w:val="16"/>
                <w:lang w:val="fr-BE"/>
              </w:rPr>
              <w:t>Quote</w:t>
            </w:r>
            <w:proofErr w:type="spellEnd"/>
            <w:r w:rsidRPr="008C0434">
              <w:rPr>
                <w:rFonts w:cs="Arial"/>
                <w:b/>
                <w:bCs/>
                <w:sz w:val="16"/>
                <w:szCs w:val="16"/>
                <w:lang w:val="fr-BE"/>
              </w:rPr>
              <w:t xml:space="preserve"> size &gt; LIS </w:t>
            </w:r>
            <w:proofErr w:type="spellStart"/>
            <w:r w:rsidRPr="008C0434">
              <w:rPr>
                <w:rFonts w:cs="Arial"/>
                <w:b/>
                <w:bCs/>
                <w:sz w:val="16"/>
                <w:szCs w:val="16"/>
                <w:lang w:val="fr-BE"/>
              </w:rPr>
              <w:t>threshold</w:t>
            </w:r>
            <w:proofErr w:type="spellEnd"/>
          </w:p>
        </w:tc>
        <w:tc>
          <w:tcPr>
            <w:tcW w:w="1843" w:type="dxa"/>
            <w:noWrap/>
            <w:hideMark/>
          </w:tcPr>
          <w:p w14:paraId="4F2D4117" w14:textId="77777777" w:rsidR="002C785B" w:rsidRPr="008C0434" w:rsidRDefault="002C785B" w:rsidP="005000BC">
            <w:pPr>
              <w:rPr>
                <w:rFonts w:cs="Arial"/>
                <w:b/>
                <w:bCs/>
                <w:sz w:val="16"/>
                <w:szCs w:val="16"/>
              </w:rPr>
            </w:pPr>
            <w:r w:rsidRPr="008C0434">
              <w:rPr>
                <w:rFonts w:cs="Arial"/>
                <w:b/>
                <w:bCs/>
                <w:sz w:val="16"/>
                <w:szCs w:val="16"/>
              </w:rPr>
              <w:t>Screen Liquidity &gt; LIS threshold</w:t>
            </w:r>
          </w:p>
        </w:tc>
        <w:tc>
          <w:tcPr>
            <w:tcW w:w="1984" w:type="dxa"/>
            <w:noWrap/>
            <w:hideMark/>
          </w:tcPr>
          <w:p w14:paraId="1626FD21" w14:textId="77777777" w:rsidR="00FC4D23" w:rsidRDefault="002C785B" w:rsidP="005000BC">
            <w:pPr>
              <w:rPr>
                <w:rFonts w:cs="Arial"/>
                <w:b/>
                <w:bCs/>
                <w:sz w:val="16"/>
                <w:szCs w:val="16"/>
              </w:rPr>
            </w:pPr>
            <w:r w:rsidRPr="008C0434">
              <w:rPr>
                <w:rFonts w:cs="Arial"/>
                <w:b/>
                <w:bCs/>
                <w:sz w:val="16"/>
                <w:szCs w:val="16"/>
              </w:rPr>
              <w:t xml:space="preserve">Max Screen trade &gt; </w:t>
            </w:r>
          </w:p>
          <w:p w14:paraId="70C9926F" w14:textId="77777777" w:rsidR="002C785B" w:rsidRPr="008C0434" w:rsidRDefault="002C785B" w:rsidP="005000BC">
            <w:pPr>
              <w:rPr>
                <w:rFonts w:cs="Arial"/>
                <w:b/>
                <w:bCs/>
                <w:sz w:val="16"/>
                <w:szCs w:val="16"/>
              </w:rPr>
            </w:pPr>
            <w:r w:rsidRPr="008C0434">
              <w:rPr>
                <w:rFonts w:cs="Arial"/>
                <w:b/>
                <w:bCs/>
                <w:sz w:val="16"/>
                <w:szCs w:val="16"/>
              </w:rPr>
              <w:t>LIS threshold</w:t>
            </w:r>
          </w:p>
        </w:tc>
      </w:tr>
      <w:tr w:rsidR="002C785B" w:rsidRPr="004F09DE" w14:paraId="0B15E359" w14:textId="77777777" w:rsidTr="00EF2E9A">
        <w:trPr>
          <w:trHeight w:val="300"/>
        </w:trPr>
        <w:tc>
          <w:tcPr>
            <w:tcW w:w="1454" w:type="dxa"/>
            <w:noWrap/>
            <w:hideMark/>
          </w:tcPr>
          <w:p w14:paraId="24A02F97" w14:textId="77777777" w:rsidR="002C785B" w:rsidRPr="004F09DE" w:rsidRDefault="002C785B" w:rsidP="005000BC">
            <w:pPr>
              <w:rPr>
                <w:rFonts w:cs="Arial"/>
                <w:sz w:val="16"/>
                <w:szCs w:val="16"/>
              </w:rPr>
            </w:pPr>
            <w:r w:rsidRPr="004F09DE">
              <w:rPr>
                <w:rFonts w:cs="Arial"/>
                <w:sz w:val="16"/>
                <w:szCs w:val="16"/>
              </w:rPr>
              <w:t>EUX</w:t>
            </w:r>
          </w:p>
        </w:tc>
        <w:tc>
          <w:tcPr>
            <w:tcW w:w="1665" w:type="dxa"/>
            <w:noWrap/>
            <w:hideMark/>
          </w:tcPr>
          <w:p w14:paraId="304E768B" w14:textId="77777777" w:rsidR="002C785B" w:rsidRPr="004F09DE" w:rsidRDefault="002C785B" w:rsidP="008C0434">
            <w:pPr>
              <w:jc w:val="right"/>
              <w:rPr>
                <w:rFonts w:cs="Arial"/>
                <w:sz w:val="16"/>
                <w:szCs w:val="16"/>
              </w:rPr>
            </w:pPr>
            <w:r w:rsidRPr="004F09DE">
              <w:rPr>
                <w:rFonts w:cs="Arial"/>
                <w:sz w:val="16"/>
                <w:szCs w:val="16"/>
              </w:rPr>
              <w:t>64</w:t>
            </w:r>
          </w:p>
        </w:tc>
        <w:tc>
          <w:tcPr>
            <w:tcW w:w="1559" w:type="dxa"/>
            <w:noWrap/>
            <w:hideMark/>
          </w:tcPr>
          <w:p w14:paraId="4D268D1F" w14:textId="77777777" w:rsidR="002C785B" w:rsidRPr="004F09DE" w:rsidRDefault="002C785B" w:rsidP="008C0434">
            <w:pPr>
              <w:jc w:val="right"/>
              <w:rPr>
                <w:rFonts w:cs="Arial"/>
                <w:sz w:val="16"/>
                <w:szCs w:val="16"/>
              </w:rPr>
            </w:pPr>
            <w:r w:rsidRPr="004F09DE">
              <w:rPr>
                <w:rFonts w:cs="Arial"/>
                <w:sz w:val="16"/>
                <w:szCs w:val="16"/>
              </w:rPr>
              <w:t>59</w:t>
            </w:r>
          </w:p>
        </w:tc>
        <w:tc>
          <w:tcPr>
            <w:tcW w:w="1843" w:type="dxa"/>
            <w:noWrap/>
            <w:hideMark/>
          </w:tcPr>
          <w:p w14:paraId="5B00BF8E" w14:textId="77777777" w:rsidR="002C785B" w:rsidRPr="004F09DE" w:rsidRDefault="002C785B" w:rsidP="008C0434">
            <w:pPr>
              <w:jc w:val="right"/>
              <w:rPr>
                <w:rFonts w:cs="Arial"/>
                <w:sz w:val="16"/>
                <w:szCs w:val="16"/>
              </w:rPr>
            </w:pPr>
            <w:r w:rsidRPr="004F09DE">
              <w:rPr>
                <w:rFonts w:cs="Arial"/>
                <w:sz w:val="16"/>
                <w:szCs w:val="16"/>
              </w:rPr>
              <w:t>33</w:t>
            </w:r>
          </w:p>
        </w:tc>
        <w:tc>
          <w:tcPr>
            <w:tcW w:w="1984" w:type="dxa"/>
            <w:noWrap/>
            <w:hideMark/>
          </w:tcPr>
          <w:p w14:paraId="46C19249" w14:textId="77777777" w:rsidR="002C785B" w:rsidRPr="004F09DE" w:rsidRDefault="002C785B" w:rsidP="008C0434">
            <w:pPr>
              <w:jc w:val="right"/>
              <w:rPr>
                <w:rFonts w:cs="Arial"/>
                <w:sz w:val="16"/>
                <w:szCs w:val="16"/>
              </w:rPr>
            </w:pPr>
            <w:r w:rsidRPr="004F09DE">
              <w:rPr>
                <w:rFonts w:cs="Arial"/>
                <w:sz w:val="16"/>
                <w:szCs w:val="16"/>
              </w:rPr>
              <w:t>49</w:t>
            </w:r>
          </w:p>
        </w:tc>
      </w:tr>
      <w:tr w:rsidR="002C785B" w:rsidRPr="004F09DE" w14:paraId="4981A445" w14:textId="77777777" w:rsidTr="00EF2E9A">
        <w:trPr>
          <w:trHeight w:val="300"/>
        </w:trPr>
        <w:tc>
          <w:tcPr>
            <w:tcW w:w="1454" w:type="dxa"/>
            <w:noWrap/>
            <w:hideMark/>
          </w:tcPr>
          <w:p w14:paraId="61BF853A" w14:textId="77777777" w:rsidR="002C785B" w:rsidRPr="004F09DE" w:rsidRDefault="002C785B" w:rsidP="005000BC">
            <w:pPr>
              <w:rPr>
                <w:rFonts w:cs="Arial"/>
                <w:sz w:val="16"/>
                <w:szCs w:val="16"/>
              </w:rPr>
            </w:pPr>
            <w:r w:rsidRPr="004F09DE">
              <w:rPr>
                <w:rFonts w:cs="Arial"/>
                <w:sz w:val="16"/>
                <w:szCs w:val="16"/>
              </w:rPr>
              <w:t>MNP</w:t>
            </w:r>
          </w:p>
        </w:tc>
        <w:tc>
          <w:tcPr>
            <w:tcW w:w="1665" w:type="dxa"/>
            <w:noWrap/>
            <w:hideMark/>
          </w:tcPr>
          <w:p w14:paraId="0B66EF3F" w14:textId="77777777" w:rsidR="002C785B" w:rsidRPr="004F09DE" w:rsidRDefault="002C785B" w:rsidP="008C0434">
            <w:pPr>
              <w:jc w:val="right"/>
              <w:rPr>
                <w:rFonts w:cs="Arial"/>
                <w:sz w:val="16"/>
                <w:szCs w:val="16"/>
              </w:rPr>
            </w:pPr>
            <w:r w:rsidRPr="004F09DE">
              <w:rPr>
                <w:rFonts w:cs="Arial"/>
                <w:sz w:val="16"/>
                <w:szCs w:val="16"/>
              </w:rPr>
              <w:t>1</w:t>
            </w:r>
          </w:p>
        </w:tc>
        <w:tc>
          <w:tcPr>
            <w:tcW w:w="1559" w:type="dxa"/>
            <w:noWrap/>
            <w:hideMark/>
          </w:tcPr>
          <w:p w14:paraId="06F4E9F4" w14:textId="77777777" w:rsidR="002C785B" w:rsidRPr="004F09DE" w:rsidRDefault="002C785B" w:rsidP="008C0434">
            <w:pPr>
              <w:jc w:val="right"/>
              <w:rPr>
                <w:rFonts w:cs="Arial"/>
                <w:sz w:val="16"/>
                <w:szCs w:val="16"/>
              </w:rPr>
            </w:pPr>
            <w:r w:rsidRPr="004F09DE">
              <w:rPr>
                <w:rFonts w:cs="Arial"/>
                <w:sz w:val="16"/>
                <w:szCs w:val="16"/>
              </w:rPr>
              <w:t>0</w:t>
            </w:r>
          </w:p>
        </w:tc>
        <w:tc>
          <w:tcPr>
            <w:tcW w:w="1843" w:type="dxa"/>
            <w:noWrap/>
            <w:hideMark/>
          </w:tcPr>
          <w:p w14:paraId="7CBFF39A" w14:textId="77777777" w:rsidR="002C785B" w:rsidRPr="004F09DE" w:rsidRDefault="002C785B" w:rsidP="008C0434">
            <w:pPr>
              <w:jc w:val="right"/>
              <w:rPr>
                <w:rFonts w:cs="Arial"/>
                <w:sz w:val="16"/>
                <w:szCs w:val="16"/>
              </w:rPr>
            </w:pPr>
            <w:r w:rsidRPr="004F09DE">
              <w:rPr>
                <w:rFonts w:cs="Arial"/>
                <w:sz w:val="16"/>
                <w:szCs w:val="16"/>
              </w:rPr>
              <w:t>0</w:t>
            </w:r>
          </w:p>
        </w:tc>
        <w:tc>
          <w:tcPr>
            <w:tcW w:w="1984" w:type="dxa"/>
            <w:noWrap/>
            <w:hideMark/>
          </w:tcPr>
          <w:p w14:paraId="6AF16376" w14:textId="77777777" w:rsidR="002C785B" w:rsidRPr="004F09DE" w:rsidRDefault="002C785B" w:rsidP="008C0434">
            <w:pPr>
              <w:jc w:val="right"/>
              <w:rPr>
                <w:rFonts w:cs="Arial"/>
                <w:sz w:val="16"/>
                <w:szCs w:val="16"/>
              </w:rPr>
            </w:pPr>
            <w:r w:rsidRPr="004F09DE">
              <w:rPr>
                <w:rFonts w:cs="Arial"/>
                <w:sz w:val="16"/>
                <w:szCs w:val="16"/>
              </w:rPr>
              <w:t>1</w:t>
            </w:r>
          </w:p>
        </w:tc>
      </w:tr>
      <w:tr w:rsidR="002C785B" w:rsidRPr="004F09DE" w14:paraId="0E391F35" w14:textId="77777777" w:rsidTr="00EF2E9A">
        <w:trPr>
          <w:trHeight w:val="300"/>
        </w:trPr>
        <w:tc>
          <w:tcPr>
            <w:tcW w:w="1454" w:type="dxa"/>
            <w:noWrap/>
            <w:hideMark/>
          </w:tcPr>
          <w:p w14:paraId="0D87D565" w14:textId="77777777" w:rsidR="002C785B" w:rsidRPr="004F09DE" w:rsidRDefault="002C785B" w:rsidP="005000BC">
            <w:pPr>
              <w:rPr>
                <w:rFonts w:cs="Arial"/>
                <w:sz w:val="16"/>
                <w:szCs w:val="16"/>
              </w:rPr>
            </w:pPr>
            <w:r w:rsidRPr="004F09DE">
              <w:rPr>
                <w:rFonts w:cs="Arial"/>
                <w:sz w:val="16"/>
                <w:szCs w:val="16"/>
              </w:rPr>
              <w:t>IFEU</w:t>
            </w:r>
          </w:p>
        </w:tc>
        <w:tc>
          <w:tcPr>
            <w:tcW w:w="1665" w:type="dxa"/>
            <w:noWrap/>
            <w:hideMark/>
          </w:tcPr>
          <w:p w14:paraId="2F122D81" w14:textId="77777777" w:rsidR="002C785B" w:rsidRPr="004F09DE" w:rsidRDefault="002C785B" w:rsidP="008C0434">
            <w:pPr>
              <w:jc w:val="right"/>
              <w:rPr>
                <w:rFonts w:cs="Arial"/>
                <w:sz w:val="16"/>
                <w:szCs w:val="16"/>
              </w:rPr>
            </w:pPr>
            <w:r w:rsidRPr="004F09DE">
              <w:rPr>
                <w:rFonts w:cs="Arial"/>
                <w:sz w:val="16"/>
                <w:szCs w:val="16"/>
              </w:rPr>
              <w:t>2</w:t>
            </w:r>
          </w:p>
        </w:tc>
        <w:tc>
          <w:tcPr>
            <w:tcW w:w="1559" w:type="dxa"/>
            <w:noWrap/>
            <w:hideMark/>
          </w:tcPr>
          <w:p w14:paraId="67686EF9" w14:textId="77777777" w:rsidR="002C785B" w:rsidRPr="004F09DE" w:rsidRDefault="002C785B" w:rsidP="008C0434">
            <w:pPr>
              <w:jc w:val="right"/>
              <w:rPr>
                <w:rFonts w:cs="Arial"/>
                <w:sz w:val="16"/>
                <w:szCs w:val="16"/>
              </w:rPr>
            </w:pPr>
            <w:r w:rsidRPr="004F09DE">
              <w:rPr>
                <w:rFonts w:cs="Arial"/>
                <w:sz w:val="16"/>
                <w:szCs w:val="16"/>
              </w:rPr>
              <w:t>0</w:t>
            </w:r>
          </w:p>
        </w:tc>
        <w:tc>
          <w:tcPr>
            <w:tcW w:w="1843" w:type="dxa"/>
            <w:noWrap/>
            <w:hideMark/>
          </w:tcPr>
          <w:p w14:paraId="2C7640BE"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4F9E7D48" w14:textId="77777777" w:rsidR="002C785B" w:rsidRPr="004F09DE" w:rsidRDefault="002C785B" w:rsidP="008C0434">
            <w:pPr>
              <w:jc w:val="right"/>
              <w:rPr>
                <w:rFonts w:cs="Arial"/>
                <w:sz w:val="16"/>
                <w:szCs w:val="16"/>
              </w:rPr>
            </w:pPr>
            <w:r w:rsidRPr="004F09DE">
              <w:rPr>
                <w:rFonts w:cs="Arial"/>
                <w:sz w:val="16"/>
                <w:szCs w:val="16"/>
              </w:rPr>
              <w:t>2</w:t>
            </w:r>
          </w:p>
        </w:tc>
      </w:tr>
      <w:tr w:rsidR="002C785B" w:rsidRPr="004F09DE" w14:paraId="216B2C72" w14:textId="77777777" w:rsidTr="00EF2E9A">
        <w:trPr>
          <w:trHeight w:val="300"/>
        </w:trPr>
        <w:tc>
          <w:tcPr>
            <w:tcW w:w="1454" w:type="dxa"/>
            <w:noWrap/>
            <w:hideMark/>
          </w:tcPr>
          <w:p w14:paraId="406EE4E2" w14:textId="77777777" w:rsidR="002C785B" w:rsidRPr="004F09DE" w:rsidRDefault="002C785B" w:rsidP="005000BC">
            <w:pPr>
              <w:rPr>
                <w:rFonts w:cs="Arial"/>
                <w:sz w:val="16"/>
                <w:szCs w:val="16"/>
              </w:rPr>
            </w:pPr>
            <w:r w:rsidRPr="004F09DE">
              <w:rPr>
                <w:rFonts w:cs="Arial"/>
                <w:sz w:val="16"/>
                <w:szCs w:val="16"/>
              </w:rPr>
              <w:t>OMX</w:t>
            </w:r>
          </w:p>
        </w:tc>
        <w:tc>
          <w:tcPr>
            <w:tcW w:w="1665" w:type="dxa"/>
            <w:noWrap/>
            <w:hideMark/>
          </w:tcPr>
          <w:p w14:paraId="794F8784" w14:textId="77777777" w:rsidR="002C785B" w:rsidRPr="004F09DE" w:rsidRDefault="002C785B" w:rsidP="008C0434">
            <w:pPr>
              <w:jc w:val="right"/>
              <w:rPr>
                <w:rFonts w:cs="Arial"/>
                <w:sz w:val="16"/>
                <w:szCs w:val="16"/>
              </w:rPr>
            </w:pPr>
            <w:r w:rsidRPr="004F09DE">
              <w:rPr>
                <w:rFonts w:cs="Arial"/>
                <w:sz w:val="16"/>
                <w:szCs w:val="16"/>
              </w:rPr>
              <w:t>3</w:t>
            </w:r>
          </w:p>
        </w:tc>
        <w:tc>
          <w:tcPr>
            <w:tcW w:w="1559" w:type="dxa"/>
            <w:noWrap/>
            <w:hideMark/>
          </w:tcPr>
          <w:p w14:paraId="7B0ED5D9" w14:textId="77777777" w:rsidR="002C785B" w:rsidRPr="004F09DE" w:rsidRDefault="002C785B" w:rsidP="008C0434">
            <w:pPr>
              <w:jc w:val="right"/>
              <w:rPr>
                <w:rFonts w:cs="Arial"/>
                <w:sz w:val="16"/>
                <w:szCs w:val="16"/>
              </w:rPr>
            </w:pPr>
            <w:r w:rsidRPr="004F09DE">
              <w:rPr>
                <w:rFonts w:cs="Arial"/>
                <w:sz w:val="16"/>
                <w:szCs w:val="16"/>
              </w:rPr>
              <w:t>3</w:t>
            </w:r>
          </w:p>
        </w:tc>
        <w:tc>
          <w:tcPr>
            <w:tcW w:w="1843" w:type="dxa"/>
            <w:noWrap/>
            <w:hideMark/>
          </w:tcPr>
          <w:p w14:paraId="032EF2A0"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3B1EA34A" w14:textId="77777777" w:rsidR="002C785B" w:rsidRPr="004F09DE" w:rsidRDefault="002C785B" w:rsidP="008C0434">
            <w:pPr>
              <w:jc w:val="right"/>
              <w:rPr>
                <w:rFonts w:cs="Arial"/>
                <w:sz w:val="16"/>
                <w:szCs w:val="16"/>
              </w:rPr>
            </w:pPr>
            <w:r w:rsidRPr="004F09DE">
              <w:rPr>
                <w:rFonts w:cs="Arial"/>
                <w:sz w:val="16"/>
                <w:szCs w:val="16"/>
              </w:rPr>
              <w:t>3</w:t>
            </w:r>
          </w:p>
        </w:tc>
      </w:tr>
      <w:tr w:rsidR="002C785B" w:rsidRPr="004F09DE" w14:paraId="2B6ABF52" w14:textId="77777777" w:rsidTr="00EF2E9A">
        <w:trPr>
          <w:trHeight w:val="300"/>
        </w:trPr>
        <w:tc>
          <w:tcPr>
            <w:tcW w:w="1454" w:type="dxa"/>
            <w:noWrap/>
            <w:hideMark/>
          </w:tcPr>
          <w:p w14:paraId="2794E4BC" w14:textId="77777777" w:rsidR="002C785B" w:rsidRPr="004F09DE" w:rsidRDefault="002C785B" w:rsidP="005000BC">
            <w:pPr>
              <w:rPr>
                <w:rFonts w:cs="Arial"/>
                <w:sz w:val="16"/>
                <w:szCs w:val="16"/>
              </w:rPr>
            </w:pPr>
            <w:r w:rsidRPr="004F09DE">
              <w:rPr>
                <w:rFonts w:cs="Arial"/>
                <w:sz w:val="16"/>
                <w:szCs w:val="16"/>
              </w:rPr>
              <w:t>EOE</w:t>
            </w:r>
          </w:p>
        </w:tc>
        <w:tc>
          <w:tcPr>
            <w:tcW w:w="1665" w:type="dxa"/>
            <w:noWrap/>
            <w:hideMark/>
          </w:tcPr>
          <w:p w14:paraId="1617D98A" w14:textId="77777777" w:rsidR="002C785B" w:rsidRPr="004F09DE" w:rsidRDefault="002C785B" w:rsidP="008C0434">
            <w:pPr>
              <w:jc w:val="right"/>
              <w:rPr>
                <w:rFonts w:cs="Arial"/>
                <w:sz w:val="16"/>
                <w:szCs w:val="16"/>
              </w:rPr>
            </w:pPr>
            <w:r w:rsidRPr="004F09DE">
              <w:rPr>
                <w:rFonts w:cs="Arial"/>
                <w:sz w:val="16"/>
                <w:szCs w:val="16"/>
              </w:rPr>
              <w:t>2</w:t>
            </w:r>
          </w:p>
        </w:tc>
        <w:tc>
          <w:tcPr>
            <w:tcW w:w="1559" w:type="dxa"/>
            <w:noWrap/>
            <w:hideMark/>
          </w:tcPr>
          <w:p w14:paraId="2C01436C" w14:textId="77777777" w:rsidR="002C785B" w:rsidRPr="004F09DE" w:rsidRDefault="002C785B" w:rsidP="008C0434">
            <w:pPr>
              <w:jc w:val="right"/>
              <w:rPr>
                <w:rFonts w:cs="Arial"/>
                <w:sz w:val="16"/>
                <w:szCs w:val="16"/>
              </w:rPr>
            </w:pPr>
            <w:r w:rsidRPr="004F09DE">
              <w:rPr>
                <w:rFonts w:cs="Arial"/>
                <w:sz w:val="16"/>
                <w:szCs w:val="16"/>
              </w:rPr>
              <w:t>1</w:t>
            </w:r>
          </w:p>
        </w:tc>
        <w:tc>
          <w:tcPr>
            <w:tcW w:w="1843" w:type="dxa"/>
            <w:noWrap/>
            <w:hideMark/>
          </w:tcPr>
          <w:p w14:paraId="47845A3B" w14:textId="77777777" w:rsidR="002C785B" w:rsidRPr="004F09DE" w:rsidRDefault="002C785B" w:rsidP="008C0434">
            <w:pPr>
              <w:jc w:val="right"/>
              <w:rPr>
                <w:rFonts w:cs="Arial"/>
                <w:sz w:val="16"/>
                <w:szCs w:val="16"/>
              </w:rPr>
            </w:pPr>
            <w:r w:rsidRPr="004F09DE">
              <w:rPr>
                <w:rFonts w:cs="Arial"/>
                <w:sz w:val="16"/>
                <w:szCs w:val="16"/>
              </w:rPr>
              <w:t>0</w:t>
            </w:r>
          </w:p>
        </w:tc>
        <w:tc>
          <w:tcPr>
            <w:tcW w:w="1984" w:type="dxa"/>
            <w:noWrap/>
            <w:hideMark/>
          </w:tcPr>
          <w:p w14:paraId="3B8654AA" w14:textId="77777777" w:rsidR="002C785B" w:rsidRPr="004F09DE" w:rsidRDefault="002C785B" w:rsidP="008C0434">
            <w:pPr>
              <w:jc w:val="right"/>
              <w:rPr>
                <w:rFonts w:cs="Arial"/>
                <w:sz w:val="16"/>
                <w:szCs w:val="16"/>
              </w:rPr>
            </w:pPr>
            <w:r w:rsidRPr="004F09DE">
              <w:rPr>
                <w:rFonts w:cs="Arial"/>
                <w:sz w:val="16"/>
                <w:szCs w:val="16"/>
              </w:rPr>
              <w:t>2</w:t>
            </w:r>
          </w:p>
        </w:tc>
      </w:tr>
      <w:tr w:rsidR="002C785B" w:rsidRPr="004F09DE" w14:paraId="60A83424" w14:textId="77777777" w:rsidTr="00EF2E9A">
        <w:trPr>
          <w:trHeight w:val="300"/>
        </w:trPr>
        <w:tc>
          <w:tcPr>
            <w:tcW w:w="1454" w:type="dxa"/>
            <w:noWrap/>
            <w:hideMark/>
          </w:tcPr>
          <w:p w14:paraId="393A8428" w14:textId="77777777" w:rsidR="002C785B" w:rsidRPr="004F09DE" w:rsidRDefault="002C785B" w:rsidP="005000BC">
            <w:pPr>
              <w:rPr>
                <w:rFonts w:cs="Arial"/>
                <w:sz w:val="16"/>
                <w:szCs w:val="16"/>
              </w:rPr>
            </w:pPr>
            <w:r w:rsidRPr="004F09DE">
              <w:rPr>
                <w:rFonts w:cs="Arial"/>
                <w:sz w:val="16"/>
                <w:szCs w:val="16"/>
              </w:rPr>
              <w:t>IDEM</w:t>
            </w:r>
          </w:p>
        </w:tc>
        <w:tc>
          <w:tcPr>
            <w:tcW w:w="1665" w:type="dxa"/>
            <w:noWrap/>
            <w:hideMark/>
          </w:tcPr>
          <w:p w14:paraId="14ECC46E" w14:textId="77777777" w:rsidR="002C785B" w:rsidRPr="004F09DE" w:rsidRDefault="002C785B" w:rsidP="008C0434">
            <w:pPr>
              <w:jc w:val="right"/>
              <w:rPr>
                <w:rFonts w:cs="Arial"/>
                <w:sz w:val="16"/>
                <w:szCs w:val="16"/>
              </w:rPr>
            </w:pPr>
            <w:r w:rsidRPr="004F09DE">
              <w:rPr>
                <w:rFonts w:cs="Arial"/>
                <w:sz w:val="16"/>
                <w:szCs w:val="16"/>
              </w:rPr>
              <w:t>1</w:t>
            </w:r>
          </w:p>
        </w:tc>
        <w:tc>
          <w:tcPr>
            <w:tcW w:w="1559" w:type="dxa"/>
            <w:noWrap/>
            <w:hideMark/>
          </w:tcPr>
          <w:p w14:paraId="5A3877E4" w14:textId="77777777" w:rsidR="002C785B" w:rsidRPr="004F09DE" w:rsidRDefault="002C785B" w:rsidP="008C0434">
            <w:pPr>
              <w:jc w:val="right"/>
              <w:rPr>
                <w:rFonts w:cs="Arial"/>
                <w:sz w:val="16"/>
                <w:szCs w:val="16"/>
              </w:rPr>
            </w:pPr>
            <w:r w:rsidRPr="004F09DE">
              <w:rPr>
                <w:rFonts w:cs="Arial"/>
                <w:sz w:val="16"/>
                <w:szCs w:val="16"/>
              </w:rPr>
              <w:t>0</w:t>
            </w:r>
          </w:p>
        </w:tc>
        <w:tc>
          <w:tcPr>
            <w:tcW w:w="1843" w:type="dxa"/>
            <w:noWrap/>
            <w:hideMark/>
          </w:tcPr>
          <w:p w14:paraId="435C4E0E"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472B3BF6" w14:textId="77777777" w:rsidR="002C785B" w:rsidRPr="004F09DE" w:rsidRDefault="002C785B" w:rsidP="008C0434">
            <w:pPr>
              <w:jc w:val="right"/>
              <w:rPr>
                <w:rFonts w:cs="Arial"/>
                <w:sz w:val="16"/>
                <w:szCs w:val="16"/>
              </w:rPr>
            </w:pPr>
            <w:r w:rsidRPr="004F09DE">
              <w:rPr>
                <w:rFonts w:cs="Arial"/>
                <w:sz w:val="16"/>
                <w:szCs w:val="16"/>
              </w:rPr>
              <w:t>1</w:t>
            </w:r>
          </w:p>
        </w:tc>
      </w:tr>
      <w:tr w:rsidR="002C785B" w:rsidRPr="004F09DE" w14:paraId="3DE95006" w14:textId="77777777" w:rsidTr="00EF2E9A">
        <w:trPr>
          <w:trHeight w:val="300"/>
        </w:trPr>
        <w:tc>
          <w:tcPr>
            <w:tcW w:w="1454" w:type="dxa"/>
            <w:noWrap/>
            <w:hideMark/>
          </w:tcPr>
          <w:p w14:paraId="2FE538DF" w14:textId="77777777" w:rsidR="002C785B" w:rsidRPr="004F09DE" w:rsidRDefault="002C785B" w:rsidP="005000BC">
            <w:pPr>
              <w:rPr>
                <w:rFonts w:cs="Arial"/>
                <w:sz w:val="16"/>
                <w:szCs w:val="16"/>
              </w:rPr>
            </w:pPr>
            <w:r w:rsidRPr="004F09DE">
              <w:rPr>
                <w:rFonts w:cs="Arial"/>
                <w:sz w:val="16"/>
                <w:szCs w:val="16"/>
              </w:rPr>
              <w:t>OBX</w:t>
            </w:r>
          </w:p>
        </w:tc>
        <w:tc>
          <w:tcPr>
            <w:tcW w:w="1665" w:type="dxa"/>
            <w:noWrap/>
            <w:hideMark/>
          </w:tcPr>
          <w:p w14:paraId="07C39D27" w14:textId="77777777" w:rsidR="002C785B" w:rsidRPr="004F09DE" w:rsidRDefault="002C785B" w:rsidP="008C0434">
            <w:pPr>
              <w:jc w:val="right"/>
              <w:rPr>
                <w:rFonts w:cs="Arial"/>
                <w:sz w:val="16"/>
                <w:szCs w:val="16"/>
              </w:rPr>
            </w:pPr>
            <w:r w:rsidRPr="004F09DE">
              <w:rPr>
                <w:rFonts w:cs="Arial"/>
                <w:sz w:val="16"/>
                <w:szCs w:val="16"/>
              </w:rPr>
              <w:t>1</w:t>
            </w:r>
          </w:p>
        </w:tc>
        <w:tc>
          <w:tcPr>
            <w:tcW w:w="1559" w:type="dxa"/>
            <w:noWrap/>
            <w:hideMark/>
          </w:tcPr>
          <w:p w14:paraId="7670A859" w14:textId="77777777" w:rsidR="002C785B" w:rsidRPr="004F09DE" w:rsidRDefault="002C785B" w:rsidP="008C0434">
            <w:pPr>
              <w:jc w:val="right"/>
              <w:rPr>
                <w:rFonts w:cs="Arial"/>
                <w:sz w:val="16"/>
                <w:szCs w:val="16"/>
              </w:rPr>
            </w:pPr>
            <w:r w:rsidRPr="004F09DE">
              <w:rPr>
                <w:rFonts w:cs="Arial"/>
                <w:sz w:val="16"/>
                <w:szCs w:val="16"/>
              </w:rPr>
              <w:t>1</w:t>
            </w:r>
          </w:p>
        </w:tc>
        <w:tc>
          <w:tcPr>
            <w:tcW w:w="1843" w:type="dxa"/>
            <w:noWrap/>
            <w:hideMark/>
          </w:tcPr>
          <w:p w14:paraId="5AF74D99" w14:textId="77777777" w:rsidR="002C785B" w:rsidRPr="004F09DE" w:rsidRDefault="002C785B" w:rsidP="008C0434">
            <w:pPr>
              <w:jc w:val="right"/>
              <w:rPr>
                <w:rFonts w:cs="Arial"/>
                <w:sz w:val="16"/>
                <w:szCs w:val="16"/>
              </w:rPr>
            </w:pPr>
            <w:r w:rsidRPr="004F09DE">
              <w:rPr>
                <w:rFonts w:cs="Arial"/>
                <w:sz w:val="16"/>
                <w:szCs w:val="16"/>
              </w:rPr>
              <w:t>*</w:t>
            </w:r>
          </w:p>
        </w:tc>
        <w:tc>
          <w:tcPr>
            <w:tcW w:w="1984" w:type="dxa"/>
            <w:noWrap/>
            <w:hideMark/>
          </w:tcPr>
          <w:p w14:paraId="5C68DCBE" w14:textId="77777777" w:rsidR="002C785B" w:rsidRPr="004F09DE" w:rsidRDefault="002C785B" w:rsidP="008C0434">
            <w:pPr>
              <w:jc w:val="right"/>
              <w:rPr>
                <w:rFonts w:cs="Arial"/>
                <w:sz w:val="16"/>
                <w:szCs w:val="16"/>
              </w:rPr>
            </w:pPr>
            <w:r w:rsidRPr="004F09DE">
              <w:rPr>
                <w:rFonts w:cs="Arial"/>
                <w:sz w:val="16"/>
                <w:szCs w:val="16"/>
              </w:rPr>
              <w:t>1</w:t>
            </w:r>
          </w:p>
        </w:tc>
      </w:tr>
      <w:tr w:rsidR="00717B6D" w:rsidRPr="004F09DE" w14:paraId="1C8117A6" w14:textId="77777777" w:rsidTr="00EF2E9A">
        <w:trPr>
          <w:trHeight w:val="300"/>
        </w:trPr>
        <w:tc>
          <w:tcPr>
            <w:tcW w:w="1454" w:type="dxa"/>
            <w:noWrap/>
          </w:tcPr>
          <w:p w14:paraId="3AAFB858" w14:textId="77777777" w:rsidR="00717B6D" w:rsidRPr="00EF2E9A" w:rsidRDefault="00717B6D" w:rsidP="005000BC">
            <w:pPr>
              <w:rPr>
                <w:rFonts w:cs="Arial"/>
                <w:b/>
                <w:bCs/>
                <w:sz w:val="16"/>
                <w:szCs w:val="16"/>
              </w:rPr>
            </w:pPr>
            <w:r w:rsidRPr="00EF2E9A">
              <w:rPr>
                <w:rFonts w:cs="Arial"/>
                <w:b/>
                <w:bCs/>
                <w:sz w:val="16"/>
                <w:szCs w:val="16"/>
              </w:rPr>
              <w:t>Total</w:t>
            </w:r>
          </w:p>
        </w:tc>
        <w:tc>
          <w:tcPr>
            <w:tcW w:w="1665" w:type="dxa"/>
            <w:noWrap/>
          </w:tcPr>
          <w:p w14:paraId="023FCA5C" w14:textId="77777777" w:rsidR="00717B6D" w:rsidRPr="00EF2E9A" w:rsidRDefault="00EF2E9A" w:rsidP="008C0434">
            <w:pPr>
              <w:jc w:val="right"/>
              <w:rPr>
                <w:rFonts w:cs="Arial"/>
                <w:b/>
                <w:bCs/>
                <w:sz w:val="16"/>
                <w:szCs w:val="16"/>
              </w:rPr>
            </w:pPr>
            <w:r w:rsidRPr="00EF2E9A">
              <w:rPr>
                <w:rFonts w:cs="Arial"/>
                <w:b/>
                <w:bCs/>
                <w:sz w:val="16"/>
                <w:szCs w:val="16"/>
              </w:rPr>
              <w:t>74</w:t>
            </w:r>
          </w:p>
        </w:tc>
        <w:tc>
          <w:tcPr>
            <w:tcW w:w="1559" w:type="dxa"/>
            <w:noWrap/>
          </w:tcPr>
          <w:p w14:paraId="6442DC59" w14:textId="77777777" w:rsidR="00717B6D" w:rsidRPr="00EF2E9A" w:rsidRDefault="00EF2E9A" w:rsidP="008C0434">
            <w:pPr>
              <w:jc w:val="right"/>
              <w:rPr>
                <w:rFonts w:cs="Arial"/>
                <w:b/>
                <w:bCs/>
                <w:sz w:val="16"/>
                <w:szCs w:val="16"/>
              </w:rPr>
            </w:pPr>
            <w:r w:rsidRPr="00EF2E9A">
              <w:rPr>
                <w:rFonts w:cs="Arial"/>
                <w:b/>
                <w:bCs/>
                <w:sz w:val="16"/>
                <w:szCs w:val="16"/>
              </w:rPr>
              <w:t>64</w:t>
            </w:r>
          </w:p>
        </w:tc>
        <w:tc>
          <w:tcPr>
            <w:tcW w:w="1843" w:type="dxa"/>
            <w:noWrap/>
          </w:tcPr>
          <w:p w14:paraId="740C33A0" w14:textId="77777777" w:rsidR="00717B6D" w:rsidRPr="00EF2E9A" w:rsidRDefault="00EF2E9A" w:rsidP="008C0434">
            <w:pPr>
              <w:jc w:val="right"/>
              <w:rPr>
                <w:rFonts w:cs="Arial"/>
                <w:b/>
                <w:bCs/>
                <w:sz w:val="16"/>
                <w:szCs w:val="16"/>
              </w:rPr>
            </w:pPr>
            <w:r w:rsidRPr="00EF2E9A">
              <w:rPr>
                <w:rFonts w:cs="Arial"/>
                <w:b/>
                <w:bCs/>
                <w:sz w:val="16"/>
                <w:szCs w:val="16"/>
              </w:rPr>
              <w:t>33</w:t>
            </w:r>
          </w:p>
        </w:tc>
        <w:tc>
          <w:tcPr>
            <w:tcW w:w="1984" w:type="dxa"/>
            <w:noWrap/>
          </w:tcPr>
          <w:p w14:paraId="1325642F" w14:textId="77777777" w:rsidR="00717B6D" w:rsidRPr="00EF2E9A" w:rsidRDefault="00EF2E9A" w:rsidP="008C0434">
            <w:pPr>
              <w:jc w:val="right"/>
              <w:rPr>
                <w:rFonts w:cs="Arial"/>
                <w:b/>
                <w:bCs/>
                <w:sz w:val="16"/>
                <w:szCs w:val="16"/>
              </w:rPr>
            </w:pPr>
            <w:r w:rsidRPr="00EF2E9A">
              <w:rPr>
                <w:rFonts w:cs="Arial"/>
                <w:b/>
                <w:bCs/>
                <w:sz w:val="16"/>
                <w:szCs w:val="16"/>
              </w:rPr>
              <w:t>59</w:t>
            </w:r>
          </w:p>
        </w:tc>
      </w:tr>
    </w:tbl>
    <w:p w14:paraId="1F74F41A" w14:textId="77777777" w:rsidR="002C785B" w:rsidRDefault="002C785B" w:rsidP="002C785B">
      <w:pPr>
        <w:pStyle w:val="ListParagraph"/>
        <w:rPr>
          <w:rFonts w:cs="Arial"/>
          <w:sz w:val="16"/>
          <w:szCs w:val="16"/>
        </w:rPr>
      </w:pPr>
    </w:p>
    <w:p w14:paraId="64C55725" w14:textId="77777777" w:rsidR="002C785B" w:rsidRPr="00AA662F" w:rsidRDefault="002C785B" w:rsidP="002C785B">
      <w:pPr>
        <w:pStyle w:val="ListParagraph"/>
        <w:rPr>
          <w:rFonts w:cs="Arial"/>
          <w:sz w:val="16"/>
          <w:szCs w:val="16"/>
        </w:rPr>
      </w:pPr>
      <w:r w:rsidRPr="00AA662F">
        <w:rPr>
          <w:b/>
        </w:rPr>
        <w:t>*</w:t>
      </w:r>
      <w:r w:rsidRPr="00AA662F">
        <w:t>For these exchanges</w:t>
      </w:r>
      <w:r w:rsidR="00723C73">
        <w:t>,</w:t>
      </w:r>
      <w:r w:rsidRPr="00AA662F">
        <w:t xml:space="preserve"> data on the number of market makers was not available. ESMA would have access to this data from the relevant exchanges and could complete this analysis.</w:t>
      </w:r>
    </w:p>
    <w:p w14:paraId="01AD0E25" w14:textId="77777777" w:rsidR="002C785B" w:rsidRPr="004F09DE" w:rsidRDefault="002C785B" w:rsidP="002C785B">
      <w:pPr>
        <w:pStyle w:val="ListParagraph"/>
        <w:rPr>
          <w:rFonts w:cs="Arial"/>
          <w:sz w:val="16"/>
          <w:szCs w:val="16"/>
        </w:rPr>
      </w:pPr>
    </w:p>
    <w:p w14:paraId="670463E7" w14:textId="77777777" w:rsidR="002C785B" w:rsidRDefault="002C785B" w:rsidP="002C785B">
      <w:pPr>
        <w:ind w:left="709"/>
      </w:pPr>
    </w:p>
    <w:p w14:paraId="2E79732E" w14:textId="77777777" w:rsidR="002C785B" w:rsidRPr="002F4471" w:rsidRDefault="00051DCD" w:rsidP="008C0434">
      <w:pPr>
        <w:rPr>
          <w:color w:val="000000" w:themeColor="text1"/>
          <w:lang w:val="en-US" w:eastAsia="en-IE"/>
        </w:rPr>
      </w:pPr>
      <w:r>
        <w:t>Based on the analysis and considerations set out above, FIA EPTA members</w:t>
      </w:r>
      <w:r w:rsidR="002737A1">
        <w:t xml:space="preserve"> </w:t>
      </w:r>
      <w:r w:rsidR="00723C73">
        <w:t>would like to</w:t>
      </w:r>
      <w:r w:rsidR="002737A1">
        <w:t xml:space="preserve"> propose </w:t>
      </w:r>
      <w:r w:rsidR="00723C73">
        <w:rPr>
          <w:color w:val="000000" w:themeColor="text1"/>
          <w:lang w:val="en-US" w:eastAsia="en-IE"/>
        </w:rPr>
        <w:t>that</w:t>
      </w:r>
      <w:r w:rsidR="002C785B" w:rsidRPr="002F4471">
        <w:rPr>
          <w:color w:val="000000" w:themeColor="text1"/>
          <w:lang w:val="en-US" w:eastAsia="en-IE"/>
        </w:rPr>
        <w:t xml:space="preserve"> one way to determine more appropriate LIS levels is to quantify a fair and reasonable orderbook (screen) liquidity measure for </w:t>
      </w:r>
      <w:r w:rsidR="00E65B90">
        <w:rPr>
          <w:color w:val="000000" w:themeColor="text1"/>
          <w:lang w:val="en-US" w:eastAsia="en-IE"/>
        </w:rPr>
        <w:t xml:space="preserve">listed </w:t>
      </w:r>
      <w:r w:rsidR="002C785B" w:rsidRPr="002F4471">
        <w:rPr>
          <w:color w:val="000000" w:themeColor="text1"/>
          <w:lang w:val="en-US" w:eastAsia="en-IE"/>
        </w:rPr>
        <w:t xml:space="preserve">derivatives. FIA EPTA members’ proposal </w:t>
      </w:r>
      <w:r w:rsidR="00F11BF8">
        <w:rPr>
          <w:color w:val="000000" w:themeColor="text1"/>
          <w:lang w:val="en-US" w:eastAsia="en-IE"/>
        </w:rPr>
        <w:t>to ESMA would be</w:t>
      </w:r>
      <w:r w:rsidR="00F11BF8" w:rsidRPr="002F4471">
        <w:rPr>
          <w:color w:val="000000" w:themeColor="text1"/>
          <w:lang w:val="en-US" w:eastAsia="en-IE"/>
        </w:rPr>
        <w:t xml:space="preserve"> </w:t>
      </w:r>
      <w:r w:rsidR="00D81B4B">
        <w:rPr>
          <w:color w:val="000000" w:themeColor="text1"/>
          <w:lang w:val="en-US" w:eastAsia="en-IE"/>
        </w:rPr>
        <w:t xml:space="preserve">that </w:t>
      </w:r>
      <w:r w:rsidR="002C785B" w:rsidRPr="002F4471">
        <w:rPr>
          <w:color w:val="000000" w:themeColor="text1"/>
          <w:lang w:val="en-US" w:eastAsia="en-IE"/>
        </w:rPr>
        <w:t>LIS threshold for each relevant sub-asset class should be the greater of the aggregation of the minimum quote size</w:t>
      </w:r>
      <w:r w:rsidR="00196E69">
        <w:rPr>
          <w:color w:val="000000" w:themeColor="text1"/>
          <w:lang w:val="en-US" w:eastAsia="en-IE"/>
        </w:rPr>
        <w:t xml:space="preserve"> multiplied by the number of </w:t>
      </w:r>
      <w:r w:rsidR="008F728F">
        <w:rPr>
          <w:color w:val="000000" w:themeColor="text1"/>
          <w:lang w:val="en-US" w:eastAsia="en-IE"/>
        </w:rPr>
        <w:t xml:space="preserve">registered </w:t>
      </w:r>
      <w:r w:rsidR="00196E69">
        <w:rPr>
          <w:color w:val="000000" w:themeColor="text1"/>
          <w:lang w:val="en-US" w:eastAsia="en-IE"/>
        </w:rPr>
        <w:t>market makers</w:t>
      </w:r>
      <w:r w:rsidR="00956A11">
        <w:rPr>
          <w:color w:val="000000" w:themeColor="text1"/>
          <w:lang w:val="en-US" w:eastAsia="en-IE"/>
        </w:rPr>
        <w:t xml:space="preserve"> </w:t>
      </w:r>
      <w:r w:rsidR="002C785B" w:rsidRPr="002F4471">
        <w:rPr>
          <w:color w:val="000000" w:themeColor="text1"/>
          <w:lang w:val="en-US" w:eastAsia="en-IE"/>
        </w:rPr>
        <w:t>(</w:t>
      </w:r>
      <w:r w:rsidR="002C785B" w:rsidRPr="00F260FD">
        <w:rPr>
          <w:b/>
          <w:color w:val="000000" w:themeColor="text1"/>
          <w:lang w:val="en-US"/>
        </w:rPr>
        <w:t>‘</w:t>
      </w:r>
      <w:r w:rsidR="002C785B" w:rsidRPr="002F4471">
        <w:rPr>
          <w:b/>
          <w:color w:val="000000" w:themeColor="text1"/>
          <w:lang w:val="en-US" w:eastAsia="en-IE"/>
        </w:rPr>
        <w:t>Min QS * number of MM</w:t>
      </w:r>
      <w:r w:rsidR="002C785B" w:rsidRPr="00F260FD">
        <w:rPr>
          <w:b/>
          <w:color w:val="000000" w:themeColor="text1"/>
          <w:lang w:val="en-US"/>
        </w:rPr>
        <w:t>’</w:t>
      </w:r>
      <w:r w:rsidR="002C785B" w:rsidRPr="002F4471">
        <w:rPr>
          <w:color w:val="000000" w:themeColor="text1"/>
          <w:lang w:val="en-US" w:eastAsia="en-IE"/>
        </w:rPr>
        <w:t>)</w:t>
      </w:r>
      <w:r w:rsidR="00723C73">
        <w:rPr>
          <w:color w:val="000000" w:themeColor="text1"/>
          <w:lang w:val="en-US" w:eastAsia="en-IE"/>
        </w:rPr>
        <w:t>, as</w:t>
      </w:r>
      <w:r w:rsidR="009D08C9">
        <w:rPr>
          <w:color w:val="000000" w:themeColor="text1"/>
          <w:lang w:val="en-US" w:eastAsia="en-IE"/>
        </w:rPr>
        <w:t xml:space="preserve">  </w:t>
      </w:r>
      <w:r w:rsidR="002C785B" w:rsidRPr="002F4471">
        <w:rPr>
          <w:color w:val="000000" w:themeColor="text1"/>
          <w:lang w:val="en-US" w:eastAsia="en-IE"/>
        </w:rPr>
        <w:t>described above</w:t>
      </w:r>
      <w:r w:rsidR="00723C73">
        <w:rPr>
          <w:color w:val="000000" w:themeColor="text1"/>
          <w:lang w:val="en-US" w:eastAsia="en-IE"/>
        </w:rPr>
        <w:t>,</w:t>
      </w:r>
      <w:r w:rsidR="002C785B" w:rsidRPr="002F4471">
        <w:rPr>
          <w:color w:val="000000" w:themeColor="text1"/>
          <w:lang w:val="en-US" w:eastAsia="en-IE"/>
        </w:rPr>
        <w:t xml:space="preserve"> and a </w:t>
      </w:r>
      <w:r w:rsidR="002C785B" w:rsidRPr="002F4471">
        <w:rPr>
          <w:b/>
          <w:color w:val="000000" w:themeColor="text1"/>
          <w:lang w:val="en-US" w:eastAsia="en-IE"/>
        </w:rPr>
        <w:t>Screen Liquidity Indicator Metric (SLIM)</w:t>
      </w:r>
      <w:r w:rsidR="002C785B" w:rsidRPr="002F4471">
        <w:rPr>
          <w:color w:val="000000" w:themeColor="text1"/>
          <w:lang w:val="en-US" w:eastAsia="en-IE"/>
        </w:rPr>
        <w:t xml:space="preserve"> as set out below.</w:t>
      </w:r>
    </w:p>
    <w:p w14:paraId="04448986" w14:textId="77777777" w:rsidR="002C785B" w:rsidRPr="002F4471" w:rsidRDefault="002C785B" w:rsidP="002C785B">
      <w:pPr>
        <w:ind w:left="709"/>
        <w:rPr>
          <w:color w:val="000000" w:themeColor="text1"/>
          <w:lang w:val="en-US" w:eastAsia="en-IE"/>
        </w:rPr>
      </w:pPr>
    </w:p>
    <w:p w14:paraId="545C9D0A" w14:textId="77777777" w:rsidR="002C785B" w:rsidRPr="002F4471" w:rsidRDefault="002C785B" w:rsidP="008C0434">
      <w:pPr>
        <w:rPr>
          <w:color w:val="000000" w:themeColor="text1"/>
          <w:lang w:val="en-US" w:eastAsia="en-IE"/>
        </w:rPr>
      </w:pPr>
      <w:r w:rsidRPr="002F4471">
        <w:rPr>
          <w:color w:val="000000" w:themeColor="text1"/>
          <w:lang w:val="en-US" w:eastAsia="en-IE"/>
        </w:rPr>
        <w:t xml:space="preserve">While we believe that the aggregation of the minimum quote sizes is a reasonable measure of available liquidity, in the experience of FIA EPTA members, market makers will usually provide more liquidity than </w:t>
      </w:r>
      <w:r w:rsidRPr="002F4471">
        <w:rPr>
          <w:color w:val="000000" w:themeColor="text1"/>
          <w:lang w:val="en-US" w:eastAsia="en-IE"/>
        </w:rPr>
        <w:lastRenderedPageBreak/>
        <w:t>th</w:t>
      </w:r>
      <w:r w:rsidR="00723C73">
        <w:rPr>
          <w:color w:val="000000" w:themeColor="text1"/>
          <w:lang w:val="en-US" w:eastAsia="en-IE"/>
        </w:rPr>
        <w:t>is</w:t>
      </w:r>
      <w:r w:rsidRPr="002F4471">
        <w:rPr>
          <w:color w:val="000000" w:themeColor="text1"/>
          <w:lang w:val="en-US" w:eastAsia="en-IE"/>
        </w:rPr>
        <w:t xml:space="preserve"> aggregat</w:t>
      </w:r>
      <w:r w:rsidR="005746F5">
        <w:rPr>
          <w:color w:val="000000" w:themeColor="text1"/>
          <w:lang w:val="en-US" w:eastAsia="en-IE"/>
        </w:rPr>
        <w:t>ed number</w:t>
      </w:r>
      <w:r w:rsidRPr="002F4471">
        <w:rPr>
          <w:color w:val="000000" w:themeColor="text1"/>
          <w:lang w:val="en-US" w:eastAsia="en-IE"/>
        </w:rPr>
        <w:t xml:space="preserve">. The </w:t>
      </w:r>
      <w:r w:rsidR="00A27457">
        <w:rPr>
          <w:color w:val="000000" w:themeColor="text1"/>
          <w:lang w:val="en-US" w:eastAsia="en-IE"/>
        </w:rPr>
        <w:t xml:space="preserve">proposed </w:t>
      </w:r>
      <w:r w:rsidRPr="002F4471">
        <w:rPr>
          <w:color w:val="000000" w:themeColor="text1"/>
          <w:lang w:val="en-US" w:eastAsia="en-IE"/>
        </w:rPr>
        <w:t xml:space="preserve">SLIM </w:t>
      </w:r>
      <w:r w:rsidR="00A27457">
        <w:rPr>
          <w:color w:val="000000" w:themeColor="text1"/>
          <w:lang w:val="en-US" w:eastAsia="en-IE"/>
        </w:rPr>
        <w:t xml:space="preserve">measure </w:t>
      </w:r>
      <w:r w:rsidRPr="002F4471">
        <w:rPr>
          <w:color w:val="000000" w:themeColor="text1"/>
          <w:lang w:val="en-US" w:eastAsia="en-IE"/>
        </w:rPr>
        <w:t>reflects this excess liquidity by taking the actual size of the top</w:t>
      </w:r>
      <w:r w:rsidR="00723C73">
        <w:rPr>
          <w:color w:val="000000" w:themeColor="text1"/>
          <w:lang w:val="en-US" w:eastAsia="en-IE"/>
        </w:rPr>
        <w:t xml:space="preserve"> </w:t>
      </w:r>
      <w:r w:rsidRPr="002F4471">
        <w:rPr>
          <w:color w:val="000000" w:themeColor="text1"/>
          <w:lang w:val="en-US" w:eastAsia="en-IE"/>
        </w:rPr>
        <w:t>3 price levels in the orderbook.</w:t>
      </w:r>
      <w:r w:rsidR="000D1689">
        <w:rPr>
          <w:color w:val="000000" w:themeColor="text1"/>
          <w:lang w:val="en-US" w:eastAsia="en-IE"/>
        </w:rPr>
        <w:t xml:space="preserve"> </w:t>
      </w:r>
      <w:r w:rsidRPr="002F4471">
        <w:rPr>
          <w:color w:val="000000" w:themeColor="text1"/>
          <w:lang w:val="en-US" w:eastAsia="en-IE"/>
        </w:rPr>
        <w:t xml:space="preserve">Based upon the experience of FIA EPTA’s members on average there are 3 registered market makers who will take up top of book positions in the orderbook. </w:t>
      </w:r>
    </w:p>
    <w:p w14:paraId="00016DCA" w14:textId="77777777" w:rsidR="002C785B" w:rsidRPr="002F4471" w:rsidRDefault="002C785B" w:rsidP="002C785B">
      <w:pPr>
        <w:ind w:left="709"/>
        <w:rPr>
          <w:color w:val="000000" w:themeColor="text1"/>
          <w:lang w:val="en-US" w:eastAsia="en-IE"/>
        </w:rPr>
      </w:pPr>
    </w:p>
    <w:p w14:paraId="51DD9A1A" w14:textId="77777777" w:rsidR="002C785B" w:rsidRPr="002F4471" w:rsidRDefault="002C785B" w:rsidP="008C0434">
      <w:pPr>
        <w:rPr>
          <w:color w:val="000000" w:themeColor="text1"/>
          <w:lang w:val="en-US" w:eastAsia="en-IE"/>
        </w:rPr>
      </w:pPr>
      <w:r w:rsidRPr="002F4471">
        <w:rPr>
          <w:color w:val="000000" w:themeColor="text1"/>
          <w:lang w:val="en-US" w:eastAsia="en-IE"/>
        </w:rPr>
        <w:t xml:space="preserve">Therefore, for the reasons set out below, the most accurate measure of the liquidity present on the market would be the greater of the aggregation of the minimum quote sizes and the SLIM: </w:t>
      </w:r>
      <w:r w:rsidRPr="002F4471">
        <w:rPr>
          <w:b/>
          <w:color w:val="000000" w:themeColor="text1"/>
          <w:lang w:val="en-US" w:eastAsia="en-IE"/>
        </w:rPr>
        <w:t xml:space="preserve">Max (SLIM, Min QS * number of MM) </w:t>
      </w:r>
      <w:r w:rsidRPr="002F4471">
        <w:rPr>
          <w:color w:val="000000" w:themeColor="text1"/>
          <w:lang w:val="en-US" w:eastAsia="en-IE"/>
        </w:rPr>
        <w:t xml:space="preserve">and FIA ETPA members would recommend that the LIS threshold be set at this level. This approach would link the orderbook displayed transparent liquidity to relevant LIS values. </w:t>
      </w:r>
    </w:p>
    <w:p w14:paraId="3D6DA85F" w14:textId="77777777" w:rsidR="002C785B" w:rsidRPr="002F4471" w:rsidRDefault="002C785B" w:rsidP="002C785B">
      <w:pPr>
        <w:rPr>
          <w:color w:val="000000" w:themeColor="text1"/>
        </w:rPr>
      </w:pPr>
    </w:p>
    <w:p w14:paraId="32E10C72" w14:textId="77777777" w:rsidR="002C785B" w:rsidRDefault="002C785B" w:rsidP="00B61F24">
      <w:pPr>
        <w:pStyle w:val="ListParagraph"/>
        <w:numPr>
          <w:ilvl w:val="0"/>
          <w:numId w:val="38"/>
        </w:numPr>
        <w:ind w:left="1080"/>
        <w:rPr>
          <w:lang w:val="en-US" w:eastAsia="en-IE"/>
        </w:rPr>
      </w:pPr>
      <w:r w:rsidRPr="00AC53B4">
        <w:rPr>
          <w:lang w:val="en-US" w:eastAsia="en-IE"/>
        </w:rPr>
        <w:t>As exchange</w:t>
      </w:r>
      <w:r w:rsidR="0001177B">
        <w:rPr>
          <w:lang w:val="en-US" w:eastAsia="en-IE"/>
        </w:rPr>
        <w:t>s</w:t>
      </w:r>
      <w:r w:rsidRPr="00AC53B4">
        <w:rPr>
          <w:lang w:val="en-US" w:eastAsia="en-IE"/>
        </w:rPr>
        <w:t xml:space="preserve"> set the minimum quote size</w:t>
      </w:r>
      <w:r>
        <w:rPr>
          <w:lang w:val="en-US" w:eastAsia="en-IE"/>
        </w:rPr>
        <w:t xml:space="preserve"> (QS)</w:t>
      </w:r>
      <w:r w:rsidRPr="00AC53B4">
        <w:rPr>
          <w:lang w:val="en-US" w:eastAsia="en-IE"/>
        </w:rPr>
        <w:t xml:space="preserve"> obligation and manage the market making registration process, calculation of </w:t>
      </w:r>
      <w:r w:rsidRPr="00F260FD">
        <w:rPr>
          <w:b/>
          <w:lang w:val="en-US"/>
        </w:rPr>
        <w:t>‘</w:t>
      </w:r>
      <w:r w:rsidRPr="00AC53B4">
        <w:rPr>
          <w:b/>
          <w:lang w:val="en-US" w:eastAsia="en-IE"/>
        </w:rPr>
        <w:t>Min QS * number of MM</w:t>
      </w:r>
      <w:r w:rsidRPr="00F260FD">
        <w:rPr>
          <w:b/>
          <w:lang w:val="en-US"/>
        </w:rPr>
        <w:t>’</w:t>
      </w:r>
      <w:r w:rsidRPr="00AC53B4">
        <w:rPr>
          <w:lang w:val="en-US" w:eastAsia="en-IE"/>
        </w:rPr>
        <w:t xml:space="preserve"> would </w:t>
      </w:r>
      <w:r>
        <w:rPr>
          <w:lang w:val="en-US" w:eastAsia="en-IE"/>
        </w:rPr>
        <w:t xml:space="preserve">therefore </w:t>
      </w:r>
      <w:r w:rsidRPr="00AC53B4">
        <w:rPr>
          <w:lang w:val="en-US" w:eastAsia="en-IE"/>
        </w:rPr>
        <w:t xml:space="preserve">be very straightforward for exchanges. </w:t>
      </w:r>
      <w:r w:rsidRPr="000B50A6">
        <w:rPr>
          <w:lang w:val="en-US" w:eastAsia="en-IE"/>
        </w:rPr>
        <w:t xml:space="preserve">In </w:t>
      </w:r>
      <w:r w:rsidR="0001177B">
        <w:rPr>
          <w:lang w:val="en-US" w:eastAsia="en-IE"/>
        </w:rPr>
        <w:t xml:space="preserve">our </w:t>
      </w:r>
      <w:r w:rsidRPr="000B50A6">
        <w:rPr>
          <w:lang w:val="en-US" w:eastAsia="en-IE"/>
        </w:rPr>
        <w:t xml:space="preserve">members’ opinion, no trades with a size below this level should be able to avail of a pre-trade transparency waiver given the exchange requirements dictate that there will be at least that level of liquidity in the orderbook at any given time. </w:t>
      </w:r>
    </w:p>
    <w:p w14:paraId="7EA73346" w14:textId="77777777" w:rsidR="002C785B" w:rsidRPr="000B50A6" w:rsidRDefault="002C785B" w:rsidP="008C0434">
      <w:pPr>
        <w:pStyle w:val="ListParagraph"/>
        <w:ind w:left="1080"/>
        <w:rPr>
          <w:lang w:val="en-US" w:eastAsia="en-IE"/>
        </w:rPr>
      </w:pPr>
    </w:p>
    <w:p w14:paraId="6F66F7AB" w14:textId="77777777" w:rsidR="002C785B" w:rsidRDefault="0001177B" w:rsidP="00B61F24">
      <w:pPr>
        <w:pStyle w:val="ListParagraph"/>
        <w:numPr>
          <w:ilvl w:val="0"/>
          <w:numId w:val="38"/>
        </w:numPr>
        <w:ind w:left="1080"/>
        <w:rPr>
          <w:lang w:val="en-US" w:eastAsia="en-IE"/>
        </w:rPr>
      </w:pPr>
      <w:r>
        <w:rPr>
          <w:lang w:val="en-US" w:eastAsia="en-IE"/>
        </w:rPr>
        <w:t>Also</w:t>
      </w:r>
      <w:r w:rsidR="002C785B" w:rsidRPr="0085776B">
        <w:rPr>
          <w:lang w:val="en-US" w:eastAsia="en-IE"/>
        </w:rPr>
        <w:t xml:space="preserve">, the </w:t>
      </w:r>
      <w:r w:rsidR="002C785B" w:rsidRPr="0085776B">
        <w:rPr>
          <w:b/>
          <w:lang w:val="en-US" w:eastAsia="en-IE"/>
        </w:rPr>
        <w:t>SLIM</w:t>
      </w:r>
      <w:r w:rsidR="002C785B" w:rsidRPr="0085776B">
        <w:rPr>
          <w:lang w:val="en-US" w:eastAsia="en-IE"/>
        </w:rPr>
        <w:t xml:space="preserve"> </w:t>
      </w:r>
      <w:r>
        <w:rPr>
          <w:lang w:val="en-US" w:eastAsia="en-IE"/>
        </w:rPr>
        <w:t>would</w:t>
      </w:r>
      <w:r w:rsidRPr="0085776B">
        <w:rPr>
          <w:lang w:val="en-US" w:eastAsia="en-IE"/>
        </w:rPr>
        <w:t xml:space="preserve"> </w:t>
      </w:r>
      <w:r w:rsidR="002C785B" w:rsidRPr="0085776B">
        <w:rPr>
          <w:lang w:val="en-US" w:eastAsia="en-IE"/>
        </w:rPr>
        <w:t xml:space="preserve">simply </w:t>
      </w:r>
      <w:r>
        <w:rPr>
          <w:lang w:val="en-US" w:eastAsia="en-IE"/>
        </w:rPr>
        <w:t xml:space="preserve">be </w:t>
      </w:r>
      <w:r w:rsidR="002C785B" w:rsidRPr="0085776B">
        <w:rPr>
          <w:lang w:val="en-US" w:eastAsia="en-IE"/>
        </w:rPr>
        <w:t>a view of the actual liquidity available in the market as it is often the case that market makers provide more liquidity than the base requirements in the</w:t>
      </w:r>
      <w:r w:rsidR="00ED2BBA">
        <w:rPr>
          <w:lang w:val="en-US" w:eastAsia="en-IE"/>
        </w:rPr>
        <w:t xml:space="preserve"> exchange </w:t>
      </w:r>
      <w:r w:rsidR="002C785B" w:rsidRPr="0085776B">
        <w:rPr>
          <w:lang w:val="en-US" w:eastAsia="en-IE"/>
        </w:rPr>
        <w:t>market making schemes. In order to accurately quantify this excess liquidity, exchanges could calculate the average volume in the orderbook on the top</w:t>
      </w:r>
      <w:r w:rsidR="005746F5">
        <w:rPr>
          <w:lang w:val="en-US" w:eastAsia="en-IE"/>
        </w:rPr>
        <w:t xml:space="preserve"> </w:t>
      </w:r>
      <w:r w:rsidR="002C785B" w:rsidRPr="0085776B">
        <w:rPr>
          <w:lang w:val="en-US" w:eastAsia="en-IE"/>
        </w:rPr>
        <w:t>3 price points for relevant options. FIA EPTA members would consider relevant options to be all option</w:t>
      </w:r>
      <w:r w:rsidR="00F23B64">
        <w:rPr>
          <w:lang w:val="en-US" w:eastAsia="en-IE"/>
        </w:rPr>
        <w:t xml:space="preserve"> contracts</w:t>
      </w:r>
      <w:r w:rsidR="002C785B" w:rsidRPr="0085776B">
        <w:rPr>
          <w:lang w:val="en-US" w:eastAsia="en-IE"/>
        </w:rPr>
        <w:t xml:space="preserve"> that expire between 30 and 360 days which are out of the money (OTM). The reason for selecting the OTM options </w:t>
      </w:r>
      <w:r w:rsidR="00074B20">
        <w:rPr>
          <w:lang w:val="en-US" w:eastAsia="en-IE"/>
        </w:rPr>
        <w:t>is</w:t>
      </w:r>
      <w:r w:rsidR="00074B20" w:rsidRPr="0085776B">
        <w:rPr>
          <w:lang w:val="en-US" w:eastAsia="en-IE"/>
        </w:rPr>
        <w:t xml:space="preserve"> </w:t>
      </w:r>
      <w:r w:rsidR="002C785B" w:rsidRPr="0085776B">
        <w:rPr>
          <w:lang w:val="en-US" w:eastAsia="en-IE"/>
        </w:rPr>
        <w:t>to narrow down a subset of option</w:t>
      </w:r>
      <w:r w:rsidR="00F23B64">
        <w:rPr>
          <w:lang w:val="en-US" w:eastAsia="en-IE"/>
        </w:rPr>
        <w:t xml:space="preserve"> contracts</w:t>
      </w:r>
      <w:r w:rsidR="002C785B" w:rsidRPr="0085776B">
        <w:rPr>
          <w:lang w:val="en-US" w:eastAsia="en-IE"/>
        </w:rPr>
        <w:t xml:space="preserve"> and capture the level of volatility supply in the market. The rational</w:t>
      </w:r>
      <w:r w:rsidR="00074B20">
        <w:rPr>
          <w:lang w:val="en-US" w:eastAsia="en-IE"/>
        </w:rPr>
        <w:t>e</w:t>
      </w:r>
      <w:r w:rsidR="002C785B" w:rsidRPr="0085776B">
        <w:rPr>
          <w:lang w:val="en-US" w:eastAsia="en-IE"/>
        </w:rPr>
        <w:t xml:space="preserve"> for the lower bound of 30 days for the expiry range </w:t>
      </w:r>
      <w:r w:rsidR="00074B20">
        <w:rPr>
          <w:lang w:val="en-US" w:eastAsia="en-IE"/>
        </w:rPr>
        <w:t>is</w:t>
      </w:r>
      <w:r w:rsidR="00074B20" w:rsidRPr="0085776B">
        <w:rPr>
          <w:lang w:val="en-US" w:eastAsia="en-IE"/>
        </w:rPr>
        <w:t xml:space="preserve"> </w:t>
      </w:r>
      <w:r w:rsidR="002C785B" w:rsidRPr="0085776B">
        <w:rPr>
          <w:lang w:val="en-US" w:eastAsia="en-IE"/>
        </w:rPr>
        <w:t xml:space="preserve">to avoid capturing liquidity changes around expiry which can behave differently to continuous trading. The upper bound represents what the typical market making requirement are for most listed options which is 1 year. </w:t>
      </w:r>
    </w:p>
    <w:p w14:paraId="5C38430C" w14:textId="77777777" w:rsidR="002C785B" w:rsidRPr="0085776B" w:rsidRDefault="002C785B">
      <w:pPr>
        <w:rPr>
          <w:lang w:val="en-US" w:eastAsia="en-IE"/>
        </w:rPr>
      </w:pPr>
    </w:p>
    <w:p w14:paraId="7570FACC" w14:textId="77777777" w:rsidR="002C785B" w:rsidRPr="0085776B" w:rsidRDefault="002C785B" w:rsidP="00B61F24">
      <w:pPr>
        <w:pStyle w:val="ListParagraph"/>
        <w:numPr>
          <w:ilvl w:val="0"/>
          <w:numId w:val="38"/>
        </w:numPr>
        <w:ind w:left="1080"/>
        <w:rPr>
          <w:lang w:val="en-IE" w:eastAsia="en-US"/>
        </w:rPr>
      </w:pPr>
      <w:r w:rsidRPr="0085776B">
        <w:rPr>
          <w:lang w:val="en-US" w:eastAsia="en-IE"/>
        </w:rPr>
        <w:t xml:space="preserve">Once </w:t>
      </w:r>
      <w:r>
        <w:rPr>
          <w:lang w:val="en-US" w:eastAsia="en-IE"/>
        </w:rPr>
        <w:t>in receipt of this</w:t>
      </w:r>
      <w:r w:rsidRPr="0085776B">
        <w:rPr>
          <w:lang w:val="en-US" w:eastAsia="en-IE"/>
        </w:rPr>
        <w:t xml:space="preserve"> information</w:t>
      </w:r>
      <w:r>
        <w:rPr>
          <w:lang w:val="en-US" w:eastAsia="en-IE"/>
        </w:rPr>
        <w:t xml:space="preserve">, </w:t>
      </w:r>
      <w:r w:rsidRPr="0085776B">
        <w:rPr>
          <w:lang w:val="en-US" w:eastAsia="en-IE"/>
        </w:rPr>
        <w:t>LIS values</w:t>
      </w:r>
      <w:r>
        <w:rPr>
          <w:lang w:val="en-US" w:eastAsia="en-IE"/>
        </w:rPr>
        <w:t xml:space="preserve"> could be set</w:t>
      </w:r>
      <w:r w:rsidRPr="0085776B">
        <w:rPr>
          <w:lang w:val="en-US" w:eastAsia="en-IE"/>
        </w:rPr>
        <w:t xml:space="preserve"> using the </w:t>
      </w:r>
      <w:r>
        <w:rPr>
          <w:lang w:val="en-US" w:eastAsia="en-IE"/>
        </w:rPr>
        <w:t xml:space="preserve">MAX </w:t>
      </w:r>
      <w:r w:rsidRPr="0085776B">
        <w:rPr>
          <w:lang w:val="en-US" w:eastAsia="en-IE"/>
        </w:rPr>
        <w:t>(SLIM, QS * no</w:t>
      </w:r>
      <w:r w:rsidR="00335D8C">
        <w:rPr>
          <w:lang w:val="en-US" w:eastAsia="en-IE"/>
        </w:rPr>
        <w:t>.</w:t>
      </w:r>
      <w:r w:rsidRPr="0085776B">
        <w:rPr>
          <w:lang w:val="en-US" w:eastAsia="en-IE"/>
        </w:rPr>
        <w:t xml:space="preserve"> of MM) formula. </w:t>
      </w:r>
    </w:p>
    <w:p w14:paraId="0A526357" w14:textId="77777777" w:rsidR="002C785B" w:rsidRDefault="002C785B" w:rsidP="002C785B"/>
    <w:p w14:paraId="15B9C491" w14:textId="77777777" w:rsidR="002C785B" w:rsidRPr="002F4471" w:rsidRDefault="002C785B" w:rsidP="002C785B">
      <w:pPr>
        <w:rPr>
          <w:color w:val="70AD47"/>
        </w:rPr>
      </w:pPr>
      <w:r>
        <w:rPr>
          <w:lang w:val="en-US" w:eastAsia="en-IE"/>
        </w:rPr>
        <w:t xml:space="preserve">Derivative exchanges in Europe would be </w:t>
      </w:r>
      <w:r w:rsidRPr="002F4471">
        <w:rPr>
          <w:color w:val="000000" w:themeColor="text1"/>
          <w:lang w:val="en-US" w:eastAsia="en-IE"/>
        </w:rPr>
        <w:t xml:space="preserve">able to readily calculate </w:t>
      </w:r>
      <w:r>
        <w:rPr>
          <w:lang w:val="en-US" w:eastAsia="en-IE"/>
        </w:rPr>
        <w:t>this data and relay it to ESMA, on a quarterly basis, to determine relevant LIS thresholds</w:t>
      </w:r>
      <w:r w:rsidR="00D7766F">
        <w:rPr>
          <w:lang w:val="en-US" w:eastAsia="en-IE"/>
        </w:rPr>
        <w:t xml:space="preserve"> for derivatives</w:t>
      </w:r>
      <w:r>
        <w:rPr>
          <w:lang w:val="en-US" w:eastAsia="en-IE"/>
        </w:rPr>
        <w:t>.</w:t>
      </w:r>
      <w:r w:rsidR="00221877">
        <w:rPr>
          <w:lang w:val="en-US" w:eastAsia="en-IE"/>
        </w:rPr>
        <w:t>]</w:t>
      </w:r>
    </w:p>
    <w:p w14:paraId="12B6BEDA" w14:textId="77777777" w:rsidR="002C785B" w:rsidRPr="00F260FD" w:rsidRDefault="002C785B" w:rsidP="002C785B">
      <w:pPr>
        <w:rPr>
          <w:color w:val="70AD47"/>
        </w:rPr>
      </w:pPr>
    </w:p>
    <w:p w14:paraId="07C47250" w14:textId="77777777" w:rsidR="002C785B" w:rsidRDefault="002C785B" w:rsidP="002C785B"/>
    <w:p w14:paraId="1662149F" w14:textId="77777777" w:rsidR="002C785B" w:rsidRDefault="002C785B" w:rsidP="002C785B">
      <w:r>
        <w:t>&lt;ESMA_QUESTION_CP_MIFID_NQT_2&gt;</w:t>
      </w:r>
    </w:p>
    <w:p w14:paraId="4BBDDC05" w14:textId="77777777" w:rsidR="002C785B" w:rsidRDefault="002C785B" w:rsidP="002C785B"/>
    <w:p w14:paraId="4DAE97DD" w14:textId="77777777" w:rsidR="002C785B" w:rsidRPr="00431DA4" w:rsidRDefault="002C785B">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3E04D047" w14:textId="77777777" w:rsidR="002C785B" w:rsidRDefault="002C785B" w:rsidP="002C785B">
      <w:r>
        <w:t>&lt;ESMA_QUESTION_CP_MIFID_NQT_3&gt;</w:t>
      </w:r>
    </w:p>
    <w:p w14:paraId="59B70936" w14:textId="77777777" w:rsidR="002C785B" w:rsidRDefault="00E1229C" w:rsidP="002C785B">
      <w:r>
        <w:t>[</w:t>
      </w:r>
      <w:r w:rsidR="002C785B" w:rsidRPr="00F10015">
        <w:t>Yes, FIA EPTA members are supportive of ESMA’s proposal to delete the pre-trade SSTI waiver. The SSTI metric is confusing and</w:t>
      </w:r>
      <w:r w:rsidR="00AD059E">
        <w:t xml:space="preserve"> </w:t>
      </w:r>
      <w:r w:rsidR="002C785B">
        <w:t>add</w:t>
      </w:r>
      <w:r w:rsidR="00AD059E">
        <w:t>s</w:t>
      </w:r>
      <w:r w:rsidR="002C785B">
        <w:t xml:space="preserve"> unnecessary complexity to the transparency regime for minimal added value.</w:t>
      </w:r>
    </w:p>
    <w:p w14:paraId="5DE93927" w14:textId="77777777" w:rsidR="002C785B" w:rsidRDefault="002C785B" w:rsidP="002C785B"/>
    <w:p w14:paraId="57427385" w14:textId="77777777" w:rsidR="002C785B" w:rsidRDefault="002C785B" w:rsidP="002C785B">
      <w:r>
        <w:t xml:space="preserve">However, for the reasons set out in response to </w:t>
      </w:r>
      <w:r w:rsidR="00541886">
        <w:t>Q</w:t>
      </w:r>
      <w:r>
        <w:t>uestion 2, FIA EPTA members would strongly disagree with lowering the pre-trade LIS-thresholds in any way to compensate for deleting the SSTI waiver.</w:t>
      </w:r>
      <w:r w:rsidRPr="00A26063">
        <w:t xml:space="preserve"> </w:t>
      </w:r>
      <w:r w:rsidR="00C23099">
        <w:t>Such l</w:t>
      </w:r>
      <w:r>
        <w:t xml:space="preserve">owering </w:t>
      </w:r>
      <w:r w:rsidR="005746F5">
        <w:t>of</w:t>
      </w:r>
      <w:r>
        <w:t xml:space="preserve"> the pre-trade LIS-thresholds would result in a significantly lower level of pre-trade transparency as the LIS waiver is applicable across all trading system</w:t>
      </w:r>
      <w:r w:rsidR="00C23099">
        <w:t>s</w:t>
      </w:r>
      <w:r>
        <w:t xml:space="preserve"> whereas the SSTI is only applicable to RFQ and voice trading systems. Any such compensation would be detrimental to the non-equity markets as it would increase information asymmetry, </w:t>
      </w:r>
      <w:r w:rsidR="00401474">
        <w:t>going</w:t>
      </w:r>
      <w:r>
        <w:t xml:space="preserve"> against the MiFID </w:t>
      </w:r>
      <w:r w:rsidR="00401474">
        <w:t xml:space="preserve">II transparency </w:t>
      </w:r>
      <w:r>
        <w:t>objectives</w:t>
      </w:r>
      <w:r w:rsidR="00401474">
        <w:t>.</w:t>
      </w:r>
      <w:r>
        <w:t>]</w:t>
      </w:r>
    </w:p>
    <w:p w14:paraId="2B5693CD" w14:textId="77777777" w:rsidR="002C785B" w:rsidRDefault="002C785B" w:rsidP="002C785B">
      <w:r>
        <w:t>&lt;ESMA_QUESTION_CP_MIFID_NQT_3&gt;</w:t>
      </w:r>
    </w:p>
    <w:p w14:paraId="3370FB30" w14:textId="77777777" w:rsidR="002C785B" w:rsidRDefault="002C785B" w:rsidP="002C785B"/>
    <w:p w14:paraId="10612081" w14:textId="77777777" w:rsidR="002C785B" w:rsidRPr="00431DA4" w:rsidRDefault="002C785B" w:rsidP="002C785B">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t>.</w:t>
      </w:r>
    </w:p>
    <w:p w14:paraId="7928B3F3" w14:textId="77777777" w:rsidR="002C785B" w:rsidRDefault="002C785B" w:rsidP="002C785B">
      <w:r>
        <w:t>&lt;ESMA_QUESTION_CP_MIFID_NQT_4&gt;</w:t>
      </w:r>
    </w:p>
    <w:p w14:paraId="298C6F3C" w14:textId="77777777" w:rsidR="002C785B" w:rsidRDefault="00E1229C">
      <w:r>
        <w:t>[</w:t>
      </w:r>
      <w:r w:rsidR="002C785B">
        <w:t xml:space="preserve">FIA EPTA members’ preference, in line with our response to </w:t>
      </w:r>
      <w:r w:rsidR="00E82564">
        <w:t>Q</w:t>
      </w:r>
      <w:r w:rsidR="002C785B">
        <w:t xml:space="preserve">uestion 3, is for SSTI for SI-quoting obligations </w:t>
      </w:r>
      <w:r w:rsidR="00937F41">
        <w:t>to</w:t>
      </w:r>
      <w:r w:rsidR="002C785B">
        <w:t xml:space="preserve"> be removed and replaced by </w:t>
      </w:r>
      <w:r w:rsidR="00937F41">
        <w:t>setting the quoting</w:t>
      </w:r>
      <w:r w:rsidR="002C785B">
        <w:t xml:space="preserve"> obligation </w:t>
      </w:r>
      <w:r w:rsidR="005000BC">
        <w:t>at</w:t>
      </w:r>
      <w:r w:rsidR="002C785B">
        <w:t xml:space="preserve"> the LIS-threshold</w:t>
      </w:r>
      <w:r w:rsidR="00B31832">
        <w:t xml:space="preserve"> for derivatives, or a </w:t>
      </w:r>
      <w:r w:rsidR="008157C3">
        <w:t xml:space="preserve">fitting threshold (e.g. </w:t>
      </w:r>
      <w:r w:rsidR="00E8397F">
        <w:t xml:space="preserve">specific </w:t>
      </w:r>
      <w:r w:rsidR="00B31832">
        <w:t>percentage</w:t>
      </w:r>
      <w:r w:rsidR="008157C3">
        <w:t>s</w:t>
      </w:r>
      <w:r w:rsidR="00B31832">
        <w:t xml:space="preserve"> of LIS</w:t>
      </w:r>
      <w:r w:rsidR="008157C3">
        <w:t>)</w:t>
      </w:r>
      <w:r w:rsidR="00B31832">
        <w:t xml:space="preserve"> for bonds as a result of analysing a more granular approach for fixed income instruments</w:t>
      </w:r>
      <w:r w:rsidR="002C785B">
        <w:t xml:space="preserve">. </w:t>
      </w:r>
      <w:r w:rsidR="005000BC">
        <w:t>This will level the playing field between trading venues and SIs.</w:t>
      </w:r>
      <w:r w:rsidR="002C785B">
        <w:t>]</w:t>
      </w:r>
    </w:p>
    <w:p w14:paraId="0B941150" w14:textId="77777777" w:rsidR="002C785B" w:rsidRDefault="002C785B" w:rsidP="002C785B">
      <w:r>
        <w:t>&lt;ESMA_QUESTION_CP_MIFID_NQT_4&gt;</w:t>
      </w:r>
    </w:p>
    <w:p w14:paraId="4A68EC99" w14:textId="77777777" w:rsidR="002C785B" w:rsidRDefault="002C785B" w:rsidP="002C785B"/>
    <w:p w14:paraId="36498ED0" w14:textId="77777777" w:rsidR="002C785B" w:rsidRPr="00431DA4" w:rsidRDefault="002C785B" w:rsidP="002C785B">
      <w:pPr>
        <w:pStyle w:val="CPQuestions"/>
      </w:pPr>
      <w:r w:rsidRPr="007254DD">
        <w:t>Would you support turning the hedging exemption into a limited negotiated trade waiver? If so, would you support Option 1 or Option 2? If not, please explain why</w:t>
      </w:r>
      <w:r>
        <w:t>.</w:t>
      </w:r>
    </w:p>
    <w:p w14:paraId="3EF88440" w14:textId="77777777" w:rsidR="002C785B" w:rsidRDefault="002C785B" w:rsidP="002C785B">
      <w:r>
        <w:t>&lt;ESMA_QUESTION_CP_MIFID_NQT_5&gt;</w:t>
      </w:r>
    </w:p>
    <w:p w14:paraId="5EF6580D" w14:textId="77777777" w:rsidR="002C785B" w:rsidRDefault="00E1229C" w:rsidP="002C785B">
      <w:r>
        <w:t>[</w:t>
      </w:r>
      <w:r w:rsidR="001A46AC">
        <w:t>We agree with Option 2 and would not be in favour of expanding this to any type of derivative.</w:t>
      </w:r>
      <w:r>
        <w:t>]</w:t>
      </w:r>
      <w:r w:rsidR="001A46AC">
        <w:t xml:space="preserve"> </w:t>
      </w:r>
      <w:r w:rsidR="002C785B">
        <w:t>&lt;ESMA_QUESTION_CP_MIFID_NQT_5&gt;</w:t>
      </w:r>
    </w:p>
    <w:p w14:paraId="2B9CCB88" w14:textId="77777777" w:rsidR="002C785B" w:rsidRDefault="002C785B" w:rsidP="002C785B"/>
    <w:p w14:paraId="3938EDF5" w14:textId="77777777" w:rsidR="002C785B" w:rsidRDefault="002C785B" w:rsidP="002C785B"/>
    <w:p w14:paraId="580DA9C4" w14:textId="77777777" w:rsidR="002C785B" w:rsidRPr="00431DA4" w:rsidRDefault="002C785B" w:rsidP="002C785B">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t>.</w:t>
      </w:r>
    </w:p>
    <w:p w14:paraId="1F36B546" w14:textId="77777777" w:rsidR="002C785B" w:rsidRDefault="002C785B" w:rsidP="002C785B">
      <w:r>
        <w:t>&lt;ESMA_QUESTION_CP_MIFID_NQT_6&gt;</w:t>
      </w:r>
    </w:p>
    <w:p w14:paraId="10D4F595" w14:textId="06D897FB" w:rsidR="002C785B" w:rsidRPr="00134276" w:rsidRDefault="00E1229C" w:rsidP="002C785B">
      <w:pPr>
        <w:pStyle w:val="Default"/>
        <w:rPr>
          <w:rFonts w:ascii="Arial" w:hAnsi="Arial" w:cs="Arial"/>
          <w:sz w:val="20"/>
          <w:szCs w:val="20"/>
          <w:lang w:val="en-GB"/>
        </w:rPr>
      </w:pPr>
      <w:r>
        <w:lastRenderedPageBreak/>
        <w:t>[</w:t>
      </w:r>
      <w:r w:rsidR="002C785B" w:rsidRPr="00134276">
        <w:rPr>
          <w:rFonts w:ascii="Arial" w:hAnsi="Arial" w:cs="Arial"/>
          <w:sz w:val="20"/>
          <w:szCs w:val="20"/>
          <w:lang w:val="en-GB"/>
        </w:rPr>
        <w:t>Yes, FIA EPTA members agree with ESMA</w:t>
      </w:r>
      <w:r w:rsidR="00937F41">
        <w:rPr>
          <w:rFonts w:ascii="Arial" w:hAnsi="Arial" w:cs="Arial"/>
          <w:sz w:val="20"/>
          <w:szCs w:val="20"/>
          <w:lang w:val="en-GB"/>
        </w:rPr>
        <w:t>’s</w:t>
      </w:r>
      <w:r w:rsidR="002C785B" w:rsidRPr="00134276">
        <w:rPr>
          <w:rFonts w:ascii="Arial" w:hAnsi="Arial" w:cs="Arial"/>
          <w:sz w:val="20"/>
          <w:szCs w:val="20"/>
          <w:lang w:val="en-GB"/>
        </w:rPr>
        <w:t xml:space="preserve"> proposal to require a Level 1 change and for ESMA to issue an Opinion for trading system</w:t>
      </w:r>
      <w:r w:rsidR="001B7C78">
        <w:rPr>
          <w:rFonts w:ascii="Arial" w:hAnsi="Arial" w:cs="Arial"/>
          <w:sz w:val="20"/>
          <w:szCs w:val="20"/>
          <w:lang w:val="en-GB"/>
        </w:rPr>
        <w:t>s</w:t>
      </w:r>
      <w:r w:rsidR="002C785B">
        <w:rPr>
          <w:rFonts w:ascii="Arial" w:hAnsi="Arial" w:cs="Arial"/>
          <w:sz w:val="20"/>
          <w:szCs w:val="20"/>
          <w:lang w:val="en-GB"/>
        </w:rPr>
        <w:t xml:space="preserve"> where the price determination process differs from existing systems </w:t>
      </w:r>
      <w:r w:rsidR="006134EE">
        <w:rPr>
          <w:rFonts w:ascii="Arial" w:hAnsi="Arial" w:cs="Arial"/>
          <w:sz w:val="20"/>
          <w:szCs w:val="20"/>
          <w:lang w:val="en-GB"/>
        </w:rPr>
        <w:t xml:space="preserve">as </w:t>
      </w:r>
      <w:r w:rsidR="001B7C78">
        <w:rPr>
          <w:rFonts w:ascii="Arial" w:hAnsi="Arial" w:cs="Arial"/>
          <w:sz w:val="20"/>
          <w:szCs w:val="20"/>
          <w:lang w:val="en-GB"/>
        </w:rPr>
        <w:t xml:space="preserve">currently </w:t>
      </w:r>
      <w:r w:rsidR="0088142C">
        <w:rPr>
          <w:rFonts w:ascii="Arial" w:hAnsi="Arial" w:cs="Arial"/>
          <w:sz w:val="20"/>
          <w:szCs w:val="20"/>
          <w:lang w:val="en-GB"/>
        </w:rPr>
        <w:t>specified in the Annex</w:t>
      </w:r>
      <w:r w:rsidR="002C785B">
        <w:rPr>
          <w:rFonts w:ascii="Arial" w:hAnsi="Arial" w:cs="Arial"/>
          <w:sz w:val="20"/>
          <w:szCs w:val="20"/>
          <w:lang w:val="en-GB"/>
        </w:rPr>
        <w:t xml:space="preserve"> (please see</w:t>
      </w:r>
      <w:r w:rsidR="003B1B48">
        <w:rPr>
          <w:rFonts w:ascii="Arial" w:hAnsi="Arial" w:cs="Arial"/>
          <w:sz w:val="20"/>
          <w:szCs w:val="20"/>
          <w:lang w:val="en-GB"/>
        </w:rPr>
        <w:t xml:space="preserve"> our</w:t>
      </w:r>
      <w:r w:rsidR="002C785B">
        <w:rPr>
          <w:rFonts w:ascii="Arial" w:hAnsi="Arial" w:cs="Arial"/>
          <w:sz w:val="20"/>
          <w:szCs w:val="20"/>
          <w:lang w:val="en-GB"/>
        </w:rPr>
        <w:t xml:space="preserve"> response to </w:t>
      </w:r>
      <w:r w:rsidR="003B1B48">
        <w:rPr>
          <w:rFonts w:ascii="Arial" w:hAnsi="Arial" w:cs="Arial"/>
          <w:sz w:val="20"/>
          <w:szCs w:val="20"/>
          <w:lang w:val="en-GB"/>
        </w:rPr>
        <w:t>Q</w:t>
      </w:r>
      <w:r w:rsidR="002C785B">
        <w:rPr>
          <w:rFonts w:ascii="Arial" w:hAnsi="Arial" w:cs="Arial"/>
          <w:sz w:val="20"/>
          <w:szCs w:val="20"/>
          <w:lang w:val="en-GB"/>
        </w:rPr>
        <w:t>uestion 7 for further detail on this point)</w:t>
      </w:r>
      <w:r w:rsidR="002C785B" w:rsidRPr="00134276">
        <w:rPr>
          <w:rFonts w:ascii="Arial" w:hAnsi="Arial" w:cs="Arial"/>
          <w:sz w:val="20"/>
          <w:szCs w:val="20"/>
          <w:lang w:val="en-GB"/>
        </w:rPr>
        <w:t>. Given the continued innovation in the markets</w:t>
      </w:r>
      <w:r w:rsidR="001A10A3">
        <w:rPr>
          <w:rFonts w:ascii="Arial" w:hAnsi="Arial" w:cs="Arial"/>
          <w:sz w:val="20"/>
          <w:szCs w:val="20"/>
          <w:lang w:val="en-GB"/>
        </w:rPr>
        <w:t xml:space="preserve"> </w:t>
      </w:r>
      <w:r w:rsidR="002C785B" w:rsidRPr="00134276">
        <w:rPr>
          <w:rFonts w:ascii="Arial" w:hAnsi="Arial" w:cs="Arial"/>
          <w:sz w:val="20"/>
          <w:szCs w:val="20"/>
          <w:lang w:val="en-GB"/>
        </w:rPr>
        <w:t xml:space="preserve">and </w:t>
      </w:r>
      <w:r w:rsidR="00E96307">
        <w:rPr>
          <w:rFonts w:ascii="Arial" w:hAnsi="Arial" w:cs="Arial"/>
          <w:sz w:val="20"/>
          <w:szCs w:val="20"/>
          <w:lang w:val="en-GB"/>
        </w:rPr>
        <w:t>the fact that</w:t>
      </w:r>
      <w:r w:rsidR="00E96307" w:rsidRPr="00134276">
        <w:rPr>
          <w:rFonts w:ascii="Arial" w:hAnsi="Arial" w:cs="Arial"/>
          <w:sz w:val="20"/>
          <w:szCs w:val="20"/>
          <w:lang w:val="en-GB"/>
        </w:rPr>
        <w:t xml:space="preserve"> </w:t>
      </w:r>
      <w:r w:rsidR="002C785B" w:rsidRPr="00134276">
        <w:rPr>
          <w:rFonts w:ascii="Arial" w:hAnsi="Arial" w:cs="Arial"/>
          <w:sz w:val="20"/>
          <w:szCs w:val="20"/>
          <w:lang w:val="en-GB"/>
        </w:rPr>
        <w:t xml:space="preserve">each new trading system </w:t>
      </w:r>
      <w:r w:rsidR="00BE0988">
        <w:rPr>
          <w:rFonts w:ascii="Arial" w:hAnsi="Arial" w:cs="Arial"/>
          <w:sz w:val="20"/>
          <w:szCs w:val="20"/>
          <w:lang w:val="en-GB"/>
        </w:rPr>
        <w:t>will have</w:t>
      </w:r>
      <w:r w:rsidR="002C785B" w:rsidRPr="00134276">
        <w:rPr>
          <w:rFonts w:ascii="Arial" w:hAnsi="Arial" w:cs="Arial"/>
          <w:sz w:val="20"/>
          <w:szCs w:val="20"/>
          <w:lang w:val="en-GB"/>
        </w:rPr>
        <w:t xml:space="preserve"> unique elements specifically to meet particular perceived ‘trading gaps’, FIA EPTA members believe it is imperative for ESMA to review and issue an Opinion on each new trading system as they are introduced</w:t>
      </w:r>
      <w:r w:rsidR="00516EBA">
        <w:rPr>
          <w:rFonts w:ascii="Arial" w:hAnsi="Arial" w:cs="Arial"/>
          <w:sz w:val="20"/>
          <w:szCs w:val="20"/>
          <w:lang w:val="en-GB"/>
        </w:rPr>
        <w:t xml:space="preserve"> so </w:t>
      </w:r>
      <w:r w:rsidR="003236EF">
        <w:rPr>
          <w:rFonts w:ascii="Arial" w:hAnsi="Arial" w:cs="Arial"/>
          <w:sz w:val="20"/>
          <w:szCs w:val="20"/>
          <w:lang w:val="en-GB"/>
        </w:rPr>
        <w:t xml:space="preserve">as </w:t>
      </w:r>
      <w:r w:rsidR="00516EBA">
        <w:rPr>
          <w:rFonts w:ascii="Arial" w:hAnsi="Arial" w:cs="Arial"/>
          <w:sz w:val="20"/>
          <w:szCs w:val="20"/>
          <w:lang w:val="en-GB"/>
        </w:rPr>
        <w:t>to ensure both timely review</w:t>
      </w:r>
      <w:r w:rsidR="000E5E1D">
        <w:rPr>
          <w:rFonts w:ascii="Arial" w:hAnsi="Arial" w:cs="Arial"/>
          <w:sz w:val="20"/>
          <w:szCs w:val="20"/>
          <w:lang w:val="en-GB"/>
        </w:rPr>
        <w:t xml:space="preserve"> and a level playing field </w:t>
      </w:r>
      <w:r w:rsidR="0019002C">
        <w:rPr>
          <w:rFonts w:ascii="Arial" w:hAnsi="Arial" w:cs="Arial"/>
          <w:sz w:val="20"/>
          <w:szCs w:val="20"/>
          <w:lang w:val="en-GB"/>
        </w:rPr>
        <w:t>through</w:t>
      </w:r>
      <w:r w:rsidR="000E5E1D">
        <w:rPr>
          <w:rFonts w:ascii="Arial" w:hAnsi="Arial" w:cs="Arial"/>
          <w:sz w:val="20"/>
          <w:szCs w:val="20"/>
          <w:lang w:val="en-GB"/>
        </w:rPr>
        <w:t xml:space="preserve"> harmonisation and supervisory convergence across the Union</w:t>
      </w:r>
      <w:r w:rsidR="002C785B" w:rsidRPr="00134276">
        <w:rPr>
          <w:rFonts w:ascii="Arial" w:hAnsi="Arial" w:cs="Arial"/>
          <w:sz w:val="20"/>
          <w:szCs w:val="20"/>
          <w:lang w:val="en-GB"/>
        </w:rPr>
        <w:t>. In the case of non-equity trading systems</w:t>
      </w:r>
      <w:r w:rsidR="0055777F">
        <w:rPr>
          <w:rFonts w:ascii="Arial" w:hAnsi="Arial" w:cs="Arial"/>
          <w:sz w:val="20"/>
          <w:szCs w:val="20"/>
          <w:lang w:val="en-GB"/>
        </w:rPr>
        <w:t>,</w:t>
      </w:r>
      <w:r w:rsidR="002C785B" w:rsidRPr="00134276">
        <w:rPr>
          <w:rFonts w:ascii="Arial" w:hAnsi="Arial" w:cs="Arial"/>
          <w:sz w:val="20"/>
          <w:szCs w:val="20"/>
          <w:lang w:val="en-GB"/>
        </w:rPr>
        <w:t xml:space="preserve"> there are some </w:t>
      </w:r>
      <w:r w:rsidR="00E96307">
        <w:rPr>
          <w:rFonts w:ascii="Arial" w:hAnsi="Arial" w:cs="Arial"/>
          <w:sz w:val="20"/>
          <w:szCs w:val="20"/>
          <w:lang w:val="en-GB"/>
        </w:rPr>
        <w:t xml:space="preserve">systems </w:t>
      </w:r>
      <w:r w:rsidR="002C785B" w:rsidRPr="00134276">
        <w:rPr>
          <w:rFonts w:ascii="Arial" w:hAnsi="Arial" w:cs="Arial"/>
          <w:sz w:val="20"/>
          <w:szCs w:val="20"/>
          <w:lang w:val="en-GB"/>
        </w:rPr>
        <w:t xml:space="preserve">currently in </w:t>
      </w:r>
      <w:r w:rsidR="00E96307">
        <w:rPr>
          <w:rFonts w:ascii="Arial" w:hAnsi="Arial" w:cs="Arial"/>
          <w:sz w:val="20"/>
          <w:szCs w:val="20"/>
          <w:lang w:val="en-GB"/>
        </w:rPr>
        <w:t>operation</w:t>
      </w:r>
      <w:r w:rsidR="00E96307" w:rsidRPr="00134276">
        <w:rPr>
          <w:rFonts w:ascii="Arial" w:hAnsi="Arial" w:cs="Arial"/>
          <w:sz w:val="20"/>
          <w:szCs w:val="20"/>
          <w:lang w:val="en-GB"/>
        </w:rPr>
        <w:t xml:space="preserve"> </w:t>
      </w:r>
      <w:r w:rsidR="002C785B" w:rsidRPr="00134276">
        <w:rPr>
          <w:rFonts w:ascii="Arial" w:hAnsi="Arial" w:cs="Arial"/>
          <w:sz w:val="20"/>
          <w:szCs w:val="20"/>
          <w:lang w:val="en-GB"/>
        </w:rPr>
        <w:t xml:space="preserve">that </w:t>
      </w:r>
      <w:r w:rsidR="00E96307">
        <w:rPr>
          <w:rFonts w:ascii="Arial" w:hAnsi="Arial" w:cs="Arial"/>
          <w:sz w:val="20"/>
          <w:szCs w:val="20"/>
          <w:lang w:val="en-GB"/>
        </w:rPr>
        <w:t xml:space="preserve">formally </w:t>
      </w:r>
      <w:r w:rsidR="002C785B" w:rsidRPr="00134276">
        <w:rPr>
          <w:rFonts w:ascii="Arial" w:hAnsi="Arial" w:cs="Arial"/>
          <w:sz w:val="20"/>
          <w:szCs w:val="20"/>
          <w:lang w:val="en-GB"/>
        </w:rPr>
        <w:t>meet the transparency requirements as set out in the legislation but</w:t>
      </w:r>
      <w:r w:rsidR="00E96307">
        <w:rPr>
          <w:rFonts w:ascii="Arial" w:hAnsi="Arial" w:cs="Arial"/>
          <w:sz w:val="20"/>
          <w:szCs w:val="20"/>
          <w:lang w:val="en-GB"/>
        </w:rPr>
        <w:t xml:space="preserve"> in practice</w:t>
      </w:r>
      <w:r w:rsidR="005D6B38">
        <w:rPr>
          <w:rFonts w:ascii="Arial" w:hAnsi="Arial" w:cs="Arial"/>
          <w:sz w:val="20"/>
          <w:szCs w:val="20"/>
          <w:lang w:val="en-GB"/>
        </w:rPr>
        <w:t xml:space="preserve"> </w:t>
      </w:r>
      <w:r w:rsidR="002C785B" w:rsidRPr="00134276">
        <w:rPr>
          <w:rFonts w:ascii="Arial" w:hAnsi="Arial" w:cs="Arial"/>
          <w:sz w:val="20"/>
          <w:szCs w:val="20"/>
          <w:lang w:val="en-GB"/>
        </w:rPr>
        <w:t xml:space="preserve">result in less transparency than members believe is </w:t>
      </w:r>
      <w:r w:rsidR="0080571F">
        <w:rPr>
          <w:rFonts w:ascii="Arial" w:hAnsi="Arial" w:cs="Arial"/>
          <w:sz w:val="20"/>
          <w:szCs w:val="20"/>
          <w:lang w:val="en-GB"/>
        </w:rPr>
        <w:t xml:space="preserve">intended by MiFID II policy objectives. Consequently, </w:t>
      </w:r>
      <w:r w:rsidR="0092643A">
        <w:rPr>
          <w:rFonts w:ascii="Arial" w:hAnsi="Arial" w:cs="Arial"/>
          <w:sz w:val="20"/>
          <w:szCs w:val="20"/>
          <w:lang w:val="en-GB"/>
        </w:rPr>
        <w:t xml:space="preserve">a review by ESMA </w:t>
      </w:r>
      <w:r w:rsidR="002A635C">
        <w:rPr>
          <w:rFonts w:ascii="Arial" w:hAnsi="Arial" w:cs="Arial"/>
          <w:sz w:val="20"/>
          <w:szCs w:val="20"/>
          <w:lang w:val="en-GB"/>
        </w:rPr>
        <w:t>through the Opinion process</w:t>
      </w:r>
      <w:r w:rsidR="00F14FE3">
        <w:rPr>
          <w:rFonts w:ascii="Arial" w:hAnsi="Arial" w:cs="Arial"/>
          <w:sz w:val="20"/>
          <w:szCs w:val="20"/>
          <w:lang w:val="en-GB"/>
        </w:rPr>
        <w:t xml:space="preserve"> would provide for necessary safeguards that </w:t>
      </w:r>
      <w:r w:rsidR="007425D2">
        <w:rPr>
          <w:rFonts w:ascii="Arial" w:hAnsi="Arial" w:cs="Arial"/>
          <w:sz w:val="20"/>
          <w:szCs w:val="20"/>
          <w:lang w:val="en-GB"/>
        </w:rPr>
        <w:t>both existing and</w:t>
      </w:r>
      <w:r w:rsidR="00F14FE3">
        <w:rPr>
          <w:rFonts w:ascii="Arial" w:hAnsi="Arial" w:cs="Arial"/>
          <w:sz w:val="20"/>
          <w:szCs w:val="20"/>
          <w:lang w:val="en-GB"/>
        </w:rPr>
        <w:t xml:space="preserve"> new trading systems are indeed compliant with both the letter and the spirit of MiFID II.</w:t>
      </w:r>
    </w:p>
    <w:p w14:paraId="54DDFC9D" w14:textId="77777777" w:rsidR="002C785B" w:rsidRDefault="002C785B" w:rsidP="002C785B">
      <w:pPr>
        <w:pStyle w:val="Default"/>
        <w:rPr>
          <w:lang w:val="en-GB"/>
        </w:rPr>
      </w:pPr>
    </w:p>
    <w:p w14:paraId="633108AC" w14:textId="40D0018F" w:rsidR="002C785B" w:rsidRPr="00EC2543" w:rsidRDefault="002C785B" w:rsidP="002C785B">
      <w:pPr>
        <w:pStyle w:val="Default"/>
        <w:spacing w:after="253"/>
        <w:rPr>
          <w:rFonts w:ascii="Arial" w:hAnsi="Arial" w:cs="Arial"/>
          <w:sz w:val="20"/>
          <w:szCs w:val="20"/>
          <w:lang w:val="en-GB"/>
        </w:rPr>
      </w:pPr>
      <w:r w:rsidRPr="00FB7C0B">
        <w:rPr>
          <w:rFonts w:ascii="Arial" w:hAnsi="Arial" w:cs="Arial"/>
          <w:sz w:val="20"/>
          <w:szCs w:val="20"/>
          <w:lang w:val="en-GB"/>
        </w:rPr>
        <w:t xml:space="preserve">One case in point is the </w:t>
      </w:r>
      <w:r w:rsidR="00047C17">
        <w:rPr>
          <w:rFonts w:ascii="Arial" w:hAnsi="Arial" w:cs="Arial"/>
          <w:sz w:val="20"/>
          <w:szCs w:val="20"/>
          <w:lang w:val="en-GB"/>
        </w:rPr>
        <w:t>so-called</w:t>
      </w:r>
      <w:r>
        <w:rPr>
          <w:rFonts w:ascii="Arial" w:hAnsi="Arial" w:cs="Arial"/>
          <w:sz w:val="20"/>
          <w:szCs w:val="20"/>
          <w:lang w:val="en-GB"/>
        </w:rPr>
        <w:t xml:space="preserve"> “request for cross” </w:t>
      </w:r>
      <w:r w:rsidR="004B464D">
        <w:rPr>
          <w:rFonts w:ascii="Arial" w:hAnsi="Arial" w:cs="Arial"/>
          <w:sz w:val="20"/>
          <w:szCs w:val="20"/>
          <w:lang w:val="en-GB"/>
        </w:rPr>
        <w:t>system</w:t>
      </w:r>
      <w:r w:rsidR="00EE796D">
        <w:rPr>
          <w:rFonts w:ascii="Arial" w:hAnsi="Arial" w:cs="Arial"/>
          <w:sz w:val="20"/>
          <w:szCs w:val="20"/>
          <w:lang w:val="en-GB"/>
        </w:rPr>
        <w:t xml:space="preserve"> used by one exchange</w:t>
      </w:r>
      <w:r>
        <w:rPr>
          <w:rFonts w:ascii="Arial" w:hAnsi="Arial" w:cs="Arial"/>
          <w:sz w:val="20"/>
          <w:szCs w:val="20"/>
          <w:lang w:val="en-GB"/>
        </w:rPr>
        <w:t xml:space="preserve">. </w:t>
      </w:r>
      <w:r w:rsidR="004B464D">
        <w:rPr>
          <w:rFonts w:ascii="Arial" w:hAnsi="Arial" w:cs="Arial"/>
          <w:sz w:val="20"/>
          <w:szCs w:val="20"/>
          <w:lang w:val="en-GB"/>
        </w:rPr>
        <w:t xml:space="preserve">This </w:t>
      </w:r>
      <w:r w:rsidR="00EE796D">
        <w:rPr>
          <w:rFonts w:ascii="Arial" w:hAnsi="Arial" w:cs="Arial"/>
          <w:sz w:val="20"/>
          <w:szCs w:val="20"/>
          <w:lang w:val="en-GB"/>
        </w:rPr>
        <w:t>specific</w:t>
      </w:r>
      <w:r w:rsidR="004B464D">
        <w:rPr>
          <w:rFonts w:ascii="Arial" w:hAnsi="Arial" w:cs="Arial"/>
          <w:sz w:val="20"/>
          <w:szCs w:val="20"/>
          <w:lang w:val="en-GB"/>
        </w:rPr>
        <w:t xml:space="preserve"> system allows </w:t>
      </w:r>
      <w:r w:rsidR="003D4A53">
        <w:rPr>
          <w:rFonts w:ascii="Arial" w:hAnsi="Arial" w:cs="Arial"/>
          <w:sz w:val="20"/>
          <w:szCs w:val="20"/>
          <w:lang w:val="en-GB"/>
        </w:rPr>
        <w:t>p</w:t>
      </w:r>
      <w:r>
        <w:rPr>
          <w:rFonts w:ascii="Arial" w:hAnsi="Arial" w:cs="Arial"/>
          <w:sz w:val="20"/>
          <w:szCs w:val="20"/>
          <w:lang w:val="en-GB"/>
        </w:rPr>
        <w:t xml:space="preserve">articipants </w:t>
      </w:r>
      <w:r w:rsidR="00EC56A9">
        <w:rPr>
          <w:rFonts w:ascii="Arial" w:hAnsi="Arial" w:cs="Arial"/>
          <w:sz w:val="20"/>
          <w:szCs w:val="20"/>
          <w:lang w:val="en-GB"/>
        </w:rPr>
        <w:t>only</w:t>
      </w:r>
      <w:r w:rsidR="009D0AF0">
        <w:rPr>
          <w:rFonts w:ascii="Arial" w:hAnsi="Arial" w:cs="Arial"/>
          <w:sz w:val="20"/>
          <w:szCs w:val="20"/>
          <w:lang w:val="en-GB"/>
        </w:rPr>
        <w:t xml:space="preserve"> a</w:t>
      </w:r>
      <w:r>
        <w:rPr>
          <w:rFonts w:ascii="Arial" w:hAnsi="Arial" w:cs="Arial"/>
          <w:sz w:val="20"/>
          <w:szCs w:val="20"/>
          <w:lang w:val="en-GB"/>
        </w:rPr>
        <w:t xml:space="preserve"> 1 second period to interact with the trade before it is crossed and </w:t>
      </w:r>
      <w:r w:rsidR="00EC56A9">
        <w:rPr>
          <w:rFonts w:ascii="Arial" w:hAnsi="Arial" w:cs="Arial"/>
          <w:sz w:val="20"/>
          <w:szCs w:val="20"/>
          <w:lang w:val="en-GB"/>
        </w:rPr>
        <w:t xml:space="preserve">on this basis </w:t>
      </w:r>
      <w:r>
        <w:rPr>
          <w:rFonts w:ascii="Arial" w:hAnsi="Arial" w:cs="Arial"/>
          <w:sz w:val="20"/>
          <w:szCs w:val="20"/>
          <w:lang w:val="en-GB"/>
        </w:rPr>
        <w:t>claims that</w:t>
      </w:r>
      <w:r w:rsidR="00EC56A9">
        <w:rPr>
          <w:rFonts w:ascii="Arial" w:hAnsi="Arial" w:cs="Arial"/>
          <w:sz w:val="20"/>
          <w:szCs w:val="20"/>
          <w:lang w:val="en-GB"/>
        </w:rPr>
        <w:t xml:space="preserve"> such</w:t>
      </w:r>
      <w:r>
        <w:rPr>
          <w:rFonts w:ascii="Arial" w:hAnsi="Arial" w:cs="Arial"/>
          <w:sz w:val="20"/>
          <w:szCs w:val="20"/>
          <w:lang w:val="en-GB"/>
        </w:rPr>
        <w:t xml:space="preserve"> </w:t>
      </w:r>
      <w:r w:rsidR="00937F41">
        <w:rPr>
          <w:rFonts w:ascii="Arial" w:hAnsi="Arial" w:cs="Arial"/>
          <w:sz w:val="20"/>
          <w:szCs w:val="20"/>
          <w:lang w:val="en-GB"/>
        </w:rPr>
        <w:t>“</w:t>
      </w:r>
      <w:r>
        <w:rPr>
          <w:rFonts w:ascii="Arial" w:hAnsi="Arial" w:cs="Arial"/>
          <w:sz w:val="20"/>
          <w:szCs w:val="20"/>
          <w:lang w:val="en-GB"/>
        </w:rPr>
        <w:t>request for cross orders</w:t>
      </w:r>
      <w:r w:rsidR="00937F41">
        <w:rPr>
          <w:rFonts w:ascii="Arial" w:hAnsi="Arial" w:cs="Arial"/>
          <w:sz w:val="20"/>
          <w:szCs w:val="20"/>
          <w:lang w:val="en-GB"/>
        </w:rPr>
        <w:t>”</w:t>
      </w:r>
      <w:r>
        <w:rPr>
          <w:rFonts w:ascii="Arial" w:hAnsi="Arial" w:cs="Arial"/>
          <w:sz w:val="20"/>
          <w:szCs w:val="20"/>
          <w:lang w:val="en-GB"/>
        </w:rPr>
        <w:t xml:space="preserve"> are pre-trade </w:t>
      </w:r>
      <w:r w:rsidRPr="00EC2543">
        <w:rPr>
          <w:rFonts w:ascii="Arial" w:hAnsi="Arial" w:cs="Arial"/>
          <w:sz w:val="20"/>
          <w:szCs w:val="20"/>
          <w:lang w:val="en-GB"/>
        </w:rPr>
        <w:t>transparent although the 1 second period may not be a sufficient amount of time to interact with a trade before it is crossed. This is especially relevant for “flex options”</w:t>
      </w:r>
      <w:r w:rsidR="00937F41">
        <w:rPr>
          <w:rFonts w:ascii="Arial" w:hAnsi="Arial" w:cs="Arial"/>
          <w:sz w:val="20"/>
          <w:szCs w:val="20"/>
          <w:lang w:val="en-GB"/>
        </w:rPr>
        <w:t>,</w:t>
      </w:r>
      <w:r w:rsidRPr="00EC2543">
        <w:rPr>
          <w:rFonts w:ascii="Arial" w:hAnsi="Arial" w:cs="Arial"/>
          <w:sz w:val="20"/>
          <w:szCs w:val="20"/>
          <w:lang w:val="en-GB"/>
        </w:rPr>
        <w:t xml:space="preserve"> that are permit</w:t>
      </w:r>
      <w:r>
        <w:rPr>
          <w:rFonts w:ascii="Arial" w:hAnsi="Arial" w:cs="Arial"/>
          <w:sz w:val="20"/>
          <w:szCs w:val="20"/>
          <w:lang w:val="en-GB"/>
        </w:rPr>
        <w:t>ted to be traded on the system</w:t>
      </w:r>
      <w:r w:rsidR="00937F41">
        <w:rPr>
          <w:rFonts w:ascii="Arial" w:hAnsi="Arial" w:cs="Arial"/>
          <w:sz w:val="20"/>
          <w:szCs w:val="20"/>
          <w:lang w:val="en-GB"/>
        </w:rPr>
        <w:t>,</w:t>
      </w:r>
      <w:r>
        <w:rPr>
          <w:rFonts w:ascii="Arial" w:hAnsi="Arial" w:cs="Arial"/>
          <w:sz w:val="20"/>
          <w:szCs w:val="20"/>
          <w:lang w:val="en-GB"/>
        </w:rPr>
        <w:t xml:space="preserve"> a</w:t>
      </w:r>
      <w:r w:rsidRPr="00EC2543">
        <w:rPr>
          <w:rFonts w:ascii="Arial" w:hAnsi="Arial" w:cs="Arial"/>
          <w:sz w:val="20"/>
          <w:szCs w:val="20"/>
          <w:lang w:val="en-GB"/>
        </w:rPr>
        <w:t xml:space="preserve">s </w:t>
      </w:r>
      <w:r w:rsidR="00584227">
        <w:rPr>
          <w:rFonts w:ascii="Arial" w:hAnsi="Arial" w:cs="Arial"/>
          <w:sz w:val="20"/>
          <w:szCs w:val="20"/>
          <w:lang w:val="en-GB"/>
        </w:rPr>
        <w:t>f</w:t>
      </w:r>
      <w:r w:rsidRPr="00EC2543">
        <w:rPr>
          <w:rFonts w:ascii="Arial" w:hAnsi="Arial" w:cs="Arial"/>
          <w:sz w:val="20"/>
          <w:szCs w:val="20"/>
          <w:lang w:val="en-GB"/>
        </w:rPr>
        <w:t xml:space="preserve">lex options are un-listed options contracts with a non-standard expiry, settlement or strike price. When two participants negotiate a trade in a flex option and then enter the option into the </w:t>
      </w:r>
      <w:r w:rsidR="00937F41">
        <w:rPr>
          <w:rFonts w:ascii="Arial" w:hAnsi="Arial" w:cs="Arial"/>
          <w:sz w:val="20"/>
          <w:szCs w:val="20"/>
          <w:lang w:val="en-GB"/>
        </w:rPr>
        <w:t>“</w:t>
      </w:r>
      <w:r w:rsidRPr="00EC2543">
        <w:rPr>
          <w:rFonts w:ascii="Arial" w:hAnsi="Arial" w:cs="Arial"/>
          <w:sz w:val="20"/>
          <w:szCs w:val="20"/>
          <w:lang w:val="en-GB"/>
        </w:rPr>
        <w:t>request for cross</w:t>
      </w:r>
      <w:r w:rsidR="00937F41">
        <w:rPr>
          <w:rFonts w:ascii="Arial" w:hAnsi="Arial" w:cs="Arial"/>
          <w:sz w:val="20"/>
          <w:szCs w:val="20"/>
          <w:lang w:val="en-GB"/>
        </w:rPr>
        <w:t>”</w:t>
      </w:r>
      <w:r w:rsidRPr="00EC2543">
        <w:rPr>
          <w:rFonts w:ascii="Arial" w:hAnsi="Arial" w:cs="Arial"/>
          <w:sz w:val="20"/>
          <w:szCs w:val="20"/>
          <w:lang w:val="en-GB"/>
        </w:rPr>
        <w:t xml:space="preserve"> system, other market participants are unable to interact with the cross request as the un-listed option will not be set</w:t>
      </w:r>
      <w:r w:rsidR="00937F41">
        <w:rPr>
          <w:rFonts w:ascii="Arial" w:hAnsi="Arial" w:cs="Arial"/>
          <w:sz w:val="20"/>
          <w:szCs w:val="20"/>
          <w:lang w:val="en-GB"/>
        </w:rPr>
        <w:t xml:space="preserve"> </w:t>
      </w:r>
      <w:r w:rsidRPr="00EC2543">
        <w:rPr>
          <w:rFonts w:ascii="Arial" w:hAnsi="Arial" w:cs="Arial"/>
          <w:sz w:val="20"/>
          <w:szCs w:val="20"/>
          <w:lang w:val="en-GB"/>
        </w:rPr>
        <w:t xml:space="preserve">up in their static data. </w:t>
      </w:r>
      <w:r w:rsidR="00584227">
        <w:rPr>
          <w:rFonts w:ascii="Arial" w:hAnsi="Arial" w:cs="Arial"/>
          <w:sz w:val="20"/>
          <w:szCs w:val="20"/>
          <w:lang w:val="en-GB"/>
        </w:rPr>
        <w:t>While the</w:t>
      </w:r>
      <w:r w:rsidR="00584227" w:rsidRPr="00EC2543">
        <w:rPr>
          <w:rFonts w:ascii="Arial" w:hAnsi="Arial" w:cs="Arial"/>
          <w:sz w:val="20"/>
          <w:szCs w:val="20"/>
          <w:lang w:val="en-GB"/>
        </w:rPr>
        <w:t xml:space="preserve"> </w:t>
      </w:r>
      <w:r w:rsidRPr="00EC2543">
        <w:rPr>
          <w:rFonts w:ascii="Arial" w:hAnsi="Arial" w:cs="Arial"/>
          <w:sz w:val="20"/>
          <w:szCs w:val="20"/>
          <w:lang w:val="en-GB"/>
        </w:rPr>
        <w:t xml:space="preserve">trade is technically visible to the market prior to being crossed, due to the fact that </w:t>
      </w:r>
      <w:r w:rsidR="00584227">
        <w:rPr>
          <w:rFonts w:ascii="Arial" w:hAnsi="Arial" w:cs="Arial"/>
          <w:sz w:val="20"/>
          <w:szCs w:val="20"/>
          <w:lang w:val="en-GB"/>
        </w:rPr>
        <w:t>it</w:t>
      </w:r>
      <w:r w:rsidRPr="00EC2543">
        <w:rPr>
          <w:rFonts w:ascii="Arial" w:hAnsi="Arial" w:cs="Arial"/>
          <w:sz w:val="20"/>
          <w:szCs w:val="20"/>
          <w:lang w:val="en-GB"/>
        </w:rPr>
        <w:t xml:space="preserve"> is in an un-listed instrument, other participants are unable to respond. In </w:t>
      </w:r>
      <w:r w:rsidR="00095834">
        <w:rPr>
          <w:rFonts w:ascii="Arial" w:hAnsi="Arial" w:cs="Arial"/>
          <w:sz w:val="20"/>
          <w:szCs w:val="20"/>
          <w:lang w:val="en-GB"/>
        </w:rPr>
        <w:t>such</w:t>
      </w:r>
      <w:r w:rsidR="00095834" w:rsidRPr="00EC2543">
        <w:rPr>
          <w:rFonts w:ascii="Arial" w:hAnsi="Arial" w:cs="Arial"/>
          <w:sz w:val="20"/>
          <w:szCs w:val="20"/>
          <w:lang w:val="en-GB"/>
        </w:rPr>
        <w:t xml:space="preserve"> </w:t>
      </w:r>
      <w:r w:rsidRPr="00EC2543">
        <w:rPr>
          <w:rFonts w:ascii="Arial" w:hAnsi="Arial" w:cs="Arial"/>
          <w:sz w:val="20"/>
          <w:szCs w:val="20"/>
          <w:lang w:val="en-GB"/>
        </w:rPr>
        <w:t>circumstances</w:t>
      </w:r>
      <w:r w:rsidR="001A10A3">
        <w:rPr>
          <w:rFonts w:ascii="Arial" w:hAnsi="Arial" w:cs="Arial"/>
          <w:sz w:val="20"/>
          <w:szCs w:val="20"/>
          <w:lang w:val="en-GB"/>
        </w:rPr>
        <w:t>,</w:t>
      </w:r>
      <w:r w:rsidRPr="00EC2543">
        <w:rPr>
          <w:rFonts w:ascii="Arial" w:hAnsi="Arial" w:cs="Arial"/>
          <w:sz w:val="20"/>
          <w:szCs w:val="20"/>
          <w:lang w:val="en-GB"/>
        </w:rPr>
        <w:t xml:space="preserve"> participants can agree off-order book trades and </w:t>
      </w:r>
      <w:r w:rsidR="00095834">
        <w:rPr>
          <w:rFonts w:ascii="Arial" w:hAnsi="Arial" w:cs="Arial"/>
          <w:sz w:val="20"/>
          <w:szCs w:val="20"/>
          <w:lang w:val="en-GB"/>
        </w:rPr>
        <w:t xml:space="preserve">de-facto </w:t>
      </w:r>
      <w:r w:rsidRPr="00EC2543">
        <w:rPr>
          <w:rFonts w:ascii="Arial" w:hAnsi="Arial" w:cs="Arial"/>
          <w:sz w:val="20"/>
          <w:szCs w:val="20"/>
          <w:lang w:val="en-GB"/>
        </w:rPr>
        <w:t>circumvent pre-t</w:t>
      </w:r>
      <w:r>
        <w:rPr>
          <w:rFonts w:ascii="Arial" w:hAnsi="Arial" w:cs="Arial"/>
          <w:sz w:val="20"/>
          <w:szCs w:val="20"/>
          <w:lang w:val="en-GB"/>
        </w:rPr>
        <w:t xml:space="preserve">rade transparency requirements. FIA EPTA members would welcome an Opinion from ESMA on the minimum length of time by which </w:t>
      </w:r>
      <w:r w:rsidR="00095834">
        <w:rPr>
          <w:rFonts w:ascii="Arial" w:hAnsi="Arial" w:cs="Arial"/>
          <w:sz w:val="20"/>
          <w:szCs w:val="20"/>
          <w:lang w:val="en-GB"/>
        </w:rPr>
        <w:t xml:space="preserve">such </w:t>
      </w:r>
      <w:r w:rsidR="009D0AF0">
        <w:rPr>
          <w:rFonts w:ascii="Arial" w:hAnsi="Arial" w:cs="Arial"/>
          <w:sz w:val="20"/>
          <w:szCs w:val="20"/>
          <w:lang w:val="en-GB"/>
        </w:rPr>
        <w:t xml:space="preserve">“request for </w:t>
      </w:r>
      <w:r>
        <w:rPr>
          <w:rFonts w:ascii="Arial" w:hAnsi="Arial" w:cs="Arial"/>
          <w:sz w:val="20"/>
          <w:szCs w:val="20"/>
          <w:lang w:val="en-GB"/>
        </w:rPr>
        <w:t>cross orders</w:t>
      </w:r>
      <w:r w:rsidR="009D0AF0">
        <w:rPr>
          <w:rFonts w:ascii="Arial" w:hAnsi="Arial" w:cs="Arial"/>
          <w:sz w:val="20"/>
          <w:szCs w:val="20"/>
          <w:lang w:val="en-GB"/>
        </w:rPr>
        <w:t>”</w:t>
      </w:r>
      <w:r>
        <w:rPr>
          <w:rFonts w:ascii="Arial" w:hAnsi="Arial" w:cs="Arial"/>
          <w:sz w:val="20"/>
          <w:szCs w:val="20"/>
          <w:lang w:val="en-GB"/>
        </w:rPr>
        <w:t xml:space="preserve"> are required to be made pre-trade transparency before the order is crossed. </w:t>
      </w:r>
    </w:p>
    <w:p w14:paraId="6B268F11" w14:textId="77777777" w:rsidR="002C785B" w:rsidRPr="00BF092B" w:rsidRDefault="002C785B" w:rsidP="002C785B">
      <w:pPr>
        <w:pStyle w:val="Default"/>
        <w:rPr>
          <w:rFonts w:ascii="Arial" w:hAnsi="Arial" w:cs="Arial"/>
          <w:color w:val="auto"/>
          <w:sz w:val="20"/>
          <w:szCs w:val="20"/>
          <w:lang w:val="en-GB"/>
        </w:rPr>
      </w:pPr>
      <w:r>
        <w:rPr>
          <w:rFonts w:ascii="Arial" w:hAnsi="Arial" w:cs="Arial"/>
          <w:sz w:val="20"/>
          <w:szCs w:val="20"/>
          <w:lang w:val="en-GB"/>
        </w:rPr>
        <w:t xml:space="preserve">Another potential case </w:t>
      </w:r>
      <w:r w:rsidR="008B4F7F">
        <w:rPr>
          <w:rFonts w:ascii="Arial" w:hAnsi="Arial" w:cs="Arial"/>
          <w:sz w:val="20"/>
          <w:szCs w:val="20"/>
          <w:lang w:val="en-GB"/>
        </w:rPr>
        <w:t>where</w:t>
      </w:r>
      <w:r>
        <w:rPr>
          <w:rFonts w:ascii="Arial" w:hAnsi="Arial" w:cs="Arial"/>
          <w:sz w:val="20"/>
          <w:szCs w:val="20"/>
          <w:lang w:val="en-GB"/>
        </w:rPr>
        <w:t xml:space="preserve"> FIA EPTA members would welcome ESMA to provide an Opinion on is if Frequent Batch Auctions (FBAs) are introduced for non-equity instruments</w:t>
      </w:r>
      <w:r w:rsidRPr="003561C1">
        <w:rPr>
          <w:rFonts w:ascii="Arial" w:hAnsi="Arial" w:cs="Arial"/>
          <w:sz w:val="20"/>
          <w:szCs w:val="20"/>
          <w:lang w:val="en-GB"/>
        </w:rPr>
        <w:t>. Again</w:t>
      </w:r>
      <w:r>
        <w:rPr>
          <w:rFonts w:ascii="Arial" w:hAnsi="Arial" w:cs="Arial"/>
          <w:sz w:val="20"/>
          <w:szCs w:val="20"/>
          <w:lang w:val="en-GB"/>
        </w:rPr>
        <w:t>,</w:t>
      </w:r>
      <w:r w:rsidRPr="003561C1">
        <w:rPr>
          <w:rFonts w:ascii="Arial" w:hAnsi="Arial" w:cs="Arial"/>
          <w:sz w:val="20"/>
          <w:szCs w:val="20"/>
          <w:lang w:val="en-GB"/>
        </w:rPr>
        <w:t xml:space="preserve"> FIA EPTA members’ concerns relate to</w:t>
      </w:r>
      <w:r>
        <w:rPr>
          <w:rFonts w:ascii="Arial" w:hAnsi="Arial" w:cs="Arial"/>
          <w:sz w:val="20"/>
          <w:szCs w:val="20"/>
          <w:lang w:val="en-GB"/>
        </w:rPr>
        <w:t xml:space="preserve"> level of pre-trade transparency and</w:t>
      </w:r>
      <w:r w:rsidRPr="003561C1">
        <w:rPr>
          <w:rFonts w:ascii="Arial" w:hAnsi="Arial" w:cs="Arial"/>
          <w:sz w:val="20"/>
          <w:szCs w:val="20"/>
          <w:lang w:val="en-GB"/>
        </w:rPr>
        <w:t xml:space="preserve"> </w:t>
      </w:r>
      <w:r>
        <w:rPr>
          <w:rFonts w:ascii="Arial" w:hAnsi="Arial" w:cs="Arial"/>
          <w:sz w:val="20"/>
          <w:szCs w:val="20"/>
          <w:lang w:val="en-GB"/>
        </w:rPr>
        <w:t>ability for market participants to interact in these auctions</w:t>
      </w:r>
      <w:r w:rsidRPr="00BF092B">
        <w:rPr>
          <w:rFonts w:ascii="Arial" w:hAnsi="Arial" w:cs="Arial"/>
          <w:color w:val="auto"/>
          <w:sz w:val="20"/>
          <w:szCs w:val="20"/>
          <w:lang w:val="en-GB"/>
        </w:rPr>
        <w:t>.</w:t>
      </w:r>
      <w:r w:rsidR="000D1689">
        <w:rPr>
          <w:rFonts w:ascii="Arial" w:hAnsi="Arial" w:cs="Arial"/>
          <w:color w:val="auto"/>
          <w:sz w:val="20"/>
          <w:szCs w:val="20"/>
          <w:lang w:val="en-GB"/>
        </w:rPr>
        <w:t xml:space="preserve"> </w:t>
      </w:r>
      <w:r w:rsidRPr="00BF092B">
        <w:rPr>
          <w:rFonts w:ascii="Arial" w:hAnsi="Arial" w:cs="Arial"/>
          <w:color w:val="auto"/>
          <w:sz w:val="20"/>
          <w:szCs w:val="20"/>
          <w:lang w:val="en-GB"/>
        </w:rPr>
        <w:t>An Opin</w:t>
      </w:r>
      <w:r>
        <w:rPr>
          <w:rFonts w:ascii="Arial" w:hAnsi="Arial" w:cs="Arial"/>
          <w:color w:val="auto"/>
          <w:sz w:val="20"/>
          <w:szCs w:val="20"/>
          <w:lang w:val="en-GB"/>
        </w:rPr>
        <w:t>i</w:t>
      </w:r>
      <w:r w:rsidRPr="00BF092B">
        <w:rPr>
          <w:rFonts w:ascii="Arial" w:hAnsi="Arial" w:cs="Arial"/>
          <w:color w:val="auto"/>
          <w:sz w:val="20"/>
          <w:szCs w:val="20"/>
          <w:lang w:val="en-GB"/>
        </w:rPr>
        <w:t>on on the minimum length of time for pre-trade data and notification of the commencement of the FBA</w:t>
      </w:r>
      <w:r>
        <w:rPr>
          <w:rFonts w:ascii="Arial" w:hAnsi="Arial" w:cs="Arial"/>
          <w:color w:val="auto"/>
          <w:sz w:val="20"/>
          <w:szCs w:val="20"/>
          <w:lang w:val="en-GB"/>
        </w:rPr>
        <w:t xml:space="preserve"> would be warranted</w:t>
      </w:r>
      <w:r w:rsidRPr="00BF092B">
        <w:rPr>
          <w:rFonts w:ascii="Arial" w:hAnsi="Arial" w:cs="Arial"/>
          <w:color w:val="auto"/>
          <w:sz w:val="20"/>
          <w:szCs w:val="20"/>
          <w:lang w:val="en-GB"/>
        </w:rPr>
        <w:t xml:space="preserve"> as otherwise the pre-trade transparency provided could be rendered useless and </w:t>
      </w:r>
      <w:r w:rsidR="001B0C6B">
        <w:rPr>
          <w:rFonts w:ascii="Arial" w:hAnsi="Arial" w:cs="Arial"/>
          <w:color w:val="auto"/>
          <w:sz w:val="20"/>
          <w:szCs w:val="20"/>
          <w:lang w:val="en-GB"/>
        </w:rPr>
        <w:t xml:space="preserve">become </w:t>
      </w:r>
      <w:r w:rsidRPr="00BF092B">
        <w:rPr>
          <w:rFonts w:ascii="Arial" w:hAnsi="Arial" w:cs="Arial"/>
          <w:color w:val="auto"/>
          <w:sz w:val="20"/>
          <w:szCs w:val="20"/>
          <w:lang w:val="en-GB"/>
        </w:rPr>
        <w:t xml:space="preserve">purely a “ticking the box” exercise rather than </w:t>
      </w:r>
      <w:r w:rsidR="007B474B">
        <w:rPr>
          <w:rFonts w:ascii="Arial" w:hAnsi="Arial" w:cs="Arial"/>
          <w:color w:val="auto"/>
          <w:sz w:val="20"/>
          <w:szCs w:val="20"/>
          <w:lang w:val="en-GB"/>
        </w:rPr>
        <w:t>a mechanism of true</w:t>
      </w:r>
      <w:r w:rsidR="008B4F7F">
        <w:rPr>
          <w:rFonts w:ascii="Arial" w:hAnsi="Arial" w:cs="Arial"/>
          <w:color w:val="auto"/>
          <w:sz w:val="20"/>
          <w:szCs w:val="20"/>
          <w:lang w:val="en-GB"/>
        </w:rPr>
        <w:t xml:space="preserve"> </w:t>
      </w:r>
      <w:r w:rsidRPr="00BF092B">
        <w:rPr>
          <w:rFonts w:ascii="Arial" w:hAnsi="Arial" w:cs="Arial"/>
          <w:color w:val="auto"/>
          <w:sz w:val="20"/>
          <w:szCs w:val="20"/>
          <w:lang w:val="en-GB"/>
        </w:rPr>
        <w:t>value to the market.</w:t>
      </w:r>
      <w:r w:rsidR="00E1229C">
        <w:rPr>
          <w:rFonts w:ascii="Arial" w:hAnsi="Arial" w:cs="Arial"/>
          <w:color w:val="auto"/>
          <w:sz w:val="20"/>
          <w:szCs w:val="20"/>
          <w:lang w:val="en-GB"/>
        </w:rPr>
        <w:t>]</w:t>
      </w:r>
      <w:r w:rsidRPr="00BF092B">
        <w:rPr>
          <w:rFonts w:ascii="Arial" w:hAnsi="Arial" w:cs="Arial"/>
          <w:color w:val="auto"/>
          <w:sz w:val="20"/>
          <w:szCs w:val="20"/>
          <w:lang w:val="en-GB"/>
        </w:rPr>
        <w:t xml:space="preserve"> </w:t>
      </w:r>
    </w:p>
    <w:p w14:paraId="414B5E2F" w14:textId="77777777" w:rsidR="002C785B" w:rsidRPr="00610965" w:rsidRDefault="000D1689" w:rsidP="002C785B">
      <w:pPr>
        <w:pStyle w:val="Default"/>
        <w:rPr>
          <w:lang w:val="en-GB"/>
        </w:rPr>
      </w:pPr>
      <w:r>
        <w:rPr>
          <w:lang w:val="en-GB"/>
        </w:rPr>
        <w:t xml:space="preserve"> </w:t>
      </w:r>
    </w:p>
    <w:p w14:paraId="03691735" w14:textId="77777777" w:rsidR="002C785B" w:rsidRDefault="002C785B" w:rsidP="002C785B"/>
    <w:p w14:paraId="71ABEF78" w14:textId="77777777" w:rsidR="002C785B" w:rsidRDefault="002C785B" w:rsidP="002C785B">
      <w:r>
        <w:t>&lt;ESMA_QUESTION_CP_MIFID_NQT_6&gt;</w:t>
      </w:r>
    </w:p>
    <w:p w14:paraId="6C0EB6AB" w14:textId="77777777" w:rsidR="002C785B" w:rsidRDefault="002C785B" w:rsidP="002C785B">
      <w:pPr>
        <w:jc w:val="both"/>
        <w:rPr>
          <w:i/>
        </w:rPr>
      </w:pPr>
    </w:p>
    <w:p w14:paraId="0B82A381" w14:textId="77777777" w:rsidR="002C785B" w:rsidRPr="00431DA4" w:rsidRDefault="002C785B" w:rsidP="002C785B">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t>.</w:t>
      </w:r>
    </w:p>
    <w:p w14:paraId="2DC73633" w14:textId="77777777" w:rsidR="002C785B" w:rsidRDefault="002C785B" w:rsidP="002C785B">
      <w:r>
        <w:t>&lt;ESMA_QUESTION_CP_MIFID_NQT_7&gt;</w:t>
      </w:r>
    </w:p>
    <w:p w14:paraId="4E770E0E" w14:textId="77777777" w:rsidR="00DD7F74" w:rsidRDefault="00DD7F74" w:rsidP="002C785B"/>
    <w:p w14:paraId="48630C85" w14:textId="77777777" w:rsidR="002C785B" w:rsidRDefault="00E1229C" w:rsidP="002C785B">
      <w:r>
        <w:t>[</w:t>
      </w:r>
      <w:r w:rsidR="002C785B">
        <w:t xml:space="preserve">Yes, FIA EPTA members agree with ESMA’s proposal to further clarify the definition of a hybrid system. The key to the existing definition is that this category is for hybrid systems where “the price determination process is of a different nature” to the other systems set out in the </w:t>
      </w:r>
      <w:r w:rsidR="00581BAD">
        <w:t>A</w:t>
      </w:r>
      <w:r w:rsidR="002C785B">
        <w:t>nnex</w:t>
      </w:r>
      <w:r w:rsidR="00581BAD">
        <w:t xml:space="preserve"> of RTS 2</w:t>
      </w:r>
      <w:r w:rsidR="002C785B">
        <w:t>. It is FIA EPTA members’ opinion that</w:t>
      </w:r>
      <w:r w:rsidR="00022147">
        <w:t>,</w:t>
      </w:r>
      <w:r w:rsidR="002C785B">
        <w:t xml:space="preserve"> should a hybrid system simply combine a number of the other systems</w:t>
      </w:r>
      <w:r w:rsidR="00DD7F74">
        <w:t>,</w:t>
      </w:r>
      <w:r w:rsidR="002C785B">
        <w:t xml:space="preserve"> mirroring their definition in the </w:t>
      </w:r>
      <w:r w:rsidR="00022147">
        <w:t>A</w:t>
      </w:r>
      <w:r w:rsidR="002C785B">
        <w:t>nnex</w:t>
      </w:r>
      <w:r w:rsidR="00DD7F74">
        <w:t>,</w:t>
      </w:r>
      <w:r w:rsidR="002C785B">
        <w:t xml:space="preserve"> then the hybrid system should be required to meet the obligations as set out in the </w:t>
      </w:r>
      <w:r w:rsidR="00022147">
        <w:t>A</w:t>
      </w:r>
      <w:r w:rsidR="002C785B">
        <w:t xml:space="preserve">nnex for those individual offerings. Most new trading systems have hybrid characteristics and there should not be a requirement for ESMA to put together a new definition for each of these if it is simply a </w:t>
      </w:r>
      <w:r w:rsidR="002C785B">
        <w:lastRenderedPageBreak/>
        <w:t xml:space="preserve">case of the system combining the elements of two or more existing systems. ESMA should focus its attention on trading systems that provide a </w:t>
      </w:r>
      <w:r w:rsidR="00A05DA9">
        <w:t xml:space="preserve">substantively </w:t>
      </w:r>
      <w:r w:rsidR="005D4112">
        <w:t>different</w:t>
      </w:r>
      <w:r w:rsidR="002C785B">
        <w:t xml:space="preserve"> price determination process</w:t>
      </w:r>
      <w:r w:rsidR="005D4112">
        <w:t xml:space="preserve"> than those</w:t>
      </w:r>
      <w:r w:rsidR="008B5E91">
        <w:t xml:space="preserve"> specified in the </w:t>
      </w:r>
      <w:r w:rsidR="009A44FD">
        <w:t xml:space="preserve">current </w:t>
      </w:r>
      <w:r w:rsidR="008B5E91">
        <w:t>Annex</w:t>
      </w:r>
      <w:r w:rsidR="002C785B">
        <w:t>.</w:t>
      </w:r>
    </w:p>
    <w:p w14:paraId="1AE43790" w14:textId="77777777" w:rsidR="002C785B" w:rsidRDefault="002C785B" w:rsidP="002C785B"/>
    <w:p w14:paraId="403462B5" w14:textId="77777777" w:rsidR="002C785B" w:rsidRDefault="002C785B" w:rsidP="002C785B">
      <w:r w:rsidRPr="00F10015">
        <w:t xml:space="preserve">FIA EPTA members would suggest that ESMA merge the existing criteria into a simpler platform-agnostic table that looks at the outcome of the price determination process and, as far as possible, prevents </w:t>
      </w:r>
      <w:r w:rsidR="00454713">
        <w:t>for</w:t>
      </w:r>
      <w:r w:rsidRPr="00F10015">
        <w:t xml:space="preserve"> trading systems to circumvent </w:t>
      </w:r>
      <w:r w:rsidR="00454713" w:rsidRPr="00F10015">
        <w:t xml:space="preserve">or obscure </w:t>
      </w:r>
      <w:r w:rsidRPr="00F10015">
        <w:t xml:space="preserve">the </w:t>
      </w:r>
      <w:r w:rsidR="00454713">
        <w:t>MiFID II</w:t>
      </w:r>
      <w:r w:rsidRPr="00F10015">
        <w:t xml:space="preserve"> transparency requirements.</w:t>
      </w:r>
      <w:r w:rsidR="00E1229C">
        <w:t>]</w:t>
      </w:r>
    </w:p>
    <w:p w14:paraId="34BB99F6" w14:textId="77777777" w:rsidR="00DD7F74" w:rsidRDefault="00DD7F74" w:rsidP="002C785B"/>
    <w:p w14:paraId="1C0E54E7" w14:textId="77777777" w:rsidR="002C785B" w:rsidRDefault="002C785B" w:rsidP="002C785B">
      <w:r>
        <w:t>&lt;ESMA_QUESTION_CP_MIFID_NQT_7&gt;</w:t>
      </w:r>
    </w:p>
    <w:p w14:paraId="6CDBCFEC" w14:textId="77777777" w:rsidR="002C785B" w:rsidRDefault="002C785B" w:rsidP="002C785B"/>
    <w:p w14:paraId="47C47ECE" w14:textId="77777777" w:rsidR="002C785B" w:rsidRPr="00431DA4" w:rsidRDefault="002C785B" w:rsidP="002C785B">
      <w:pPr>
        <w:pStyle w:val="CPQuestions"/>
      </w:pPr>
      <w:r w:rsidRPr="007254DD">
        <w:t>Do you agree with ESMA’s proposal to require SIs to make available data free of charge 15 minutes after publication? Please explain</w:t>
      </w:r>
      <w:r>
        <w:t>.</w:t>
      </w:r>
    </w:p>
    <w:p w14:paraId="5841783B" w14:textId="77777777" w:rsidR="002C785B" w:rsidRDefault="002C785B" w:rsidP="002C785B">
      <w:r>
        <w:t>&lt;ESMA_QUESTION_CP_MIFID_NQT_8&gt;</w:t>
      </w:r>
    </w:p>
    <w:p w14:paraId="62AE4FA4" w14:textId="77777777" w:rsidR="002C785B" w:rsidRDefault="002C785B" w:rsidP="002C785B">
      <w:r>
        <w:t xml:space="preserve"> </w:t>
      </w:r>
      <w:r w:rsidR="00E1229C">
        <w:t>[</w:t>
      </w:r>
      <w:r>
        <w:t xml:space="preserve">Yes, FIA EPTA members agree with ESMA’s proposal to extend the requirement to make data free of charge 15 minutes after publication to include SIs as well as trading venues in Article 13 of </w:t>
      </w:r>
      <w:proofErr w:type="spellStart"/>
      <w:r>
        <w:t>MiFIR</w:t>
      </w:r>
      <w:proofErr w:type="spellEnd"/>
      <w:r>
        <w:t>. In the same manner as other execution venues, it is imperative that market data is provided for free after a period of time to allow smaller investors for whom current market data costs are prohibitively expensive to access this data. This should be provided in a standardi</w:t>
      </w:r>
      <w:r w:rsidR="008B3EF8">
        <w:t>s</w:t>
      </w:r>
      <w:r>
        <w:t>ed, machine and human readable, format for ease of review and comparison</w:t>
      </w:r>
      <w:r w:rsidR="005000BC">
        <w:t xml:space="preserve"> and be available for at least 24 hours after publication</w:t>
      </w:r>
      <w:r>
        <w:t>.</w:t>
      </w:r>
    </w:p>
    <w:p w14:paraId="5432291C" w14:textId="77777777" w:rsidR="002C785B" w:rsidRDefault="002C785B" w:rsidP="002C785B"/>
    <w:p w14:paraId="235FEB8B" w14:textId="77777777" w:rsidR="00A54394" w:rsidRDefault="002C785B" w:rsidP="002C785B">
      <w:r>
        <w:t xml:space="preserve">Currently, as pointed out in the consultation paper, the majority of SIs who have a requirement to publish pre-trade data do this using an APA. As this service provider is already in receipt of </w:t>
      </w:r>
      <w:r w:rsidR="00B50F97">
        <w:t xml:space="preserve">the </w:t>
      </w:r>
      <w:r>
        <w:t>quote data, provision of the data for free should be a relatively simple process</w:t>
      </w:r>
      <w:r w:rsidR="00B50F97">
        <w:t>.</w:t>
      </w:r>
      <w:r w:rsidR="00E9283D">
        <w:t xml:space="preserve"> </w:t>
      </w:r>
      <w:r w:rsidRPr="00CE3408">
        <w:t>(</w:t>
      </w:r>
      <w:r w:rsidR="00B50F97">
        <w:t xml:space="preserve">We note that </w:t>
      </w:r>
      <w:r>
        <w:t xml:space="preserve">some APAs </w:t>
      </w:r>
      <w:r w:rsidR="00B50F97">
        <w:t xml:space="preserve">are </w:t>
      </w:r>
      <w:r>
        <w:t>providing this already</w:t>
      </w:r>
      <w:r w:rsidRPr="00CE3408">
        <w:t>).</w:t>
      </w:r>
      <w:r w:rsidR="000D1689">
        <w:t xml:space="preserve"> </w:t>
      </w:r>
      <w:r w:rsidR="0046601E">
        <w:t>FIA EPTA members</w:t>
      </w:r>
      <w:r w:rsidR="00A54394">
        <w:t xml:space="preserve"> </w:t>
      </w:r>
      <w:r w:rsidR="0046601E">
        <w:t>would not expect this to result in a duplicate publication by the individual SIs that use an APA to make their quotes public, as this would create an unnecessary additional burden.</w:t>
      </w:r>
      <w:r w:rsidR="000D1689">
        <w:t xml:space="preserve"> </w:t>
      </w:r>
    </w:p>
    <w:p w14:paraId="31DBFB34" w14:textId="77777777" w:rsidR="00A54394" w:rsidRDefault="00A54394" w:rsidP="002C785B"/>
    <w:p w14:paraId="5F40CD36" w14:textId="77777777" w:rsidR="002C785B" w:rsidRDefault="002C785B">
      <w:r>
        <w:t>It is also</w:t>
      </w:r>
      <w:r w:rsidR="003A374D">
        <w:t xml:space="preserve"> </w:t>
      </w:r>
      <w:r>
        <w:t xml:space="preserve">FIA EPTA members’ opinion that the transparency obligations for </w:t>
      </w:r>
      <w:r w:rsidR="003A374D">
        <w:t xml:space="preserve">derivatives </w:t>
      </w:r>
      <w:r>
        <w:t xml:space="preserve">SIs should more closely mirror those for SIs of equity-like instruments. This should include a requirement to publish quotes (% of SSTI or LIS, if the SSTI is merged with LIS) on a regular and continuous basis for liquid equity derivatives, where those quotes are easily accessible to other market participants on a reasonable commercial basis (similar to article 15(1) of </w:t>
      </w:r>
      <w:proofErr w:type="spellStart"/>
      <w:r>
        <w:t>MiFIR</w:t>
      </w:r>
      <w:proofErr w:type="spellEnd"/>
      <w:r>
        <w:t xml:space="preserve">). This would provide an additional layer of intra-day pre-trade transparency that is currently missing in </w:t>
      </w:r>
      <w:r w:rsidR="0046601E">
        <w:t>derivatives</w:t>
      </w:r>
      <w:r>
        <w:t xml:space="preserve"> markets which would be beneficial to all</w:t>
      </w:r>
      <w:r w:rsidR="0004634C">
        <w:t xml:space="preserve"> market participants</w:t>
      </w:r>
      <w:r>
        <w:t>.]</w:t>
      </w:r>
    </w:p>
    <w:p w14:paraId="540D69DB" w14:textId="77777777" w:rsidR="002C785B" w:rsidRDefault="002C785B" w:rsidP="002C785B">
      <w:r>
        <w:t>&lt;ESMA_QUESTION_CP_MIFID_NQT_8&gt;</w:t>
      </w:r>
    </w:p>
    <w:p w14:paraId="21A2DD36" w14:textId="77777777" w:rsidR="002C785B" w:rsidRDefault="002C785B" w:rsidP="002C785B"/>
    <w:p w14:paraId="000D349E" w14:textId="77777777" w:rsidR="002C785B" w:rsidRPr="00431DA4" w:rsidRDefault="002C785B" w:rsidP="002C785B">
      <w:pPr>
        <w:pStyle w:val="CPQuestions"/>
      </w:pPr>
      <w:r w:rsidRPr="007254DD">
        <w:t>Would you see value in further standardising the pre-trade transparency information to increase the usability and comparability of the information? Please explain</w:t>
      </w:r>
      <w:r>
        <w:t>.</w:t>
      </w:r>
    </w:p>
    <w:p w14:paraId="15A83644" w14:textId="77777777" w:rsidR="002C785B" w:rsidRDefault="002C785B" w:rsidP="002C785B">
      <w:r>
        <w:t>&lt;ESMA_QUESTION_CP_MIFID_NQT_9&gt;</w:t>
      </w:r>
    </w:p>
    <w:p w14:paraId="71369044" w14:textId="77777777" w:rsidR="002C785B" w:rsidRDefault="002C785B" w:rsidP="002C785B">
      <w:r>
        <w:t xml:space="preserve"> </w:t>
      </w:r>
      <w:r w:rsidR="00E1229C">
        <w:t>[</w:t>
      </w:r>
      <w:r>
        <w:t xml:space="preserve">Yes, </w:t>
      </w:r>
      <w:r w:rsidR="00C645D6">
        <w:t>FIA EPTA members</w:t>
      </w:r>
      <w:r>
        <w:t xml:space="preserve"> would see value in further standardising the pre-trade transparency information to increase the usability and comparability of the data. This would facilitate the smooth aggregation of this data, support the requirement for this information to be provided for free after 15 minutes and is, also, a key building block in the creation of a consolidated tape service. </w:t>
      </w:r>
    </w:p>
    <w:p w14:paraId="554965B9" w14:textId="77777777" w:rsidR="00C645D6" w:rsidRDefault="00C645D6" w:rsidP="002C785B"/>
    <w:p w14:paraId="7BD05CEB" w14:textId="77777777" w:rsidR="00FE26B6" w:rsidRDefault="00AC0C86" w:rsidP="002C785B">
      <w:r>
        <w:lastRenderedPageBreak/>
        <w:t>Further</w:t>
      </w:r>
      <w:r w:rsidR="002C785B">
        <w:t xml:space="preserve">, FIA EPTA members would request clarification on ETCs and ETNs. Currently these instruments fall under the non-equity classification, however </w:t>
      </w:r>
      <w:r w:rsidR="000604A9">
        <w:t xml:space="preserve">in practice, </w:t>
      </w:r>
      <w:r w:rsidR="002C785B">
        <w:t xml:space="preserve">they </w:t>
      </w:r>
      <w:r w:rsidR="003B42EB">
        <w:t xml:space="preserve">trade </w:t>
      </w:r>
      <w:r w:rsidR="002C785B">
        <w:t xml:space="preserve">and operate </w:t>
      </w:r>
      <w:r w:rsidR="000604A9">
        <w:t xml:space="preserve">in the market </w:t>
      </w:r>
      <w:r w:rsidR="002C785B">
        <w:t xml:space="preserve">as equity-like instruments which leads to confusion and impracticality. FIA EPTA members believe that instruments should be classified based on </w:t>
      </w:r>
      <w:r w:rsidR="000604A9">
        <w:t xml:space="preserve">actual </w:t>
      </w:r>
      <w:r w:rsidR="002C785B">
        <w:t>trading characteristics</w:t>
      </w:r>
      <w:r w:rsidR="000604A9">
        <w:t xml:space="preserve"> in the market </w:t>
      </w:r>
      <w:r w:rsidR="002C785B">
        <w:t xml:space="preserve">rather than </w:t>
      </w:r>
      <w:r w:rsidR="000604A9">
        <w:t xml:space="preserve">on their </w:t>
      </w:r>
      <w:r w:rsidR="002C785B">
        <w:t>underlying asset</w:t>
      </w:r>
      <w:r w:rsidR="000604A9">
        <w:t>s</w:t>
      </w:r>
      <w:r w:rsidR="002C785B">
        <w:t xml:space="preserve"> (</w:t>
      </w:r>
      <w:r w:rsidR="007D6FF3">
        <w:t xml:space="preserve">in this case, a </w:t>
      </w:r>
      <w:r w:rsidR="002C785B">
        <w:t xml:space="preserve">basket of commodities or bonds versus shares) and/or legal structure. </w:t>
      </w:r>
    </w:p>
    <w:p w14:paraId="0389A719" w14:textId="77777777" w:rsidR="00FE26B6" w:rsidRDefault="00FE26B6" w:rsidP="002C785B"/>
    <w:p w14:paraId="52DC2A25" w14:textId="77777777" w:rsidR="002C785B" w:rsidRDefault="002C785B" w:rsidP="002C785B">
      <w:r>
        <w:t>A key example of this is an ETN that is structured as a note (issued by a financial institution)</w:t>
      </w:r>
      <w:r w:rsidR="007D6FF3">
        <w:t>,</w:t>
      </w:r>
      <w:r>
        <w:t xml:space="preserve"> the value of which tracks an underlying bond or basket of bonds. While the legal structure is a note, these ETNs trade in the same manner equity-based ETFs. Due to the difference in classification, market makers and SIs of </w:t>
      </w:r>
      <w:r w:rsidR="007D6FF3">
        <w:t>e</w:t>
      </w:r>
      <w:r>
        <w:t xml:space="preserve">xchange traded products (ETPs) which includes liquidity provision of ETFs, ETNs and ETCs must track the </w:t>
      </w:r>
      <w:r w:rsidR="00A41594">
        <w:t xml:space="preserve">regulatory </w:t>
      </w:r>
      <w:r>
        <w:t xml:space="preserve">differences in transparency requirements, waivers and deferrals for these products, although the process for pricing, trading and hedging these instruments is the same. </w:t>
      </w:r>
    </w:p>
    <w:p w14:paraId="6349B2E4" w14:textId="77777777" w:rsidR="002C785B" w:rsidRDefault="002C785B" w:rsidP="002C785B"/>
    <w:p w14:paraId="1D60D2C9" w14:textId="77777777" w:rsidR="002C785B" w:rsidRDefault="002C785B" w:rsidP="002C785B">
      <w:r>
        <w:t>FIA EPTA members would recommend re-classifying all ETPs as equity-like instruments. Having the current split classification inhibits end-investors</w:t>
      </w:r>
      <w:r w:rsidR="00663C48">
        <w:t>’</w:t>
      </w:r>
      <w:r>
        <w:t xml:space="preserve"> ability to efficiently use these instruments and creates </w:t>
      </w:r>
      <w:r w:rsidR="00686072">
        <w:t xml:space="preserve">an </w:t>
      </w:r>
      <w:r>
        <w:t>unnecessarily complex trading environment.]</w:t>
      </w:r>
    </w:p>
    <w:p w14:paraId="26832976" w14:textId="77777777" w:rsidR="00A84EC8" w:rsidRDefault="00A84EC8" w:rsidP="002C785B"/>
    <w:p w14:paraId="10DA4F70" w14:textId="77777777" w:rsidR="002C785B" w:rsidRDefault="002C785B" w:rsidP="002C785B">
      <w:r>
        <w:t>&lt;ESMA_QUESTION_CP_MIFID_NQT_9&gt;</w:t>
      </w:r>
    </w:p>
    <w:p w14:paraId="22263EAD" w14:textId="77777777" w:rsidR="002C785B" w:rsidRDefault="002C785B" w:rsidP="002C785B"/>
    <w:p w14:paraId="303F3529" w14:textId="77777777" w:rsidR="002C785B" w:rsidRPr="00431DA4" w:rsidRDefault="002C785B" w:rsidP="002C785B">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t>.</w:t>
      </w:r>
    </w:p>
    <w:p w14:paraId="03E73639" w14:textId="77777777" w:rsidR="002C785B" w:rsidRDefault="002C785B" w:rsidP="002C785B">
      <w:r>
        <w:t>&lt;ESMA_QUESTION_CP_MIFID_NQT_10&gt;</w:t>
      </w:r>
    </w:p>
    <w:p w14:paraId="5817D164" w14:textId="77777777" w:rsidR="002C785B" w:rsidRDefault="00E1229C" w:rsidP="002C785B">
      <w:r>
        <w:t>[</w:t>
      </w:r>
      <w:r w:rsidR="003D670E">
        <w:t xml:space="preserve">FIA EPTA </w:t>
      </w:r>
      <w:r w:rsidR="00F77B30">
        <w:t xml:space="preserve">members </w:t>
      </w:r>
      <w:r w:rsidR="003D670E">
        <w:t>st</w:t>
      </w:r>
      <w:r w:rsidR="00094781">
        <w:t>r</w:t>
      </w:r>
      <w:r w:rsidR="003D670E">
        <w:t>ongly</w:t>
      </w:r>
      <w:r w:rsidR="006411B5">
        <w:t xml:space="preserve"> agree with ESMA’s assessment and believe a more streamlined and uniform post-trade regime</w:t>
      </w:r>
      <w:r w:rsidR="002C785B">
        <w:t xml:space="preserve"> is essential. As identified in ESMA’s consultation paper and </w:t>
      </w:r>
      <w:r w:rsidR="00F77B30">
        <w:t xml:space="preserve">also noted by </w:t>
      </w:r>
      <w:r w:rsidR="00A755AB">
        <w:t xml:space="preserve">other </w:t>
      </w:r>
      <w:r w:rsidR="00D740BD">
        <w:t xml:space="preserve">market participants (e.g., by </w:t>
      </w:r>
      <w:r w:rsidR="002C785B">
        <w:t>ICMA</w:t>
      </w:r>
      <w:r w:rsidR="00D740BD">
        <w:t xml:space="preserve"> in their </w:t>
      </w:r>
      <w:r w:rsidR="002C785B">
        <w:t xml:space="preserve">Time to Act </w:t>
      </w:r>
      <w:r w:rsidR="001532E5">
        <w:t xml:space="preserve">report, see </w:t>
      </w:r>
      <w:r w:rsidR="00270A24">
        <w:t xml:space="preserve">our response to </w:t>
      </w:r>
      <w:r w:rsidR="001532E5">
        <w:t>Q</w:t>
      </w:r>
      <w:r w:rsidR="00270A24">
        <w:t xml:space="preserve">uestion </w:t>
      </w:r>
      <w:r w:rsidR="001532E5">
        <w:t>2</w:t>
      </w:r>
      <w:r w:rsidR="002C785B">
        <w:t xml:space="preserve">), transparency in bond </w:t>
      </w:r>
      <w:r w:rsidR="005000BC">
        <w:t xml:space="preserve">and derivatives </w:t>
      </w:r>
      <w:r w:rsidR="002C785B">
        <w:t>markets has decreased</w:t>
      </w:r>
      <w:r w:rsidR="006411B5">
        <w:t xml:space="preserve"> to the detriment of all investors</w:t>
      </w:r>
      <w:r w:rsidR="002C785B">
        <w:t xml:space="preserve">. </w:t>
      </w:r>
    </w:p>
    <w:p w14:paraId="24C8DB5F" w14:textId="77777777" w:rsidR="002C785B" w:rsidRDefault="002C785B" w:rsidP="002C785B"/>
    <w:p w14:paraId="48949085" w14:textId="77777777" w:rsidR="00FE26B6" w:rsidRDefault="00770A08" w:rsidP="005000BC">
      <w:r>
        <w:t>FIA EPTA members observe that</w:t>
      </w:r>
      <w:r w:rsidR="006E12E0">
        <w:t xml:space="preserve"> too</w:t>
      </w:r>
      <w:r>
        <w:t xml:space="preserve"> </w:t>
      </w:r>
      <w:r w:rsidR="002C785B">
        <w:t>many fixed income instruments are deemed insufficiently liquid to be in scope, and deferral periods render any post-trading information unusable without a clear rationale.</w:t>
      </w:r>
      <w:r w:rsidR="000D1689">
        <w:t xml:space="preserve"> </w:t>
      </w:r>
      <w:r w:rsidR="006411B5">
        <w:t>C</w:t>
      </w:r>
      <w:r w:rsidR="005000BC" w:rsidRPr="005A7430">
        <w:t>urrently, only 5% of off-venue trading activity in OTC derivatives is subject to post-trade transparency, due in large part to problems in the interpretation of the Traded on a Trading Venue (</w:t>
      </w:r>
      <w:proofErr w:type="spellStart"/>
      <w:r w:rsidR="005000BC" w:rsidRPr="005A7430">
        <w:t>ToTV</w:t>
      </w:r>
      <w:proofErr w:type="spellEnd"/>
      <w:r w:rsidR="005000BC" w:rsidRPr="005A7430">
        <w:t>) concept</w:t>
      </w:r>
      <w:r w:rsidR="00FE1243">
        <w:t xml:space="preserve"> </w:t>
      </w:r>
      <w:r w:rsidR="00FE1243">
        <w:rPr>
          <w:rFonts w:cs="Arial"/>
          <w:szCs w:val="20"/>
        </w:rPr>
        <w:t>(</w:t>
      </w:r>
      <w:r w:rsidR="006F4BA7">
        <w:rPr>
          <w:rFonts w:cs="Arial"/>
          <w:szCs w:val="20"/>
        </w:rPr>
        <w:t xml:space="preserve">Cf. </w:t>
      </w:r>
      <w:hyperlink r:id="rId13" w:history="1">
        <w:r w:rsidR="006F4BA7" w:rsidRPr="004E1D5E">
          <w:rPr>
            <w:rStyle w:val="Hyperlink"/>
            <w:rFonts w:cs="Arial"/>
            <w:szCs w:val="20"/>
          </w:rPr>
          <w:t>https://www.clarusft.com/what-we-need-to-do-to-fix-mifid-ii-data/</w:t>
        </w:r>
      </w:hyperlink>
      <w:r w:rsidR="00FE1243">
        <w:rPr>
          <w:rStyle w:val="Hyperlink"/>
          <w:rFonts w:cs="Arial"/>
          <w:szCs w:val="20"/>
        </w:rPr>
        <w:t>)</w:t>
      </w:r>
      <w:r w:rsidR="005000BC" w:rsidRPr="005A7430">
        <w:t xml:space="preserve">. </w:t>
      </w:r>
    </w:p>
    <w:p w14:paraId="06792353" w14:textId="77777777" w:rsidR="00FE26B6" w:rsidRDefault="00FE26B6" w:rsidP="005000BC"/>
    <w:p w14:paraId="704CD4EE" w14:textId="77777777" w:rsidR="00FE1243" w:rsidRDefault="005000BC" w:rsidP="005000BC">
      <w:r w:rsidRPr="005A7430">
        <w:t>Furthermore, 90% of on-venue trading activity in OTC derivatives is being granted a four-week deferral while 85% of trading activity in EU bonds is not being published in real-time with full transaction details often absent when eventually published</w:t>
      </w:r>
      <w:r w:rsidR="00FE1243">
        <w:t xml:space="preserve"> </w:t>
      </w:r>
      <w:r w:rsidR="00FE1243">
        <w:rPr>
          <w:rFonts w:cs="Arial"/>
          <w:szCs w:val="20"/>
        </w:rPr>
        <w:t>(</w:t>
      </w:r>
      <w:r w:rsidR="006F4BA7">
        <w:rPr>
          <w:rFonts w:cs="Arial"/>
          <w:szCs w:val="20"/>
        </w:rPr>
        <w:t xml:space="preserve">Cf. </w:t>
      </w:r>
      <w:hyperlink r:id="rId14" w:history="1">
        <w:r w:rsidR="006F4BA7" w:rsidRPr="004E1D5E">
          <w:rPr>
            <w:rStyle w:val="Hyperlink"/>
            <w:rFonts w:cs="Arial"/>
            <w:szCs w:val="20"/>
          </w:rPr>
          <w:t>https://www.clarusft.com/mifid-ii-data-for-bonds/</w:t>
        </w:r>
      </w:hyperlink>
      <w:r w:rsidR="00FE1243">
        <w:rPr>
          <w:rFonts w:cs="Arial"/>
          <w:szCs w:val="20"/>
        </w:rPr>
        <w:t>)</w:t>
      </w:r>
      <w:r w:rsidRPr="005A7430">
        <w:t xml:space="preserve">. </w:t>
      </w:r>
    </w:p>
    <w:p w14:paraId="4E91ADFD" w14:textId="77777777" w:rsidR="00FE1243" w:rsidRDefault="00FE1243" w:rsidP="005000BC"/>
    <w:p w14:paraId="45CCA2BE" w14:textId="77777777" w:rsidR="00FE1243" w:rsidRDefault="00FE1243" w:rsidP="005000BC">
      <w:r>
        <w:t>Post-trade transparency is critical for a number of reasons.</w:t>
      </w:r>
      <w:r w:rsidR="000D1689">
        <w:t xml:space="preserve"> </w:t>
      </w:r>
      <w:r>
        <w:t>It allows market participants to perform accurate</w:t>
      </w:r>
      <w:r w:rsidRPr="00BB3CD0">
        <w:t xml:space="preserve"> transaction cost analysis and best execution assessments </w:t>
      </w:r>
      <w:r>
        <w:t>and enables liquidity providers to more accurately price and provide liquidity</w:t>
      </w:r>
      <w:r w:rsidR="001F618A">
        <w:t xml:space="preserve"> – also </w:t>
      </w:r>
      <w:r w:rsidR="00AB6AA2">
        <w:t xml:space="preserve">with respect to derivative </w:t>
      </w:r>
      <w:r w:rsidR="005528CA">
        <w:t>instruments</w:t>
      </w:r>
      <w:r w:rsidR="00AB6AA2">
        <w:t xml:space="preserve">, and e.g. </w:t>
      </w:r>
      <w:r w:rsidR="001F618A">
        <w:t>fixed income ETFs</w:t>
      </w:r>
      <w:r w:rsidR="005528CA">
        <w:t>,</w:t>
      </w:r>
      <w:r w:rsidR="001F618A">
        <w:t xml:space="preserve"> whose pric</w:t>
      </w:r>
      <w:r w:rsidR="00270A24">
        <w:t>ing</w:t>
      </w:r>
      <w:r w:rsidR="001F618A">
        <w:t xml:space="preserve"> depend</w:t>
      </w:r>
      <w:r w:rsidR="005A7959">
        <w:t>s</w:t>
      </w:r>
      <w:r w:rsidR="001F618A">
        <w:t xml:space="preserve"> on that of their underlying assets</w:t>
      </w:r>
      <w:r>
        <w:t>.</w:t>
      </w:r>
      <w:r w:rsidR="000D1689">
        <w:t xml:space="preserve"> </w:t>
      </w:r>
      <w:r>
        <w:t>Comprehensive r</w:t>
      </w:r>
      <w:r w:rsidRPr="00FE1243">
        <w:t>eal-time data enables market participants to more confident</w:t>
      </w:r>
      <w:r>
        <w:t>ly assess current market dynami</w:t>
      </w:r>
      <w:r w:rsidRPr="00FE1243">
        <w:t>cs</w:t>
      </w:r>
      <w:r w:rsidR="00AB3396">
        <w:t xml:space="preserve"> and hedge their positions</w:t>
      </w:r>
      <w:r w:rsidRPr="00FE1243">
        <w:t>, which increases investor confidence and is particularly important during times of market volatility.</w:t>
      </w:r>
      <w:r w:rsidR="000D1689">
        <w:t xml:space="preserve"> </w:t>
      </w:r>
      <w:r w:rsidRPr="00FE1243">
        <w:t>In addition, real-time data reduces existing information asymmetries, where certain market participants may have greater knowledge regarding ongoing trading activity than other investors.</w:t>
      </w:r>
      <w:r w:rsidR="000D1689">
        <w:t xml:space="preserve"> </w:t>
      </w:r>
      <w:r w:rsidRPr="00FE1243">
        <w:t>Leve</w:t>
      </w:r>
      <w:r>
        <w:t>l</w:t>
      </w:r>
      <w:r w:rsidRPr="00FE1243">
        <w:t xml:space="preserve">ling the playing field with respect to access to information regarding ongoing trading activity helps investors hold liquidity providers </w:t>
      </w:r>
      <w:r w:rsidRPr="00FE1243">
        <w:lastRenderedPageBreak/>
        <w:t>accountable and promotes overall market competition.</w:t>
      </w:r>
      <w:r w:rsidR="000D1689">
        <w:t xml:space="preserve"> </w:t>
      </w:r>
      <w:r>
        <w:t>In addition, post-trade transparency allows</w:t>
      </w:r>
      <w:r w:rsidRPr="00BB3CD0">
        <w:t xml:space="preserve"> for </w:t>
      </w:r>
      <w:r>
        <w:t xml:space="preserve">the production of </w:t>
      </w:r>
      <w:r w:rsidRPr="00BB3CD0">
        <w:t>more general market research and commentary that will benefit all investors</w:t>
      </w:r>
      <w:r>
        <w:t>.</w:t>
      </w:r>
    </w:p>
    <w:p w14:paraId="568C3913" w14:textId="77777777" w:rsidR="002C785B" w:rsidRDefault="002C785B" w:rsidP="002C785B"/>
    <w:p w14:paraId="5C7676E0" w14:textId="77777777" w:rsidR="005000BC" w:rsidRDefault="005000BC" w:rsidP="002C785B">
      <w:r>
        <w:t>In order to deliver post-trade transparency in non-equities asset classes, the following problems must be addressed</w:t>
      </w:r>
      <w:r w:rsidR="00FE1243">
        <w:t xml:space="preserve"> across all non-</w:t>
      </w:r>
      <w:proofErr w:type="gramStart"/>
      <w:r w:rsidR="00FE1243">
        <w:t>equities</w:t>
      </w:r>
      <w:proofErr w:type="gramEnd"/>
      <w:r w:rsidR="00FE1243">
        <w:t xml:space="preserve"> instruments</w:t>
      </w:r>
      <w:r>
        <w:t xml:space="preserve">: </w:t>
      </w:r>
    </w:p>
    <w:p w14:paraId="47BB5B92" w14:textId="77777777" w:rsidR="005000BC" w:rsidRDefault="005000BC" w:rsidP="002C785B"/>
    <w:p w14:paraId="79B4D4F7" w14:textId="77777777" w:rsidR="002C785B" w:rsidRDefault="005000BC" w:rsidP="00B61F24">
      <w:pPr>
        <w:pStyle w:val="ListParagraph"/>
        <w:numPr>
          <w:ilvl w:val="0"/>
          <w:numId w:val="40"/>
        </w:numPr>
      </w:pPr>
      <w:r w:rsidRPr="003B1A5A">
        <w:rPr>
          <w:b/>
        </w:rPr>
        <w:t>The regime must be comprehensive</w:t>
      </w:r>
      <w:r>
        <w:t xml:space="preserve">, covering all on-venue and off-venue trading activity in </w:t>
      </w:r>
      <w:r w:rsidR="00FE1243">
        <w:t>each non-</w:t>
      </w:r>
      <w:proofErr w:type="gramStart"/>
      <w:r w:rsidR="00FE1243">
        <w:t>equities</w:t>
      </w:r>
      <w:proofErr w:type="gramEnd"/>
      <w:r w:rsidR="00FE1243">
        <w:t xml:space="preserve"> </w:t>
      </w:r>
      <w:r>
        <w:t>instrument.</w:t>
      </w:r>
      <w:r w:rsidR="000D1689">
        <w:t xml:space="preserve"> </w:t>
      </w:r>
      <w:r>
        <w:t xml:space="preserve">As a result, the </w:t>
      </w:r>
      <w:proofErr w:type="spellStart"/>
      <w:r>
        <w:t>ToTV</w:t>
      </w:r>
      <w:proofErr w:type="spellEnd"/>
      <w:r>
        <w:t xml:space="preserve"> concept should be removed, </w:t>
      </w:r>
      <w:r w:rsidR="00397F24">
        <w:t xml:space="preserve">as it </w:t>
      </w:r>
      <w:r>
        <w:t xml:space="preserve">significantly limits the amount of off-venue trading activity that is </w:t>
      </w:r>
      <w:r w:rsidR="00F20ED5">
        <w:t xml:space="preserve">in-scope for the transparency regime </w:t>
      </w:r>
      <w:r w:rsidR="00FE1243">
        <w:t>at the moment</w:t>
      </w:r>
      <w:r>
        <w:t>.</w:t>
      </w:r>
    </w:p>
    <w:p w14:paraId="295AFB46" w14:textId="77777777" w:rsidR="005000BC" w:rsidRDefault="005000BC" w:rsidP="006B08C5">
      <w:pPr>
        <w:pStyle w:val="ListParagraph"/>
      </w:pPr>
    </w:p>
    <w:p w14:paraId="22666381" w14:textId="5E8E2BA3" w:rsidR="005000BC" w:rsidRDefault="005000BC" w:rsidP="00B61F24">
      <w:pPr>
        <w:pStyle w:val="ListParagraph"/>
        <w:numPr>
          <w:ilvl w:val="0"/>
          <w:numId w:val="40"/>
        </w:numPr>
      </w:pPr>
      <w:r w:rsidRPr="003B1A5A">
        <w:rPr>
          <w:b/>
        </w:rPr>
        <w:t>Post-trade transparency must be real-ti</w:t>
      </w:r>
      <w:r w:rsidRPr="001A10A3">
        <w:rPr>
          <w:b/>
        </w:rPr>
        <w:t>me</w:t>
      </w:r>
      <w:r w:rsidR="001A10A3" w:rsidRPr="001A10A3">
        <w:rPr>
          <w:b/>
        </w:rPr>
        <w:t>; d</w:t>
      </w:r>
      <w:r w:rsidRPr="001A10A3">
        <w:rPr>
          <w:b/>
        </w:rPr>
        <w:t>eferrals should be limited in scope</w:t>
      </w:r>
      <w:r w:rsidR="00094532" w:rsidRPr="001A10A3">
        <w:rPr>
          <w:b/>
        </w:rPr>
        <w:t>, with one clear size-based deferral only</w:t>
      </w:r>
      <w:r w:rsidRPr="001A10A3">
        <w:rPr>
          <w:b/>
        </w:rPr>
        <w:t>.</w:t>
      </w:r>
      <w:r w:rsidR="001555CA" w:rsidRPr="001A10A3">
        <w:rPr>
          <w:b/>
        </w:rPr>
        <w:t xml:space="preserve"> </w:t>
      </w:r>
      <w:r w:rsidR="001555CA">
        <w:t xml:space="preserve">This includes completely removing </w:t>
      </w:r>
      <w:r w:rsidR="00F20ED5">
        <w:t xml:space="preserve">the </w:t>
      </w:r>
      <w:r w:rsidR="001555CA">
        <w:t>concept of allowing trades to avail of a post-trade transparency deferral purely because it is an illiquid instrument (as the deferral inhibits natural growth and interest in the instrument).</w:t>
      </w:r>
      <w:r w:rsidR="000D1689">
        <w:t xml:space="preserve"> </w:t>
      </w:r>
      <w:r w:rsidR="00094532">
        <w:t xml:space="preserve">Finally, </w:t>
      </w:r>
      <w:r w:rsidR="00FE1243">
        <w:t>the regime should be consistent across the EU27, removing the existing discretion for NCAs to grant more extended deferrals than others.</w:t>
      </w:r>
      <w:r w:rsidR="000D1689">
        <w:t xml:space="preserve"> </w:t>
      </w:r>
      <w:r w:rsidR="00126521">
        <w:t xml:space="preserve">We provide </w:t>
      </w:r>
      <w:r w:rsidR="001F7DB8">
        <w:t>more detail</w:t>
      </w:r>
      <w:r w:rsidR="00126521">
        <w:t xml:space="preserve"> below.</w:t>
      </w:r>
    </w:p>
    <w:p w14:paraId="4D0412BF" w14:textId="77777777" w:rsidR="00991C92" w:rsidRDefault="00991C92" w:rsidP="008C0434">
      <w:pPr>
        <w:ind w:left="360"/>
      </w:pPr>
    </w:p>
    <w:p w14:paraId="304FFCC8" w14:textId="77777777" w:rsidR="007A240A" w:rsidRDefault="003C7058" w:rsidP="00B61F24">
      <w:pPr>
        <w:pStyle w:val="ListParagraph"/>
        <w:numPr>
          <w:ilvl w:val="0"/>
          <w:numId w:val="40"/>
        </w:numPr>
      </w:pPr>
      <w:r w:rsidRPr="003B1A5A">
        <w:rPr>
          <w:b/>
        </w:rPr>
        <w:t>F</w:t>
      </w:r>
      <w:r w:rsidR="00991C92" w:rsidRPr="003B1A5A">
        <w:rPr>
          <w:b/>
        </w:rPr>
        <w:t>or listed derivatives, the LIS thresholds should be increased to more appropriate levels</w:t>
      </w:r>
      <w:r w:rsidR="00991C92">
        <w:t xml:space="preserve">. Based on </w:t>
      </w:r>
      <w:r w:rsidR="002260B2">
        <w:t xml:space="preserve">our </w:t>
      </w:r>
      <w:r w:rsidR="00991C92">
        <w:t>members’ experience in the below markets, the levels are currently sub-optimal and we believe the following would be more appropriate thresholds of post trade transparency for these products. In line with ESMA’s goal to further increase transparency and allowing for more trades in a transparent manner, increasing these thresholds will be a valuable step in this direction.</w:t>
      </w:r>
      <w:r w:rsidR="000D1689">
        <w:t xml:space="preserve"> </w:t>
      </w:r>
    </w:p>
    <w:p w14:paraId="07A164DE" w14:textId="77777777" w:rsidR="007A240A" w:rsidRDefault="007A240A" w:rsidP="008C0434">
      <w:pPr>
        <w:pStyle w:val="ListParagraph"/>
      </w:pPr>
    </w:p>
    <w:p w14:paraId="55A754D1" w14:textId="77777777" w:rsidR="007A240A" w:rsidRDefault="004B596D" w:rsidP="002260B2">
      <w:pPr>
        <w:pStyle w:val="ListParagraph"/>
      </w:pPr>
      <w:r>
        <w:t>Table 5</w:t>
      </w:r>
    </w:p>
    <w:tbl>
      <w:tblPr>
        <w:tblpPr w:leftFromText="180" w:rightFromText="180" w:bottomFromText="115" w:vertAnchor="text" w:tblpX="689"/>
        <w:tblW w:w="7645" w:type="dxa"/>
        <w:tblCellMar>
          <w:left w:w="0" w:type="dxa"/>
          <w:right w:w="0" w:type="dxa"/>
        </w:tblCellMar>
        <w:tblLook w:val="04A0" w:firstRow="1" w:lastRow="0" w:firstColumn="1" w:lastColumn="0" w:noHBand="0" w:noVBand="1"/>
      </w:tblPr>
      <w:tblGrid>
        <w:gridCol w:w="1418"/>
        <w:gridCol w:w="1843"/>
        <w:gridCol w:w="2258"/>
        <w:gridCol w:w="2126"/>
      </w:tblGrid>
      <w:tr w:rsidR="007A240A" w:rsidRPr="007A240A" w14:paraId="228AF0E0" w14:textId="77777777" w:rsidTr="004B596D">
        <w:trPr>
          <w:trHeight w:val="709"/>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6DAA4C" w14:textId="77777777" w:rsidR="007A240A" w:rsidRPr="002260B2" w:rsidRDefault="007A240A" w:rsidP="004B596D">
            <w:pPr>
              <w:rPr>
                <w:rFonts w:cs="Arial"/>
                <w:color w:val="000000"/>
                <w:szCs w:val="20"/>
                <w:lang w:val="en-IE" w:eastAsia="en-IE"/>
              </w:rPr>
            </w:pPr>
            <w:r w:rsidRPr="007A240A">
              <w:rPr>
                <w:rFonts w:cs="Arial"/>
                <w:color w:val="000000"/>
                <w:szCs w:val="20"/>
              </w:rPr>
              <w: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D2AED50" w14:textId="77777777" w:rsidR="007A240A" w:rsidRPr="008C0434" w:rsidRDefault="007A240A" w:rsidP="004B596D">
            <w:pPr>
              <w:rPr>
                <w:rFonts w:cs="Arial"/>
                <w:b/>
                <w:bCs/>
                <w:color w:val="000000"/>
                <w:szCs w:val="20"/>
              </w:rPr>
            </w:pPr>
            <w:r w:rsidRPr="008C0434">
              <w:rPr>
                <w:rFonts w:cs="Arial"/>
                <w:b/>
                <w:bCs/>
                <w:color w:val="000000"/>
                <w:szCs w:val="20"/>
              </w:rPr>
              <w:t>ADNA upper threshold</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2DF0FBE" w14:textId="77777777" w:rsidR="007A240A" w:rsidRPr="008C0434" w:rsidRDefault="007A240A" w:rsidP="004B596D">
            <w:pPr>
              <w:rPr>
                <w:rFonts w:cs="Arial"/>
                <w:b/>
                <w:bCs/>
                <w:color w:val="000000"/>
                <w:szCs w:val="20"/>
              </w:rPr>
            </w:pPr>
            <w:r w:rsidRPr="008C0434">
              <w:rPr>
                <w:rFonts w:cs="Arial"/>
                <w:b/>
                <w:bCs/>
                <w:color w:val="000000"/>
                <w:szCs w:val="20"/>
              </w:rPr>
              <w:t xml:space="preserve">Current </w:t>
            </w:r>
          </w:p>
          <w:p w14:paraId="726BEBA0" w14:textId="77777777" w:rsidR="007A240A" w:rsidRPr="008C0434" w:rsidRDefault="007A240A" w:rsidP="004B596D">
            <w:pPr>
              <w:rPr>
                <w:rFonts w:cs="Arial"/>
                <w:b/>
                <w:bCs/>
                <w:color w:val="000000"/>
                <w:szCs w:val="20"/>
              </w:rPr>
            </w:pPr>
            <w:r w:rsidRPr="008C0434">
              <w:rPr>
                <w:rFonts w:cs="Arial"/>
                <w:b/>
                <w:bCs/>
                <w:color w:val="000000"/>
                <w:szCs w:val="20"/>
              </w:rPr>
              <w:t>post-trade LIS</w:t>
            </w:r>
          </w:p>
        </w:tc>
        <w:tc>
          <w:tcPr>
            <w:tcW w:w="2126" w:type="dxa"/>
            <w:tcBorders>
              <w:top w:val="single" w:sz="8" w:space="0" w:color="auto"/>
              <w:left w:val="nil"/>
              <w:bottom w:val="single" w:sz="8" w:space="0" w:color="auto"/>
              <w:right w:val="single" w:sz="8" w:space="0" w:color="auto"/>
            </w:tcBorders>
            <w:vAlign w:val="bottom"/>
            <w:hideMark/>
          </w:tcPr>
          <w:p w14:paraId="313B3FDA" w14:textId="77777777" w:rsidR="007A240A" w:rsidRPr="008C0434" w:rsidRDefault="007A240A" w:rsidP="004B596D">
            <w:pPr>
              <w:rPr>
                <w:rFonts w:cs="Arial"/>
                <w:b/>
                <w:bCs/>
                <w:color w:val="000000"/>
                <w:szCs w:val="20"/>
              </w:rPr>
            </w:pPr>
            <w:r w:rsidRPr="008C0434">
              <w:rPr>
                <w:rFonts w:cs="Arial"/>
                <w:b/>
                <w:bCs/>
                <w:color w:val="000000"/>
                <w:szCs w:val="20"/>
              </w:rPr>
              <w:t xml:space="preserve">Proposed </w:t>
            </w:r>
          </w:p>
          <w:p w14:paraId="490D693C" w14:textId="77777777" w:rsidR="007A240A" w:rsidRPr="008C0434" w:rsidRDefault="007A240A" w:rsidP="004B596D">
            <w:pPr>
              <w:rPr>
                <w:rFonts w:cs="Arial"/>
                <w:b/>
                <w:bCs/>
                <w:color w:val="000000"/>
                <w:szCs w:val="20"/>
              </w:rPr>
            </w:pPr>
            <w:r w:rsidRPr="008C0434">
              <w:rPr>
                <w:rFonts w:cs="Arial"/>
                <w:b/>
                <w:bCs/>
                <w:color w:val="000000"/>
                <w:szCs w:val="20"/>
              </w:rPr>
              <w:t xml:space="preserve">post-trade LIS </w:t>
            </w:r>
          </w:p>
        </w:tc>
      </w:tr>
      <w:tr w:rsidR="007A240A" w:rsidRPr="007A240A" w14:paraId="21A50BA8" w14:textId="77777777" w:rsidTr="004B596D">
        <w:trPr>
          <w:trHeight w:val="249"/>
        </w:trPr>
        <w:tc>
          <w:tcPr>
            <w:tcW w:w="1418" w:type="dxa"/>
            <w:vMerge w:val="restart"/>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47477F31" w14:textId="77777777" w:rsidR="004B596D" w:rsidRDefault="007A240A" w:rsidP="004B596D">
            <w:pPr>
              <w:jc w:val="center"/>
              <w:rPr>
                <w:rFonts w:cs="Arial"/>
                <w:b/>
                <w:bCs/>
                <w:color w:val="000000"/>
                <w:szCs w:val="20"/>
              </w:rPr>
            </w:pPr>
            <w:r w:rsidRPr="008C0434">
              <w:rPr>
                <w:rFonts w:cs="Arial"/>
                <w:b/>
                <w:bCs/>
                <w:color w:val="000000"/>
                <w:szCs w:val="20"/>
              </w:rPr>
              <w:t xml:space="preserve">Index </w:t>
            </w:r>
          </w:p>
          <w:p w14:paraId="1CE74F06" w14:textId="77777777" w:rsidR="007A240A" w:rsidRPr="008C0434" w:rsidRDefault="007A240A" w:rsidP="004B596D">
            <w:pPr>
              <w:jc w:val="center"/>
              <w:rPr>
                <w:rFonts w:cs="Arial"/>
                <w:b/>
                <w:bCs/>
                <w:color w:val="000000"/>
                <w:szCs w:val="20"/>
              </w:rPr>
            </w:pPr>
            <w:r w:rsidRPr="008C0434">
              <w:rPr>
                <w:rFonts w:cs="Arial"/>
                <w:b/>
                <w:bCs/>
                <w:color w:val="000000"/>
                <w:szCs w:val="20"/>
              </w:rPr>
              <w:t>options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CF52F2" w14:textId="77777777" w:rsidR="007A240A" w:rsidRPr="002260B2" w:rsidRDefault="007A240A" w:rsidP="004B596D">
            <w:pPr>
              <w:jc w:val="center"/>
              <w:rPr>
                <w:rFonts w:cs="Arial"/>
                <w:color w:val="000000"/>
                <w:szCs w:val="20"/>
              </w:rPr>
            </w:pPr>
            <w:r w:rsidRPr="002260B2">
              <w:rPr>
                <w:rFonts w:cs="Arial"/>
                <w:color w:val="000000"/>
                <w:szCs w:val="20"/>
              </w:rPr>
              <w:t>&lt;100</w:t>
            </w: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AE0FD7" w14:textId="77777777" w:rsidR="007A240A" w:rsidRPr="002260B2" w:rsidRDefault="007A240A" w:rsidP="004B596D">
            <w:pPr>
              <w:jc w:val="right"/>
              <w:rPr>
                <w:rFonts w:cs="Arial"/>
                <w:color w:val="000000"/>
                <w:szCs w:val="20"/>
              </w:rPr>
            </w:pPr>
            <w:r w:rsidRPr="002260B2">
              <w:rPr>
                <w:rFonts w:cs="Arial"/>
                <w:color w:val="000000"/>
                <w:szCs w:val="20"/>
              </w:rPr>
              <w:t>1,500,000</w:t>
            </w:r>
          </w:p>
        </w:tc>
        <w:tc>
          <w:tcPr>
            <w:tcW w:w="2126" w:type="dxa"/>
            <w:tcBorders>
              <w:top w:val="nil"/>
              <w:left w:val="nil"/>
              <w:bottom w:val="single" w:sz="8" w:space="0" w:color="auto"/>
              <w:right w:val="single" w:sz="8" w:space="0" w:color="auto"/>
            </w:tcBorders>
            <w:hideMark/>
          </w:tcPr>
          <w:p w14:paraId="1CA283C0" w14:textId="77777777" w:rsidR="007A240A" w:rsidRPr="003B1A5A" w:rsidRDefault="007A240A" w:rsidP="004B596D">
            <w:pPr>
              <w:jc w:val="right"/>
            </w:pPr>
            <w:r w:rsidRPr="003B1A5A">
              <w:t>25,000,000</w:t>
            </w:r>
          </w:p>
        </w:tc>
      </w:tr>
      <w:tr w:rsidR="007A240A" w:rsidRPr="007A240A" w14:paraId="3C24A168" w14:textId="77777777" w:rsidTr="004B596D">
        <w:trPr>
          <w:trHeight w:val="249"/>
        </w:trPr>
        <w:tc>
          <w:tcPr>
            <w:tcW w:w="1418" w:type="dxa"/>
            <w:vMerge/>
            <w:tcBorders>
              <w:top w:val="nil"/>
              <w:left w:val="single" w:sz="8" w:space="0" w:color="auto"/>
              <w:bottom w:val="nil"/>
              <w:right w:val="single" w:sz="8" w:space="0" w:color="auto"/>
            </w:tcBorders>
            <w:vAlign w:val="center"/>
            <w:hideMark/>
          </w:tcPr>
          <w:p w14:paraId="53BCFAA1" w14:textId="77777777" w:rsidR="007A240A" w:rsidRPr="008C0434" w:rsidRDefault="007A240A" w:rsidP="004B596D">
            <w:pPr>
              <w:rPr>
                <w:rFonts w:eastAsiaTheme="minorHAnsi" w:cs="Arial"/>
                <w:b/>
                <w:bCs/>
                <w:color w:val="000000"/>
                <w:szCs w:val="20"/>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E7E116" w14:textId="77777777" w:rsidR="007A240A" w:rsidRPr="007A240A" w:rsidRDefault="007A240A" w:rsidP="004B596D">
            <w:pPr>
              <w:jc w:val="center"/>
              <w:rPr>
                <w:rFonts w:cs="Arial"/>
                <w:color w:val="000000"/>
                <w:szCs w:val="20"/>
              </w:rPr>
            </w:pPr>
            <w:r w:rsidRPr="007A240A">
              <w:rPr>
                <w:rFonts w:cs="Arial"/>
                <w:color w:val="000000"/>
                <w:szCs w:val="20"/>
              </w:rPr>
              <w:t>100&lt; ADNA&lt; 200</w:t>
            </w: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2C05D" w14:textId="77777777" w:rsidR="007A240A" w:rsidRPr="007A240A" w:rsidRDefault="007A240A" w:rsidP="004B596D">
            <w:pPr>
              <w:jc w:val="right"/>
              <w:rPr>
                <w:rFonts w:cs="Arial"/>
                <w:color w:val="000000"/>
                <w:szCs w:val="20"/>
              </w:rPr>
            </w:pPr>
            <w:r w:rsidRPr="007A240A">
              <w:rPr>
                <w:rFonts w:cs="Arial"/>
                <w:color w:val="000000"/>
                <w:szCs w:val="20"/>
              </w:rPr>
              <w:t>30,000,000</w:t>
            </w:r>
          </w:p>
        </w:tc>
        <w:tc>
          <w:tcPr>
            <w:tcW w:w="2126" w:type="dxa"/>
            <w:tcBorders>
              <w:top w:val="nil"/>
              <w:left w:val="nil"/>
              <w:bottom w:val="single" w:sz="8" w:space="0" w:color="auto"/>
              <w:right w:val="single" w:sz="8" w:space="0" w:color="auto"/>
            </w:tcBorders>
            <w:hideMark/>
          </w:tcPr>
          <w:p w14:paraId="018A928B" w14:textId="77777777" w:rsidR="007A240A" w:rsidRPr="003B1A5A" w:rsidRDefault="007A240A" w:rsidP="004B596D">
            <w:pPr>
              <w:jc w:val="right"/>
            </w:pPr>
            <w:r w:rsidRPr="003B1A5A">
              <w:t>60,000,000</w:t>
            </w:r>
          </w:p>
        </w:tc>
      </w:tr>
      <w:tr w:rsidR="007A240A" w:rsidRPr="007A240A" w14:paraId="118DBA47" w14:textId="77777777" w:rsidTr="004B596D">
        <w:trPr>
          <w:trHeight w:val="249"/>
        </w:trPr>
        <w:tc>
          <w:tcPr>
            <w:tcW w:w="1418" w:type="dxa"/>
            <w:vMerge/>
            <w:tcBorders>
              <w:top w:val="nil"/>
              <w:left w:val="single" w:sz="8" w:space="0" w:color="auto"/>
              <w:bottom w:val="nil"/>
              <w:right w:val="single" w:sz="8" w:space="0" w:color="auto"/>
            </w:tcBorders>
            <w:vAlign w:val="center"/>
            <w:hideMark/>
          </w:tcPr>
          <w:p w14:paraId="6450F47D" w14:textId="77777777" w:rsidR="007A240A" w:rsidRPr="008C0434" w:rsidRDefault="007A240A" w:rsidP="004B596D">
            <w:pPr>
              <w:rPr>
                <w:rFonts w:eastAsiaTheme="minorHAnsi" w:cs="Arial"/>
                <w:b/>
                <w:bCs/>
                <w:color w:val="000000"/>
                <w:szCs w:val="20"/>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C03F52" w14:textId="77777777" w:rsidR="007A240A" w:rsidRPr="007A240A" w:rsidRDefault="007A240A" w:rsidP="004B596D">
            <w:pPr>
              <w:jc w:val="center"/>
              <w:rPr>
                <w:rFonts w:cs="Arial"/>
                <w:color w:val="000000"/>
                <w:szCs w:val="20"/>
              </w:rPr>
            </w:pPr>
            <w:r w:rsidRPr="007A240A">
              <w:rPr>
                <w:rFonts w:cs="Arial"/>
                <w:color w:val="000000"/>
                <w:szCs w:val="20"/>
              </w:rPr>
              <w:t>200&lt; ADNA &lt;600</w:t>
            </w: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49F372" w14:textId="77777777" w:rsidR="007A240A" w:rsidRPr="007A240A" w:rsidRDefault="007A240A" w:rsidP="004B596D">
            <w:pPr>
              <w:jc w:val="right"/>
              <w:rPr>
                <w:rFonts w:cs="Arial"/>
                <w:color w:val="000000"/>
                <w:szCs w:val="20"/>
              </w:rPr>
            </w:pPr>
            <w:r w:rsidRPr="007A240A">
              <w:rPr>
                <w:rFonts w:cs="Arial"/>
                <w:color w:val="000000"/>
                <w:szCs w:val="20"/>
              </w:rPr>
              <w:t>55,000,000</w:t>
            </w:r>
          </w:p>
        </w:tc>
        <w:tc>
          <w:tcPr>
            <w:tcW w:w="2126" w:type="dxa"/>
            <w:tcBorders>
              <w:top w:val="nil"/>
              <w:left w:val="nil"/>
              <w:bottom w:val="single" w:sz="8" w:space="0" w:color="auto"/>
              <w:right w:val="single" w:sz="8" w:space="0" w:color="auto"/>
            </w:tcBorders>
            <w:hideMark/>
          </w:tcPr>
          <w:p w14:paraId="420D4145" w14:textId="77777777" w:rsidR="007A240A" w:rsidRPr="003B1A5A" w:rsidRDefault="007A240A" w:rsidP="004B596D">
            <w:pPr>
              <w:jc w:val="right"/>
            </w:pPr>
            <w:r w:rsidRPr="003B1A5A">
              <w:t>100,000,000</w:t>
            </w:r>
          </w:p>
        </w:tc>
      </w:tr>
      <w:tr w:rsidR="007A240A" w:rsidRPr="007A240A" w14:paraId="03E17B4D" w14:textId="77777777" w:rsidTr="004B596D">
        <w:trPr>
          <w:trHeight w:val="249"/>
        </w:trPr>
        <w:tc>
          <w:tcPr>
            <w:tcW w:w="1418" w:type="dxa"/>
            <w:vMerge/>
            <w:tcBorders>
              <w:top w:val="nil"/>
              <w:left w:val="single" w:sz="8" w:space="0" w:color="auto"/>
              <w:bottom w:val="nil"/>
              <w:right w:val="single" w:sz="8" w:space="0" w:color="auto"/>
            </w:tcBorders>
            <w:vAlign w:val="center"/>
            <w:hideMark/>
          </w:tcPr>
          <w:p w14:paraId="052FF0D7" w14:textId="77777777" w:rsidR="007A240A" w:rsidRPr="008C0434" w:rsidRDefault="007A240A" w:rsidP="004B596D">
            <w:pPr>
              <w:rPr>
                <w:rFonts w:eastAsiaTheme="minorHAnsi" w:cs="Arial"/>
                <w:b/>
                <w:bCs/>
                <w:color w:val="000000"/>
                <w:szCs w:val="20"/>
              </w:rPr>
            </w:pP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1B3720AE" w14:textId="77777777" w:rsidR="007A240A" w:rsidRPr="007A240A" w:rsidRDefault="007A240A" w:rsidP="004B596D">
            <w:pPr>
              <w:jc w:val="center"/>
              <w:rPr>
                <w:rFonts w:cs="Arial"/>
                <w:color w:val="000000"/>
                <w:szCs w:val="20"/>
              </w:rPr>
            </w:pPr>
            <w:r w:rsidRPr="007A240A">
              <w:rPr>
                <w:rFonts w:cs="Arial"/>
                <w:color w:val="000000"/>
                <w:szCs w:val="20"/>
              </w:rPr>
              <w:t>600 +</w:t>
            </w:r>
          </w:p>
        </w:tc>
        <w:tc>
          <w:tcPr>
            <w:tcW w:w="2258" w:type="dxa"/>
            <w:tcBorders>
              <w:top w:val="nil"/>
              <w:left w:val="nil"/>
              <w:bottom w:val="nil"/>
              <w:right w:val="single" w:sz="8" w:space="0" w:color="auto"/>
            </w:tcBorders>
            <w:noWrap/>
            <w:tcMar>
              <w:top w:w="0" w:type="dxa"/>
              <w:left w:w="108" w:type="dxa"/>
              <w:bottom w:w="0" w:type="dxa"/>
              <w:right w:w="108" w:type="dxa"/>
            </w:tcMar>
            <w:vAlign w:val="bottom"/>
            <w:hideMark/>
          </w:tcPr>
          <w:p w14:paraId="2CED6C02" w14:textId="77777777" w:rsidR="007A240A" w:rsidRPr="007A240A" w:rsidRDefault="007A240A" w:rsidP="004B596D">
            <w:pPr>
              <w:jc w:val="right"/>
              <w:rPr>
                <w:rFonts w:cs="Arial"/>
                <w:color w:val="000000"/>
                <w:szCs w:val="20"/>
              </w:rPr>
            </w:pPr>
            <w:r w:rsidRPr="007A240A">
              <w:rPr>
                <w:rFonts w:cs="Arial"/>
                <w:color w:val="000000"/>
                <w:szCs w:val="20"/>
              </w:rPr>
              <w:t>160,000,000</w:t>
            </w:r>
          </w:p>
        </w:tc>
        <w:tc>
          <w:tcPr>
            <w:tcW w:w="2126" w:type="dxa"/>
            <w:tcBorders>
              <w:top w:val="nil"/>
              <w:left w:val="nil"/>
              <w:bottom w:val="nil"/>
              <w:right w:val="single" w:sz="8" w:space="0" w:color="auto"/>
            </w:tcBorders>
            <w:hideMark/>
          </w:tcPr>
          <w:p w14:paraId="2B55566E" w14:textId="77777777" w:rsidR="007A240A" w:rsidRPr="003B1A5A" w:rsidRDefault="007A240A" w:rsidP="004B596D">
            <w:pPr>
              <w:jc w:val="right"/>
            </w:pPr>
            <w:r w:rsidRPr="003B1A5A">
              <w:t>300,000,000</w:t>
            </w:r>
          </w:p>
        </w:tc>
      </w:tr>
      <w:tr w:rsidR="007A240A" w:rsidRPr="007A240A" w14:paraId="01FFB32B" w14:textId="77777777" w:rsidTr="004B596D">
        <w:trPr>
          <w:trHeight w:val="249"/>
        </w:trPr>
        <w:tc>
          <w:tcPr>
            <w:tcW w:w="1418" w:type="dxa"/>
            <w:tcBorders>
              <w:top w:val="nil"/>
              <w:left w:val="single" w:sz="8" w:space="0" w:color="auto"/>
              <w:bottom w:val="single" w:sz="8" w:space="0" w:color="auto"/>
              <w:right w:val="single" w:sz="8" w:space="0" w:color="auto"/>
            </w:tcBorders>
            <w:vAlign w:val="center"/>
          </w:tcPr>
          <w:p w14:paraId="7C43FB6E" w14:textId="77777777" w:rsidR="007A240A" w:rsidRPr="008C0434" w:rsidRDefault="007A240A" w:rsidP="004B596D">
            <w:pPr>
              <w:rPr>
                <w:rFonts w:cs="Arial"/>
                <w:b/>
                <w:bCs/>
                <w:color w:val="000000"/>
                <w:szCs w:val="20"/>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11AF95" w14:textId="77777777" w:rsidR="007A240A" w:rsidRPr="002260B2" w:rsidRDefault="007A240A" w:rsidP="004B596D">
            <w:pPr>
              <w:jc w:val="center"/>
              <w:rPr>
                <w:rFonts w:cs="Arial"/>
                <w:color w:val="000000"/>
                <w:szCs w:val="20"/>
              </w:rPr>
            </w:pP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89D473" w14:textId="77777777" w:rsidR="007A240A" w:rsidRPr="002260B2" w:rsidRDefault="007A240A" w:rsidP="004B596D">
            <w:pPr>
              <w:jc w:val="right"/>
              <w:rPr>
                <w:rFonts w:cs="Arial"/>
                <w:color w:val="000000"/>
                <w:szCs w:val="20"/>
              </w:rPr>
            </w:pPr>
          </w:p>
        </w:tc>
        <w:tc>
          <w:tcPr>
            <w:tcW w:w="2126" w:type="dxa"/>
            <w:tcBorders>
              <w:top w:val="nil"/>
              <w:left w:val="nil"/>
              <w:bottom w:val="single" w:sz="8" w:space="0" w:color="auto"/>
              <w:right w:val="single" w:sz="8" w:space="0" w:color="auto"/>
            </w:tcBorders>
          </w:tcPr>
          <w:p w14:paraId="2EA81A24" w14:textId="77777777" w:rsidR="007A240A" w:rsidRPr="003B1A5A" w:rsidRDefault="007A240A" w:rsidP="004B596D">
            <w:pPr>
              <w:jc w:val="right"/>
            </w:pPr>
          </w:p>
        </w:tc>
      </w:tr>
      <w:tr w:rsidR="007A240A" w:rsidRPr="007A240A" w14:paraId="2C93F214" w14:textId="77777777" w:rsidTr="004B596D">
        <w:trPr>
          <w:trHeight w:val="249"/>
        </w:trPr>
        <w:tc>
          <w:tcPr>
            <w:tcW w:w="1418" w:type="dxa"/>
            <w:vMerge w:val="restart"/>
            <w:tcBorders>
              <w:top w:val="nil"/>
              <w:left w:val="single" w:sz="8" w:space="0" w:color="auto"/>
              <w:bottom w:val="single" w:sz="8" w:space="0" w:color="auto"/>
              <w:right w:val="single" w:sz="8" w:space="0" w:color="auto"/>
            </w:tcBorders>
            <w:vAlign w:val="center"/>
            <w:hideMark/>
          </w:tcPr>
          <w:p w14:paraId="4989352A" w14:textId="77777777" w:rsidR="007A240A" w:rsidRPr="008C0434" w:rsidRDefault="006C4824" w:rsidP="004B596D">
            <w:pPr>
              <w:jc w:val="center"/>
              <w:rPr>
                <w:rFonts w:cs="Arial"/>
                <w:b/>
                <w:bCs/>
                <w:color w:val="000000"/>
                <w:szCs w:val="20"/>
              </w:rPr>
            </w:pPr>
            <w:r>
              <w:rPr>
                <w:rFonts w:cs="Arial"/>
                <w:b/>
                <w:bCs/>
                <w:color w:val="000000"/>
                <w:szCs w:val="20"/>
              </w:rPr>
              <w:t>Equity</w:t>
            </w:r>
          </w:p>
          <w:p w14:paraId="2FC95D1C" w14:textId="77777777" w:rsidR="007A240A" w:rsidRPr="008C0434" w:rsidRDefault="007A240A" w:rsidP="004B596D">
            <w:pPr>
              <w:jc w:val="center"/>
              <w:rPr>
                <w:rFonts w:cs="Arial"/>
                <w:b/>
                <w:bCs/>
                <w:color w:val="000000"/>
                <w:szCs w:val="20"/>
              </w:rPr>
            </w:pPr>
            <w:r w:rsidRPr="008C0434">
              <w:rPr>
                <w:rFonts w:cs="Arial"/>
                <w:b/>
                <w:bCs/>
                <w:color w:val="000000"/>
                <w:szCs w:val="20"/>
              </w:rPr>
              <w:t>options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05C546" w14:textId="77777777" w:rsidR="007A240A" w:rsidRPr="002260B2" w:rsidRDefault="007A240A" w:rsidP="004B596D">
            <w:pPr>
              <w:jc w:val="center"/>
              <w:rPr>
                <w:rFonts w:cs="Arial"/>
                <w:color w:val="000000"/>
                <w:szCs w:val="20"/>
              </w:rPr>
            </w:pPr>
            <w:r w:rsidRPr="002260B2">
              <w:rPr>
                <w:rFonts w:cs="Arial"/>
                <w:color w:val="000000"/>
                <w:szCs w:val="20"/>
              </w:rPr>
              <w:t>&lt;5</w:t>
            </w: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6E00ED" w14:textId="77777777" w:rsidR="007A240A" w:rsidRPr="002260B2" w:rsidRDefault="007A240A" w:rsidP="004B596D">
            <w:pPr>
              <w:jc w:val="right"/>
              <w:rPr>
                <w:rFonts w:cs="Arial"/>
                <w:color w:val="000000"/>
                <w:szCs w:val="20"/>
              </w:rPr>
            </w:pPr>
            <w:r w:rsidRPr="002260B2">
              <w:rPr>
                <w:rFonts w:cs="Arial"/>
                <w:color w:val="000000"/>
                <w:szCs w:val="20"/>
              </w:rPr>
              <w:t>1,250,00</w:t>
            </w:r>
          </w:p>
        </w:tc>
        <w:tc>
          <w:tcPr>
            <w:tcW w:w="2126" w:type="dxa"/>
            <w:tcBorders>
              <w:top w:val="nil"/>
              <w:left w:val="nil"/>
              <w:bottom w:val="single" w:sz="8" w:space="0" w:color="auto"/>
              <w:right w:val="single" w:sz="8" w:space="0" w:color="auto"/>
            </w:tcBorders>
            <w:hideMark/>
          </w:tcPr>
          <w:p w14:paraId="22262631" w14:textId="77777777" w:rsidR="007A240A" w:rsidRPr="003B1A5A" w:rsidRDefault="007A240A" w:rsidP="004B596D">
            <w:pPr>
              <w:jc w:val="right"/>
            </w:pPr>
            <w:r w:rsidRPr="003B1A5A">
              <w:t>2,500,000</w:t>
            </w:r>
          </w:p>
        </w:tc>
      </w:tr>
      <w:tr w:rsidR="007A240A" w:rsidRPr="007A240A" w14:paraId="0746C1C5" w14:textId="77777777" w:rsidTr="004B596D">
        <w:trPr>
          <w:trHeight w:val="249"/>
        </w:trPr>
        <w:tc>
          <w:tcPr>
            <w:tcW w:w="1418" w:type="dxa"/>
            <w:vMerge/>
            <w:tcBorders>
              <w:top w:val="nil"/>
              <w:left w:val="single" w:sz="8" w:space="0" w:color="auto"/>
              <w:bottom w:val="single" w:sz="8" w:space="0" w:color="auto"/>
              <w:right w:val="single" w:sz="8" w:space="0" w:color="auto"/>
            </w:tcBorders>
            <w:vAlign w:val="center"/>
            <w:hideMark/>
          </w:tcPr>
          <w:p w14:paraId="42BABFA8" w14:textId="77777777" w:rsidR="007A240A" w:rsidRPr="002260B2" w:rsidRDefault="007A240A" w:rsidP="004B596D">
            <w:pPr>
              <w:rPr>
                <w:rFonts w:eastAsiaTheme="minorHAnsi" w:cs="Arial"/>
                <w:color w:val="000000"/>
                <w:szCs w:val="20"/>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77A6F" w14:textId="77777777" w:rsidR="007A240A" w:rsidRPr="007A240A" w:rsidRDefault="007A240A" w:rsidP="004B596D">
            <w:pPr>
              <w:jc w:val="center"/>
              <w:rPr>
                <w:rFonts w:cs="Arial"/>
                <w:color w:val="000000"/>
                <w:szCs w:val="20"/>
              </w:rPr>
            </w:pPr>
            <w:r w:rsidRPr="007A240A">
              <w:rPr>
                <w:rFonts w:cs="Arial"/>
                <w:color w:val="000000"/>
                <w:szCs w:val="20"/>
              </w:rPr>
              <w:t>5&lt; ADNA&lt; 10</w:t>
            </w: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00A51A" w14:textId="77777777" w:rsidR="007A240A" w:rsidRPr="007A240A" w:rsidRDefault="007A240A" w:rsidP="004B596D">
            <w:pPr>
              <w:jc w:val="right"/>
              <w:rPr>
                <w:rFonts w:cs="Arial"/>
                <w:color w:val="000000"/>
                <w:szCs w:val="20"/>
              </w:rPr>
            </w:pPr>
            <w:r w:rsidRPr="007A240A">
              <w:rPr>
                <w:rFonts w:cs="Arial"/>
                <w:color w:val="000000"/>
                <w:szCs w:val="20"/>
              </w:rPr>
              <w:t>1,500,000</w:t>
            </w:r>
          </w:p>
        </w:tc>
        <w:tc>
          <w:tcPr>
            <w:tcW w:w="2126" w:type="dxa"/>
            <w:tcBorders>
              <w:top w:val="nil"/>
              <w:left w:val="nil"/>
              <w:bottom w:val="single" w:sz="8" w:space="0" w:color="auto"/>
              <w:right w:val="single" w:sz="8" w:space="0" w:color="auto"/>
            </w:tcBorders>
            <w:hideMark/>
          </w:tcPr>
          <w:p w14:paraId="07CAB9CE" w14:textId="77777777" w:rsidR="007A240A" w:rsidRPr="003B1A5A" w:rsidRDefault="007A240A" w:rsidP="004B596D">
            <w:pPr>
              <w:jc w:val="right"/>
            </w:pPr>
            <w:r w:rsidRPr="003B1A5A">
              <w:t>5,000,000</w:t>
            </w:r>
          </w:p>
        </w:tc>
      </w:tr>
      <w:tr w:rsidR="007A240A" w:rsidRPr="007A240A" w14:paraId="6F11E2FD" w14:textId="77777777" w:rsidTr="004B596D">
        <w:trPr>
          <w:trHeight w:val="249"/>
        </w:trPr>
        <w:tc>
          <w:tcPr>
            <w:tcW w:w="1418" w:type="dxa"/>
            <w:vMerge/>
            <w:tcBorders>
              <w:top w:val="nil"/>
              <w:left w:val="single" w:sz="8" w:space="0" w:color="auto"/>
              <w:bottom w:val="single" w:sz="8" w:space="0" w:color="auto"/>
              <w:right w:val="single" w:sz="8" w:space="0" w:color="auto"/>
            </w:tcBorders>
            <w:vAlign w:val="center"/>
            <w:hideMark/>
          </w:tcPr>
          <w:p w14:paraId="4084634E" w14:textId="77777777" w:rsidR="007A240A" w:rsidRPr="002260B2" w:rsidRDefault="007A240A" w:rsidP="004B596D">
            <w:pPr>
              <w:rPr>
                <w:rFonts w:eastAsiaTheme="minorHAnsi" w:cs="Arial"/>
                <w:color w:val="000000"/>
                <w:szCs w:val="20"/>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E27EC7" w14:textId="77777777" w:rsidR="007A240A" w:rsidRPr="007A240A" w:rsidRDefault="007A240A" w:rsidP="004B596D">
            <w:pPr>
              <w:jc w:val="center"/>
              <w:rPr>
                <w:rFonts w:cs="Arial"/>
                <w:color w:val="000000"/>
                <w:szCs w:val="20"/>
              </w:rPr>
            </w:pPr>
            <w:r w:rsidRPr="007A240A">
              <w:rPr>
                <w:rFonts w:cs="Arial"/>
                <w:color w:val="000000"/>
                <w:szCs w:val="20"/>
              </w:rPr>
              <w:t>10&lt; ADNA &lt;20</w:t>
            </w: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267128" w14:textId="77777777" w:rsidR="007A240A" w:rsidRPr="007A240A" w:rsidRDefault="007A240A" w:rsidP="004B596D">
            <w:pPr>
              <w:jc w:val="right"/>
              <w:rPr>
                <w:rFonts w:cs="Arial"/>
                <w:color w:val="000000"/>
                <w:szCs w:val="20"/>
              </w:rPr>
            </w:pPr>
            <w:r w:rsidRPr="007A240A">
              <w:rPr>
                <w:rFonts w:cs="Arial"/>
                <w:color w:val="000000"/>
                <w:szCs w:val="20"/>
              </w:rPr>
              <w:t>3,000,000</w:t>
            </w:r>
          </w:p>
        </w:tc>
        <w:tc>
          <w:tcPr>
            <w:tcW w:w="2126" w:type="dxa"/>
            <w:tcBorders>
              <w:top w:val="nil"/>
              <w:left w:val="nil"/>
              <w:bottom w:val="single" w:sz="8" w:space="0" w:color="auto"/>
              <w:right w:val="single" w:sz="8" w:space="0" w:color="auto"/>
            </w:tcBorders>
            <w:hideMark/>
          </w:tcPr>
          <w:p w14:paraId="32CFF5B5" w14:textId="77777777" w:rsidR="007A240A" w:rsidRPr="003B1A5A" w:rsidRDefault="007A240A" w:rsidP="004B596D">
            <w:pPr>
              <w:jc w:val="right"/>
            </w:pPr>
            <w:r w:rsidRPr="003B1A5A">
              <w:t>12,500,000</w:t>
            </w:r>
          </w:p>
        </w:tc>
      </w:tr>
      <w:tr w:rsidR="007A240A" w:rsidRPr="007A240A" w14:paraId="3DD09066" w14:textId="77777777" w:rsidTr="004B596D">
        <w:trPr>
          <w:trHeight w:val="249"/>
        </w:trPr>
        <w:tc>
          <w:tcPr>
            <w:tcW w:w="1418" w:type="dxa"/>
            <w:vMerge/>
            <w:tcBorders>
              <w:top w:val="nil"/>
              <w:left w:val="single" w:sz="8" w:space="0" w:color="auto"/>
              <w:bottom w:val="single" w:sz="8" w:space="0" w:color="auto"/>
              <w:right w:val="single" w:sz="8" w:space="0" w:color="auto"/>
            </w:tcBorders>
            <w:vAlign w:val="center"/>
            <w:hideMark/>
          </w:tcPr>
          <w:p w14:paraId="1C3DF3A1" w14:textId="77777777" w:rsidR="007A240A" w:rsidRPr="002260B2" w:rsidRDefault="007A240A" w:rsidP="004B596D">
            <w:pPr>
              <w:rPr>
                <w:rFonts w:eastAsiaTheme="minorHAnsi" w:cs="Arial"/>
                <w:color w:val="000000"/>
                <w:szCs w:val="20"/>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B83ABD" w14:textId="77777777" w:rsidR="007A240A" w:rsidRPr="007A240A" w:rsidRDefault="007A240A" w:rsidP="004B596D">
            <w:pPr>
              <w:jc w:val="center"/>
              <w:rPr>
                <w:rFonts w:cs="Arial"/>
                <w:color w:val="000000"/>
                <w:szCs w:val="20"/>
              </w:rPr>
            </w:pPr>
            <w:r w:rsidRPr="007A240A">
              <w:rPr>
                <w:rFonts w:cs="Arial"/>
                <w:color w:val="000000"/>
                <w:szCs w:val="20"/>
              </w:rPr>
              <w:t>20 +</w:t>
            </w:r>
          </w:p>
        </w:tc>
        <w:tc>
          <w:tcPr>
            <w:tcW w:w="22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B21092" w14:textId="77777777" w:rsidR="007A240A" w:rsidRPr="007A240A" w:rsidRDefault="007A240A" w:rsidP="004B596D">
            <w:pPr>
              <w:jc w:val="right"/>
              <w:rPr>
                <w:rFonts w:cs="Arial"/>
                <w:color w:val="000000"/>
                <w:szCs w:val="20"/>
              </w:rPr>
            </w:pPr>
            <w:r w:rsidRPr="007A240A">
              <w:rPr>
                <w:rFonts w:cs="Arial"/>
                <w:color w:val="000000"/>
                <w:szCs w:val="20"/>
              </w:rPr>
              <w:t>5,500,000</w:t>
            </w:r>
          </w:p>
        </w:tc>
        <w:tc>
          <w:tcPr>
            <w:tcW w:w="2126" w:type="dxa"/>
            <w:tcBorders>
              <w:top w:val="nil"/>
              <w:left w:val="nil"/>
              <w:bottom w:val="single" w:sz="8" w:space="0" w:color="auto"/>
              <w:right w:val="single" w:sz="8" w:space="0" w:color="auto"/>
            </w:tcBorders>
            <w:hideMark/>
          </w:tcPr>
          <w:p w14:paraId="2F327573" w14:textId="77777777" w:rsidR="007A240A" w:rsidRPr="003B1A5A" w:rsidRDefault="007A240A" w:rsidP="004B596D">
            <w:pPr>
              <w:jc w:val="right"/>
            </w:pPr>
            <w:r w:rsidRPr="003B1A5A">
              <w:t>25,000,000</w:t>
            </w:r>
          </w:p>
        </w:tc>
      </w:tr>
    </w:tbl>
    <w:p w14:paraId="466BA42D" w14:textId="77777777" w:rsidR="001A10A3" w:rsidRDefault="001A10A3" w:rsidP="001A10A3">
      <w:pPr>
        <w:ind w:left="360"/>
      </w:pPr>
    </w:p>
    <w:p w14:paraId="054067CF" w14:textId="29D0B2E4" w:rsidR="00991C92" w:rsidRDefault="000D1689" w:rsidP="001A10A3">
      <w:pPr>
        <w:ind w:left="360"/>
      </w:pPr>
      <w:r>
        <w:t xml:space="preserve"> </w:t>
      </w:r>
    </w:p>
    <w:p w14:paraId="12DB2002" w14:textId="77777777" w:rsidR="002C785B" w:rsidRDefault="002C785B" w:rsidP="002C785B"/>
    <w:p w14:paraId="7B679BDA" w14:textId="77777777" w:rsidR="007A240A" w:rsidRDefault="007A240A" w:rsidP="002C785B"/>
    <w:p w14:paraId="50D30410" w14:textId="77777777" w:rsidR="007A240A" w:rsidRDefault="007A240A" w:rsidP="002C785B"/>
    <w:p w14:paraId="4A4FBC0B" w14:textId="77777777" w:rsidR="007A240A" w:rsidRDefault="007A240A" w:rsidP="002C785B"/>
    <w:p w14:paraId="6FEDD0DA" w14:textId="77777777" w:rsidR="007A240A" w:rsidRDefault="007A240A" w:rsidP="002C785B"/>
    <w:p w14:paraId="117239C1" w14:textId="77777777" w:rsidR="007A240A" w:rsidRDefault="007A240A" w:rsidP="002C785B"/>
    <w:p w14:paraId="661E4CA5" w14:textId="77777777" w:rsidR="007A240A" w:rsidRDefault="007A240A" w:rsidP="002C785B"/>
    <w:p w14:paraId="336F443D" w14:textId="77777777" w:rsidR="007A240A" w:rsidRDefault="007A240A" w:rsidP="002C785B"/>
    <w:p w14:paraId="4E999A06" w14:textId="77777777" w:rsidR="007A240A" w:rsidRDefault="007A240A" w:rsidP="002C785B"/>
    <w:p w14:paraId="75B6A50E" w14:textId="77777777" w:rsidR="007A240A" w:rsidRDefault="007A240A" w:rsidP="002C785B"/>
    <w:p w14:paraId="7AE6F1DC" w14:textId="77777777" w:rsidR="007A240A" w:rsidRDefault="007A240A" w:rsidP="002C785B"/>
    <w:p w14:paraId="08D974CB" w14:textId="77777777" w:rsidR="007A240A" w:rsidRDefault="007A240A" w:rsidP="002C785B"/>
    <w:p w14:paraId="19624A91" w14:textId="77777777" w:rsidR="007A240A" w:rsidRDefault="007A240A" w:rsidP="002C785B"/>
    <w:p w14:paraId="6AD366B4" w14:textId="77777777" w:rsidR="007A240A" w:rsidRDefault="007A240A" w:rsidP="002C785B"/>
    <w:p w14:paraId="4B17F2EA" w14:textId="77777777" w:rsidR="007A240A" w:rsidRDefault="00405387" w:rsidP="00B61F24">
      <w:pPr>
        <w:pStyle w:val="ListParagraph"/>
        <w:numPr>
          <w:ilvl w:val="0"/>
          <w:numId w:val="40"/>
        </w:numPr>
      </w:pPr>
      <w:r>
        <w:t>Finally, as</w:t>
      </w:r>
      <w:r w:rsidR="00C022FE">
        <w:t xml:space="preserve">s set out </w:t>
      </w:r>
      <w:r w:rsidR="00012DAB">
        <w:t>in Table 5 above</w:t>
      </w:r>
      <w:r w:rsidR="00C022FE">
        <w:t xml:space="preserve">, we </w:t>
      </w:r>
      <w:r>
        <w:t xml:space="preserve">would </w:t>
      </w:r>
      <w:r w:rsidR="00C022FE">
        <w:t xml:space="preserve">encourage ESMA to </w:t>
      </w:r>
      <w:r w:rsidR="005A7959" w:rsidRPr="00405387">
        <w:rPr>
          <w:b/>
          <w:bCs/>
        </w:rPr>
        <w:t>calibrate</w:t>
      </w:r>
      <w:r w:rsidR="00C022FE" w:rsidRPr="00405387">
        <w:rPr>
          <w:b/>
          <w:bCs/>
        </w:rPr>
        <w:t xml:space="preserve"> appropriate LIS thresholds </w:t>
      </w:r>
      <w:r w:rsidR="00607331" w:rsidRPr="00405387">
        <w:rPr>
          <w:b/>
          <w:bCs/>
        </w:rPr>
        <w:t>for transparency</w:t>
      </w:r>
      <w:r w:rsidR="00607331">
        <w:t xml:space="preserve">, </w:t>
      </w:r>
      <w:r w:rsidR="00C022FE">
        <w:t>reflecting the wide variety of fixed income instruments and liquidity characteristics.</w:t>
      </w:r>
    </w:p>
    <w:p w14:paraId="70CEC7A8" w14:textId="77777777" w:rsidR="002C785B" w:rsidRDefault="002C785B" w:rsidP="002C785B"/>
    <w:p w14:paraId="47CE7144" w14:textId="77777777" w:rsidR="002C785B" w:rsidRDefault="002C785B" w:rsidP="002C785B">
      <w:r>
        <w:t>&lt;ESMA_QUESTION_CP_MIFID_NQT_10&gt;</w:t>
      </w:r>
    </w:p>
    <w:p w14:paraId="55DC13A5" w14:textId="77777777" w:rsidR="002C785B" w:rsidRDefault="002C785B" w:rsidP="002C785B"/>
    <w:p w14:paraId="76EA87E4" w14:textId="77777777" w:rsidR="002C785B" w:rsidRDefault="002C785B" w:rsidP="002C785B"/>
    <w:p w14:paraId="1E6C25B3" w14:textId="77777777" w:rsidR="002C785B" w:rsidRDefault="002C785B" w:rsidP="002C785B"/>
    <w:p w14:paraId="35EEFED9" w14:textId="77777777" w:rsidR="002C785B" w:rsidRDefault="002C785B" w:rsidP="002C785B"/>
    <w:p w14:paraId="2CB394DD" w14:textId="77777777" w:rsidR="002C785B" w:rsidRDefault="002C785B" w:rsidP="002C785B"/>
    <w:p w14:paraId="0062A773" w14:textId="77777777" w:rsidR="002C785B" w:rsidRDefault="002C785B" w:rsidP="002C785B">
      <w:pPr>
        <w:pStyle w:val="CPQuestions"/>
      </w:pPr>
      <w:r w:rsidRPr="001129F9">
        <w:t>Do you agree with this proposal? What would be the appropriate level of such a revised LIS-threshold in your view</w:t>
      </w:r>
      <w:r>
        <w:t>?</w:t>
      </w:r>
    </w:p>
    <w:p w14:paraId="63BE8CFD" w14:textId="77777777" w:rsidR="002C785B" w:rsidRDefault="002C785B" w:rsidP="002C785B">
      <w:r>
        <w:lastRenderedPageBreak/>
        <w:t>&lt;ESMA_QUESTION_CP_MIFID_NQT_11&gt;</w:t>
      </w:r>
    </w:p>
    <w:p w14:paraId="2033B82E" w14:textId="77777777" w:rsidR="0009173B" w:rsidRDefault="00E1229C" w:rsidP="002C785B">
      <w:r>
        <w:t>[</w:t>
      </w:r>
      <w:r w:rsidR="00923B17">
        <w:t xml:space="preserve">FIA EPTA members </w:t>
      </w:r>
      <w:r w:rsidR="002C785B">
        <w:t xml:space="preserve">agree with the removal of the SSTI </w:t>
      </w:r>
      <w:r w:rsidR="00FE1243">
        <w:t xml:space="preserve">deferral </w:t>
      </w:r>
      <w:r w:rsidR="002C785B">
        <w:t>because it is</w:t>
      </w:r>
      <w:r w:rsidR="003D670E">
        <w:t xml:space="preserve"> overly</w:t>
      </w:r>
      <w:r w:rsidR="002C785B">
        <w:t xml:space="preserve"> complex and </w:t>
      </w:r>
      <w:r w:rsidR="00126521" w:rsidRPr="00126521">
        <w:t>there should be one clear size-based deferral from post-trade transparency requirements</w:t>
      </w:r>
      <w:r w:rsidR="002C785B">
        <w:t>.</w:t>
      </w:r>
      <w:r w:rsidR="000D1689">
        <w:t xml:space="preserve"> </w:t>
      </w:r>
      <w:r w:rsidR="00FE1243">
        <w:t xml:space="preserve">As noted by ESMA, this would increase harmonisation with other </w:t>
      </w:r>
      <w:r w:rsidR="003D670E">
        <w:t xml:space="preserve">non-EU </w:t>
      </w:r>
      <w:r w:rsidR="00FE1243">
        <w:t xml:space="preserve">jurisdictions, where there is typically only one size-based deferral. </w:t>
      </w:r>
      <w:r w:rsidR="00383F36">
        <w:t xml:space="preserve">However, FIA EPTA members do not believe that this removal would warrant lowering the post-trade LIS threshold </w:t>
      </w:r>
      <w:r w:rsidR="00596647">
        <w:t xml:space="preserve">for derivatives </w:t>
      </w:r>
      <w:r w:rsidR="00383F36">
        <w:t xml:space="preserve">and would be very much opposed to this. </w:t>
      </w:r>
      <w:r w:rsidR="00596647">
        <w:t xml:space="preserve">The relevant LIS thresholds for bonds need to be carefully analysed given the variety of instruments and liquidity characteristics in that class. </w:t>
      </w:r>
    </w:p>
    <w:p w14:paraId="7B2D7EA5" w14:textId="77777777" w:rsidR="0009173B" w:rsidRDefault="0009173B" w:rsidP="002C785B"/>
    <w:p w14:paraId="1B607A27" w14:textId="77777777" w:rsidR="002C785B" w:rsidRDefault="00383F36" w:rsidP="002C785B">
      <w:r>
        <w:t xml:space="preserve">As pointed out by ESMA, the LIS deferral applies to all instruments and so </w:t>
      </w:r>
      <w:r w:rsidR="00F94F1D">
        <w:t xml:space="preserve">it </w:t>
      </w:r>
      <w:r>
        <w:t xml:space="preserve">would be a significant step back from current levels of post-trade transparency when </w:t>
      </w:r>
      <w:r w:rsidR="00F94F1D">
        <w:t xml:space="preserve">our </w:t>
      </w:r>
      <w:r>
        <w:t>members believe that ESMA’s key focus should be on increasing this transparency across the board.</w:t>
      </w:r>
      <w:r w:rsidR="00E1229C">
        <w:t>]</w:t>
      </w:r>
    </w:p>
    <w:p w14:paraId="5F3AE788" w14:textId="77777777" w:rsidR="002C785B" w:rsidRDefault="002C785B" w:rsidP="002C785B">
      <w:r>
        <w:t>&lt;ESMA_QUESTION_CP_MIFID_NQT_11&gt;</w:t>
      </w:r>
    </w:p>
    <w:p w14:paraId="71D1438A" w14:textId="77777777" w:rsidR="002C785B" w:rsidRDefault="002C785B" w:rsidP="002C785B"/>
    <w:p w14:paraId="0418FDFF" w14:textId="77777777" w:rsidR="002C785B" w:rsidRDefault="002C785B" w:rsidP="002C785B">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t>.</w:t>
      </w:r>
    </w:p>
    <w:p w14:paraId="4DD4D2AA" w14:textId="77777777" w:rsidR="002C785B" w:rsidRDefault="002C785B" w:rsidP="002C785B">
      <w:r>
        <w:t>&lt;ESMA_QUESTION_CP_MIFID_NQT_12&gt;</w:t>
      </w:r>
    </w:p>
    <w:p w14:paraId="78A291FB" w14:textId="77777777" w:rsidR="00FE1243" w:rsidRDefault="00E1229C" w:rsidP="002C785B">
      <w:r w:rsidRPr="00012DAB">
        <w:t>[</w:t>
      </w:r>
      <w:r w:rsidR="00FB526C" w:rsidRPr="00012DAB">
        <w:t>FIA EPTA members</w:t>
      </w:r>
      <w:r w:rsidR="00126521" w:rsidRPr="00012DAB">
        <w:t xml:space="preserve"> strongly prefer </w:t>
      </w:r>
      <w:r w:rsidR="002C785B" w:rsidRPr="00012DAB">
        <w:t xml:space="preserve">Option 3: we </w:t>
      </w:r>
      <w:r w:rsidR="00126521" w:rsidRPr="00012DAB">
        <w:t>support</w:t>
      </w:r>
      <w:r w:rsidR="002C785B" w:rsidRPr="00012DAB">
        <w:t xml:space="preserve"> </w:t>
      </w:r>
      <w:r w:rsidR="00126521" w:rsidRPr="00012DAB">
        <w:t>real-time</w:t>
      </w:r>
      <w:r w:rsidR="002C785B" w:rsidRPr="00012DAB">
        <w:t xml:space="preserve"> publication for </w:t>
      </w:r>
      <w:r w:rsidR="00E733D0" w:rsidRPr="00012DAB">
        <w:t>all</w:t>
      </w:r>
      <w:r w:rsidR="002C785B" w:rsidRPr="00012DAB">
        <w:t xml:space="preserve"> trades</w:t>
      </w:r>
      <w:r w:rsidR="009D08C9" w:rsidRPr="00012DAB">
        <w:t xml:space="preserve"> </w:t>
      </w:r>
      <w:r w:rsidR="00E733D0" w:rsidRPr="00012DAB">
        <w:t>potentially</w:t>
      </w:r>
      <w:r w:rsidR="002C785B" w:rsidRPr="00012DAB">
        <w:t xml:space="preserve"> </w:t>
      </w:r>
      <w:r w:rsidR="00126521" w:rsidRPr="00012DAB">
        <w:t xml:space="preserve">with </w:t>
      </w:r>
      <w:r w:rsidR="00E733D0" w:rsidRPr="00012DAB">
        <w:t>volume-masking</w:t>
      </w:r>
      <w:r w:rsidR="00126521" w:rsidRPr="00012DAB">
        <w:t xml:space="preserve"> for </w:t>
      </w:r>
      <w:r w:rsidR="002C785B" w:rsidRPr="00012DAB">
        <w:t xml:space="preserve">above LIS </w:t>
      </w:r>
      <w:r w:rsidR="00E733D0" w:rsidRPr="00012DAB">
        <w:t>trades</w:t>
      </w:r>
      <w:r w:rsidR="002C785B" w:rsidRPr="00012DAB">
        <w:t>.</w:t>
      </w:r>
      <w:r w:rsidR="00CF01EE" w:rsidRPr="00012DAB">
        <w:t xml:space="preserve"> </w:t>
      </w:r>
      <w:r w:rsidR="00FE1243" w:rsidRPr="00012DAB">
        <w:t>We agree with eliminating the deferral based on liquidity assessments, as currently these liquidity assessments do not</w:t>
      </w:r>
      <w:r w:rsidR="00FE1243">
        <w:t xml:space="preserve"> accurately reflect market conditions.</w:t>
      </w:r>
      <w:r w:rsidR="000D1689">
        <w:t xml:space="preserve"> </w:t>
      </w:r>
      <w:r w:rsidR="00FE1243">
        <w:t>For example, the vast majority of OTC derivatives that are subject to the EMIR clearing obligation have nonetheless been determined to be illiquid for transparency purposes.</w:t>
      </w:r>
      <w:r w:rsidR="000D1689">
        <w:t xml:space="preserve"> </w:t>
      </w:r>
      <w:r w:rsidR="00FE1243">
        <w:t>We are concerned that various issues will continue to make it difficult to arrive at accurate liquidity assessments, including poor data quality, lack of comprehensive data, and the potential loss of access to UK data.</w:t>
      </w:r>
    </w:p>
    <w:p w14:paraId="0FC73C4D" w14:textId="77777777" w:rsidR="00FE1243" w:rsidRDefault="00FE1243" w:rsidP="002C785B"/>
    <w:p w14:paraId="69612206" w14:textId="77777777" w:rsidR="002C785B" w:rsidRDefault="00126521" w:rsidP="002C785B">
      <w:r w:rsidRPr="00126521">
        <w:t>To the extent Option 1 is selected,</w:t>
      </w:r>
      <w:r w:rsidR="00D17D08">
        <w:t xml:space="preserve"> FIA EPTA members consider</w:t>
      </w:r>
      <w:r w:rsidRPr="00126521">
        <w:t xml:space="preserve"> the liquidity determinations must be recalibrated (including ensuring OTC derivatives subject to the EMIR clearing obligation are always considered to be liquid for transparency purposes).</w:t>
      </w:r>
    </w:p>
    <w:p w14:paraId="4E632808" w14:textId="77777777" w:rsidR="00126521" w:rsidRDefault="00126521" w:rsidP="002C785B"/>
    <w:p w14:paraId="4D038B4E" w14:textId="77777777" w:rsidR="00126521" w:rsidRDefault="00126521" w:rsidP="002C785B">
      <w:r>
        <w:t>Separately, we note that for packages, only one leg of the package needs to be eligible for a deferral in order for the entire package to be eligible for a deferral.</w:t>
      </w:r>
      <w:r w:rsidR="000D1689">
        <w:t xml:space="preserve"> </w:t>
      </w:r>
      <w:r>
        <w:t>This approach results in far too many package transactions being eligible for a deferral.</w:t>
      </w:r>
      <w:r w:rsidR="000D1689">
        <w:t xml:space="preserve"> </w:t>
      </w:r>
      <w:r>
        <w:t>We note that under US rules, all legs of a package must qualify for a post-trade transparency deferral in order for the package to qualify and we recommend that ESMA adopt a similar approach.</w:t>
      </w:r>
    </w:p>
    <w:p w14:paraId="1C04055B" w14:textId="77777777" w:rsidR="00455993" w:rsidRDefault="00455993" w:rsidP="002C785B"/>
    <w:p w14:paraId="614E3B9D" w14:textId="77777777" w:rsidR="00455993" w:rsidRDefault="00455993" w:rsidP="002C785B">
      <w:r>
        <w:t>More generally, the changes to the post-trade framework detailed above would align the EU regime with existing U</w:t>
      </w:r>
      <w:r w:rsidR="00D17D08">
        <w:t>.</w:t>
      </w:r>
      <w:r>
        <w:t>S</w:t>
      </w:r>
      <w:r w:rsidR="00D17D08">
        <w:t>.</w:t>
      </w:r>
      <w:r>
        <w:t xml:space="preserve"> post-trade transparency frameworks for bonds, futures and OTC derivatives.</w:t>
      </w:r>
      <w:r w:rsidR="000D1689">
        <w:t xml:space="preserve"> </w:t>
      </w:r>
      <w:r>
        <w:t>These U</w:t>
      </w:r>
      <w:r w:rsidR="00D17D08">
        <w:t>.</w:t>
      </w:r>
      <w:r>
        <w:t>S</w:t>
      </w:r>
      <w:r w:rsidR="00D17D08">
        <w:t>.</w:t>
      </w:r>
      <w:r>
        <w:t xml:space="preserve"> regimes have positively impacted market conditions, including increasing liquidity and decreasing transaction costs.</w:t>
      </w:r>
      <w:r>
        <w:rPr>
          <w:rStyle w:val="FootnoteReference"/>
        </w:rPr>
        <w:footnoteReference w:id="3"/>
      </w:r>
      <w:r w:rsidR="000D1689">
        <w:t xml:space="preserve"> </w:t>
      </w:r>
      <w:r>
        <w:t>The same benefits should be expected in the EU to the extent meaningful post-trade transparency is achieved.</w:t>
      </w:r>
      <w:r w:rsidR="00E1229C">
        <w:t>]</w:t>
      </w:r>
    </w:p>
    <w:p w14:paraId="1151E1C9" w14:textId="77777777" w:rsidR="002C785B" w:rsidRDefault="002C785B" w:rsidP="002C785B">
      <w:r>
        <w:lastRenderedPageBreak/>
        <w:t>&lt;ESMA_QUESTION_CP_MIFID_NQT_12&gt;</w:t>
      </w:r>
    </w:p>
    <w:p w14:paraId="0D4F9724" w14:textId="77777777" w:rsidR="002C785B" w:rsidRDefault="002C785B" w:rsidP="002C785B"/>
    <w:p w14:paraId="4165FF9E" w14:textId="77777777" w:rsidR="002C785B" w:rsidRDefault="002C785B" w:rsidP="002C785B">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t>?</w:t>
      </w:r>
    </w:p>
    <w:p w14:paraId="010C2B71" w14:textId="77777777" w:rsidR="002C785B" w:rsidRDefault="002C785B" w:rsidP="002C785B">
      <w:r>
        <w:t>&lt;ESMA_QUESTION_CP_MIFID_NQT_13&gt;</w:t>
      </w:r>
    </w:p>
    <w:p w14:paraId="4AEB35C3" w14:textId="77777777" w:rsidR="00126521" w:rsidRPr="006B08C5" w:rsidRDefault="00CB0A00" w:rsidP="00126521">
      <w:pPr>
        <w:autoSpaceDE w:val="0"/>
        <w:autoSpaceDN w:val="0"/>
        <w:adjustRightInd w:val="0"/>
        <w:jc w:val="both"/>
        <w:rPr>
          <w:rFonts w:cs="Arial"/>
          <w:bCs/>
          <w:szCs w:val="20"/>
        </w:rPr>
      </w:pPr>
      <w:r>
        <w:t>[</w:t>
      </w:r>
      <w:r w:rsidR="008830AA">
        <w:rPr>
          <w:rFonts w:cs="Arial"/>
          <w:bCs/>
          <w:szCs w:val="20"/>
        </w:rPr>
        <w:t>FIA EPTA members</w:t>
      </w:r>
      <w:r w:rsidR="00126521" w:rsidRPr="006B08C5">
        <w:rPr>
          <w:rFonts w:cs="Arial"/>
          <w:bCs/>
          <w:szCs w:val="20"/>
        </w:rPr>
        <w:t xml:space="preserve"> support publishing the full volume of a transaction after a certain period of time, </w:t>
      </w:r>
      <w:r w:rsidR="00EB0877">
        <w:rPr>
          <w:rFonts w:cs="Arial"/>
          <w:bCs/>
          <w:szCs w:val="20"/>
        </w:rPr>
        <w:t>for example</w:t>
      </w:r>
      <w:r w:rsidR="005F34EB">
        <w:rPr>
          <w:rFonts w:cs="Arial"/>
          <w:bCs/>
          <w:szCs w:val="20"/>
        </w:rPr>
        <w:t xml:space="preserve"> four weeks as </w:t>
      </w:r>
      <w:r w:rsidR="007F27B4">
        <w:rPr>
          <w:rFonts w:cs="Arial"/>
          <w:bCs/>
          <w:szCs w:val="20"/>
        </w:rPr>
        <w:t xml:space="preserve">suggested by </w:t>
      </w:r>
      <w:r w:rsidR="005F34EB">
        <w:rPr>
          <w:rFonts w:cs="Arial"/>
          <w:bCs/>
          <w:szCs w:val="20"/>
        </w:rPr>
        <w:t>ESMA</w:t>
      </w:r>
      <w:r w:rsidR="00126521" w:rsidRPr="006B08C5">
        <w:rPr>
          <w:rFonts w:cs="Arial"/>
          <w:bCs/>
          <w:szCs w:val="20"/>
        </w:rPr>
        <w:t>.</w:t>
      </w:r>
      <w:r w:rsidR="006A0D23">
        <w:rPr>
          <w:rFonts w:cs="Arial"/>
          <w:bCs/>
          <w:szCs w:val="20"/>
        </w:rPr>
        <w:t xml:space="preserve"> As set out in Option 3, real time publication with volume masking for LIS transactions</w:t>
      </w:r>
      <w:r w:rsidR="003D1D72">
        <w:rPr>
          <w:rFonts w:cs="Arial"/>
          <w:bCs/>
          <w:szCs w:val="20"/>
        </w:rPr>
        <w:t xml:space="preserve"> and </w:t>
      </w:r>
      <w:r w:rsidR="006A0D23">
        <w:rPr>
          <w:rFonts w:cs="Arial"/>
          <w:bCs/>
          <w:szCs w:val="20"/>
        </w:rPr>
        <w:t xml:space="preserve">publication of </w:t>
      </w:r>
      <w:r w:rsidR="003D1D72">
        <w:rPr>
          <w:rFonts w:cs="Arial"/>
          <w:bCs/>
          <w:szCs w:val="20"/>
        </w:rPr>
        <w:t xml:space="preserve">the </w:t>
      </w:r>
      <w:r w:rsidR="006A0D23">
        <w:rPr>
          <w:rFonts w:cs="Arial"/>
          <w:bCs/>
          <w:szCs w:val="20"/>
        </w:rPr>
        <w:t>volume for LIS transactions af</w:t>
      </w:r>
      <w:r w:rsidR="003D1D72">
        <w:rPr>
          <w:rFonts w:cs="Arial"/>
          <w:bCs/>
          <w:szCs w:val="20"/>
        </w:rPr>
        <w:t>ter 2 days (with</w:t>
      </w:r>
      <w:r w:rsidR="006A0D23">
        <w:rPr>
          <w:rFonts w:cs="Arial"/>
          <w:bCs/>
          <w:szCs w:val="20"/>
        </w:rPr>
        <w:t xml:space="preserve"> the volume of ‘very large’ LIS transactions after a</w:t>
      </w:r>
      <w:r w:rsidR="00D859E1">
        <w:rPr>
          <w:rFonts w:cs="Arial"/>
          <w:bCs/>
          <w:szCs w:val="20"/>
        </w:rPr>
        <w:t xml:space="preserve"> spe</w:t>
      </w:r>
      <w:r w:rsidR="008B6C66">
        <w:rPr>
          <w:rFonts w:cs="Arial"/>
          <w:bCs/>
          <w:szCs w:val="20"/>
        </w:rPr>
        <w:t>cified</w:t>
      </w:r>
      <w:r w:rsidR="006A0D23">
        <w:rPr>
          <w:rFonts w:cs="Arial"/>
          <w:bCs/>
          <w:szCs w:val="20"/>
        </w:rPr>
        <w:t xml:space="preserve"> period) would </w:t>
      </w:r>
      <w:r w:rsidR="00DC3C80">
        <w:rPr>
          <w:rFonts w:cs="Arial"/>
          <w:bCs/>
          <w:szCs w:val="20"/>
        </w:rPr>
        <w:t xml:space="preserve">in FIA EPTA members’ opinion </w:t>
      </w:r>
      <w:r w:rsidR="006A0D23">
        <w:rPr>
          <w:rFonts w:cs="Arial"/>
          <w:bCs/>
          <w:szCs w:val="20"/>
        </w:rPr>
        <w:t>be</w:t>
      </w:r>
      <w:r w:rsidR="00DC3C80">
        <w:rPr>
          <w:rFonts w:cs="Arial"/>
          <w:bCs/>
          <w:szCs w:val="20"/>
        </w:rPr>
        <w:t xml:space="preserve"> the</w:t>
      </w:r>
      <w:r w:rsidR="006A0D23">
        <w:rPr>
          <w:rFonts w:cs="Arial"/>
          <w:bCs/>
          <w:szCs w:val="20"/>
        </w:rPr>
        <w:t xml:space="preserve"> most beneficial to the markets.</w:t>
      </w:r>
      <w:r w:rsidR="00A50AF9">
        <w:rPr>
          <w:rFonts w:cs="Arial"/>
          <w:bCs/>
          <w:szCs w:val="20"/>
        </w:rPr>
        <w:t xml:space="preserve"> Option 3 would also be the most optimal option of the three for </w:t>
      </w:r>
      <w:r w:rsidR="00E82527">
        <w:rPr>
          <w:rFonts w:cs="Arial"/>
          <w:bCs/>
          <w:szCs w:val="20"/>
        </w:rPr>
        <w:t xml:space="preserve">achieving an EU </w:t>
      </w:r>
      <w:r w:rsidR="00A50AF9">
        <w:rPr>
          <w:rFonts w:cs="Arial"/>
          <w:bCs/>
          <w:szCs w:val="20"/>
        </w:rPr>
        <w:t>consolidated tape</w:t>
      </w:r>
      <w:r w:rsidR="00E82527">
        <w:rPr>
          <w:rFonts w:cs="Arial"/>
          <w:bCs/>
          <w:szCs w:val="20"/>
        </w:rPr>
        <w:t xml:space="preserve"> for non-equity instruments</w:t>
      </w:r>
      <w:r w:rsidR="00A50AF9">
        <w:rPr>
          <w:rFonts w:cs="Arial"/>
          <w:bCs/>
          <w:szCs w:val="20"/>
        </w:rPr>
        <w:t>.</w:t>
      </w:r>
      <w:r w:rsidR="00E1229C">
        <w:rPr>
          <w:rFonts w:cs="Arial"/>
          <w:bCs/>
          <w:szCs w:val="20"/>
        </w:rPr>
        <w:t>]</w:t>
      </w:r>
    </w:p>
    <w:p w14:paraId="3C7A5E05" w14:textId="77777777" w:rsidR="002C785B" w:rsidRDefault="002C785B" w:rsidP="002C785B">
      <w:r>
        <w:t>&lt;ESMA_QUESTION_CP_MIFID_NQT_13&gt;</w:t>
      </w:r>
    </w:p>
    <w:p w14:paraId="3D75C580" w14:textId="77777777" w:rsidR="002C785B" w:rsidRDefault="002C785B" w:rsidP="002C785B"/>
    <w:p w14:paraId="6A26979D" w14:textId="77777777" w:rsidR="002C785B" w:rsidRDefault="002C785B" w:rsidP="002C785B">
      <w:pPr>
        <w:pStyle w:val="CPQuestions"/>
      </w:pPr>
      <w:r w:rsidRPr="001129F9">
        <w:t>Do</w:t>
      </w:r>
      <w:r>
        <w:t xml:space="preserve"> </w:t>
      </w:r>
      <w:r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t>?</w:t>
      </w:r>
    </w:p>
    <w:p w14:paraId="65935340" w14:textId="77777777" w:rsidR="004348A9" w:rsidRDefault="002C785B" w:rsidP="002C785B">
      <w:r>
        <w:t>&lt;ESMA_QUESTION_CP_MIFID_NQT_14&gt;</w:t>
      </w:r>
    </w:p>
    <w:p w14:paraId="5FEDA9B2" w14:textId="77777777" w:rsidR="00126521" w:rsidRDefault="008830AA" w:rsidP="00126521">
      <w:r>
        <w:t>[</w:t>
      </w:r>
      <w:r w:rsidR="00126521">
        <w:t xml:space="preserve">Yes, </w:t>
      </w:r>
      <w:r w:rsidR="00041FCC">
        <w:t xml:space="preserve">as also outlined extensively in our response to ESMA’s consultation on </w:t>
      </w:r>
      <w:r w:rsidR="005F46A4">
        <w:t>the cost of</w:t>
      </w:r>
      <w:r w:rsidR="001732F6">
        <w:t xml:space="preserve"> </w:t>
      </w:r>
      <w:r w:rsidR="005F46A4">
        <w:t>market data and the consolidated tape</w:t>
      </w:r>
      <w:r w:rsidR="00041FCC">
        <w:t>,</w:t>
      </w:r>
      <w:r w:rsidR="00ED263B">
        <w:rPr>
          <w:rStyle w:val="FootnoteReference"/>
        </w:rPr>
        <w:footnoteReference w:id="4"/>
      </w:r>
      <w:r w:rsidR="00041FCC">
        <w:t xml:space="preserve"> </w:t>
      </w:r>
      <w:r w:rsidR="00B675C8">
        <w:t xml:space="preserve">FIA EPTA members </w:t>
      </w:r>
      <w:r w:rsidR="00126521">
        <w:t>agree with ESMA that there should be a stronger focus on enforcing existing rules and guidance.</w:t>
      </w:r>
      <w:r w:rsidR="000D1689">
        <w:t xml:space="preserve"> </w:t>
      </w:r>
      <w:r w:rsidR="00126521">
        <w:t>While ESMA has continued to provide</w:t>
      </w:r>
      <w:r w:rsidR="00DB7A0A">
        <w:t xml:space="preserve"> welcome</w:t>
      </w:r>
      <w:r w:rsidR="00126521">
        <w:t xml:space="preserve"> additional guidance regarding how to populate specific data fields, in many instances this guidance appears to be largely ignored by market participants.</w:t>
      </w:r>
      <w:r w:rsidR="003D702C">
        <w:t xml:space="preserve"> Data is not easily accessible, not easily machine-readable</w:t>
      </w:r>
      <w:r w:rsidR="00CC213B">
        <w:t xml:space="preserve"> and in some cases of low quality. Our members strongly support enforcement of minimum requirements pertaining to content</w:t>
      </w:r>
      <w:r w:rsidR="001732F6">
        <w:t xml:space="preserve"> and </w:t>
      </w:r>
      <w:r w:rsidR="00CC213B">
        <w:t>standardised format, and delivery (both streaming and downloadable for reference).</w:t>
      </w:r>
    </w:p>
    <w:p w14:paraId="3B93FDA3" w14:textId="77777777" w:rsidR="00126521" w:rsidRDefault="00126521" w:rsidP="00126521"/>
    <w:p w14:paraId="3776263D" w14:textId="77777777" w:rsidR="00126521" w:rsidRDefault="00126521" w:rsidP="00126521">
      <w:r>
        <w:lastRenderedPageBreak/>
        <w:t>In addition, in order to address the continuing lack of accessibility to the published data,</w:t>
      </w:r>
      <w:r w:rsidR="00B675C8">
        <w:t xml:space="preserve"> we consider that</w:t>
      </w:r>
      <w:r>
        <w:t xml:space="preserve"> ESMA should consider recommending a Level 1 change that would prohibit </w:t>
      </w:r>
      <w:r w:rsidRPr="00774BF2">
        <w:t xml:space="preserve">trading venues and APAs </w:t>
      </w:r>
      <w:r>
        <w:t>from charging</w:t>
      </w:r>
      <w:r w:rsidRPr="00774BF2">
        <w:t xml:space="preserve"> for regulatory-required post-trade transparency data, even prior to the expiration of the 15</w:t>
      </w:r>
      <w:r w:rsidR="00A50AF9">
        <w:t>-</w:t>
      </w:r>
      <w:r w:rsidRPr="00774BF2">
        <w:t>minute delay period.</w:t>
      </w:r>
      <w:r w:rsidR="000D1689">
        <w:t xml:space="preserve"> </w:t>
      </w:r>
      <w:r w:rsidRPr="00774BF2">
        <w:t>We note that th</w:t>
      </w:r>
      <w:r>
        <w:t>is approach is consistent with US</w:t>
      </w:r>
      <w:r w:rsidRPr="00774BF2">
        <w:t xml:space="preserve"> post-trade transparency </w:t>
      </w:r>
      <w:r>
        <w:t>frameworks for non-equities, where real-time data is provided free or charge (or extremely low-cost).</w:t>
      </w:r>
      <w:r w:rsidR="00E1229C">
        <w:t>]</w:t>
      </w:r>
      <w:r>
        <w:t xml:space="preserve"> </w:t>
      </w:r>
    </w:p>
    <w:p w14:paraId="4AA5CBB3" w14:textId="77777777" w:rsidR="002C785B" w:rsidRDefault="002C785B" w:rsidP="002C785B">
      <w:r>
        <w:t>&lt;ESMA_QUESTION_CP_MIFID_NQT_14&gt;</w:t>
      </w:r>
    </w:p>
    <w:p w14:paraId="55846E30" w14:textId="77777777" w:rsidR="002C785B" w:rsidRDefault="002C785B" w:rsidP="002C785B"/>
    <w:p w14:paraId="5484114F" w14:textId="77777777" w:rsidR="002C785B" w:rsidRDefault="002C785B" w:rsidP="002C785B">
      <w:pPr>
        <w:pStyle w:val="CPQuestions"/>
      </w:pPr>
      <w:r w:rsidRPr="001129F9">
        <w:t>What would be the optimal transparency regime to help with the potential creation of a CTP</w:t>
      </w:r>
      <w:r>
        <w:t>?</w:t>
      </w:r>
    </w:p>
    <w:p w14:paraId="6998F6C9" w14:textId="77777777" w:rsidR="002C785B" w:rsidRDefault="002C785B" w:rsidP="002C785B">
      <w:r>
        <w:t>&lt;ESMA_QUESTION_CP_MIFID_NQT_15&gt;</w:t>
      </w:r>
    </w:p>
    <w:p w14:paraId="2C407D39" w14:textId="77777777" w:rsidR="003F0E8F" w:rsidRDefault="00E1229C" w:rsidP="00126521">
      <w:pPr>
        <w:autoSpaceDE w:val="0"/>
        <w:autoSpaceDN w:val="0"/>
        <w:adjustRightInd w:val="0"/>
        <w:jc w:val="both"/>
        <w:rPr>
          <w:rFonts w:cs="Arial"/>
          <w:bCs/>
          <w:szCs w:val="20"/>
        </w:rPr>
      </w:pPr>
      <w:r>
        <w:t>[</w:t>
      </w:r>
      <w:r w:rsidR="003F0E8F">
        <w:rPr>
          <w:rFonts w:cs="Arial"/>
          <w:bCs/>
          <w:szCs w:val="20"/>
        </w:rPr>
        <w:t>FIA EPTA members consider that t</w:t>
      </w:r>
      <w:r w:rsidR="00126521" w:rsidRPr="006B08C5">
        <w:rPr>
          <w:rFonts w:cs="Arial"/>
          <w:bCs/>
          <w:szCs w:val="20"/>
        </w:rPr>
        <w:t>he transparency framework should be (a) comprehensive (covering both on-venue and off-venue trading activity), and (b) real-time (with only clearly defined and limited deferrals).</w:t>
      </w:r>
      <w:r w:rsidR="000D1689">
        <w:rPr>
          <w:rFonts w:cs="Arial"/>
          <w:bCs/>
          <w:szCs w:val="20"/>
        </w:rPr>
        <w:t xml:space="preserve"> </w:t>
      </w:r>
      <w:r w:rsidR="00126521" w:rsidRPr="006B08C5">
        <w:rPr>
          <w:rFonts w:cs="Arial"/>
          <w:bCs/>
          <w:szCs w:val="20"/>
        </w:rPr>
        <w:t>Otherwise, the CTP will not have access to a sufficient amount of useful data to provide a valuable service to market participants.</w:t>
      </w:r>
      <w:r w:rsidR="000D1689">
        <w:rPr>
          <w:rFonts w:cs="Arial"/>
          <w:bCs/>
          <w:szCs w:val="20"/>
        </w:rPr>
        <w:t xml:space="preserve"> </w:t>
      </w:r>
      <w:r w:rsidR="00126521" w:rsidRPr="006B08C5">
        <w:rPr>
          <w:rFonts w:cs="Arial"/>
          <w:bCs/>
          <w:szCs w:val="20"/>
        </w:rPr>
        <w:t>The transparency framework should also support a CTP providing access to post-trade data at a low cost (or free of charge).</w:t>
      </w:r>
      <w:r w:rsidR="000D1689">
        <w:rPr>
          <w:rFonts w:cs="Arial"/>
          <w:bCs/>
          <w:szCs w:val="20"/>
        </w:rPr>
        <w:t xml:space="preserve"> </w:t>
      </w:r>
    </w:p>
    <w:p w14:paraId="4110C561" w14:textId="77777777" w:rsidR="003F0E8F" w:rsidRDefault="003F0E8F" w:rsidP="00126521">
      <w:pPr>
        <w:autoSpaceDE w:val="0"/>
        <w:autoSpaceDN w:val="0"/>
        <w:adjustRightInd w:val="0"/>
        <w:jc w:val="both"/>
        <w:rPr>
          <w:rFonts w:cs="Arial"/>
          <w:bCs/>
          <w:szCs w:val="20"/>
        </w:rPr>
      </w:pPr>
    </w:p>
    <w:p w14:paraId="3B70F3A1" w14:textId="0F2CFCC3" w:rsidR="00126521" w:rsidRPr="006B08C5" w:rsidRDefault="00126521" w:rsidP="00126521">
      <w:pPr>
        <w:autoSpaceDE w:val="0"/>
        <w:autoSpaceDN w:val="0"/>
        <w:adjustRightInd w:val="0"/>
        <w:jc w:val="both"/>
        <w:rPr>
          <w:rFonts w:cs="Arial"/>
          <w:bCs/>
          <w:szCs w:val="20"/>
        </w:rPr>
      </w:pPr>
      <w:r w:rsidRPr="006B08C5">
        <w:rPr>
          <w:rFonts w:cs="Arial"/>
          <w:bCs/>
          <w:szCs w:val="20"/>
        </w:rPr>
        <w:t xml:space="preserve">Therefore, </w:t>
      </w:r>
      <w:r w:rsidR="00242872">
        <w:rPr>
          <w:rFonts w:cs="Arial"/>
          <w:bCs/>
          <w:szCs w:val="20"/>
        </w:rPr>
        <w:t xml:space="preserve">we would urge </w:t>
      </w:r>
      <w:r w:rsidRPr="006B08C5">
        <w:rPr>
          <w:rFonts w:cs="Arial"/>
          <w:bCs/>
          <w:szCs w:val="20"/>
        </w:rPr>
        <w:t xml:space="preserve">ESMA </w:t>
      </w:r>
      <w:r w:rsidR="00242872">
        <w:rPr>
          <w:rFonts w:cs="Arial"/>
          <w:bCs/>
          <w:szCs w:val="20"/>
        </w:rPr>
        <w:t>to</w:t>
      </w:r>
      <w:r w:rsidRPr="006B08C5">
        <w:rPr>
          <w:rFonts w:cs="Arial"/>
          <w:bCs/>
          <w:szCs w:val="20"/>
        </w:rPr>
        <w:t xml:space="preserve"> consider requiring trading venues and APAs to provide access to the required post-trade data on a real-time basis free of charge, which would be consistent with the U</w:t>
      </w:r>
      <w:r w:rsidR="00B7574F">
        <w:rPr>
          <w:rFonts w:cs="Arial"/>
          <w:bCs/>
          <w:szCs w:val="20"/>
        </w:rPr>
        <w:t>.</w:t>
      </w:r>
      <w:r w:rsidRPr="006B08C5">
        <w:rPr>
          <w:rFonts w:cs="Arial"/>
          <w:bCs/>
          <w:szCs w:val="20"/>
        </w:rPr>
        <w:t>S</w:t>
      </w:r>
      <w:r w:rsidR="00B7574F">
        <w:rPr>
          <w:rFonts w:cs="Arial"/>
          <w:bCs/>
          <w:szCs w:val="20"/>
        </w:rPr>
        <w:t>.</w:t>
      </w:r>
      <w:r w:rsidRPr="006B08C5">
        <w:rPr>
          <w:rFonts w:cs="Arial"/>
          <w:bCs/>
          <w:szCs w:val="20"/>
        </w:rPr>
        <w:t xml:space="preserve"> non-equities regimes.</w:t>
      </w:r>
      <w:r w:rsidR="0043515B">
        <w:rPr>
          <w:rFonts w:cs="Arial"/>
          <w:bCs/>
          <w:szCs w:val="20"/>
        </w:rPr>
        <w:t xml:space="preserve"> Whilst not necessary to achieve a CTP, FIA EPTA members are also supportive of legislation that would mean trades </w:t>
      </w:r>
      <w:r w:rsidR="001D7338">
        <w:rPr>
          <w:rFonts w:cs="Arial"/>
          <w:bCs/>
          <w:szCs w:val="20"/>
        </w:rPr>
        <w:t xml:space="preserve">below </w:t>
      </w:r>
      <w:r w:rsidR="0043515B">
        <w:rPr>
          <w:rFonts w:cs="Arial"/>
          <w:bCs/>
          <w:szCs w:val="20"/>
        </w:rPr>
        <w:t xml:space="preserve">LIS moving to </w:t>
      </w:r>
      <w:r w:rsidR="00B7574F">
        <w:rPr>
          <w:rFonts w:cs="Arial"/>
          <w:bCs/>
          <w:szCs w:val="20"/>
        </w:rPr>
        <w:t>t</w:t>
      </w:r>
      <w:r w:rsidR="0043515B">
        <w:rPr>
          <w:rFonts w:cs="Arial"/>
          <w:bCs/>
          <w:szCs w:val="20"/>
        </w:rPr>
        <w:t xml:space="preserve">rading </w:t>
      </w:r>
      <w:r w:rsidR="00B7574F">
        <w:rPr>
          <w:rFonts w:cs="Arial"/>
          <w:bCs/>
          <w:szCs w:val="20"/>
        </w:rPr>
        <w:t>v</w:t>
      </w:r>
      <w:r w:rsidR="0043515B">
        <w:rPr>
          <w:rFonts w:cs="Arial"/>
          <w:bCs/>
          <w:szCs w:val="20"/>
        </w:rPr>
        <w:t>enues</w:t>
      </w:r>
      <w:r w:rsidR="008114A2">
        <w:rPr>
          <w:rFonts w:cs="Arial"/>
          <w:bCs/>
          <w:szCs w:val="20"/>
        </w:rPr>
        <w:t xml:space="preserve"> and SIs</w:t>
      </w:r>
      <w:r w:rsidR="0043515B">
        <w:rPr>
          <w:rFonts w:cs="Arial"/>
          <w:bCs/>
          <w:szCs w:val="20"/>
        </w:rPr>
        <w:t xml:space="preserve"> to minimise the amount of relatively small size trading occurring OTC where pre</w:t>
      </w:r>
      <w:r w:rsidR="0001684A">
        <w:rPr>
          <w:rFonts w:cs="Arial"/>
          <w:bCs/>
          <w:szCs w:val="20"/>
        </w:rPr>
        <w:t>-</w:t>
      </w:r>
      <w:r w:rsidR="0043515B">
        <w:rPr>
          <w:rFonts w:cs="Arial"/>
          <w:bCs/>
          <w:szCs w:val="20"/>
        </w:rPr>
        <w:t xml:space="preserve"> and post</w:t>
      </w:r>
      <w:r w:rsidR="0001684A">
        <w:rPr>
          <w:rFonts w:cs="Arial"/>
          <w:bCs/>
          <w:szCs w:val="20"/>
        </w:rPr>
        <w:t>-</w:t>
      </w:r>
      <w:r w:rsidR="0043515B">
        <w:rPr>
          <w:rFonts w:cs="Arial"/>
          <w:bCs/>
          <w:szCs w:val="20"/>
        </w:rPr>
        <w:t>trade transparency can be elusive.</w:t>
      </w:r>
      <w:r w:rsidR="00E1229C">
        <w:rPr>
          <w:rFonts w:cs="Arial"/>
          <w:bCs/>
          <w:szCs w:val="20"/>
        </w:rPr>
        <w:t>]</w:t>
      </w:r>
    </w:p>
    <w:p w14:paraId="773F35B6" w14:textId="77777777" w:rsidR="002C785B" w:rsidRDefault="002C785B" w:rsidP="002C785B">
      <w:r>
        <w:t>&lt;ESMA_QUESTION_CP_MIFID_NQT_15&gt;</w:t>
      </w:r>
    </w:p>
    <w:p w14:paraId="4EFC793B" w14:textId="77777777" w:rsidR="002C785B" w:rsidRDefault="002C785B" w:rsidP="002C785B"/>
    <w:p w14:paraId="46C3BED9" w14:textId="77777777" w:rsidR="002C785B" w:rsidRDefault="002C785B" w:rsidP="002C785B"/>
    <w:p w14:paraId="5E7D72AE" w14:textId="77777777" w:rsidR="002C785B" w:rsidRDefault="002C785B" w:rsidP="002C785B">
      <w:pPr>
        <w:pStyle w:val="CPQuestions"/>
      </w:pPr>
      <w:r w:rsidRPr="00B27E7B">
        <w:t>Do you agree with ESMA’s above assessment? If not, please explain</w:t>
      </w:r>
      <w:r>
        <w:t>.</w:t>
      </w:r>
    </w:p>
    <w:p w14:paraId="0DA573FA" w14:textId="77777777" w:rsidR="002C785B" w:rsidRDefault="002C785B" w:rsidP="002C785B">
      <w:r>
        <w:t>&lt;ESMA_QUESTION_CP_MIFID_NQT_16&gt;</w:t>
      </w:r>
    </w:p>
    <w:p w14:paraId="1F5EED7A" w14:textId="77777777" w:rsidR="002D5836" w:rsidRDefault="00E1229C" w:rsidP="00126521">
      <w:r>
        <w:t>[</w:t>
      </w:r>
      <w:r w:rsidR="00126521" w:rsidRPr="006B08C5">
        <w:rPr>
          <w:rFonts w:cs="Arial"/>
          <w:szCs w:val="20"/>
        </w:rPr>
        <w:t xml:space="preserve">Yes, </w:t>
      </w:r>
      <w:r w:rsidR="0070491D">
        <w:rPr>
          <w:rFonts w:cs="Arial"/>
          <w:szCs w:val="20"/>
        </w:rPr>
        <w:t>FIA EPTA members</w:t>
      </w:r>
      <w:r w:rsidR="0070491D" w:rsidRPr="006B08C5">
        <w:rPr>
          <w:rFonts w:cs="Arial"/>
          <w:szCs w:val="20"/>
        </w:rPr>
        <w:t xml:space="preserve"> </w:t>
      </w:r>
      <w:r w:rsidR="00126521" w:rsidRPr="006B08C5">
        <w:rPr>
          <w:rFonts w:cs="Arial"/>
          <w:szCs w:val="20"/>
        </w:rPr>
        <w:t xml:space="preserve">agree that the current interpretation of </w:t>
      </w:r>
      <w:proofErr w:type="spellStart"/>
      <w:r w:rsidR="00126521" w:rsidRPr="006B08C5">
        <w:rPr>
          <w:rFonts w:cs="Arial"/>
          <w:szCs w:val="20"/>
        </w:rPr>
        <w:t>ToTV</w:t>
      </w:r>
      <w:proofErr w:type="spellEnd"/>
      <w:r w:rsidR="00126521" w:rsidRPr="006B08C5">
        <w:rPr>
          <w:rFonts w:cs="Arial"/>
          <w:szCs w:val="20"/>
        </w:rPr>
        <w:t xml:space="preserve"> significantly narrows the scope of post-trade transparency for OTC derivatives. </w:t>
      </w:r>
      <w:r w:rsidR="00126521" w:rsidRPr="00126521">
        <w:rPr>
          <w:rFonts w:cs="Arial"/>
        </w:rPr>
        <w:t>As the analysis by ANNA-DSB shows, an extremely small percentage of ISINs created for OTC derivatives are reported to FIRDS.</w:t>
      </w:r>
      <w:r w:rsidR="000D1689">
        <w:t xml:space="preserve"> </w:t>
      </w:r>
      <w:r w:rsidR="00126521">
        <w:t xml:space="preserve">We recommend that ESMA incorporate into its analysis estimates regarding the percentage of OTC derivatives not considered to be </w:t>
      </w:r>
      <w:proofErr w:type="spellStart"/>
      <w:r w:rsidR="00126521">
        <w:t>ToTV</w:t>
      </w:r>
      <w:proofErr w:type="spellEnd"/>
      <w:r w:rsidR="00126521">
        <w:t>.</w:t>
      </w:r>
      <w:r w:rsidR="000D1689">
        <w:t xml:space="preserve"> </w:t>
      </w:r>
    </w:p>
    <w:p w14:paraId="17C928E1" w14:textId="77777777" w:rsidR="002D5836" w:rsidRDefault="002D5836" w:rsidP="00126521"/>
    <w:p w14:paraId="1B320520" w14:textId="77777777" w:rsidR="00126521" w:rsidRDefault="00126521" w:rsidP="00126521">
      <w:r>
        <w:t>In particular, one analysis found that</w:t>
      </w:r>
      <w:r w:rsidRPr="003E1962">
        <w:rPr>
          <w:rFonts w:cs="Arial"/>
          <w:szCs w:val="20"/>
        </w:rPr>
        <w:t xml:space="preserve">~95% of off-venue trading activity in interest rate OTC derivatives is </w:t>
      </w:r>
      <w:r>
        <w:rPr>
          <w:rFonts w:cs="Arial"/>
          <w:szCs w:val="20"/>
        </w:rPr>
        <w:t xml:space="preserve">currently not considered </w:t>
      </w:r>
      <w:proofErr w:type="spellStart"/>
      <w:r>
        <w:rPr>
          <w:rFonts w:cs="Arial"/>
          <w:szCs w:val="20"/>
        </w:rPr>
        <w:t>ToTV</w:t>
      </w:r>
      <w:proofErr w:type="spellEnd"/>
      <w:r w:rsidRPr="003E1962">
        <w:rPr>
          <w:rFonts w:cs="Arial"/>
          <w:szCs w:val="20"/>
        </w:rPr>
        <w:t xml:space="preserve"> </w:t>
      </w:r>
      <w:r w:rsidR="009D430F">
        <w:rPr>
          <w:rFonts w:cs="Arial"/>
          <w:szCs w:val="20"/>
        </w:rPr>
        <w:t xml:space="preserve">This may mean that </w:t>
      </w:r>
      <w:r w:rsidR="009D430F" w:rsidRPr="008C0434">
        <w:rPr>
          <w:rFonts w:cs="Arial"/>
          <w:iCs/>
          <w:szCs w:val="20"/>
        </w:rPr>
        <w:t>up to EUR 800 billion per week</w:t>
      </w:r>
      <w:r w:rsidR="009D430F">
        <w:rPr>
          <w:rFonts w:cs="Arial"/>
          <w:szCs w:val="20"/>
        </w:rPr>
        <w:t xml:space="preserve"> in trading volume in EUR interest rate swaps alone is missing from the transparency and transaction reporting framework.</w:t>
      </w:r>
      <w:r w:rsidR="009D430F" w:rsidRPr="003E1962">
        <w:rPr>
          <w:rFonts w:cs="Arial"/>
          <w:szCs w:val="20"/>
        </w:rPr>
        <w:t xml:space="preserve"> </w:t>
      </w:r>
      <w:r w:rsidRPr="003E1962">
        <w:rPr>
          <w:rFonts w:cs="Arial"/>
          <w:szCs w:val="20"/>
        </w:rPr>
        <w:t>(</w:t>
      </w:r>
      <w:r w:rsidR="0001684A">
        <w:rPr>
          <w:rFonts w:cs="Arial"/>
          <w:szCs w:val="20"/>
        </w:rPr>
        <w:t xml:space="preserve">Cf. </w:t>
      </w:r>
      <w:hyperlink r:id="rId15" w:history="1">
        <w:r w:rsidR="0070491D" w:rsidRPr="004E1D5E">
          <w:rPr>
            <w:rStyle w:val="Hyperlink"/>
            <w:rFonts w:cs="Arial"/>
            <w:szCs w:val="20"/>
          </w:rPr>
          <w:t>https://www.clarusft.com/what-we-need-to-do-to-fix-mifid-ii-data/</w:t>
        </w:r>
      </w:hyperlink>
      <w:r w:rsidRPr="003E1962">
        <w:rPr>
          <w:rStyle w:val="Hyperlink"/>
          <w:rFonts w:cs="Arial"/>
          <w:szCs w:val="20"/>
        </w:rPr>
        <w:t>)</w:t>
      </w:r>
      <w:r>
        <w:rPr>
          <w:rFonts w:cs="Arial"/>
          <w:szCs w:val="20"/>
        </w:rPr>
        <w:t>.</w:t>
      </w:r>
      <w:r w:rsidR="000D1689">
        <w:rPr>
          <w:rFonts w:cs="Arial"/>
          <w:szCs w:val="20"/>
        </w:rPr>
        <w:t xml:space="preserve"> </w:t>
      </w:r>
      <w:r w:rsidR="009D430F">
        <w:rPr>
          <w:rFonts w:cs="Arial"/>
          <w:szCs w:val="20"/>
        </w:rPr>
        <w:t>These are highly liquid, centrally cleared instruments that are completely exempted from post-trade transparency.</w:t>
      </w:r>
      <w:r w:rsidR="000D1689">
        <w:rPr>
          <w:rFonts w:cs="Arial"/>
          <w:szCs w:val="20"/>
        </w:rPr>
        <w:t xml:space="preserve"> </w:t>
      </w:r>
      <w:r w:rsidR="009D430F">
        <w:rPr>
          <w:rFonts w:cs="Arial"/>
          <w:szCs w:val="20"/>
        </w:rPr>
        <w:t>We see no policy justification for the current status quo.</w:t>
      </w:r>
      <w:r w:rsidR="00E1229C">
        <w:rPr>
          <w:rFonts w:cs="Arial"/>
          <w:szCs w:val="20"/>
        </w:rPr>
        <w:t>]</w:t>
      </w:r>
    </w:p>
    <w:p w14:paraId="68FB57BE" w14:textId="77777777" w:rsidR="002C785B" w:rsidRDefault="002C785B" w:rsidP="002C785B">
      <w:r>
        <w:t>&lt;ESMA_QUESTION_CP_MIFID_NQT_16&gt;</w:t>
      </w:r>
    </w:p>
    <w:p w14:paraId="0D61F9EE" w14:textId="77777777" w:rsidR="002C785B" w:rsidRDefault="002C785B" w:rsidP="002C785B"/>
    <w:p w14:paraId="02BDD424" w14:textId="77777777" w:rsidR="002C785B" w:rsidRDefault="002C785B" w:rsidP="002C785B">
      <w:pPr>
        <w:pStyle w:val="CPQuestions"/>
      </w:pPr>
      <w:r w:rsidRPr="00B27E7B">
        <w:t>Are you of the view that the interpretation of TOTV should remained aligned for both transparency and transaction reporting? If not, please explain why</w:t>
      </w:r>
      <w:r>
        <w:t>.</w:t>
      </w:r>
    </w:p>
    <w:p w14:paraId="478010CA" w14:textId="77777777" w:rsidR="002C785B" w:rsidRDefault="002C785B" w:rsidP="002C785B">
      <w:r>
        <w:t>&lt;ESMA_QUESTION_CP_MIFID_NQT_17&gt;</w:t>
      </w:r>
    </w:p>
    <w:p w14:paraId="1710F991" w14:textId="77777777" w:rsidR="002C785B" w:rsidRDefault="00E1229C" w:rsidP="002C785B">
      <w:r>
        <w:t>[</w:t>
      </w:r>
      <w:r w:rsidR="00126521">
        <w:t xml:space="preserve">In </w:t>
      </w:r>
      <w:r w:rsidR="0070491D">
        <w:t xml:space="preserve">FIA EPTA members’ </w:t>
      </w:r>
      <w:r w:rsidR="00126521">
        <w:t xml:space="preserve">view, the </w:t>
      </w:r>
      <w:proofErr w:type="spellStart"/>
      <w:r w:rsidR="00126521">
        <w:t>ToTV</w:t>
      </w:r>
      <w:proofErr w:type="spellEnd"/>
      <w:r w:rsidR="00126521">
        <w:t xml:space="preserve"> concept should be eliminated for both transparency and transaction reporting.</w:t>
      </w:r>
      <w:r w:rsidR="000D1689">
        <w:t xml:space="preserve"> </w:t>
      </w:r>
      <w:r w:rsidR="00126521" w:rsidRPr="006446D3">
        <w:t>This would ensure that all OTC derivatives transactions are su</w:t>
      </w:r>
      <w:r w:rsidR="00126521">
        <w:t>bject to transaction reporting</w:t>
      </w:r>
      <w:r w:rsidR="00126521" w:rsidRPr="006446D3">
        <w:t xml:space="preserve">, </w:t>
      </w:r>
      <w:r w:rsidR="00126521" w:rsidRPr="006446D3">
        <w:lastRenderedPageBreak/>
        <w:t xml:space="preserve">providing </w:t>
      </w:r>
      <w:r w:rsidR="00126521">
        <w:t xml:space="preserve">policymakers </w:t>
      </w:r>
      <w:r w:rsidR="00126521" w:rsidRPr="006446D3">
        <w:t xml:space="preserve">with comprehensive data </w:t>
      </w:r>
      <w:r w:rsidR="00126521">
        <w:t>for monitoring and oversight purposes.</w:t>
      </w:r>
      <w:r>
        <w:t>]</w:t>
      </w:r>
      <w:r w:rsidR="000D1689">
        <w:t xml:space="preserve"> </w:t>
      </w:r>
      <w:r w:rsidR="002C785B">
        <w:t>&lt;ESMA_QUESTION_CP_MIFID_NQT_17&gt;</w:t>
      </w:r>
    </w:p>
    <w:p w14:paraId="0142F48A" w14:textId="77777777" w:rsidR="002C785B" w:rsidRDefault="002C785B" w:rsidP="002C785B"/>
    <w:p w14:paraId="00AC02D7" w14:textId="77777777" w:rsidR="002C785B" w:rsidRDefault="002C785B" w:rsidP="002C785B">
      <w:pPr>
        <w:pStyle w:val="CPQuestions"/>
      </w:pPr>
      <w:r w:rsidRPr="00B27E7B">
        <w:t>Which of the three options proposed, would you recommend (Option 1, Option 2 or Option 3)? In case you recommend an alternative way forward, please explain</w:t>
      </w:r>
      <w:r>
        <w:t>.</w:t>
      </w:r>
    </w:p>
    <w:p w14:paraId="61F5A821" w14:textId="77777777" w:rsidR="002C785B" w:rsidRDefault="002C785B" w:rsidP="002C785B">
      <w:r>
        <w:t>&lt;ESMA_QUESTION_CP_MIFID_NQT_18&gt;</w:t>
      </w:r>
    </w:p>
    <w:p w14:paraId="283FDDE8" w14:textId="77777777" w:rsidR="00126521" w:rsidRDefault="00E1229C" w:rsidP="00126521">
      <w:pPr>
        <w:autoSpaceDE w:val="0"/>
        <w:autoSpaceDN w:val="0"/>
        <w:adjustRightInd w:val="0"/>
        <w:rPr>
          <w:rFonts w:cs="Arial"/>
          <w:color w:val="000000"/>
        </w:rPr>
      </w:pPr>
      <w:r>
        <w:t>[</w:t>
      </w:r>
      <w:r w:rsidR="0070491D">
        <w:rPr>
          <w:rFonts w:cs="Arial"/>
          <w:color w:val="000000"/>
        </w:rPr>
        <w:t xml:space="preserve">FIA EPTA members </w:t>
      </w:r>
      <w:r w:rsidR="00126521">
        <w:rPr>
          <w:rFonts w:cs="Arial"/>
          <w:color w:val="000000"/>
        </w:rPr>
        <w:t>strongly support Option 3.</w:t>
      </w:r>
      <w:r w:rsidR="000D1689">
        <w:rPr>
          <w:rFonts w:cs="Arial"/>
          <w:color w:val="000000"/>
        </w:rPr>
        <w:t xml:space="preserve"> </w:t>
      </w:r>
      <w:r w:rsidR="00126521">
        <w:rPr>
          <w:rFonts w:cs="Arial"/>
          <w:color w:val="000000"/>
        </w:rPr>
        <w:t>This will establish a comprehensive post-trade transparency regime that covers both on-venue and off-venue trading activity, levels the playing field between trading venues and SIs, and increases harmonisation with US rules.</w:t>
      </w:r>
      <w:r w:rsidR="000D1689">
        <w:rPr>
          <w:rFonts w:cs="Arial"/>
          <w:color w:val="000000"/>
        </w:rPr>
        <w:t xml:space="preserve"> </w:t>
      </w:r>
      <w:r w:rsidR="00126521">
        <w:rPr>
          <w:rFonts w:cs="Arial"/>
          <w:color w:val="000000"/>
        </w:rPr>
        <w:t xml:space="preserve">In addition, we believe eliminating the concept of </w:t>
      </w:r>
      <w:proofErr w:type="spellStart"/>
      <w:r w:rsidR="00126521">
        <w:rPr>
          <w:rFonts w:cs="Arial"/>
          <w:color w:val="000000"/>
        </w:rPr>
        <w:t>ToTV</w:t>
      </w:r>
      <w:proofErr w:type="spellEnd"/>
      <w:r w:rsidR="00126521">
        <w:rPr>
          <w:rFonts w:cs="Arial"/>
          <w:color w:val="000000"/>
        </w:rPr>
        <w:t xml:space="preserve"> can actually reduce operational costs, as members will not have to assess compliance with an unclear standard on an ongoing basis.</w:t>
      </w:r>
    </w:p>
    <w:p w14:paraId="3530C554" w14:textId="77777777" w:rsidR="00AE04BA" w:rsidRDefault="00AE04BA" w:rsidP="00126521">
      <w:pPr>
        <w:autoSpaceDE w:val="0"/>
        <w:autoSpaceDN w:val="0"/>
        <w:adjustRightInd w:val="0"/>
        <w:rPr>
          <w:rFonts w:cs="Arial"/>
          <w:color w:val="000000"/>
        </w:rPr>
      </w:pPr>
    </w:p>
    <w:p w14:paraId="2B0EFC43" w14:textId="77777777" w:rsidR="002D5836" w:rsidRDefault="00AE04BA" w:rsidP="00126521">
      <w:pPr>
        <w:autoSpaceDE w:val="0"/>
        <w:autoSpaceDN w:val="0"/>
        <w:adjustRightInd w:val="0"/>
      </w:pPr>
      <w:r>
        <w:rPr>
          <w:rFonts w:cs="Arial"/>
          <w:color w:val="000000"/>
        </w:rPr>
        <w:t xml:space="preserve">Based on the available data, we </w:t>
      </w:r>
      <w:r w:rsidR="00E91300">
        <w:rPr>
          <w:rFonts w:cs="Arial"/>
          <w:color w:val="000000"/>
        </w:rPr>
        <w:t xml:space="preserve">would </w:t>
      </w:r>
      <w:r>
        <w:rPr>
          <w:rFonts w:cs="Arial"/>
          <w:color w:val="000000"/>
        </w:rPr>
        <w:t>hope there is consensus that retaining the status quo is not an acceptable policy outcome.</w:t>
      </w:r>
      <w:r w:rsidR="000D1689">
        <w:rPr>
          <w:rFonts w:cs="Arial"/>
          <w:color w:val="000000"/>
        </w:rPr>
        <w:t xml:space="preserve"> </w:t>
      </w:r>
      <w:r>
        <w:rPr>
          <w:rFonts w:cs="Arial"/>
          <w:color w:val="000000"/>
        </w:rPr>
        <w:t xml:space="preserve">However, Option 2 may be considered, which would seek to redefine </w:t>
      </w:r>
      <w:proofErr w:type="spellStart"/>
      <w:r>
        <w:rPr>
          <w:rFonts w:cs="Arial"/>
          <w:color w:val="000000"/>
        </w:rPr>
        <w:t>ToTV</w:t>
      </w:r>
      <w:proofErr w:type="spellEnd"/>
      <w:r>
        <w:rPr>
          <w:rFonts w:cs="Arial"/>
          <w:color w:val="000000"/>
        </w:rPr>
        <w:t>.</w:t>
      </w:r>
      <w:r w:rsidR="000D1689">
        <w:rPr>
          <w:rFonts w:cs="Arial"/>
          <w:color w:val="000000"/>
        </w:rPr>
        <w:t xml:space="preserve"> </w:t>
      </w:r>
      <w:r>
        <w:rPr>
          <w:rFonts w:cs="Arial"/>
          <w:color w:val="000000"/>
        </w:rPr>
        <w:t xml:space="preserve">We note that </w:t>
      </w:r>
      <w:r>
        <w:t xml:space="preserve">this option would fail to deliver the benefits detailed above, leaving a post-trade transparency regime that (i) is not comprehensive, (ii) creates an unlevel playing field between trading venues and SIs, (iii) is not harmonised with other jurisdictions, and (iv) does not reduce the operational and compliance costs associated with implementing and monitoring </w:t>
      </w:r>
      <w:proofErr w:type="spellStart"/>
      <w:r>
        <w:t>ToTV</w:t>
      </w:r>
      <w:proofErr w:type="spellEnd"/>
      <w:r>
        <w:t>.</w:t>
      </w:r>
      <w:r w:rsidR="000D1689">
        <w:t xml:space="preserve"> </w:t>
      </w:r>
    </w:p>
    <w:p w14:paraId="78F05A85" w14:textId="77777777" w:rsidR="002D5836" w:rsidRDefault="002D5836" w:rsidP="00126521">
      <w:pPr>
        <w:autoSpaceDE w:val="0"/>
        <w:autoSpaceDN w:val="0"/>
        <w:adjustRightInd w:val="0"/>
      </w:pPr>
    </w:p>
    <w:p w14:paraId="37CDABC2" w14:textId="77777777" w:rsidR="0002480B" w:rsidRDefault="00AE04BA" w:rsidP="00126521">
      <w:pPr>
        <w:autoSpaceDE w:val="0"/>
        <w:autoSpaceDN w:val="0"/>
        <w:adjustRightInd w:val="0"/>
      </w:pPr>
      <w:r>
        <w:t xml:space="preserve">Importantly, as long as market participants are subject to different post-trade transparency requirements depending on whether a transaction is considered to be </w:t>
      </w:r>
      <w:proofErr w:type="spellStart"/>
      <w:r>
        <w:t>ToTV</w:t>
      </w:r>
      <w:proofErr w:type="spellEnd"/>
      <w:r>
        <w:t xml:space="preserve">, there will be incentives to structure around whatever definition of </w:t>
      </w:r>
      <w:proofErr w:type="spellStart"/>
      <w:r>
        <w:t>ToTV</w:t>
      </w:r>
      <w:proofErr w:type="spellEnd"/>
      <w:r>
        <w:t xml:space="preserve"> is provided.</w:t>
      </w:r>
      <w:r w:rsidR="000D1689">
        <w:t xml:space="preserve"> </w:t>
      </w:r>
      <w:r>
        <w:t xml:space="preserve">The current regime has clearly demonstrated the practical difficulties associated with attempting to delineate specific characteristics of complex OTC derivatives that must be present in order for an instrument to be considered </w:t>
      </w:r>
      <w:proofErr w:type="spellStart"/>
      <w:r>
        <w:t>ToTV</w:t>
      </w:r>
      <w:proofErr w:type="spellEnd"/>
      <w:r>
        <w:t>, characteristics that are likely to vary across asset classes.</w:t>
      </w:r>
      <w:r w:rsidR="000D1689">
        <w:t xml:space="preserve"> </w:t>
      </w:r>
    </w:p>
    <w:p w14:paraId="68430CAA" w14:textId="77777777" w:rsidR="0002480B" w:rsidRDefault="0002480B" w:rsidP="00126521">
      <w:pPr>
        <w:autoSpaceDE w:val="0"/>
        <w:autoSpaceDN w:val="0"/>
        <w:adjustRightInd w:val="0"/>
      </w:pPr>
    </w:p>
    <w:p w14:paraId="6F49B1C4" w14:textId="77777777" w:rsidR="00AE04BA" w:rsidRPr="00266BFD" w:rsidRDefault="00AE04BA" w:rsidP="00126521">
      <w:pPr>
        <w:autoSpaceDE w:val="0"/>
        <w:autoSpaceDN w:val="0"/>
        <w:adjustRightInd w:val="0"/>
        <w:rPr>
          <w:rFonts w:cs="Arial"/>
          <w:color w:val="000000"/>
        </w:rPr>
      </w:pPr>
      <w:r>
        <w:t>In addition, the current regime has clearly demonstrated how easy it is for market participants to structure around any definition provided by ESMA.</w:t>
      </w:r>
      <w:r w:rsidR="000D1689">
        <w:t xml:space="preserve"> </w:t>
      </w:r>
      <w:r>
        <w:t xml:space="preserve">In our view, these limitations will continue to exist as long as the </w:t>
      </w:r>
      <w:proofErr w:type="spellStart"/>
      <w:r>
        <w:t>ToTV</w:t>
      </w:r>
      <w:proofErr w:type="spellEnd"/>
      <w:r>
        <w:t xml:space="preserve"> concept is retained.</w:t>
      </w:r>
      <w:r w:rsidR="00E1229C">
        <w:t>]</w:t>
      </w:r>
    </w:p>
    <w:p w14:paraId="7935AE80" w14:textId="77777777" w:rsidR="002C785B" w:rsidRDefault="002C785B" w:rsidP="002C785B">
      <w:r>
        <w:t>&lt;ESMA_QUESTION_CP_MIFID_NQT_18&gt;</w:t>
      </w:r>
    </w:p>
    <w:p w14:paraId="1B745FE9" w14:textId="77777777" w:rsidR="002C785B" w:rsidRDefault="002C785B" w:rsidP="002C785B"/>
    <w:p w14:paraId="5A90276A" w14:textId="77777777" w:rsidR="002C785B" w:rsidRDefault="002C785B" w:rsidP="002C785B">
      <w:pPr>
        <w:pStyle w:val="CPQuestions"/>
      </w:pPr>
      <w:r w:rsidRPr="00B27E7B">
        <w:t>What is your view on the proposal to delete the possibility for temporarily suspending the transparency provisions? Please explain</w:t>
      </w:r>
      <w:r>
        <w:t>.</w:t>
      </w:r>
    </w:p>
    <w:p w14:paraId="6744E911" w14:textId="77777777" w:rsidR="002C785B" w:rsidRDefault="002C785B" w:rsidP="002C785B">
      <w:r>
        <w:t>&lt;ESMA_QUESTION_CP_MIFID_NQT_19&gt;</w:t>
      </w:r>
    </w:p>
    <w:p w14:paraId="59AE3007" w14:textId="77777777" w:rsidR="002C785B" w:rsidRDefault="00E1229C" w:rsidP="002C785B">
      <w:r>
        <w:t>[</w:t>
      </w:r>
      <w:r w:rsidR="00126521">
        <w:t>We support this proposal.</w:t>
      </w:r>
      <w:r>
        <w:t>]</w:t>
      </w:r>
    </w:p>
    <w:p w14:paraId="0A756A3E" w14:textId="77777777" w:rsidR="002C785B" w:rsidRDefault="002C785B" w:rsidP="002C785B">
      <w:r>
        <w:t>&lt;ESMA_QUESTION_CP_MIFID_NQT_19&gt;</w:t>
      </w:r>
    </w:p>
    <w:p w14:paraId="55797D00" w14:textId="77777777" w:rsidR="002C785B" w:rsidRDefault="002C785B" w:rsidP="002C785B"/>
    <w:p w14:paraId="30BD56D9" w14:textId="77777777" w:rsidR="002C785B" w:rsidRDefault="002C785B" w:rsidP="002C785B">
      <w:pPr>
        <w:pStyle w:val="CPQuestions"/>
      </w:pPr>
      <w:r w:rsidRPr="00B27E7B">
        <w:t xml:space="preserve">Do you have any remarks on the assessment of Article 28 of </w:t>
      </w:r>
      <w:proofErr w:type="spellStart"/>
      <w:r w:rsidRPr="00B27E7B">
        <w:t>MiFIR</w:t>
      </w:r>
      <w:proofErr w:type="spellEnd"/>
      <w:r w:rsidRPr="00B27E7B">
        <w:t>? Please explain</w:t>
      </w:r>
      <w:r>
        <w:t>.</w:t>
      </w:r>
    </w:p>
    <w:p w14:paraId="6AB9813F" w14:textId="77777777" w:rsidR="002C785B" w:rsidRDefault="002C785B" w:rsidP="002C785B">
      <w:r>
        <w:t>&lt;ESMA_QUESTION_CP_MIFID_NQT_20&gt;</w:t>
      </w:r>
    </w:p>
    <w:p w14:paraId="69A0337D" w14:textId="77777777" w:rsidR="00292081" w:rsidRDefault="00E1229C" w:rsidP="00126521">
      <w:pPr>
        <w:autoSpaceDE w:val="0"/>
        <w:autoSpaceDN w:val="0"/>
        <w:adjustRightInd w:val="0"/>
        <w:jc w:val="both"/>
      </w:pPr>
      <w:r>
        <w:lastRenderedPageBreak/>
        <w:t>[</w:t>
      </w:r>
      <w:r w:rsidR="00292081">
        <w:t>FIA EPTA members agree with ESMA to amend the provisions in Article 28 to</w:t>
      </w:r>
      <w:r w:rsidR="003E3991">
        <w:t xml:space="preserve"> align it to EMIR by</w:t>
      </w:r>
      <w:r w:rsidR="00292081">
        <w:t xml:space="preserve"> reflect</w:t>
      </w:r>
      <w:r w:rsidR="003E3991">
        <w:t>ing</w:t>
      </w:r>
      <w:r w:rsidR="00292081">
        <w:t xml:space="preserve"> the EMIR refit changes.</w:t>
      </w:r>
    </w:p>
    <w:p w14:paraId="41E427F0" w14:textId="77777777" w:rsidR="00292081" w:rsidRDefault="00292081" w:rsidP="00126521">
      <w:pPr>
        <w:autoSpaceDE w:val="0"/>
        <w:autoSpaceDN w:val="0"/>
        <w:adjustRightInd w:val="0"/>
        <w:jc w:val="both"/>
      </w:pPr>
      <w:r>
        <w:t xml:space="preserve"> </w:t>
      </w:r>
    </w:p>
    <w:p w14:paraId="68DD00BF" w14:textId="77777777" w:rsidR="00126521" w:rsidRPr="006B08C5" w:rsidRDefault="00292081" w:rsidP="00126521">
      <w:pPr>
        <w:autoSpaceDE w:val="0"/>
        <w:autoSpaceDN w:val="0"/>
        <w:adjustRightInd w:val="0"/>
        <w:jc w:val="both"/>
        <w:rPr>
          <w:rFonts w:cs="Arial"/>
          <w:bCs/>
          <w:szCs w:val="20"/>
        </w:rPr>
      </w:pPr>
      <w:r>
        <w:rPr>
          <w:rFonts w:cs="Arial"/>
          <w:bCs/>
          <w:szCs w:val="20"/>
        </w:rPr>
        <w:t>In addition to this, w</w:t>
      </w:r>
      <w:r w:rsidR="00126521" w:rsidRPr="006B08C5">
        <w:rPr>
          <w:rFonts w:cs="Arial"/>
          <w:bCs/>
          <w:szCs w:val="20"/>
        </w:rPr>
        <w:t>e support amending Article 28(4) to ensure that central aspects of the MiFID II framework are considered as part of equivalence decisions.</w:t>
      </w:r>
      <w:r w:rsidR="000D1689">
        <w:rPr>
          <w:rFonts w:cs="Arial"/>
          <w:bCs/>
          <w:szCs w:val="20"/>
        </w:rPr>
        <w:t xml:space="preserve"> </w:t>
      </w:r>
      <w:r w:rsidR="00126521" w:rsidRPr="006B08C5">
        <w:rPr>
          <w:rFonts w:cs="Arial"/>
          <w:bCs/>
          <w:szCs w:val="20"/>
        </w:rPr>
        <w:t>These include ensuring third-country trading venues (a) provide market participants with non-discriminatory access and (b) apply comparable transparency requirements to derivatives subject to the DTO.</w:t>
      </w:r>
      <w:r w:rsidR="00E1229C">
        <w:rPr>
          <w:rFonts w:cs="Arial"/>
          <w:bCs/>
          <w:szCs w:val="20"/>
        </w:rPr>
        <w:t>]</w:t>
      </w:r>
    </w:p>
    <w:p w14:paraId="01728212" w14:textId="77777777" w:rsidR="002C785B" w:rsidRDefault="002C785B" w:rsidP="002C785B">
      <w:r>
        <w:t>&lt;ESMA_QUESTION_CP_MIFID_NQT_20&gt;</w:t>
      </w:r>
    </w:p>
    <w:p w14:paraId="20F4A87C" w14:textId="77777777" w:rsidR="002C785B" w:rsidRDefault="002C785B" w:rsidP="002C785B"/>
    <w:p w14:paraId="64F05C83" w14:textId="77777777" w:rsidR="002C785B" w:rsidRDefault="002C785B" w:rsidP="002C785B">
      <w:pPr>
        <w:pStyle w:val="CPQuestions"/>
      </w:pPr>
      <w:r w:rsidRPr="00B27E7B">
        <w:t>Do</w:t>
      </w:r>
      <w:r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t>.</w:t>
      </w:r>
    </w:p>
    <w:p w14:paraId="7419ED28" w14:textId="77777777" w:rsidR="002C785B" w:rsidRDefault="002C785B" w:rsidP="002C785B">
      <w:r>
        <w:t>&lt;ESMA_QUESTION_CP_MIFID_NQT_21&gt;</w:t>
      </w:r>
    </w:p>
    <w:p w14:paraId="21AC1EB4" w14:textId="77777777" w:rsidR="002C785B" w:rsidRDefault="00E1229C" w:rsidP="002C785B">
      <w:r>
        <w:t>[</w:t>
      </w:r>
      <w:r w:rsidR="00E54AB8">
        <w:t xml:space="preserve">FIA EPTA members </w:t>
      </w:r>
      <w:r w:rsidR="00126521">
        <w:t>agree that the current criteria appear sufficient.</w:t>
      </w:r>
      <w:r>
        <w:t>]</w:t>
      </w:r>
    </w:p>
    <w:p w14:paraId="6322ACF1" w14:textId="77777777" w:rsidR="002C785B" w:rsidRDefault="002C785B" w:rsidP="002C785B">
      <w:r>
        <w:t>&lt;ESMA_QUESTION_CP_MIFID_NQT_21&gt;</w:t>
      </w:r>
    </w:p>
    <w:p w14:paraId="44517351" w14:textId="77777777" w:rsidR="002C785B" w:rsidRDefault="002C785B" w:rsidP="002C785B"/>
    <w:p w14:paraId="03C1B522" w14:textId="77777777" w:rsidR="002C785B" w:rsidRDefault="002C785B" w:rsidP="002C785B"/>
    <w:p w14:paraId="394E9080" w14:textId="77777777" w:rsidR="002C785B" w:rsidRDefault="002C785B" w:rsidP="002C785B"/>
    <w:p w14:paraId="160A4C5A" w14:textId="77777777" w:rsidR="002C785B" w:rsidRDefault="002C785B" w:rsidP="002C785B"/>
    <w:p w14:paraId="241FE7F9" w14:textId="77777777" w:rsidR="002C785B" w:rsidRDefault="002C785B" w:rsidP="002C785B"/>
    <w:p w14:paraId="7712F5AC" w14:textId="77777777" w:rsidR="002C785B" w:rsidRDefault="002C785B" w:rsidP="002C785B">
      <w:pPr>
        <w:pStyle w:val="CPQuestions"/>
      </w:pPr>
      <w:r w:rsidRPr="00B27E7B">
        <w:t>Do you agree that a procedure for the swift suspension of the trading obligation for derivatives is needed? Do you agree with the proposed procedure? Please explain.</w:t>
      </w:r>
    </w:p>
    <w:p w14:paraId="2D67CCDC" w14:textId="77777777" w:rsidR="002C785B" w:rsidRDefault="002C785B" w:rsidP="002C785B">
      <w:r>
        <w:t>&lt;ESMA_QUESTION_CP_MIFID_NQT_22&gt;</w:t>
      </w:r>
    </w:p>
    <w:p w14:paraId="022AD3B1" w14:textId="77777777" w:rsidR="002C785B" w:rsidRDefault="00E1229C" w:rsidP="002C785B">
      <w:r>
        <w:t>[</w:t>
      </w:r>
      <w:r w:rsidR="002C785B">
        <w:t>TYPE YOUR TEXT HERE</w:t>
      </w:r>
      <w:r>
        <w:t>]</w:t>
      </w:r>
    </w:p>
    <w:p w14:paraId="4007D084" w14:textId="77777777" w:rsidR="002C785B" w:rsidRDefault="002C785B" w:rsidP="002C785B">
      <w:r>
        <w:t>&lt;ESMA_QUESTION_CP_MIFID_NQT_22&gt;</w:t>
      </w:r>
    </w:p>
    <w:p w14:paraId="06D74009" w14:textId="77777777" w:rsidR="002C785B" w:rsidRDefault="002C785B" w:rsidP="002C785B"/>
    <w:p w14:paraId="0AC048DA" w14:textId="77777777" w:rsidR="002C785B" w:rsidRDefault="002C785B" w:rsidP="002C785B">
      <w:pPr>
        <w:pStyle w:val="CPQuestions"/>
      </w:pPr>
      <w:r w:rsidRPr="00B27E7B">
        <w:t>Do you have a view on this or any other issues related to the application of the DTO</w:t>
      </w:r>
      <w:r>
        <w:t>?</w:t>
      </w:r>
    </w:p>
    <w:p w14:paraId="0DB793C9" w14:textId="77777777" w:rsidR="002C785B" w:rsidRDefault="002C785B" w:rsidP="002C785B">
      <w:r>
        <w:t>&lt;ESMA_QUESTION_CP_MIFID_NQT_23&gt;</w:t>
      </w:r>
    </w:p>
    <w:p w14:paraId="56AD4F86" w14:textId="77777777" w:rsidR="00126521" w:rsidRPr="006B08C5" w:rsidRDefault="00E1229C" w:rsidP="00126521">
      <w:pPr>
        <w:autoSpaceDE w:val="0"/>
        <w:autoSpaceDN w:val="0"/>
        <w:adjustRightInd w:val="0"/>
        <w:jc w:val="both"/>
        <w:rPr>
          <w:rFonts w:cs="Arial"/>
          <w:bCs/>
          <w:szCs w:val="20"/>
        </w:rPr>
      </w:pPr>
      <w:r>
        <w:t>[</w:t>
      </w:r>
      <w:r w:rsidR="00E54AB8">
        <w:rPr>
          <w:rFonts w:cs="Arial"/>
          <w:bCs/>
          <w:szCs w:val="20"/>
        </w:rPr>
        <w:t>FIA EPTA members</w:t>
      </w:r>
      <w:r w:rsidR="0002480B">
        <w:rPr>
          <w:rFonts w:cs="Arial"/>
          <w:bCs/>
          <w:szCs w:val="20"/>
        </w:rPr>
        <w:t xml:space="preserve"> would</w:t>
      </w:r>
      <w:r w:rsidR="00E54AB8" w:rsidRPr="006B08C5">
        <w:rPr>
          <w:rFonts w:cs="Arial"/>
          <w:bCs/>
          <w:szCs w:val="20"/>
        </w:rPr>
        <w:t xml:space="preserve"> </w:t>
      </w:r>
      <w:r w:rsidR="00126521" w:rsidRPr="006B08C5">
        <w:rPr>
          <w:rFonts w:cs="Arial"/>
          <w:bCs/>
          <w:szCs w:val="20"/>
        </w:rPr>
        <w:t>recommend that ESMA focus on:</w:t>
      </w:r>
    </w:p>
    <w:p w14:paraId="51D0A8C9" w14:textId="77777777" w:rsidR="00126521" w:rsidRPr="006B08C5" w:rsidRDefault="00126521" w:rsidP="00126521">
      <w:pPr>
        <w:autoSpaceDE w:val="0"/>
        <w:autoSpaceDN w:val="0"/>
        <w:adjustRightInd w:val="0"/>
        <w:jc w:val="both"/>
        <w:rPr>
          <w:rFonts w:cs="Arial"/>
          <w:bCs/>
          <w:szCs w:val="20"/>
        </w:rPr>
      </w:pPr>
    </w:p>
    <w:p w14:paraId="4CE81071" w14:textId="22C9B355" w:rsidR="00215E7B" w:rsidRPr="00215E7B" w:rsidRDefault="00126521" w:rsidP="00B61F24">
      <w:pPr>
        <w:pStyle w:val="ListParagraph"/>
        <w:numPr>
          <w:ilvl w:val="0"/>
          <w:numId w:val="41"/>
        </w:numPr>
        <w:autoSpaceDE w:val="0"/>
        <w:autoSpaceDN w:val="0"/>
        <w:adjustRightInd w:val="0"/>
        <w:jc w:val="both"/>
        <w:rPr>
          <w:rFonts w:cs="Arial"/>
          <w:bCs/>
          <w:szCs w:val="20"/>
        </w:rPr>
      </w:pPr>
      <w:r w:rsidRPr="002270B4">
        <w:rPr>
          <w:b/>
        </w:rPr>
        <w:t>Prohibiting post-trade name give-up by MTFs and OTFs.</w:t>
      </w:r>
      <w:r w:rsidR="000D1689" w:rsidRPr="002270B4">
        <w:rPr>
          <w:b/>
        </w:rPr>
        <w:t xml:space="preserve"> </w:t>
      </w:r>
      <w:r w:rsidRPr="002270B4">
        <w:rPr>
          <w:rFonts w:cs="Arial"/>
          <w:bCs/>
          <w:szCs w:val="20"/>
        </w:rPr>
        <w:t xml:space="preserve">EU market participants must be able to access all </w:t>
      </w:r>
      <w:r w:rsidR="001A10A3">
        <w:rPr>
          <w:rFonts w:cs="Arial"/>
          <w:bCs/>
          <w:szCs w:val="20"/>
        </w:rPr>
        <w:t xml:space="preserve">trading </w:t>
      </w:r>
      <w:r w:rsidRPr="002270B4">
        <w:rPr>
          <w:rFonts w:cs="Arial"/>
          <w:bCs/>
          <w:szCs w:val="20"/>
        </w:rPr>
        <w:t>venues that list instruments subject to the DTO.</w:t>
      </w:r>
      <w:r w:rsidR="000D1689" w:rsidRPr="002270B4">
        <w:rPr>
          <w:rFonts w:cs="Arial"/>
          <w:bCs/>
          <w:szCs w:val="20"/>
        </w:rPr>
        <w:t xml:space="preserve"> </w:t>
      </w:r>
      <w:r w:rsidR="00025CCA" w:rsidRPr="002270B4">
        <w:rPr>
          <w:rFonts w:cs="Arial"/>
          <w:color w:val="000000"/>
          <w:lang w:eastAsia="en-GB"/>
        </w:rPr>
        <w:t>Trading venues are required to provide non-discriminatory access to all market participants under Articles 18(3) and 53(1) of MiFID II. Unfortunately, the</w:t>
      </w:r>
      <w:r w:rsidR="00215E7B">
        <w:rPr>
          <w:rFonts w:cs="Arial"/>
          <w:color w:val="000000"/>
          <w:lang w:eastAsia="en-GB"/>
        </w:rPr>
        <w:t xml:space="preserve"> continued</w:t>
      </w:r>
      <w:r w:rsidR="00025CCA" w:rsidRPr="002270B4">
        <w:rPr>
          <w:rFonts w:cs="Arial"/>
          <w:color w:val="000000"/>
          <w:lang w:eastAsia="en-GB"/>
        </w:rPr>
        <w:t xml:space="preserve"> practice of “post</w:t>
      </w:r>
      <w:r w:rsidR="00215E7B">
        <w:rPr>
          <w:rFonts w:cs="Arial"/>
          <w:color w:val="000000"/>
          <w:lang w:eastAsia="en-GB"/>
        </w:rPr>
        <w:t>-</w:t>
      </w:r>
      <w:r w:rsidR="00025CCA" w:rsidRPr="002270B4">
        <w:rPr>
          <w:rFonts w:cs="Arial"/>
          <w:color w:val="000000"/>
          <w:lang w:eastAsia="en-GB"/>
        </w:rPr>
        <w:t xml:space="preserve">trade name give-up”, which is employed by certain MTFs </w:t>
      </w:r>
      <w:r w:rsidR="00025CCA" w:rsidRPr="002270B4">
        <w:rPr>
          <w:rFonts w:cs="Arial"/>
          <w:color w:val="000000"/>
          <w:lang w:eastAsia="en-GB"/>
        </w:rPr>
        <w:lastRenderedPageBreak/>
        <w:t xml:space="preserve">and OTFs that offer trading of centrally cleared OTC derivatives, acts a discriminatory access barrier. </w:t>
      </w:r>
    </w:p>
    <w:p w14:paraId="7DCBAEB1" w14:textId="77777777" w:rsidR="00215E7B" w:rsidRPr="00215E7B" w:rsidRDefault="00215E7B" w:rsidP="00215E7B">
      <w:pPr>
        <w:pStyle w:val="ListParagraph"/>
        <w:autoSpaceDE w:val="0"/>
        <w:autoSpaceDN w:val="0"/>
        <w:adjustRightInd w:val="0"/>
        <w:jc w:val="both"/>
        <w:rPr>
          <w:rFonts w:cs="Arial"/>
          <w:bCs/>
          <w:szCs w:val="20"/>
        </w:rPr>
      </w:pPr>
    </w:p>
    <w:p w14:paraId="09F9AEDF" w14:textId="77777777" w:rsidR="00F02363" w:rsidRDefault="00025CCA" w:rsidP="00215E7B">
      <w:pPr>
        <w:pStyle w:val="ListParagraph"/>
        <w:autoSpaceDE w:val="0"/>
        <w:autoSpaceDN w:val="0"/>
        <w:adjustRightInd w:val="0"/>
        <w:jc w:val="both"/>
        <w:rPr>
          <w:rFonts w:cs="Arial"/>
          <w:bCs/>
          <w:szCs w:val="20"/>
        </w:rPr>
      </w:pPr>
      <w:r w:rsidRPr="002270B4">
        <w:rPr>
          <w:rFonts w:cs="Arial"/>
          <w:color w:val="000000"/>
          <w:lang w:eastAsia="en-GB"/>
        </w:rPr>
        <w:t>Post-trade name give-up occurs when the identities of counterparties to an anonymous trade are subsequently disclosed. While necessary for non-cleared instruments, it serves no legitimate purpose for centrally cleared instruments: post-trade, the counterparties face the CCP, and do not have any ongoing exposure to each other (and under relevant straight-through-processing rules, counterparties face the CCP immediately post-trade).</w:t>
      </w:r>
      <w:r w:rsidR="002270B4">
        <w:rPr>
          <w:rFonts w:cs="Arial"/>
          <w:color w:val="000000"/>
          <w:lang w:eastAsia="en-GB"/>
        </w:rPr>
        <w:t xml:space="preserve"> </w:t>
      </w:r>
      <w:r w:rsidR="00126521" w:rsidRPr="002270B4">
        <w:rPr>
          <w:rFonts w:cs="Arial"/>
          <w:bCs/>
          <w:szCs w:val="20"/>
        </w:rPr>
        <w:t>Post-trade name give-up effectively prevents new liquidity providers from accessing specific venues, and the practice does not comply with the non-discriminatory access requirements in MiFID II.</w:t>
      </w:r>
      <w:r w:rsidR="000D1689" w:rsidRPr="002270B4">
        <w:rPr>
          <w:rFonts w:cs="Arial"/>
          <w:bCs/>
          <w:szCs w:val="20"/>
        </w:rPr>
        <w:t xml:space="preserve"> </w:t>
      </w:r>
    </w:p>
    <w:p w14:paraId="4AB64A26" w14:textId="77777777" w:rsidR="00F02363" w:rsidRDefault="00F02363" w:rsidP="00215E7B">
      <w:pPr>
        <w:pStyle w:val="ListParagraph"/>
        <w:autoSpaceDE w:val="0"/>
        <w:autoSpaceDN w:val="0"/>
        <w:adjustRightInd w:val="0"/>
        <w:jc w:val="both"/>
        <w:rPr>
          <w:rFonts w:cs="Arial"/>
          <w:bCs/>
          <w:szCs w:val="20"/>
        </w:rPr>
      </w:pPr>
    </w:p>
    <w:p w14:paraId="4E4762EE" w14:textId="2EF18CB6" w:rsidR="00076E03" w:rsidRPr="002270B4" w:rsidRDefault="00126521" w:rsidP="00215E7B">
      <w:pPr>
        <w:pStyle w:val="ListParagraph"/>
        <w:autoSpaceDE w:val="0"/>
        <w:autoSpaceDN w:val="0"/>
        <w:adjustRightInd w:val="0"/>
        <w:jc w:val="both"/>
        <w:rPr>
          <w:rFonts w:cs="Arial"/>
          <w:bCs/>
          <w:szCs w:val="20"/>
        </w:rPr>
      </w:pPr>
      <w:r w:rsidRPr="002270B4">
        <w:rPr>
          <w:rFonts w:cs="Arial"/>
          <w:bCs/>
          <w:szCs w:val="20"/>
        </w:rPr>
        <w:t>There is no legitimate justification for the continued use of the practice for centrally cleared instruments.</w:t>
      </w:r>
      <w:r w:rsidR="000D1689" w:rsidRPr="002270B4">
        <w:rPr>
          <w:rFonts w:cs="Arial"/>
          <w:bCs/>
          <w:szCs w:val="20"/>
        </w:rPr>
        <w:t xml:space="preserve"> </w:t>
      </w:r>
      <w:r w:rsidRPr="002270B4">
        <w:rPr>
          <w:rFonts w:cs="Arial"/>
          <w:bCs/>
          <w:szCs w:val="20"/>
        </w:rPr>
        <w:t>For these reasons, the US</w:t>
      </w:r>
      <w:r w:rsidR="00F02363">
        <w:rPr>
          <w:rFonts w:cs="Arial"/>
          <w:bCs/>
          <w:szCs w:val="20"/>
        </w:rPr>
        <w:t>.</w:t>
      </w:r>
      <w:r w:rsidRPr="002270B4">
        <w:rPr>
          <w:rFonts w:cs="Arial"/>
          <w:bCs/>
          <w:szCs w:val="20"/>
        </w:rPr>
        <w:t xml:space="preserve"> CFTC has recently proposed to prohibit “post-trade name give-up” for OTC derivatives that are centrally cleared and executed anonymously.</w:t>
      </w:r>
      <w:r w:rsidR="002270B4">
        <w:rPr>
          <w:rFonts w:cs="Arial"/>
          <w:bCs/>
          <w:szCs w:val="20"/>
        </w:rPr>
        <w:t xml:space="preserve"> Th</w:t>
      </w:r>
      <w:r w:rsidR="00076E03" w:rsidRPr="002270B4">
        <w:rPr>
          <w:rFonts w:cs="Arial"/>
          <w:color w:val="000000"/>
          <w:lang w:eastAsia="en-GB"/>
        </w:rPr>
        <w:t xml:space="preserve">e continued use of “post-trade name give-up” serves the entrenched interests of incumbent dealers and blocks new entrants on relevant trading venues. We note that in the US the CFTC </w:t>
      </w:r>
      <w:r w:rsidR="00CA1A0F">
        <w:rPr>
          <w:rFonts w:cs="Arial"/>
          <w:color w:val="000000"/>
          <w:lang w:eastAsia="en-GB"/>
        </w:rPr>
        <w:t>is</w:t>
      </w:r>
      <w:r w:rsidR="00076E03" w:rsidRPr="002270B4">
        <w:rPr>
          <w:rFonts w:cs="Arial"/>
          <w:color w:val="000000"/>
          <w:lang w:eastAsia="en-GB"/>
        </w:rPr>
        <w:t xml:space="preserve"> prohibit</w:t>
      </w:r>
      <w:r w:rsidR="00CA1A0F">
        <w:rPr>
          <w:rFonts w:cs="Arial"/>
          <w:color w:val="000000"/>
          <w:lang w:eastAsia="en-GB"/>
        </w:rPr>
        <w:t>ing</w:t>
      </w:r>
      <w:r w:rsidR="00076E03" w:rsidRPr="002270B4">
        <w:rPr>
          <w:rFonts w:cs="Arial"/>
          <w:color w:val="000000"/>
          <w:lang w:eastAsia="en-GB"/>
        </w:rPr>
        <w:t xml:space="preserve"> “post-trade name give-up” for anonymously executed, cleared OTC derivatives</w:t>
      </w:r>
      <w:r w:rsidR="00A37DC0">
        <w:rPr>
          <w:rStyle w:val="FootnoteReference"/>
          <w:rFonts w:cs="Arial"/>
          <w:color w:val="000000"/>
          <w:lang w:eastAsia="en-GB"/>
        </w:rPr>
        <w:footnoteReference w:id="5"/>
      </w:r>
      <w:r w:rsidR="00076E03" w:rsidRPr="002270B4">
        <w:rPr>
          <w:rFonts w:cs="Arial"/>
          <w:color w:val="000000"/>
          <w:lang w:eastAsia="en-GB"/>
        </w:rPr>
        <w:t xml:space="preserve">, and we urge the </w:t>
      </w:r>
      <w:r w:rsidR="002270B4">
        <w:rPr>
          <w:rFonts w:cs="Arial"/>
          <w:color w:val="000000"/>
          <w:lang w:eastAsia="en-GB"/>
        </w:rPr>
        <w:t>ESMA</w:t>
      </w:r>
      <w:r w:rsidR="00215E7B">
        <w:rPr>
          <w:rFonts w:cs="Arial"/>
          <w:color w:val="000000"/>
          <w:lang w:eastAsia="en-GB"/>
        </w:rPr>
        <w:t xml:space="preserve"> to address this issue in its advice to the European Commission</w:t>
      </w:r>
      <w:r w:rsidR="00076E03" w:rsidRPr="002270B4">
        <w:rPr>
          <w:rFonts w:cs="Arial"/>
          <w:color w:val="000000"/>
          <w:lang w:eastAsia="en-GB"/>
        </w:rPr>
        <w:t>.</w:t>
      </w:r>
    </w:p>
    <w:p w14:paraId="23AB171C" w14:textId="77777777" w:rsidR="00126521" w:rsidRPr="006B08C5" w:rsidRDefault="00126521" w:rsidP="00126521">
      <w:pPr>
        <w:pStyle w:val="ListParagraph"/>
        <w:spacing w:after="200" w:line="276" w:lineRule="auto"/>
        <w:rPr>
          <w:rFonts w:cs="Arial"/>
          <w:bCs/>
          <w:szCs w:val="20"/>
        </w:rPr>
      </w:pPr>
    </w:p>
    <w:p w14:paraId="75A24E0F" w14:textId="77777777" w:rsidR="00126521" w:rsidRPr="006B08C5" w:rsidRDefault="00126521" w:rsidP="00B61F24">
      <w:pPr>
        <w:pStyle w:val="ListParagraph"/>
        <w:numPr>
          <w:ilvl w:val="0"/>
          <w:numId w:val="41"/>
        </w:numPr>
        <w:autoSpaceDE w:val="0"/>
        <w:autoSpaceDN w:val="0"/>
        <w:adjustRightInd w:val="0"/>
        <w:jc w:val="both"/>
        <w:rPr>
          <w:rFonts w:cs="Arial"/>
          <w:bCs/>
          <w:szCs w:val="20"/>
        </w:rPr>
      </w:pPr>
      <w:r w:rsidRPr="003B1A5A">
        <w:rPr>
          <w:b/>
        </w:rPr>
        <w:t>Reconsidering pre-arranged trading for DTO instruments.</w:t>
      </w:r>
      <w:r w:rsidR="000D1689">
        <w:rPr>
          <w:rFonts w:cs="Arial"/>
          <w:bCs/>
          <w:szCs w:val="20"/>
        </w:rPr>
        <w:t xml:space="preserve"> </w:t>
      </w:r>
      <w:r w:rsidRPr="006B08C5">
        <w:rPr>
          <w:rFonts w:cs="Arial"/>
          <w:bCs/>
          <w:szCs w:val="20"/>
        </w:rPr>
        <w:t>While pre-arranged trading may be appropriate for large-sized transactions, allowing too many transactions to be pre-arranged undermines the intent of the DTO, which is to transition trading onto transparent and competitive trading venues.</w:t>
      </w:r>
      <w:r w:rsidR="000D1689">
        <w:rPr>
          <w:rFonts w:cs="Arial"/>
          <w:bCs/>
          <w:szCs w:val="20"/>
        </w:rPr>
        <w:t xml:space="preserve"> </w:t>
      </w:r>
      <w:r w:rsidRPr="006B08C5">
        <w:rPr>
          <w:rFonts w:cs="Arial"/>
          <w:bCs/>
          <w:szCs w:val="20"/>
        </w:rPr>
        <w:t>We recommend that ESMA use the post-trade LIS threshold rather than the pre-trade LIS threshold for these purposes.</w:t>
      </w:r>
      <w:r w:rsidR="000D1689">
        <w:rPr>
          <w:rFonts w:cs="Arial"/>
          <w:bCs/>
          <w:szCs w:val="20"/>
        </w:rPr>
        <w:t xml:space="preserve"> </w:t>
      </w:r>
      <w:r w:rsidR="0004133F">
        <w:rPr>
          <w:rFonts w:cs="Arial"/>
          <w:bCs/>
          <w:szCs w:val="20"/>
        </w:rPr>
        <w:t xml:space="preserve">We note that the practice of executing transactions OTC and then merely reporting them to a regulated market </w:t>
      </w:r>
      <w:r w:rsidR="00567F33">
        <w:rPr>
          <w:rFonts w:cs="Arial"/>
          <w:bCs/>
          <w:szCs w:val="20"/>
        </w:rPr>
        <w:t>w</w:t>
      </w:r>
      <w:r w:rsidR="0004133F">
        <w:rPr>
          <w:rFonts w:cs="Arial"/>
          <w:bCs/>
          <w:szCs w:val="20"/>
        </w:rPr>
        <w:t>ould not be considered to comply with the share trading obligation and we see no reason why it should be permitted for the DTO.</w:t>
      </w:r>
      <w:r w:rsidR="00E1229C">
        <w:rPr>
          <w:rFonts w:cs="Arial"/>
          <w:bCs/>
          <w:szCs w:val="20"/>
        </w:rPr>
        <w:t>]</w:t>
      </w:r>
    </w:p>
    <w:p w14:paraId="6E997AD3" w14:textId="77777777" w:rsidR="002C785B" w:rsidRDefault="002C785B" w:rsidP="002C785B"/>
    <w:p w14:paraId="1109E7B7" w14:textId="77777777" w:rsidR="002C785B" w:rsidRDefault="002C785B" w:rsidP="002C785B">
      <w:r>
        <w:t>&lt;ESMA_QUESTION_CP_MIFID_NQT_23&gt;</w:t>
      </w:r>
    </w:p>
    <w:p w14:paraId="440B2315" w14:textId="77777777" w:rsidR="002C785B" w:rsidRDefault="002C785B" w:rsidP="002C785B"/>
    <w:p w14:paraId="7A4DC108" w14:textId="77777777" w:rsidR="002C785B" w:rsidRDefault="002C785B" w:rsidP="002C785B">
      <w:pPr>
        <w:pStyle w:val="CPQuestions"/>
      </w:pPr>
      <w:r w:rsidRPr="00B27E7B">
        <w:t>Do you have any views on the functioning of the register? Please explain</w:t>
      </w:r>
      <w:r>
        <w:t>.</w:t>
      </w:r>
    </w:p>
    <w:p w14:paraId="13F33909" w14:textId="77777777" w:rsidR="002C785B" w:rsidRDefault="002C785B" w:rsidP="002C785B">
      <w:r>
        <w:t>&lt;ESMA_QUESTION_CP_MIFID_NQT_24&gt;</w:t>
      </w:r>
    </w:p>
    <w:p w14:paraId="74DFBBC0" w14:textId="77777777" w:rsidR="002C785B" w:rsidRDefault="00E1229C" w:rsidP="002C785B">
      <w:r>
        <w:t>[</w:t>
      </w:r>
      <w:r w:rsidR="002C785B">
        <w:t>TYPE YOUR TEXT HERE</w:t>
      </w:r>
      <w:r>
        <w:t>]</w:t>
      </w:r>
    </w:p>
    <w:p w14:paraId="46329868" w14:textId="77777777" w:rsidR="002C785B" w:rsidRDefault="002C785B" w:rsidP="002C785B">
      <w:r>
        <w:t>&lt;ESMA_QUESTION_CP_MIFID_NQT_24&gt;</w:t>
      </w:r>
    </w:p>
    <w:p w14:paraId="1E0D97BD" w14:textId="77777777" w:rsidR="002C785B" w:rsidRDefault="002C785B" w:rsidP="002C785B"/>
    <w:p w14:paraId="0A82EBDB" w14:textId="77777777" w:rsidR="002C785B" w:rsidRDefault="002C785B" w:rsidP="002C785B">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t>.</w:t>
      </w:r>
    </w:p>
    <w:p w14:paraId="5B9EDAE4" w14:textId="77777777" w:rsidR="002C785B" w:rsidRDefault="002C785B" w:rsidP="002C785B">
      <w:r>
        <w:t>&lt;ESMA_QUESTION_CP_MIFID_NQT_25&gt;</w:t>
      </w:r>
    </w:p>
    <w:p w14:paraId="78404EB7" w14:textId="77777777" w:rsidR="002C785B" w:rsidRDefault="00E1229C" w:rsidP="002C785B">
      <w:r>
        <w:t>[</w:t>
      </w:r>
      <w:r w:rsidR="00250A65">
        <w:t>FIA EPTA members consider that</w:t>
      </w:r>
      <w:r w:rsidR="002C785B">
        <w:t xml:space="preserve"> the quarterly calculations are postponing resolution of the concerns in the markets</w:t>
      </w:r>
      <w:r w:rsidR="0043515B">
        <w:t xml:space="preserve"> and create </w:t>
      </w:r>
      <w:r w:rsidR="001561E0">
        <w:t xml:space="preserve">undue </w:t>
      </w:r>
      <w:r w:rsidR="00735334">
        <w:t>c</w:t>
      </w:r>
      <w:r w:rsidR="0043515B">
        <w:t>ircularity</w:t>
      </w:r>
      <w:r w:rsidR="002C785B">
        <w:t>: products are illiquid because they are deemed illiquid; they remain illiquid because</w:t>
      </w:r>
      <w:r w:rsidR="00E601CA">
        <w:t xml:space="preserve"> of</w:t>
      </w:r>
      <w:r w:rsidR="0043515B">
        <w:t xml:space="preserve"> a</w:t>
      </w:r>
      <w:r w:rsidR="002C785B">
        <w:t xml:space="preserve"> lack of transparency. </w:t>
      </w:r>
    </w:p>
    <w:p w14:paraId="5618C647" w14:textId="77777777" w:rsidR="001A46AC" w:rsidRDefault="001A46AC" w:rsidP="002C785B"/>
    <w:p w14:paraId="0F7B7F1E" w14:textId="77777777" w:rsidR="001A46AC" w:rsidRDefault="001A46AC" w:rsidP="001A46AC">
      <w:pPr>
        <w:rPr>
          <w:rFonts w:asciiTheme="minorHAnsi" w:hAnsiTheme="minorHAnsi"/>
          <w:szCs w:val="22"/>
          <w:lang w:eastAsia="en-US"/>
        </w:rPr>
      </w:pPr>
      <w:r>
        <w:t xml:space="preserve">Generally, </w:t>
      </w:r>
      <w:r w:rsidR="002C7FD5">
        <w:t xml:space="preserve">we consider that </w:t>
      </w:r>
      <w:r>
        <w:t xml:space="preserve">the calculations relating to bonds are overly-complicated </w:t>
      </w:r>
      <w:r w:rsidR="002C7FD5">
        <w:t xml:space="preserve">and, </w:t>
      </w:r>
      <w:r>
        <w:t>more importantly</w:t>
      </w:r>
      <w:r w:rsidR="002C7FD5">
        <w:t>,</w:t>
      </w:r>
      <w:r>
        <w:t xml:space="preserve"> lead to poor outcomes for market participants and end-users. A </w:t>
      </w:r>
      <w:r>
        <w:rPr>
          <w:i/>
        </w:rPr>
        <w:t>de minimis</w:t>
      </w:r>
      <w:r>
        <w:t xml:space="preserve"> number of bonds are </w:t>
      </w:r>
      <w:r>
        <w:lastRenderedPageBreak/>
        <w:t xml:space="preserve">deemed liquid. We are in favour of more bonds being deemed liquid to ensure there is greater transparency (both from a pre and post- trade transparency perspective). </w:t>
      </w:r>
    </w:p>
    <w:p w14:paraId="0FC855E7" w14:textId="77777777" w:rsidR="001A46AC" w:rsidRDefault="001A46AC" w:rsidP="001A46AC"/>
    <w:p w14:paraId="139434A5" w14:textId="77777777" w:rsidR="001A46AC" w:rsidRDefault="001A46AC" w:rsidP="001A46AC">
      <w:r>
        <w:t>A simpler methodology to determine whether trading in a particular size should mean a waiver or deferral of pre and post trade transparency might be as follows:</w:t>
      </w:r>
    </w:p>
    <w:p w14:paraId="37B45A7C" w14:textId="77777777" w:rsidR="00312CDB" w:rsidRDefault="00312CDB" w:rsidP="001A46AC"/>
    <w:p w14:paraId="1D0017E6" w14:textId="77777777" w:rsidR="0002480B" w:rsidRDefault="0002480B" w:rsidP="0002480B">
      <w:pPr>
        <w:pStyle w:val="NormalWeb"/>
        <w:spacing w:before="0" w:beforeAutospacing="0" w:after="0" w:afterAutospacing="0"/>
        <w:ind w:left="720"/>
        <w:textAlignment w:val="baseline"/>
        <w:rPr>
          <w:rFonts w:ascii="Arial" w:eastAsiaTheme="minorHAnsi" w:hAnsi="Arial" w:cs="Arial"/>
          <w:noProof/>
          <w:sz w:val="20"/>
          <w:szCs w:val="20"/>
          <w:lang w:eastAsia="en-US"/>
        </w:rPr>
      </w:pPr>
      <w:r>
        <w:rPr>
          <w:rFonts w:ascii="Arial" w:eastAsiaTheme="minorHAnsi" w:hAnsi="Arial" w:cs="Arial"/>
          <w:b/>
          <w:bCs/>
          <w:noProof/>
          <w:sz w:val="20"/>
          <w:szCs w:val="20"/>
          <w:lang w:eastAsia="en-US"/>
        </w:rPr>
        <w:t>[</w:t>
      </w:r>
      <w:r w:rsidR="001A46AC" w:rsidRPr="008C0434">
        <w:rPr>
          <w:rFonts w:ascii="Arial" w:eastAsiaTheme="minorHAnsi" w:hAnsi="Arial" w:cs="Arial"/>
          <w:b/>
          <w:bCs/>
          <w:noProof/>
          <w:sz w:val="20"/>
          <w:szCs w:val="20"/>
          <w:lang w:eastAsia="en-US"/>
        </w:rPr>
        <w:t>Take 1% of issued outstanding bonds divided by years to maturity</w:t>
      </w:r>
      <w:r>
        <w:rPr>
          <w:rFonts w:ascii="Arial" w:eastAsiaTheme="minorHAnsi" w:hAnsi="Arial" w:cs="Arial"/>
          <w:b/>
          <w:bCs/>
          <w:noProof/>
          <w:sz w:val="20"/>
          <w:szCs w:val="20"/>
          <w:lang w:eastAsia="en-US"/>
        </w:rPr>
        <w:t>]</w:t>
      </w:r>
      <w:r w:rsidR="001A46AC" w:rsidRPr="00892BCB">
        <w:rPr>
          <w:rFonts w:ascii="Arial" w:eastAsiaTheme="minorHAnsi" w:hAnsi="Arial" w:cs="Arial"/>
          <w:noProof/>
          <w:sz w:val="20"/>
          <w:szCs w:val="20"/>
          <w:lang w:eastAsia="en-US"/>
        </w:rPr>
        <w:t xml:space="preserve"> </w:t>
      </w:r>
    </w:p>
    <w:p w14:paraId="27A185A8" w14:textId="77777777" w:rsidR="0002480B" w:rsidRDefault="0002480B" w:rsidP="001A46AC">
      <w:pPr>
        <w:pStyle w:val="NormalWeb"/>
        <w:spacing w:before="0" w:beforeAutospacing="0" w:after="0" w:afterAutospacing="0"/>
        <w:textAlignment w:val="baseline"/>
        <w:rPr>
          <w:rFonts w:ascii="Arial" w:eastAsiaTheme="minorHAnsi" w:hAnsi="Arial" w:cs="Arial"/>
          <w:noProof/>
          <w:sz w:val="20"/>
          <w:szCs w:val="20"/>
          <w:lang w:eastAsia="en-US"/>
        </w:rPr>
      </w:pPr>
    </w:p>
    <w:p w14:paraId="7A915339" w14:textId="77777777" w:rsidR="001568DE" w:rsidRDefault="001A46AC" w:rsidP="001A46AC">
      <w:pPr>
        <w:pStyle w:val="NormalWeb"/>
        <w:spacing w:before="0" w:beforeAutospacing="0" w:after="0" w:afterAutospacing="0"/>
        <w:textAlignment w:val="baseline"/>
        <w:rPr>
          <w:rFonts w:ascii="Arial" w:eastAsiaTheme="minorHAnsi" w:hAnsi="Arial" w:cs="Arial"/>
          <w:noProof/>
          <w:sz w:val="20"/>
          <w:szCs w:val="20"/>
          <w:lang w:eastAsia="en-US"/>
        </w:rPr>
      </w:pPr>
      <w:r w:rsidRPr="008C0434">
        <w:rPr>
          <w:rFonts w:ascii="Arial" w:eastAsiaTheme="minorHAnsi" w:hAnsi="Arial" w:cs="Arial"/>
          <w:noProof/>
          <w:sz w:val="20"/>
          <w:szCs w:val="20"/>
          <w:lang w:eastAsia="en-US"/>
        </w:rPr>
        <w:t xml:space="preserve">So, for example, USD1bn outstanding with 10 year maturity equals 10m/10yrs = 1m trade size. </w:t>
      </w:r>
      <w:r w:rsidR="003B225A">
        <w:rPr>
          <w:rFonts w:ascii="Arial" w:eastAsiaTheme="minorHAnsi" w:hAnsi="Arial" w:cs="Arial"/>
          <w:noProof/>
          <w:sz w:val="20"/>
          <w:szCs w:val="20"/>
          <w:lang w:eastAsia="en-US"/>
        </w:rPr>
        <w:t>Thus,</w:t>
      </w:r>
      <w:r w:rsidR="003B225A" w:rsidRPr="008C0434">
        <w:rPr>
          <w:rFonts w:ascii="Arial" w:eastAsiaTheme="minorHAnsi" w:hAnsi="Arial" w:cs="Arial"/>
          <w:noProof/>
          <w:sz w:val="20"/>
          <w:szCs w:val="20"/>
          <w:lang w:eastAsia="en-US"/>
        </w:rPr>
        <w:t xml:space="preserve"> </w:t>
      </w:r>
      <w:r w:rsidRPr="008C0434">
        <w:rPr>
          <w:rFonts w:ascii="Arial" w:eastAsiaTheme="minorHAnsi" w:hAnsi="Arial" w:cs="Arial"/>
          <w:noProof/>
          <w:sz w:val="20"/>
          <w:szCs w:val="20"/>
          <w:lang w:eastAsia="en-US"/>
        </w:rPr>
        <w:t>LIS would be any trade over</w:t>
      </w:r>
      <w:r>
        <w:rPr>
          <w:rFonts w:asciiTheme="minorHAnsi" w:eastAsiaTheme="minorHAnsi" w:hAnsiTheme="minorHAnsi" w:cstheme="minorBidi"/>
          <w:noProof/>
          <w:sz w:val="22"/>
          <w:szCs w:val="22"/>
          <w:lang w:eastAsia="en-US"/>
        </w:rPr>
        <w:t xml:space="preserve"> </w:t>
      </w:r>
      <w:r w:rsidRPr="008C0434">
        <w:rPr>
          <w:rFonts w:ascii="Arial" w:eastAsiaTheme="minorHAnsi" w:hAnsi="Arial" w:cs="Arial"/>
          <w:noProof/>
          <w:sz w:val="20"/>
          <w:szCs w:val="20"/>
          <w:lang w:eastAsia="en-US"/>
        </w:rPr>
        <w:t>1million. Any trades below 1m in that bond would be deemed liquid and should be printed immediately.</w:t>
      </w:r>
    </w:p>
    <w:p w14:paraId="34329FB4" w14:textId="77777777" w:rsidR="001568DE" w:rsidRDefault="001568DE" w:rsidP="001A46AC">
      <w:pPr>
        <w:pStyle w:val="NormalWeb"/>
        <w:spacing w:before="0" w:beforeAutospacing="0" w:after="0" w:afterAutospacing="0"/>
        <w:textAlignment w:val="baseline"/>
        <w:rPr>
          <w:rFonts w:ascii="Arial" w:eastAsiaTheme="minorHAnsi" w:hAnsi="Arial" w:cs="Arial"/>
          <w:noProof/>
          <w:sz w:val="20"/>
          <w:szCs w:val="20"/>
          <w:lang w:eastAsia="en-US"/>
        </w:rPr>
      </w:pPr>
    </w:p>
    <w:p w14:paraId="152588BF" w14:textId="3C031FDF" w:rsidR="001A46AC" w:rsidRPr="001A10A3" w:rsidRDefault="001568DE" w:rsidP="001A46AC">
      <w:pPr>
        <w:pStyle w:val="NormalWeb"/>
        <w:spacing w:before="0" w:beforeAutospacing="0" w:after="0" w:afterAutospacing="0"/>
        <w:textAlignment w:val="baseline"/>
        <w:rPr>
          <w:rFonts w:ascii="Arial" w:hAnsi="Arial" w:cs="Arial"/>
          <w:sz w:val="20"/>
          <w:szCs w:val="20"/>
        </w:rPr>
      </w:pPr>
      <w:proofErr w:type="spellStart"/>
      <w:r w:rsidRPr="008C0434">
        <w:rPr>
          <w:rFonts w:ascii="Arial" w:hAnsi="Arial" w:cs="Arial"/>
          <w:sz w:val="20"/>
          <w:szCs w:val="20"/>
        </w:rPr>
        <w:t>Resolving</w:t>
      </w:r>
      <w:proofErr w:type="spellEnd"/>
      <w:r w:rsidRPr="008C0434">
        <w:rPr>
          <w:rFonts w:ascii="Arial" w:hAnsi="Arial" w:cs="Arial"/>
          <w:sz w:val="20"/>
          <w:szCs w:val="20"/>
        </w:rPr>
        <w:t xml:space="preserve"> the </w:t>
      </w:r>
      <w:proofErr w:type="spellStart"/>
      <w:r w:rsidRPr="008C0434">
        <w:rPr>
          <w:rFonts w:ascii="Arial" w:hAnsi="Arial" w:cs="Arial"/>
          <w:sz w:val="20"/>
          <w:szCs w:val="20"/>
        </w:rPr>
        <w:t>significant</w:t>
      </w:r>
      <w:proofErr w:type="spellEnd"/>
      <w:r w:rsidRPr="008C0434">
        <w:rPr>
          <w:rFonts w:ascii="Arial" w:hAnsi="Arial" w:cs="Arial"/>
          <w:sz w:val="20"/>
          <w:szCs w:val="20"/>
        </w:rPr>
        <w:t xml:space="preserve"> </w:t>
      </w:r>
      <w:proofErr w:type="spellStart"/>
      <w:r w:rsidRPr="008C0434">
        <w:rPr>
          <w:rFonts w:ascii="Arial" w:hAnsi="Arial" w:cs="Arial"/>
          <w:sz w:val="20"/>
          <w:szCs w:val="20"/>
        </w:rPr>
        <w:t>transparency</w:t>
      </w:r>
      <w:proofErr w:type="spellEnd"/>
      <w:r w:rsidRPr="008C0434">
        <w:rPr>
          <w:rFonts w:ascii="Arial" w:hAnsi="Arial" w:cs="Arial"/>
          <w:sz w:val="20"/>
          <w:szCs w:val="20"/>
        </w:rPr>
        <w:t xml:space="preserve"> issues in the </w:t>
      </w:r>
      <w:proofErr w:type="spellStart"/>
      <w:r w:rsidRPr="008C0434">
        <w:rPr>
          <w:rFonts w:ascii="Arial" w:hAnsi="Arial" w:cs="Arial"/>
          <w:sz w:val="20"/>
          <w:szCs w:val="20"/>
        </w:rPr>
        <w:t>fixed</w:t>
      </w:r>
      <w:proofErr w:type="spellEnd"/>
      <w:r w:rsidRPr="008C0434">
        <w:rPr>
          <w:rFonts w:ascii="Arial" w:hAnsi="Arial" w:cs="Arial"/>
          <w:sz w:val="20"/>
          <w:szCs w:val="20"/>
        </w:rPr>
        <w:t xml:space="preserve"> </w:t>
      </w:r>
      <w:proofErr w:type="spellStart"/>
      <w:r w:rsidRPr="008C0434">
        <w:rPr>
          <w:rFonts w:ascii="Arial" w:hAnsi="Arial" w:cs="Arial"/>
          <w:sz w:val="20"/>
          <w:szCs w:val="20"/>
        </w:rPr>
        <w:t>income</w:t>
      </w:r>
      <w:proofErr w:type="spellEnd"/>
      <w:r w:rsidRPr="008C0434">
        <w:rPr>
          <w:rFonts w:ascii="Arial" w:hAnsi="Arial" w:cs="Arial"/>
          <w:sz w:val="20"/>
          <w:szCs w:val="20"/>
        </w:rPr>
        <w:t xml:space="preserve"> </w:t>
      </w:r>
      <w:proofErr w:type="spellStart"/>
      <w:r w:rsidRPr="008C0434">
        <w:rPr>
          <w:rFonts w:ascii="Arial" w:hAnsi="Arial" w:cs="Arial"/>
          <w:sz w:val="20"/>
          <w:szCs w:val="20"/>
        </w:rPr>
        <w:t>market</w:t>
      </w:r>
      <w:proofErr w:type="spellEnd"/>
      <w:r w:rsidRPr="008C0434">
        <w:rPr>
          <w:rFonts w:ascii="Arial" w:hAnsi="Arial" w:cs="Arial"/>
          <w:sz w:val="20"/>
          <w:szCs w:val="20"/>
        </w:rPr>
        <w:t xml:space="preserve"> </w:t>
      </w:r>
      <w:proofErr w:type="spellStart"/>
      <w:r w:rsidRPr="008C0434">
        <w:rPr>
          <w:rFonts w:ascii="Arial" w:hAnsi="Arial" w:cs="Arial"/>
          <w:sz w:val="20"/>
          <w:szCs w:val="20"/>
        </w:rPr>
        <w:t>will</w:t>
      </w:r>
      <w:proofErr w:type="spellEnd"/>
      <w:r w:rsidRPr="008C0434">
        <w:rPr>
          <w:rFonts w:ascii="Arial" w:hAnsi="Arial" w:cs="Arial"/>
          <w:sz w:val="20"/>
          <w:szCs w:val="20"/>
        </w:rPr>
        <w:t xml:space="preserve"> lead to an </w:t>
      </w:r>
      <w:proofErr w:type="spellStart"/>
      <w:r w:rsidRPr="008C0434">
        <w:rPr>
          <w:rFonts w:ascii="Arial" w:hAnsi="Arial" w:cs="Arial"/>
          <w:sz w:val="20"/>
          <w:szCs w:val="20"/>
        </w:rPr>
        <w:t>improvement</w:t>
      </w:r>
      <w:proofErr w:type="spellEnd"/>
      <w:r w:rsidRPr="008C0434">
        <w:rPr>
          <w:rFonts w:ascii="Arial" w:hAnsi="Arial" w:cs="Arial"/>
          <w:sz w:val="20"/>
          <w:szCs w:val="20"/>
        </w:rPr>
        <w:t xml:space="preserve"> in </w:t>
      </w:r>
      <w:proofErr w:type="spellStart"/>
      <w:r w:rsidRPr="008C0434">
        <w:rPr>
          <w:rFonts w:ascii="Arial" w:hAnsi="Arial" w:cs="Arial"/>
          <w:sz w:val="20"/>
          <w:szCs w:val="20"/>
        </w:rPr>
        <w:t>liquidity</w:t>
      </w:r>
      <w:proofErr w:type="spellEnd"/>
      <w:r w:rsidRPr="008C0434">
        <w:rPr>
          <w:rFonts w:ascii="Arial" w:hAnsi="Arial" w:cs="Arial"/>
          <w:sz w:val="20"/>
          <w:szCs w:val="20"/>
        </w:rPr>
        <w:t xml:space="preserve"> and </w:t>
      </w:r>
      <w:proofErr w:type="spellStart"/>
      <w:r w:rsidRPr="008C0434">
        <w:rPr>
          <w:rFonts w:ascii="Arial" w:hAnsi="Arial" w:cs="Arial"/>
          <w:sz w:val="20"/>
          <w:szCs w:val="20"/>
        </w:rPr>
        <w:t>enhance</w:t>
      </w:r>
      <w:proofErr w:type="spellEnd"/>
      <w:r w:rsidRPr="008C0434">
        <w:rPr>
          <w:rFonts w:ascii="Arial" w:hAnsi="Arial" w:cs="Arial"/>
          <w:sz w:val="20"/>
          <w:szCs w:val="20"/>
        </w:rPr>
        <w:t xml:space="preserve"> </w:t>
      </w:r>
      <w:proofErr w:type="spellStart"/>
      <w:r w:rsidRPr="008C0434">
        <w:rPr>
          <w:rFonts w:ascii="Arial" w:hAnsi="Arial" w:cs="Arial"/>
          <w:sz w:val="20"/>
          <w:szCs w:val="20"/>
        </w:rPr>
        <w:t>competition</w:t>
      </w:r>
      <w:proofErr w:type="spellEnd"/>
      <w:r w:rsidRPr="008C0434">
        <w:rPr>
          <w:rFonts w:ascii="Arial" w:hAnsi="Arial" w:cs="Arial"/>
          <w:sz w:val="20"/>
          <w:szCs w:val="20"/>
        </w:rPr>
        <w:t xml:space="preserve"> by </w:t>
      </w:r>
      <w:proofErr w:type="spellStart"/>
      <w:r w:rsidRPr="008C0434">
        <w:rPr>
          <w:rFonts w:ascii="Arial" w:hAnsi="Arial" w:cs="Arial"/>
          <w:sz w:val="20"/>
          <w:szCs w:val="20"/>
        </w:rPr>
        <w:t>encouraging</w:t>
      </w:r>
      <w:proofErr w:type="spellEnd"/>
      <w:r w:rsidRPr="008C0434">
        <w:rPr>
          <w:rFonts w:ascii="Arial" w:hAnsi="Arial" w:cs="Arial"/>
          <w:sz w:val="20"/>
          <w:szCs w:val="20"/>
        </w:rPr>
        <w:t xml:space="preserve"> non-</w:t>
      </w:r>
      <w:proofErr w:type="spellStart"/>
      <w:r w:rsidRPr="008C0434">
        <w:rPr>
          <w:rFonts w:ascii="Arial" w:hAnsi="Arial" w:cs="Arial"/>
          <w:sz w:val="20"/>
          <w:szCs w:val="20"/>
        </w:rPr>
        <w:t>traditional</w:t>
      </w:r>
      <w:proofErr w:type="spellEnd"/>
      <w:r w:rsidRPr="008C0434">
        <w:rPr>
          <w:rFonts w:ascii="Arial" w:hAnsi="Arial" w:cs="Arial"/>
          <w:sz w:val="20"/>
          <w:szCs w:val="20"/>
        </w:rPr>
        <w:t xml:space="preserve"> </w:t>
      </w:r>
      <w:proofErr w:type="spellStart"/>
      <w:r w:rsidRPr="008C0434">
        <w:rPr>
          <w:rFonts w:ascii="Arial" w:hAnsi="Arial" w:cs="Arial"/>
          <w:sz w:val="20"/>
          <w:szCs w:val="20"/>
        </w:rPr>
        <w:t>liquidity</w:t>
      </w:r>
      <w:proofErr w:type="spellEnd"/>
      <w:r w:rsidRPr="008C0434">
        <w:rPr>
          <w:rFonts w:ascii="Arial" w:hAnsi="Arial" w:cs="Arial"/>
          <w:sz w:val="20"/>
          <w:szCs w:val="20"/>
        </w:rPr>
        <w:t xml:space="preserve"> providers (</w:t>
      </w:r>
      <w:proofErr w:type="spellStart"/>
      <w:r w:rsidRPr="008C0434">
        <w:rPr>
          <w:rFonts w:ascii="Arial" w:hAnsi="Arial" w:cs="Arial"/>
          <w:sz w:val="20"/>
          <w:szCs w:val="20"/>
        </w:rPr>
        <w:t>including</w:t>
      </w:r>
      <w:proofErr w:type="spellEnd"/>
      <w:r w:rsidRPr="008C0434">
        <w:rPr>
          <w:rFonts w:ascii="Arial" w:hAnsi="Arial" w:cs="Arial"/>
          <w:sz w:val="20"/>
          <w:szCs w:val="20"/>
        </w:rPr>
        <w:t xml:space="preserve"> </w:t>
      </w:r>
      <w:proofErr w:type="spellStart"/>
      <w:r w:rsidRPr="008C0434">
        <w:rPr>
          <w:rFonts w:ascii="Arial" w:hAnsi="Arial" w:cs="Arial"/>
          <w:sz w:val="20"/>
          <w:szCs w:val="20"/>
        </w:rPr>
        <w:t>electronic</w:t>
      </w:r>
      <w:proofErr w:type="spellEnd"/>
      <w:r w:rsidRPr="008C0434">
        <w:rPr>
          <w:rFonts w:ascii="Arial" w:hAnsi="Arial" w:cs="Arial"/>
          <w:sz w:val="20"/>
          <w:szCs w:val="20"/>
        </w:rPr>
        <w:t xml:space="preserve"> </w:t>
      </w:r>
      <w:proofErr w:type="spellStart"/>
      <w:r w:rsidRPr="008C0434">
        <w:rPr>
          <w:rFonts w:ascii="Arial" w:hAnsi="Arial" w:cs="Arial"/>
          <w:sz w:val="20"/>
          <w:szCs w:val="20"/>
        </w:rPr>
        <w:t>market</w:t>
      </w:r>
      <w:proofErr w:type="spellEnd"/>
      <w:r w:rsidRPr="008C0434">
        <w:rPr>
          <w:rFonts w:ascii="Arial" w:hAnsi="Arial" w:cs="Arial"/>
          <w:sz w:val="20"/>
          <w:szCs w:val="20"/>
        </w:rPr>
        <w:t xml:space="preserve"> </w:t>
      </w:r>
      <w:proofErr w:type="spellStart"/>
      <w:r w:rsidRPr="008C0434">
        <w:rPr>
          <w:rFonts w:ascii="Arial" w:hAnsi="Arial" w:cs="Arial"/>
          <w:sz w:val="20"/>
          <w:szCs w:val="20"/>
        </w:rPr>
        <w:t>makers</w:t>
      </w:r>
      <w:proofErr w:type="spellEnd"/>
      <w:r w:rsidR="001A10A3">
        <w:rPr>
          <w:rFonts w:ascii="Arial" w:hAnsi="Arial" w:cs="Arial"/>
          <w:sz w:val="20"/>
          <w:szCs w:val="20"/>
        </w:rPr>
        <w:t>)</w:t>
      </w:r>
      <w:r w:rsidRPr="008C0434">
        <w:rPr>
          <w:rFonts w:ascii="Arial" w:hAnsi="Arial" w:cs="Arial"/>
          <w:sz w:val="20"/>
          <w:szCs w:val="20"/>
        </w:rPr>
        <w:t xml:space="preserve"> to </w:t>
      </w:r>
      <w:proofErr w:type="spellStart"/>
      <w:r w:rsidRPr="008C0434">
        <w:rPr>
          <w:rFonts w:ascii="Arial" w:hAnsi="Arial" w:cs="Arial"/>
          <w:sz w:val="20"/>
          <w:szCs w:val="20"/>
        </w:rPr>
        <w:t>provide</w:t>
      </w:r>
      <w:proofErr w:type="spellEnd"/>
      <w:r w:rsidRPr="008C0434">
        <w:rPr>
          <w:rFonts w:ascii="Arial" w:hAnsi="Arial" w:cs="Arial"/>
          <w:sz w:val="20"/>
          <w:szCs w:val="20"/>
        </w:rPr>
        <w:t xml:space="preserve"> </w:t>
      </w:r>
      <w:proofErr w:type="spellStart"/>
      <w:r w:rsidRPr="008C0434">
        <w:rPr>
          <w:rFonts w:ascii="Arial" w:hAnsi="Arial" w:cs="Arial"/>
          <w:sz w:val="20"/>
          <w:szCs w:val="20"/>
        </w:rPr>
        <w:t>pricing</w:t>
      </w:r>
      <w:proofErr w:type="spellEnd"/>
      <w:r>
        <w:rPr>
          <w:rFonts w:ascii="Arial" w:hAnsi="Arial" w:cs="Arial"/>
          <w:sz w:val="20"/>
          <w:szCs w:val="20"/>
        </w:rPr>
        <w:t>.</w:t>
      </w:r>
      <w:r w:rsidR="00A87A15">
        <w:rPr>
          <w:rFonts w:ascii="Arial" w:hAnsi="Arial" w:cs="Arial"/>
          <w:sz w:val="20"/>
          <w:szCs w:val="20"/>
        </w:rPr>
        <w:t xml:space="preserve"> </w:t>
      </w:r>
      <w:r w:rsidR="001A10A3">
        <w:rPr>
          <w:rFonts w:ascii="Arial" w:hAnsi="Arial" w:cs="Arial"/>
          <w:sz w:val="20"/>
          <w:szCs w:val="20"/>
        </w:rPr>
        <w:t>This</w:t>
      </w:r>
      <w:r w:rsidR="00181EB1">
        <w:rPr>
          <w:rFonts w:ascii="Arial" w:hAnsi="Arial" w:cs="Arial"/>
          <w:sz w:val="20"/>
          <w:szCs w:val="20"/>
        </w:rPr>
        <w:t xml:space="preserve"> </w:t>
      </w:r>
      <w:proofErr w:type="spellStart"/>
      <w:r w:rsidR="00181EB1">
        <w:rPr>
          <w:rFonts w:ascii="Arial" w:hAnsi="Arial" w:cs="Arial"/>
          <w:sz w:val="20"/>
          <w:szCs w:val="20"/>
        </w:rPr>
        <w:t>reflects</w:t>
      </w:r>
      <w:proofErr w:type="spellEnd"/>
      <w:r w:rsidR="00181EB1">
        <w:rPr>
          <w:rFonts w:ascii="Arial" w:hAnsi="Arial" w:cs="Arial"/>
          <w:sz w:val="20"/>
          <w:szCs w:val="20"/>
        </w:rPr>
        <w:t xml:space="preserve"> </w:t>
      </w:r>
      <w:proofErr w:type="spellStart"/>
      <w:r w:rsidR="00181EB1">
        <w:rPr>
          <w:rFonts w:ascii="Arial" w:hAnsi="Arial" w:cs="Arial"/>
          <w:sz w:val="20"/>
          <w:szCs w:val="20"/>
        </w:rPr>
        <w:t>buy-side</w:t>
      </w:r>
      <w:proofErr w:type="spellEnd"/>
      <w:r w:rsidR="00181EB1">
        <w:rPr>
          <w:rFonts w:ascii="Arial" w:hAnsi="Arial" w:cs="Arial"/>
          <w:sz w:val="20"/>
          <w:szCs w:val="20"/>
        </w:rPr>
        <w:t xml:space="preserve"> </w:t>
      </w:r>
      <w:proofErr w:type="spellStart"/>
      <w:r w:rsidR="00181EB1">
        <w:rPr>
          <w:rFonts w:ascii="Arial" w:hAnsi="Arial" w:cs="Arial"/>
          <w:sz w:val="20"/>
          <w:szCs w:val="20"/>
        </w:rPr>
        <w:t>demand</w:t>
      </w:r>
      <w:proofErr w:type="spellEnd"/>
      <w:r w:rsidR="00181EB1">
        <w:rPr>
          <w:rFonts w:ascii="Arial" w:hAnsi="Arial" w:cs="Arial"/>
          <w:sz w:val="20"/>
          <w:szCs w:val="20"/>
        </w:rPr>
        <w:t xml:space="preserve"> and </w:t>
      </w:r>
      <w:proofErr w:type="spellStart"/>
      <w:r w:rsidR="00181EB1">
        <w:rPr>
          <w:rFonts w:ascii="Arial" w:hAnsi="Arial" w:cs="Arial"/>
          <w:sz w:val="20"/>
          <w:szCs w:val="20"/>
        </w:rPr>
        <w:t>is</w:t>
      </w:r>
      <w:proofErr w:type="spellEnd"/>
      <w:r w:rsidR="00181EB1">
        <w:rPr>
          <w:rFonts w:ascii="Arial" w:hAnsi="Arial" w:cs="Arial"/>
          <w:sz w:val="20"/>
          <w:szCs w:val="20"/>
        </w:rPr>
        <w:t xml:space="preserve"> </w:t>
      </w:r>
      <w:proofErr w:type="spellStart"/>
      <w:r w:rsidR="00181EB1">
        <w:rPr>
          <w:rFonts w:ascii="Arial" w:hAnsi="Arial" w:cs="Arial"/>
          <w:sz w:val="20"/>
          <w:szCs w:val="20"/>
        </w:rPr>
        <w:t>substantiated</w:t>
      </w:r>
      <w:proofErr w:type="spellEnd"/>
      <w:r w:rsidR="00181EB1">
        <w:rPr>
          <w:rFonts w:ascii="Arial" w:hAnsi="Arial" w:cs="Arial"/>
          <w:sz w:val="20"/>
          <w:szCs w:val="20"/>
        </w:rPr>
        <w:t xml:space="preserve"> by </w:t>
      </w:r>
      <w:proofErr w:type="spellStart"/>
      <w:r w:rsidR="00181EB1">
        <w:rPr>
          <w:rFonts w:ascii="Arial" w:hAnsi="Arial" w:cs="Arial"/>
          <w:sz w:val="20"/>
          <w:szCs w:val="20"/>
        </w:rPr>
        <w:t>academic</w:t>
      </w:r>
      <w:proofErr w:type="spellEnd"/>
      <w:r w:rsidR="00181EB1">
        <w:rPr>
          <w:rFonts w:ascii="Arial" w:hAnsi="Arial" w:cs="Arial"/>
          <w:sz w:val="20"/>
          <w:szCs w:val="20"/>
        </w:rPr>
        <w:t xml:space="preserve"> </w:t>
      </w:r>
      <w:proofErr w:type="spellStart"/>
      <w:r w:rsidR="00181EB1">
        <w:rPr>
          <w:rFonts w:ascii="Arial" w:hAnsi="Arial" w:cs="Arial"/>
          <w:sz w:val="20"/>
          <w:szCs w:val="20"/>
        </w:rPr>
        <w:t>research</w:t>
      </w:r>
      <w:proofErr w:type="spellEnd"/>
      <w:r w:rsidR="00107DE0">
        <w:rPr>
          <w:rFonts w:ascii="Arial" w:hAnsi="Arial" w:cs="Arial"/>
          <w:sz w:val="20"/>
          <w:szCs w:val="20"/>
        </w:rPr>
        <w:t xml:space="preserve"> </w:t>
      </w:r>
      <w:proofErr w:type="spellStart"/>
      <w:r w:rsidR="00107DE0">
        <w:rPr>
          <w:rFonts w:ascii="Arial" w:hAnsi="Arial" w:cs="Arial"/>
          <w:sz w:val="20"/>
          <w:szCs w:val="20"/>
        </w:rPr>
        <w:t>which</w:t>
      </w:r>
      <w:proofErr w:type="spellEnd"/>
      <w:r w:rsidR="00107DE0">
        <w:rPr>
          <w:rFonts w:ascii="Arial" w:hAnsi="Arial" w:cs="Arial"/>
          <w:sz w:val="20"/>
          <w:szCs w:val="20"/>
        </w:rPr>
        <w:t xml:space="preserve"> </w:t>
      </w:r>
      <w:r w:rsidR="00B266D6">
        <w:rPr>
          <w:rFonts w:ascii="Arial" w:hAnsi="Arial" w:cs="Arial"/>
          <w:sz w:val="20"/>
          <w:szCs w:val="20"/>
        </w:rPr>
        <w:t xml:space="preserve">has </w:t>
      </w:r>
      <w:proofErr w:type="spellStart"/>
      <w:r w:rsidR="00B266D6">
        <w:rPr>
          <w:rFonts w:ascii="Arial" w:hAnsi="Arial" w:cs="Arial"/>
          <w:sz w:val="20"/>
          <w:szCs w:val="20"/>
        </w:rPr>
        <w:t>confirmed</w:t>
      </w:r>
      <w:proofErr w:type="spellEnd"/>
      <w:r w:rsidR="00B266D6">
        <w:rPr>
          <w:rFonts w:ascii="Arial" w:hAnsi="Arial" w:cs="Arial"/>
          <w:sz w:val="20"/>
          <w:szCs w:val="20"/>
        </w:rPr>
        <w:t xml:space="preserve"> </w:t>
      </w:r>
      <w:proofErr w:type="spellStart"/>
      <w:r w:rsidR="00B266D6">
        <w:rPr>
          <w:rFonts w:ascii="Arial" w:hAnsi="Arial" w:cs="Arial"/>
          <w:sz w:val="20"/>
          <w:szCs w:val="20"/>
        </w:rPr>
        <w:t>that</w:t>
      </w:r>
      <w:proofErr w:type="spellEnd"/>
      <w:r w:rsidR="00B266D6">
        <w:rPr>
          <w:rFonts w:ascii="Arial" w:hAnsi="Arial" w:cs="Arial"/>
          <w:sz w:val="20"/>
          <w:szCs w:val="20"/>
        </w:rPr>
        <w:t xml:space="preserve"> the</w:t>
      </w:r>
      <w:r w:rsidR="0063016C">
        <w:rPr>
          <w:rFonts w:ascii="Arial" w:hAnsi="Arial" w:cs="Arial"/>
          <w:sz w:val="20"/>
          <w:szCs w:val="20"/>
        </w:rPr>
        <w:t xml:space="preserve"> introduction of more </w:t>
      </w:r>
      <w:proofErr w:type="spellStart"/>
      <w:r w:rsidR="0063016C">
        <w:rPr>
          <w:rFonts w:ascii="Arial" w:hAnsi="Arial" w:cs="Arial"/>
          <w:sz w:val="20"/>
          <w:szCs w:val="20"/>
        </w:rPr>
        <w:t>transparency</w:t>
      </w:r>
      <w:proofErr w:type="spellEnd"/>
      <w:r w:rsidR="0063016C">
        <w:rPr>
          <w:rFonts w:ascii="Arial" w:hAnsi="Arial" w:cs="Arial"/>
          <w:sz w:val="20"/>
          <w:szCs w:val="20"/>
        </w:rPr>
        <w:t xml:space="preserve"> in the U</w:t>
      </w:r>
      <w:r w:rsidR="00B266D6">
        <w:rPr>
          <w:rFonts w:ascii="Arial" w:hAnsi="Arial" w:cs="Arial"/>
          <w:sz w:val="20"/>
          <w:szCs w:val="20"/>
        </w:rPr>
        <w:t>.</w:t>
      </w:r>
      <w:r w:rsidR="0063016C">
        <w:rPr>
          <w:rFonts w:ascii="Arial" w:hAnsi="Arial" w:cs="Arial"/>
          <w:sz w:val="20"/>
          <w:szCs w:val="20"/>
        </w:rPr>
        <w:t>S</w:t>
      </w:r>
      <w:r w:rsidR="00B266D6">
        <w:rPr>
          <w:rFonts w:ascii="Arial" w:hAnsi="Arial" w:cs="Arial"/>
          <w:sz w:val="20"/>
          <w:szCs w:val="20"/>
        </w:rPr>
        <w:t>.</w:t>
      </w:r>
      <w:r w:rsidR="0063016C">
        <w:rPr>
          <w:rFonts w:ascii="Arial" w:hAnsi="Arial" w:cs="Arial"/>
          <w:sz w:val="20"/>
          <w:szCs w:val="20"/>
        </w:rPr>
        <w:t xml:space="preserve"> </w:t>
      </w:r>
      <w:proofErr w:type="spellStart"/>
      <w:r w:rsidR="0063016C">
        <w:rPr>
          <w:rFonts w:ascii="Arial" w:hAnsi="Arial" w:cs="Arial"/>
          <w:sz w:val="20"/>
          <w:szCs w:val="20"/>
        </w:rPr>
        <w:t>corporate</w:t>
      </w:r>
      <w:proofErr w:type="spellEnd"/>
      <w:r w:rsidR="0063016C">
        <w:rPr>
          <w:rFonts w:ascii="Arial" w:hAnsi="Arial" w:cs="Arial"/>
          <w:sz w:val="20"/>
          <w:szCs w:val="20"/>
        </w:rPr>
        <w:t xml:space="preserve"> bond </w:t>
      </w:r>
      <w:proofErr w:type="spellStart"/>
      <w:r w:rsidR="0063016C">
        <w:rPr>
          <w:rFonts w:ascii="Arial" w:hAnsi="Arial" w:cs="Arial"/>
          <w:sz w:val="20"/>
          <w:szCs w:val="20"/>
        </w:rPr>
        <w:t>market</w:t>
      </w:r>
      <w:proofErr w:type="spellEnd"/>
      <w:r w:rsidR="0063016C">
        <w:rPr>
          <w:rFonts w:ascii="Arial" w:hAnsi="Arial" w:cs="Arial"/>
          <w:sz w:val="20"/>
          <w:szCs w:val="20"/>
        </w:rPr>
        <w:t xml:space="preserve"> </w:t>
      </w:r>
      <w:r w:rsidR="004E364C">
        <w:rPr>
          <w:rFonts w:ascii="Arial" w:hAnsi="Arial" w:cs="Arial"/>
          <w:sz w:val="20"/>
          <w:szCs w:val="20"/>
        </w:rPr>
        <w:t xml:space="preserve">(TRACE) </w:t>
      </w:r>
      <w:r w:rsidR="0063016C">
        <w:rPr>
          <w:rFonts w:ascii="Arial" w:hAnsi="Arial" w:cs="Arial"/>
          <w:sz w:val="20"/>
          <w:szCs w:val="20"/>
        </w:rPr>
        <w:t xml:space="preserve">has </w:t>
      </w:r>
      <w:proofErr w:type="spellStart"/>
      <w:r w:rsidR="0063016C">
        <w:rPr>
          <w:rFonts w:ascii="Arial" w:hAnsi="Arial" w:cs="Arial"/>
          <w:sz w:val="20"/>
          <w:szCs w:val="20"/>
        </w:rPr>
        <w:t>reduced</w:t>
      </w:r>
      <w:proofErr w:type="spellEnd"/>
      <w:r w:rsidR="0063016C">
        <w:rPr>
          <w:rFonts w:ascii="Arial" w:hAnsi="Arial" w:cs="Arial"/>
          <w:sz w:val="20"/>
          <w:szCs w:val="20"/>
        </w:rPr>
        <w:t xml:space="preserve"> the </w:t>
      </w:r>
      <w:proofErr w:type="spellStart"/>
      <w:r w:rsidR="0063016C">
        <w:rPr>
          <w:rFonts w:ascii="Arial" w:hAnsi="Arial" w:cs="Arial"/>
          <w:sz w:val="20"/>
          <w:szCs w:val="20"/>
        </w:rPr>
        <w:t>estimated</w:t>
      </w:r>
      <w:proofErr w:type="spellEnd"/>
      <w:r w:rsidR="0063016C">
        <w:rPr>
          <w:rFonts w:ascii="Arial" w:hAnsi="Arial" w:cs="Arial"/>
          <w:sz w:val="20"/>
          <w:szCs w:val="20"/>
        </w:rPr>
        <w:t xml:space="preserve"> </w:t>
      </w:r>
      <w:proofErr w:type="spellStart"/>
      <w:r w:rsidR="0063016C">
        <w:rPr>
          <w:rFonts w:ascii="Arial" w:hAnsi="Arial" w:cs="Arial"/>
          <w:sz w:val="20"/>
          <w:szCs w:val="20"/>
        </w:rPr>
        <w:t>bid-ask</w:t>
      </w:r>
      <w:proofErr w:type="spellEnd"/>
      <w:r w:rsidR="0063016C">
        <w:rPr>
          <w:rFonts w:ascii="Arial" w:hAnsi="Arial" w:cs="Arial"/>
          <w:sz w:val="20"/>
          <w:szCs w:val="20"/>
        </w:rPr>
        <w:t xml:space="preserve"> spreads of</w:t>
      </w:r>
      <w:r w:rsidR="00B266D6">
        <w:rPr>
          <w:rFonts w:ascii="Arial" w:hAnsi="Arial" w:cs="Arial"/>
          <w:sz w:val="20"/>
          <w:szCs w:val="20"/>
        </w:rPr>
        <w:t xml:space="preserve"> </w:t>
      </w:r>
      <w:proofErr w:type="spellStart"/>
      <w:r w:rsidR="0063016C">
        <w:rPr>
          <w:rFonts w:ascii="Arial" w:hAnsi="Arial" w:cs="Arial"/>
          <w:sz w:val="20"/>
          <w:szCs w:val="20"/>
        </w:rPr>
        <w:t>peripheral</w:t>
      </w:r>
      <w:proofErr w:type="spellEnd"/>
      <w:r w:rsidR="0063016C">
        <w:rPr>
          <w:rFonts w:ascii="Arial" w:hAnsi="Arial" w:cs="Arial"/>
          <w:sz w:val="20"/>
          <w:szCs w:val="20"/>
        </w:rPr>
        <w:t xml:space="preserve"> dealers by about 24 basis points, </w:t>
      </w:r>
      <w:proofErr w:type="spellStart"/>
      <w:r w:rsidR="0063016C">
        <w:rPr>
          <w:rFonts w:ascii="Arial" w:hAnsi="Arial" w:cs="Arial"/>
          <w:sz w:val="20"/>
          <w:szCs w:val="20"/>
        </w:rPr>
        <w:t>while</w:t>
      </w:r>
      <w:proofErr w:type="spellEnd"/>
      <w:r w:rsidR="0063016C">
        <w:rPr>
          <w:rFonts w:ascii="Arial" w:hAnsi="Arial" w:cs="Arial"/>
          <w:sz w:val="20"/>
          <w:szCs w:val="20"/>
        </w:rPr>
        <w:t xml:space="preserve"> spreads of </w:t>
      </w:r>
      <w:proofErr w:type="spellStart"/>
      <w:r w:rsidR="0063016C">
        <w:rPr>
          <w:rFonts w:ascii="Arial" w:hAnsi="Arial" w:cs="Arial"/>
          <w:sz w:val="20"/>
          <w:szCs w:val="20"/>
        </w:rPr>
        <w:t>core</w:t>
      </w:r>
      <w:proofErr w:type="spellEnd"/>
      <w:r w:rsidR="0063016C">
        <w:rPr>
          <w:rFonts w:ascii="Arial" w:hAnsi="Arial" w:cs="Arial"/>
          <w:sz w:val="20"/>
          <w:szCs w:val="20"/>
        </w:rPr>
        <w:t xml:space="preserve"> dealers </w:t>
      </w:r>
      <w:proofErr w:type="spellStart"/>
      <w:r w:rsidR="0063016C">
        <w:rPr>
          <w:rFonts w:ascii="Arial" w:hAnsi="Arial" w:cs="Arial"/>
          <w:sz w:val="20"/>
          <w:szCs w:val="20"/>
        </w:rPr>
        <w:t>remained</w:t>
      </w:r>
      <w:proofErr w:type="spellEnd"/>
      <w:r w:rsidR="0063016C">
        <w:rPr>
          <w:rFonts w:ascii="Arial" w:hAnsi="Arial" w:cs="Arial"/>
          <w:sz w:val="20"/>
          <w:szCs w:val="20"/>
        </w:rPr>
        <w:t xml:space="preserve"> </w:t>
      </w:r>
      <w:proofErr w:type="spellStart"/>
      <w:r w:rsidR="0063016C">
        <w:rPr>
          <w:rFonts w:ascii="Arial" w:hAnsi="Arial" w:cs="Arial"/>
          <w:sz w:val="20"/>
          <w:szCs w:val="20"/>
        </w:rPr>
        <w:t>unaffected</w:t>
      </w:r>
      <w:proofErr w:type="spellEnd"/>
      <w:r w:rsidR="00AC3DD5">
        <w:rPr>
          <w:rFonts w:ascii="Arial" w:hAnsi="Arial" w:cs="Arial"/>
          <w:sz w:val="20"/>
          <w:szCs w:val="20"/>
        </w:rPr>
        <w:t>.</w:t>
      </w:r>
      <w:r w:rsidR="00DB2059">
        <w:rPr>
          <w:rFonts w:ascii="Arial" w:hAnsi="Arial" w:cs="Arial"/>
          <w:sz w:val="20"/>
          <w:szCs w:val="20"/>
        </w:rPr>
        <w:t xml:space="preserve"> There </w:t>
      </w:r>
      <w:proofErr w:type="spellStart"/>
      <w:r w:rsidR="00DB2059">
        <w:rPr>
          <w:rFonts w:ascii="Arial" w:hAnsi="Arial" w:cs="Arial"/>
          <w:sz w:val="20"/>
          <w:szCs w:val="20"/>
        </w:rPr>
        <w:t>was</w:t>
      </w:r>
      <w:proofErr w:type="spellEnd"/>
      <w:r w:rsidR="00DB2059">
        <w:rPr>
          <w:rFonts w:ascii="Arial" w:hAnsi="Arial" w:cs="Arial"/>
          <w:sz w:val="20"/>
          <w:szCs w:val="20"/>
        </w:rPr>
        <w:t xml:space="preserve"> no </w:t>
      </w:r>
      <w:proofErr w:type="spellStart"/>
      <w:r w:rsidR="00DB2059">
        <w:rPr>
          <w:rFonts w:ascii="Arial" w:hAnsi="Arial" w:cs="Arial"/>
          <w:sz w:val="20"/>
          <w:szCs w:val="20"/>
        </w:rPr>
        <w:t>effect</w:t>
      </w:r>
      <w:proofErr w:type="spellEnd"/>
      <w:r w:rsidR="00DB2059">
        <w:rPr>
          <w:rFonts w:ascii="Arial" w:hAnsi="Arial" w:cs="Arial"/>
          <w:sz w:val="20"/>
          <w:szCs w:val="20"/>
        </w:rPr>
        <w:t xml:space="preserve"> on dealers’ capital </w:t>
      </w:r>
      <w:proofErr w:type="spellStart"/>
      <w:r w:rsidR="00DB2059">
        <w:rPr>
          <w:rFonts w:ascii="Arial" w:hAnsi="Arial" w:cs="Arial"/>
          <w:sz w:val="20"/>
          <w:szCs w:val="20"/>
        </w:rPr>
        <w:t>commitment</w:t>
      </w:r>
      <w:proofErr w:type="spellEnd"/>
      <w:r w:rsidR="00DB2059">
        <w:rPr>
          <w:rFonts w:ascii="Arial" w:hAnsi="Arial" w:cs="Arial"/>
          <w:sz w:val="20"/>
          <w:szCs w:val="20"/>
        </w:rPr>
        <w:t xml:space="preserve"> and </w:t>
      </w:r>
      <w:proofErr w:type="spellStart"/>
      <w:r w:rsidR="00DB2059">
        <w:rPr>
          <w:rFonts w:ascii="Arial" w:hAnsi="Arial" w:cs="Arial"/>
          <w:sz w:val="20"/>
          <w:szCs w:val="20"/>
        </w:rPr>
        <w:t>inventory</w:t>
      </w:r>
      <w:proofErr w:type="spellEnd"/>
      <w:r w:rsidR="00DB2059">
        <w:rPr>
          <w:rFonts w:ascii="Arial" w:hAnsi="Arial" w:cs="Arial"/>
          <w:sz w:val="20"/>
          <w:szCs w:val="20"/>
        </w:rPr>
        <w:t xml:space="preserve"> </w:t>
      </w:r>
      <w:proofErr w:type="spellStart"/>
      <w:r w:rsidR="00DB2059">
        <w:rPr>
          <w:rFonts w:ascii="Arial" w:hAnsi="Arial" w:cs="Arial"/>
          <w:sz w:val="20"/>
          <w:szCs w:val="20"/>
        </w:rPr>
        <w:t>behavior</w:t>
      </w:r>
      <w:proofErr w:type="spellEnd"/>
      <w:r w:rsidR="00CE7677">
        <w:rPr>
          <w:rFonts w:ascii="Arial" w:hAnsi="Arial" w:cs="Arial"/>
          <w:sz w:val="20"/>
          <w:szCs w:val="20"/>
        </w:rPr>
        <w:t>.</w:t>
      </w:r>
      <w:r w:rsidR="00940FFA">
        <w:rPr>
          <w:rStyle w:val="FootnoteReference"/>
          <w:rFonts w:ascii="Arial" w:hAnsi="Arial" w:cs="Arial"/>
          <w:sz w:val="20"/>
          <w:szCs w:val="20"/>
        </w:rPr>
        <w:footnoteReference w:id="6"/>
      </w:r>
      <w:r w:rsidR="00483B19">
        <w:rPr>
          <w:rFonts w:ascii="Arial" w:hAnsi="Arial" w:cs="Arial"/>
          <w:sz w:val="20"/>
          <w:szCs w:val="20"/>
        </w:rPr>
        <w:t>]</w:t>
      </w:r>
      <w:r w:rsidR="001A46AC">
        <w:rPr>
          <w:rFonts w:asciiTheme="minorHAnsi" w:eastAsiaTheme="minorHAnsi" w:hAnsiTheme="minorHAnsi" w:cstheme="minorBidi"/>
          <w:noProof/>
          <w:sz w:val="22"/>
          <w:szCs w:val="22"/>
          <w:lang w:eastAsia="en-US"/>
        </w:rPr>
        <w:t xml:space="preserve"> </w:t>
      </w:r>
    </w:p>
    <w:p w14:paraId="5BFBBE62" w14:textId="77777777" w:rsidR="001A46AC" w:rsidRDefault="001A46AC" w:rsidP="002C785B"/>
    <w:p w14:paraId="63C39BE0" w14:textId="77777777" w:rsidR="002C785B" w:rsidRDefault="002C785B" w:rsidP="002C785B">
      <w:r>
        <w:t>&lt;ESMA_QUESTION_CP_MIFID_NQT_25&gt;</w:t>
      </w:r>
    </w:p>
    <w:p w14:paraId="623FDE41" w14:textId="77777777" w:rsidR="002C785B" w:rsidRDefault="002C785B" w:rsidP="002C785B"/>
    <w:p w14:paraId="473E4372" w14:textId="77777777" w:rsidR="002C785B" w:rsidRDefault="002C785B" w:rsidP="002C785B">
      <w:pPr>
        <w:pStyle w:val="CPQuestions"/>
      </w:pPr>
      <w:r w:rsidRPr="00B27E7B">
        <w:t>Do you agree with ESMA proposal to move to stage 2 for the determination of the liquidity assessment of bonds? Please explain</w:t>
      </w:r>
      <w:r w:rsidRPr="00907865">
        <w:t>.</w:t>
      </w:r>
    </w:p>
    <w:p w14:paraId="3AAE5278" w14:textId="77777777" w:rsidR="002C785B" w:rsidRDefault="002C785B" w:rsidP="002C785B">
      <w:r>
        <w:t>&lt;ESMA_QUESTION_CP_MIFID_NQT_26&gt;</w:t>
      </w:r>
    </w:p>
    <w:p w14:paraId="4C9E8834" w14:textId="77777777" w:rsidR="006817AA" w:rsidRDefault="00E1229C" w:rsidP="002C785B">
      <w:r>
        <w:t>[</w:t>
      </w:r>
      <w:r w:rsidR="002A5015">
        <w:t xml:space="preserve">FIA EPTA members </w:t>
      </w:r>
      <w:r w:rsidR="001A46AC">
        <w:t>are in favour of this change but would note that this will only result in the number of liquid bonds increasing from 0.32% to 0.48% (for the EU</w:t>
      </w:r>
      <w:r w:rsidR="003B376D">
        <w:t>27 and the UK</w:t>
      </w:r>
      <w:r w:rsidR="003E1BC1">
        <w:t xml:space="preserve"> </w:t>
      </w:r>
      <w:r w:rsidR="003B376D">
        <w:t>taken together</w:t>
      </w:r>
      <w:r w:rsidR="001A46AC">
        <w:t>); even less for the EU27</w:t>
      </w:r>
      <w:r w:rsidR="003B376D">
        <w:t xml:space="preserve"> on its own</w:t>
      </w:r>
      <w:r w:rsidR="001A46AC">
        <w:t>. We believe there is significant scope for ESMA to be more ambitious in liquidity determination</w:t>
      </w:r>
      <w:r w:rsidR="000D1689">
        <w:t xml:space="preserve"> </w:t>
      </w:r>
      <w:r w:rsidR="006817AA">
        <w:t>(</w:t>
      </w:r>
      <w:r w:rsidR="001A46AC">
        <w:t>see our response to Q</w:t>
      </w:r>
      <w:r w:rsidR="003B376D">
        <w:t xml:space="preserve">uestion </w:t>
      </w:r>
      <w:r w:rsidR="001A46AC">
        <w:t>25</w:t>
      </w:r>
      <w:r w:rsidR="006817AA">
        <w:t>)</w:t>
      </w:r>
      <w:r w:rsidR="001A46AC">
        <w:t xml:space="preserve">. </w:t>
      </w:r>
    </w:p>
    <w:p w14:paraId="78DC1F15" w14:textId="77777777" w:rsidR="006817AA" w:rsidRDefault="006817AA" w:rsidP="002C785B"/>
    <w:p w14:paraId="2FA173EC" w14:textId="77777777" w:rsidR="001A46AC" w:rsidRDefault="001A46AC" w:rsidP="002C785B">
      <w:r>
        <w:t>In addition, EPTA’s members would be comfortable for ESMA to move to Stage 4 of the liquidity determination</w:t>
      </w:r>
      <w:r w:rsidR="006817AA">
        <w:t xml:space="preserve"> and/or</w:t>
      </w:r>
      <w:r w:rsidR="006817AA" w:rsidRPr="006817AA">
        <w:t xml:space="preserve"> </w:t>
      </w:r>
      <w:r w:rsidR="006817AA">
        <w:t>a new framework that places 80%± of the tradeable fixed income universe that is included in leading indices (and ETFs) in scope of publication requirements</w:t>
      </w:r>
      <w:r w:rsidR="00321EE2">
        <w:t>.</w:t>
      </w:r>
      <w:r w:rsidR="00E1229C">
        <w:t>]</w:t>
      </w:r>
    </w:p>
    <w:p w14:paraId="5FE8F1FC" w14:textId="77777777" w:rsidR="002C785B" w:rsidRDefault="002C785B" w:rsidP="002C785B">
      <w:r>
        <w:t>&lt;ESMA_QUESTION_CP_MIFID_NQT_26&gt;</w:t>
      </w:r>
    </w:p>
    <w:p w14:paraId="069834CE" w14:textId="77777777" w:rsidR="002C785B" w:rsidRDefault="002C785B" w:rsidP="002C785B"/>
    <w:p w14:paraId="182E77AA" w14:textId="77777777" w:rsidR="002C785B" w:rsidRDefault="002C785B" w:rsidP="002C785B">
      <w:pPr>
        <w:pStyle w:val="CPQuestions"/>
      </w:pPr>
      <w:r w:rsidRPr="00B27E7B">
        <w:t>Do you agree with ESMA proposal not to move to stage 2 for the determination of the pre-trade SSTI thresholds for all non-equity instruments except bonds? Please explain</w:t>
      </w:r>
      <w:r>
        <w:t>.</w:t>
      </w:r>
    </w:p>
    <w:p w14:paraId="49B16A68" w14:textId="77777777" w:rsidR="002C785B" w:rsidRDefault="002C785B" w:rsidP="002C785B">
      <w:r>
        <w:t>&lt;ESMA_QUESTION_CP_MIFID_NQT_27&gt;</w:t>
      </w:r>
    </w:p>
    <w:p w14:paraId="364BF3B8" w14:textId="77777777" w:rsidR="00E1229C" w:rsidRDefault="00E1229C" w:rsidP="002C785B">
      <w:r w:rsidRPr="003E1BC1">
        <w:t>[</w:t>
      </w:r>
      <w:r w:rsidR="00F70056" w:rsidRPr="00F70056">
        <w:t>No, as detailed in the report, the current regime has not delivered meaningful pre-trade transparency in non-equities asset classes and therefore we recommend moving to stage 2</w:t>
      </w:r>
      <w:r w:rsidR="004975D6">
        <w:t xml:space="preserve"> as soon as possible</w:t>
      </w:r>
      <w:r w:rsidR="00F70056" w:rsidRPr="00F70056">
        <w:t>.</w:t>
      </w:r>
      <w:r>
        <w:t>]</w:t>
      </w:r>
    </w:p>
    <w:p w14:paraId="1AD1AED1" w14:textId="77777777" w:rsidR="002C785B" w:rsidRDefault="002C785B" w:rsidP="002C785B">
      <w:r>
        <w:t>&lt;ESMA_QUESTION_CP_MIFID_NQT_27&gt;</w:t>
      </w:r>
    </w:p>
    <w:p w14:paraId="792C3AA6" w14:textId="77777777" w:rsidR="002C785B" w:rsidRDefault="002C785B" w:rsidP="002C785B"/>
    <w:p w14:paraId="30D2F162" w14:textId="77777777" w:rsidR="002C785B" w:rsidRDefault="002C785B" w:rsidP="002C785B"/>
    <w:p w14:paraId="278318D7" w14:textId="77777777" w:rsidR="002C785B" w:rsidRDefault="002C785B" w:rsidP="002C785B"/>
    <w:p w14:paraId="6B5CBA95" w14:textId="77777777" w:rsidR="002C785B" w:rsidRDefault="002C785B" w:rsidP="002C785B">
      <w:pPr>
        <w:pStyle w:val="CPQuestions"/>
      </w:pPr>
      <w:r w:rsidRPr="00B27E7B">
        <w:t>Do you agree with ESMA proposal to move to stage 2 for the determination of the pre-trade SSTI thresholds for bonds (except ETCs and ETNs)? Please explain</w:t>
      </w:r>
      <w:r>
        <w:t>.</w:t>
      </w:r>
    </w:p>
    <w:p w14:paraId="5F6ED519" w14:textId="77777777" w:rsidR="002C785B" w:rsidRDefault="002C785B" w:rsidP="002C785B">
      <w:r>
        <w:t>&lt;ESMA_QUESTION_CP_MIFID_NQT_28&gt;</w:t>
      </w:r>
    </w:p>
    <w:p w14:paraId="39F1FA5F" w14:textId="77777777" w:rsidR="00B130FD" w:rsidRDefault="00E1229C" w:rsidP="002C785B">
      <w:r>
        <w:t>[</w:t>
      </w:r>
      <w:r w:rsidR="001A46AC">
        <w:t>As we discuss in our response to Q</w:t>
      </w:r>
      <w:r w:rsidR="00F70056">
        <w:t>3</w:t>
      </w:r>
      <w:r w:rsidR="001A46AC">
        <w:t xml:space="preserve"> above, </w:t>
      </w:r>
      <w:r w:rsidR="00321EE2">
        <w:t xml:space="preserve">FIA </w:t>
      </w:r>
      <w:r w:rsidR="001A46AC">
        <w:t xml:space="preserve">EPTA </w:t>
      </w:r>
      <w:r w:rsidR="00321EE2">
        <w:t xml:space="preserve">members are </w:t>
      </w:r>
      <w:r w:rsidR="001A46AC">
        <w:t>in favour of the removal of the SSTI threshold and the simplification of the various thresholds, deferrals and liquidity determinations.</w:t>
      </w:r>
      <w:r w:rsidR="004975D6">
        <w:t xml:space="preserve"> </w:t>
      </w:r>
      <w:r w:rsidR="009B0671">
        <w:t xml:space="preserve">FIA </w:t>
      </w:r>
      <w:r w:rsidR="004975D6">
        <w:t>EPTA</w:t>
      </w:r>
      <w:r w:rsidR="009B0671">
        <w:t xml:space="preserve"> members</w:t>
      </w:r>
      <w:r w:rsidR="004975D6">
        <w:t xml:space="preserve"> support any measures ESMA can take to </w:t>
      </w:r>
      <w:r w:rsidR="009B0671">
        <w:t xml:space="preserve">meaningfully </w:t>
      </w:r>
      <w:r w:rsidR="004975D6">
        <w:t>improve transparency in the bond market.</w:t>
      </w:r>
      <w:r>
        <w:t>]</w:t>
      </w:r>
      <w:r w:rsidR="00E43A92">
        <w:t xml:space="preserve"> and moving to S4</w:t>
      </w:r>
      <w:r w:rsidR="006E24F7">
        <w:t xml:space="preserve"> - </w:t>
      </w:r>
      <w:r w:rsidR="00E43A92">
        <w:t xml:space="preserve">or </w:t>
      </w:r>
      <w:r w:rsidR="006E24F7">
        <w:t xml:space="preserve">a regime </w:t>
      </w:r>
      <w:r w:rsidR="00E43A92">
        <w:t xml:space="preserve">beyond </w:t>
      </w:r>
      <w:r w:rsidR="006E24F7">
        <w:t xml:space="preserve">- </w:t>
      </w:r>
      <w:r w:rsidR="00E43A92">
        <w:t>as soon as reasonably possibl</w:t>
      </w:r>
      <w:r w:rsidR="00CF2D12">
        <w:t>e</w:t>
      </w:r>
      <w:r w:rsidR="004975D6">
        <w:t>.</w:t>
      </w:r>
      <w:r>
        <w:t>]</w:t>
      </w:r>
      <w:r w:rsidR="001A46AC">
        <w:t xml:space="preserve"> </w:t>
      </w:r>
    </w:p>
    <w:p w14:paraId="131EE3A2" w14:textId="77777777" w:rsidR="002C785B" w:rsidRDefault="002C785B" w:rsidP="002C785B">
      <w:r>
        <w:t>&lt;ESMA_QUESTION_CP_MIFID_NQT_28&gt;</w:t>
      </w:r>
    </w:p>
    <w:p w14:paraId="230F7E84" w14:textId="77777777" w:rsidR="002C785B" w:rsidRDefault="002C785B" w:rsidP="002C785B"/>
    <w:p w14:paraId="24755E6E" w14:textId="77777777" w:rsidR="002C785B" w:rsidRDefault="002C785B" w:rsidP="002C785B">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45B45895" w14:textId="77777777" w:rsidR="002C785B" w:rsidRDefault="002C785B" w:rsidP="002C785B">
      <w:r>
        <w:t>&lt;ESMA_QUESTION_CP_MIFID_NQT_29&gt;</w:t>
      </w:r>
    </w:p>
    <w:p w14:paraId="32B735EE" w14:textId="77777777" w:rsidR="002C785B" w:rsidRDefault="00E1229C" w:rsidP="002C785B">
      <w:r>
        <w:t>[</w:t>
      </w:r>
      <w:r w:rsidR="002C785B">
        <w:t>TYPE YOUR TEXT HERE</w:t>
      </w:r>
      <w:r>
        <w:t>]</w:t>
      </w:r>
    </w:p>
    <w:p w14:paraId="399CB138" w14:textId="77777777" w:rsidR="002C785B" w:rsidRDefault="002C785B" w:rsidP="002C785B">
      <w:r>
        <w:t>&lt;ESMA_QUESTION_CP_MIFID_NQT_29&gt;</w:t>
      </w:r>
    </w:p>
    <w:p w14:paraId="4B478F4E" w14:textId="77777777" w:rsidR="002C785B" w:rsidRDefault="002C785B" w:rsidP="002C785B"/>
    <w:p w14:paraId="135174A3" w14:textId="77777777" w:rsidR="002C785B" w:rsidRDefault="002C785B" w:rsidP="002C785B"/>
    <w:p w14:paraId="36F447C3" w14:textId="77777777" w:rsidR="00E1229C" w:rsidRDefault="00E1229C" w:rsidP="00E1229C">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5471E6AB" w14:textId="77777777" w:rsidR="00E1229C" w:rsidRDefault="00E1229C" w:rsidP="00E1229C">
      <w:r>
        <w:t>&lt;ESMA_QUESTION_CP_MIFID_NQT_29&gt;</w:t>
      </w:r>
    </w:p>
    <w:p w14:paraId="30AB1E5D" w14:textId="77777777" w:rsidR="00E1229C" w:rsidRDefault="00E1229C" w:rsidP="00E1229C">
      <w:r>
        <w:t>[TYPE YOUR TEXT HERE]</w:t>
      </w:r>
    </w:p>
    <w:p w14:paraId="2FB8B35F" w14:textId="77777777" w:rsidR="00E1229C" w:rsidRDefault="00E1229C" w:rsidP="00E1229C">
      <w:r>
        <w:t>&lt;ESMA_QUESTION_CP_MIFID_NQT_29&gt;</w:t>
      </w:r>
    </w:p>
    <w:p w14:paraId="5BC61854" w14:textId="77777777" w:rsidR="00E1229C" w:rsidRDefault="00E1229C" w:rsidP="00E1229C"/>
    <w:p w14:paraId="59A04008" w14:textId="77777777" w:rsidR="00E1229C" w:rsidRDefault="00E1229C" w:rsidP="00E1229C">
      <w:pPr>
        <w:pStyle w:val="CPQuestions"/>
      </w:pPr>
      <w:r w:rsidRPr="00B27E7B">
        <w:t xml:space="preserve">In relation to the segmentation criteria used for commodity derivatives: what is your view on the segmentation criteria currently used? Do you have suggestions to amend them? What is your view on ESMA’s proposals SC1 to SC3? </w:t>
      </w:r>
      <w:r w:rsidRPr="00B27E7B">
        <w:lastRenderedPageBreak/>
        <w:t>In your view, for which sub-asset classes the “delivery/cash settlement location” parameter is relevant</w:t>
      </w:r>
      <w:r>
        <w:t>.</w:t>
      </w:r>
    </w:p>
    <w:p w14:paraId="73C553DC" w14:textId="77777777" w:rsidR="00E1229C" w:rsidRDefault="00E1229C" w:rsidP="00E1229C">
      <w:r>
        <w:t>&lt;ESMA_QUESTION_CP_MIFID_NQT_30&gt;</w:t>
      </w:r>
    </w:p>
    <w:p w14:paraId="742F20C5" w14:textId="77777777" w:rsidR="00E1229C" w:rsidRDefault="00E1229C" w:rsidP="00E1229C">
      <w:r>
        <w:t>[TYPE YOUR TEXT HERE]</w:t>
      </w:r>
    </w:p>
    <w:p w14:paraId="4F091D87" w14:textId="77777777" w:rsidR="00E1229C" w:rsidRDefault="00E1229C" w:rsidP="00E1229C">
      <w:r>
        <w:t>&lt;ESMA_QUESTION_CP_MIFID_NQT_30&gt;</w:t>
      </w:r>
    </w:p>
    <w:p w14:paraId="2BBE968A" w14:textId="77777777" w:rsidR="00E1229C" w:rsidRDefault="00E1229C" w:rsidP="00E1229C"/>
    <w:p w14:paraId="49A20572" w14:textId="77777777" w:rsidR="00E1229C" w:rsidRDefault="00E1229C" w:rsidP="00E1229C">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67B7D408" w14:textId="77777777" w:rsidR="00E1229C" w:rsidRDefault="00E1229C" w:rsidP="00E1229C">
      <w:r>
        <w:t>&lt;ESMA_QUESTION_CP_MIFID_NQT_31&gt;</w:t>
      </w:r>
    </w:p>
    <w:p w14:paraId="124E2D25" w14:textId="77777777" w:rsidR="00E1229C" w:rsidRDefault="00E1229C" w:rsidP="00E1229C">
      <w:r>
        <w:t>[TYPE YOUR TEXT HERE]</w:t>
      </w:r>
    </w:p>
    <w:p w14:paraId="5C26B00B" w14:textId="77777777" w:rsidR="00E1229C" w:rsidRDefault="00E1229C" w:rsidP="00E1229C">
      <w:r>
        <w:t>&lt;ESMA_QUESTION_CP_MIFID_NQT_31&gt;</w:t>
      </w:r>
    </w:p>
    <w:p w14:paraId="533C7A66" w14:textId="77777777" w:rsidR="00E1229C" w:rsidRDefault="00E1229C" w:rsidP="00E1229C"/>
    <w:p w14:paraId="5230842E" w14:textId="77777777" w:rsidR="004675FC" w:rsidRDefault="004675FC"/>
    <w:sectPr w:rsidR="004675FC" w:rsidSect="005000BC">
      <w:footerReference w:type="default" r:id="rId16"/>
      <w:head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2D61F" w14:textId="77777777" w:rsidR="00DA641D" w:rsidRDefault="00DA641D">
      <w:r>
        <w:separator/>
      </w:r>
    </w:p>
  </w:endnote>
  <w:endnote w:type="continuationSeparator" w:id="0">
    <w:p w14:paraId="35AAD6A3" w14:textId="77777777" w:rsidR="00DA641D" w:rsidRDefault="00DA641D">
      <w:r>
        <w:continuationSeparator/>
      </w:r>
    </w:p>
  </w:endnote>
  <w:endnote w:type="continuationNotice" w:id="1">
    <w:p w14:paraId="6C6C2574" w14:textId="77777777" w:rsidR="00DA641D" w:rsidRDefault="00DA6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961787"/>
      <w:docPartObj>
        <w:docPartGallery w:val="Page Numbers (Bottom of Page)"/>
        <w:docPartUnique/>
      </w:docPartObj>
    </w:sdtPr>
    <w:sdtEndPr>
      <w:rPr>
        <w:noProof/>
      </w:rPr>
    </w:sdtEndPr>
    <w:sdtContent>
      <w:p w14:paraId="0B2EA59E" w14:textId="77777777" w:rsidR="00CE37CC" w:rsidRDefault="00CE37CC">
        <w:pPr>
          <w:pStyle w:val="Footer"/>
          <w:jc w:val="right"/>
        </w:pPr>
        <w:r>
          <w:fldChar w:fldCharType="begin"/>
        </w:r>
        <w:r>
          <w:instrText xml:space="preserve"> PAGE   \* MERGEFORMAT </w:instrText>
        </w:r>
        <w:r>
          <w:fldChar w:fldCharType="separate"/>
        </w:r>
        <w:r w:rsidR="001935A2">
          <w:rPr>
            <w:noProof/>
          </w:rPr>
          <w:t>20</w:t>
        </w:r>
        <w:r>
          <w:rPr>
            <w:noProof/>
          </w:rPr>
          <w:fldChar w:fldCharType="end"/>
        </w:r>
      </w:p>
    </w:sdtContent>
  </w:sdt>
  <w:p w14:paraId="17944238" w14:textId="77777777" w:rsidR="00F40E41" w:rsidRDefault="00F40E41">
    <w:pPr>
      <w:pStyle w:val="Footer"/>
    </w:pPr>
  </w:p>
  <w:p w14:paraId="04ABE474" w14:textId="77777777" w:rsidR="00000000" w:rsidRDefault="00B61F24"/>
  <w:p w14:paraId="2723BF71" w14:textId="77777777" w:rsidR="00000000" w:rsidRDefault="00B61F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77FEF" w14:textId="77777777" w:rsidR="00DA641D" w:rsidRDefault="00DA641D">
      <w:r>
        <w:separator/>
      </w:r>
    </w:p>
  </w:footnote>
  <w:footnote w:type="continuationSeparator" w:id="0">
    <w:p w14:paraId="5D0AB91C" w14:textId="77777777" w:rsidR="00DA641D" w:rsidRDefault="00DA641D">
      <w:r>
        <w:continuationSeparator/>
      </w:r>
    </w:p>
  </w:footnote>
  <w:footnote w:type="continuationNotice" w:id="1">
    <w:p w14:paraId="7A70BA72" w14:textId="77777777" w:rsidR="00DA641D" w:rsidRDefault="00DA641D"/>
  </w:footnote>
  <w:footnote w:id="2">
    <w:p w14:paraId="47C6AC9A" w14:textId="77777777" w:rsidR="00C5159D" w:rsidRPr="00A37DC0" w:rsidRDefault="00C5159D" w:rsidP="00471491">
      <w:pPr>
        <w:rPr>
          <w:sz w:val="16"/>
          <w:szCs w:val="16"/>
        </w:rPr>
      </w:pPr>
      <w:r w:rsidRPr="00A37DC0">
        <w:rPr>
          <w:rStyle w:val="FootnoteReference"/>
          <w:sz w:val="16"/>
          <w:szCs w:val="16"/>
        </w:rPr>
        <w:footnoteRef/>
      </w:r>
      <w:r w:rsidRPr="00A37DC0">
        <w:rPr>
          <w:sz w:val="16"/>
          <w:szCs w:val="16"/>
        </w:rPr>
        <w:t xml:space="preserve"> </w:t>
      </w:r>
      <w:r w:rsidR="00A96BCF" w:rsidRPr="00A37DC0">
        <w:rPr>
          <w:sz w:val="16"/>
          <w:szCs w:val="16"/>
        </w:rPr>
        <w:t xml:space="preserve">Cf. </w:t>
      </w:r>
      <w:r w:rsidRPr="00A37DC0">
        <w:rPr>
          <w:sz w:val="16"/>
          <w:szCs w:val="16"/>
        </w:rPr>
        <w:t xml:space="preserve">ICMA’s February 2020 report “Time to Act”, notably pages 11, 18-23, 30 and 40. Available at </w:t>
      </w:r>
      <w:hyperlink r:id="rId1" w:history="1">
        <w:r w:rsidRPr="00A37DC0">
          <w:rPr>
            <w:sz w:val="16"/>
            <w:szCs w:val="16"/>
          </w:rPr>
          <w:t>https://www.icmagroup.org/assets/documents/Regulatory/Secondary-markets/Time-to-act-ICMAs-3rd-study-into-the-state-and-evolution-of-the-European-investment-grade-corporate-bond-secondary-market-040320.pdf</w:t>
        </w:r>
      </w:hyperlink>
    </w:p>
    <w:p w14:paraId="2BD86BCF" w14:textId="77777777" w:rsidR="00C5159D" w:rsidRPr="00A37DC0" w:rsidRDefault="00C5159D">
      <w:pPr>
        <w:pStyle w:val="FootnoteText"/>
        <w:rPr>
          <w:szCs w:val="16"/>
        </w:rPr>
      </w:pPr>
    </w:p>
  </w:footnote>
  <w:footnote w:id="3">
    <w:p w14:paraId="28ACB234" w14:textId="77777777" w:rsidR="00C5159D" w:rsidRPr="00A37DC0" w:rsidRDefault="00C5159D">
      <w:pPr>
        <w:pStyle w:val="FootnoteText"/>
        <w:rPr>
          <w:szCs w:val="16"/>
        </w:rPr>
      </w:pPr>
      <w:r w:rsidRPr="00A37DC0">
        <w:rPr>
          <w:rStyle w:val="FootnoteReference"/>
          <w:szCs w:val="16"/>
        </w:rPr>
        <w:footnoteRef/>
      </w:r>
      <w:r w:rsidRPr="00A37DC0">
        <w:rPr>
          <w:szCs w:val="16"/>
        </w:rPr>
        <w:t xml:space="preserve"> We refer to the following academic papers assessing the current U.S. regime: </w:t>
      </w:r>
    </w:p>
    <w:p w14:paraId="043D2BBE" w14:textId="77777777" w:rsidR="00C5159D" w:rsidRPr="00A37DC0" w:rsidRDefault="00C5159D">
      <w:pPr>
        <w:pStyle w:val="FootnoteText"/>
        <w:rPr>
          <w:rStyle w:val="Hyperlink"/>
          <w:szCs w:val="16"/>
        </w:rPr>
      </w:pPr>
      <w:r w:rsidRPr="00A37DC0">
        <w:rPr>
          <w:szCs w:val="16"/>
        </w:rPr>
        <w:t>Jacobsen and Venkataraman (2018)</w:t>
      </w:r>
      <w:r w:rsidR="00C80B6A" w:rsidRPr="00A37DC0">
        <w:rPr>
          <w:szCs w:val="16"/>
        </w:rPr>
        <w:t>, Does Trade Reporting Improve Market Quality in an Institutional Market? Evidence from 144a Corporate Bonds;</w:t>
      </w:r>
      <w:r w:rsidRPr="00A37DC0">
        <w:rPr>
          <w:szCs w:val="16"/>
        </w:rPr>
        <w:t xml:space="preserve"> </w:t>
      </w:r>
      <w:hyperlink r:id="rId2" w:history="1">
        <w:r w:rsidR="00C80B6A" w:rsidRPr="00A37DC0">
          <w:rPr>
            <w:rStyle w:val="Hyperlink"/>
            <w:szCs w:val="16"/>
          </w:rPr>
          <w:t>https://papers.ssrn.com/sol3/papers.cfm?abstract_id=3171056</w:t>
        </w:r>
      </w:hyperlink>
      <w:r w:rsidR="009930C0" w:rsidRPr="00A37DC0">
        <w:rPr>
          <w:szCs w:val="16"/>
        </w:rPr>
        <w:t>.</w:t>
      </w:r>
      <w:r w:rsidRPr="00A37DC0">
        <w:rPr>
          <w:rStyle w:val="Hyperlink"/>
          <w:szCs w:val="16"/>
        </w:rPr>
        <w:t xml:space="preserve"> </w:t>
      </w:r>
    </w:p>
    <w:p w14:paraId="39C3CA00" w14:textId="77777777" w:rsidR="00C5159D" w:rsidRPr="00A37DC0" w:rsidRDefault="00C80B6A">
      <w:pPr>
        <w:pStyle w:val="FootnoteText"/>
        <w:rPr>
          <w:rStyle w:val="Hyperlink"/>
          <w:szCs w:val="16"/>
        </w:rPr>
      </w:pPr>
      <w:r w:rsidRPr="00A37DC0">
        <w:rPr>
          <w:szCs w:val="16"/>
        </w:rPr>
        <w:t>Asquith, Covert, Pathak (2019), The Effects of Mandatory Transparency in Financial Market Design: Evidence from the Corporate Bond Market</w:t>
      </w:r>
      <w:r w:rsidR="009930C0" w:rsidRPr="00A37DC0">
        <w:rPr>
          <w:szCs w:val="16"/>
        </w:rPr>
        <w:t>,</w:t>
      </w:r>
      <w:r w:rsidRPr="00A37DC0">
        <w:rPr>
          <w:szCs w:val="16"/>
        </w:rPr>
        <w:t xml:space="preserve"> National Bureau of Economic Research; </w:t>
      </w:r>
      <w:hyperlink r:id="rId3" w:history="1">
        <w:r w:rsidRPr="00A37DC0">
          <w:rPr>
            <w:rStyle w:val="Hyperlink"/>
            <w:szCs w:val="16"/>
          </w:rPr>
          <w:t>https://www.nber.org/papers/w19417</w:t>
        </w:r>
      </w:hyperlink>
      <w:r w:rsidR="009930C0" w:rsidRPr="00A37DC0">
        <w:rPr>
          <w:rStyle w:val="Hyperlink"/>
          <w:szCs w:val="16"/>
        </w:rPr>
        <w:t>.</w:t>
      </w:r>
      <w:r w:rsidR="00C5159D" w:rsidRPr="00A37DC0">
        <w:rPr>
          <w:rStyle w:val="Hyperlink"/>
          <w:szCs w:val="16"/>
        </w:rPr>
        <w:t xml:space="preserve"> </w:t>
      </w:r>
    </w:p>
    <w:p w14:paraId="272941C3" w14:textId="77777777" w:rsidR="00C5159D" w:rsidRPr="00A37DC0" w:rsidRDefault="009930C0">
      <w:pPr>
        <w:pStyle w:val="FootnoteText"/>
        <w:rPr>
          <w:szCs w:val="16"/>
          <w:lang w:val="en-US"/>
        </w:rPr>
      </w:pPr>
      <w:r w:rsidRPr="00A37DC0">
        <w:rPr>
          <w:szCs w:val="16"/>
          <w:lang w:val="en-US"/>
        </w:rPr>
        <w:t xml:space="preserve">Loon, Zhong (2013), The Impact of Central Clearing on Counterparty Risk, </w:t>
      </w:r>
      <w:r w:rsidR="00036FAF" w:rsidRPr="00A37DC0">
        <w:rPr>
          <w:szCs w:val="16"/>
          <w:lang w:val="en-US"/>
        </w:rPr>
        <w:t>Liquidity</w:t>
      </w:r>
      <w:r w:rsidRPr="00A37DC0">
        <w:rPr>
          <w:szCs w:val="16"/>
          <w:lang w:val="en-US"/>
        </w:rPr>
        <w:t xml:space="preserve"> and Trading: Evidence from the Credit Default Swap Market, Journal of Financial Economics (forthcoming); </w:t>
      </w:r>
      <w:hyperlink r:id="rId4" w:history="1">
        <w:r w:rsidRPr="00A37DC0">
          <w:rPr>
            <w:rStyle w:val="Hyperlink"/>
            <w:szCs w:val="16"/>
            <w:lang w:val="en-US"/>
          </w:rPr>
          <w:t>https://papers.ssrn.com/sol3/papers.cfm?abstract_id=2176561</w:t>
        </w:r>
      </w:hyperlink>
      <w:r w:rsidRPr="00A37DC0">
        <w:rPr>
          <w:szCs w:val="16"/>
          <w:lang w:val="en-US"/>
        </w:rPr>
        <w:t>.</w:t>
      </w:r>
      <w:r w:rsidR="00C5159D" w:rsidRPr="00A37DC0">
        <w:rPr>
          <w:szCs w:val="16"/>
          <w:lang w:val="en-US"/>
        </w:rPr>
        <w:t xml:space="preserve"> </w:t>
      </w:r>
    </w:p>
    <w:p w14:paraId="74CC8E8F" w14:textId="77777777" w:rsidR="00C5159D" w:rsidRPr="00A37DC0" w:rsidRDefault="009930C0">
      <w:pPr>
        <w:pStyle w:val="FootnoteText"/>
        <w:rPr>
          <w:szCs w:val="16"/>
          <w:lang w:val="en-US"/>
        </w:rPr>
      </w:pPr>
      <w:r w:rsidRPr="00A37DC0">
        <w:rPr>
          <w:szCs w:val="16"/>
        </w:rPr>
        <w:t xml:space="preserve">Loon, Zheng (2014), Does Dodd-Frank Affect OTC Transaction Costs and Liquidity? Evidence from Real-Time CDS Trade Reports, Journal of Financial Economics (forthcoming); </w:t>
      </w:r>
      <w:hyperlink r:id="rId5" w:history="1">
        <w:r w:rsidR="005F34EB" w:rsidRPr="00A37DC0">
          <w:rPr>
            <w:rStyle w:val="Hyperlink"/>
            <w:szCs w:val="16"/>
          </w:rPr>
          <w:t>http://papers.ssrn.com/sol3/papers.cfm?abstract_id=2443654</w:t>
        </w:r>
      </w:hyperlink>
      <w:r w:rsidRPr="00A37DC0">
        <w:rPr>
          <w:rStyle w:val="Hyperlink"/>
          <w:szCs w:val="16"/>
        </w:rPr>
        <w:t>.</w:t>
      </w:r>
    </w:p>
  </w:footnote>
  <w:footnote w:id="4">
    <w:p w14:paraId="6685F10B" w14:textId="77777777" w:rsidR="00ED263B" w:rsidRPr="00A37DC0" w:rsidRDefault="00ED263B">
      <w:pPr>
        <w:pStyle w:val="FootnoteText"/>
        <w:rPr>
          <w:szCs w:val="16"/>
        </w:rPr>
      </w:pPr>
      <w:r w:rsidRPr="00A37DC0">
        <w:rPr>
          <w:rStyle w:val="FootnoteReference"/>
          <w:szCs w:val="16"/>
        </w:rPr>
        <w:footnoteRef/>
      </w:r>
      <w:r w:rsidRPr="00A37DC0">
        <w:rPr>
          <w:szCs w:val="16"/>
        </w:rPr>
        <w:t xml:space="preserve"> </w:t>
      </w:r>
      <w:hyperlink r:id="rId6" w:history="1">
        <w:r w:rsidRPr="00A37DC0">
          <w:rPr>
            <w:color w:val="0000FF"/>
            <w:szCs w:val="16"/>
            <w:u w:val="single"/>
          </w:rPr>
          <w:t>https://www.fia.org/resources/fia-epta-response-esma-consultation-cost-market-data-and-consolidated-tape</w:t>
        </w:r>
      </w:hyperlink>
    </w:p>
  </w:footnote>
  <w:footnote w:id="5">
    <w:p w14:paraId="3B7D1ED2" w14:textId="77777777" w:rsidR="00A37DC0" w:rsidRPr="00A37DC0" w:rsidRDefault="00A37DC0">
      <w:pPr>
        <w:pStyle w:val="FootnoteText"/>
        <w:rPr>
          <w:szCs w:val="16"/>
        </w:rPr>
      </w:pPr>
      <w:r w:rsidRPr="00A37DC0">
        <w:rPr>
          <w:rStyle w:val="FootnoteReference"/>
          <w:szCs w:val="16"/>
        </w:rPr>
        <w:footnoteRef/>
      </w:r>
      <w:r w:rsidRPr="00A37DC0">
        <w:rPr>
          <w:szCs w:val="16"/>
        </w:rPr>
        <w:t xml:space="preserve"> For a summary see e.g., </w:t>
      </w:r>
      <w:hyperlink r:id="rId7" w:history="1">
        <w:r w:rsidRPr="00A37DC0">
          <w:rPr>
            <w:color w:val="0000FF"/>
            <w:szCs w:val="16"/>
            <w:u w:val="single"/>
          </w:rPr>
          <w:t>https://www.shearman.com/perspectives/2020/03/cftc-approves-proposed-rule-on-post-trade-name-give-up-on-swap-execution-facilities</w:t>
        </w:r>
      </w:hyperlink>
    </w:p>
  </w:footnote>
  <w:footnote w:id="6">
    <w:p w14:paraId="4A142060" w14:textId="77777777" w:rsidR="00940FFA" w:rsidRPr="00A37DC0" w:rsidRDefault="00940FFA">
      <w:pPr>
        <w:pStyle w:val="FootnoteText"/>
        <w:rPr>
          <w:szCs w:val="16"/>
          <w:lang w:val="en-US"/>
        </w:rPr>
      </w:pPr>
      <w:r w:rsidRPr="00A37DC0">
        <w:rPr>
          <w:rStyle w:val="FootnoteReference"/>
          <w:szCs w:val="16"/>
        </w:rPr>
        <w:footnoteRef/>
      </w:r>
      <w:r w:rsidRPr="00A37DC0">
        <w:rPr>
          <w:szCs w:val="16"/>
        </w:rPr>
        <w:t xml:space="preserve"> </w:t>
      </w:r>
      <w:proofErr w:type="spellStart"/>
      <w:r w:rsidRPr="00A37DC0">
        <w:rPr>
          <w:szCs w:val="16"/>
          <w:lang w:val="en-US"/>
        </w:rPr>
        <w:t>Dugalic</w:t>
      </w:r>
      <w:proofErr w:type="spellEnd"/>
      <w:r w:rsidRPr="00A37DC0">
        <w:rPr>
          <w:szCs w:val="16"/>
          <w:lang w:val="en-US"/>
        </w:rPr>
        <w:t xml:space="preserve"> (2018), The Effect of Corporate Bond Market Transparency Across Dealers, in</w:t>
      </w:r>
      <w:r w:rsidR="00C05D5D" w:rsidRPr="00A37DC0">
        <w:rPr>
          <w:szCs w:val="16"/>
          <w:lang w:val="en-US"/>
        </w:rPr>
        <w:t>:</w:t>
      </w:r>
      <w:r w:rsidRPr="00A37DC0">
        <w:rPr>
          <w:szCs w:val="16"/>
          <w:lang w:val="en-US"/>
        </w:rPr>
        <w:t xml:space="preserve"> Essays in Financial Economics; </w:t>
      </w:r>
      <w:hyperlink r:id="rId8" w:history="1">
        <w:r w:rsidRPr="00A37DC0">
          <w:rPr>
            <w:rStyle w:val="Hyperlink"/>
            <w:szCs w:val="16"/>
            <w:lang w:val="en-US"/>
          </w:rPr>
          <w:t>https://searchworks.stanford.edu/view/12663220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5159D" w:rsidRPr="002F4496" w14:paraId="500C7274" w14:textId="77777777" w:rsidTr="005000BC">
      <w:trPr>
        <w:trHeight w:val="284"/>
      </w:trPr>
      <w:tc>
        <w:tcPr>
          <w:tcW w:w="8460" w:type="dxa"/>
        </w:tcPr>
        <w:p w14:paraId="485EC29A" w14:textId="77777777" w:rsidR="00C5159D" w:rsidRPr="000C3B6D" w:rsidRDefault="00C5159D" w:rsidP="005000BC">
          <w:pPr>
            <w:pStyle w:val="00Footer"/>
            <w:rPr>
              <w:lang w:val="fr-FR"/>
            </w:rPr>
          </w:pPr>
        </w:p>
      </w:tc>
      <w:tc>
        <w:tcPr>
          <w:tcW w:w="952" w:type="dxa"/>
        </w:tcPr>
        <w:p w14:paraId="765C5A98" w14:textId="77777777" w:rsidR="00C5159D" w:rsidRPr="00146B34" w:rsidRDefault="00C5159D" w:rsidP="005000BC">
          <w:pPr>
            <w:pStyle w:val="00aPagenumber"/>
            <w:rPr>
              <w:lang w:val="fr-FR"/>
            </w:rPr>
          </w:pPr>
        </w:p>
      </w:tc>
    </w:tr>
  </w:tbl>
  <w:p w14:paraId="088FA216" w14:textId="77777777" w:rsidR="00CE37CC" w:rsidRPr="00DB46C3" w:rsidRDefault="00CE37CC">
    <w:pPr>
      <w:rPr>
        <w:lang w:val="fr-FR"/>
      </w:rPr>
    </w:pPr>
  </w:p>
  <w:p w14:paraId="0949E696" w14:textId="77777777" w:rsidR="00C5159D" w:rsidRPr="002F4496" w:rsidRDefault="00C5159D">
    <w:pPr>
      <w:pStyle w:val="Header"/>
      <w:rPr>
        <w:lang w:val="fr-FR"/>
      </w:rPr>
    </w:pPr>
  </w:p>
  <w:p w14:paraId="731FABA1" w14:textId="77777777" w:rsidR="00C5159D" w:rsidRPr="002F4496" w:rsidRDefault="00C5159D" w:rsidP="005000BC">
    <w:pPr>
      <w:pStyle w:val="Header"/>
      <w:tabs>
        <w:tab w:val="clear" w:pos="4536"/>
        <w:tab w:val="clear" w:pos="9072"/>
        <w:tab w:val="left" w:pos="8227"/>
      </w:tabs>
      <w:rPr>
        <w:lang w:val="fr-FR"/>
      </w:rPr>
    </w:pPr>
  </w:p>
  <w:p w14:paraId="210846F6" w14:textId="77777777" w:rsidR="00C5159D" w:rsidRPr="002F4496" w:rsidRDefault="00C5159D" w:rsidP="005000BC">
    <w:pPr>
      <w:pStyle w:val="Header"/>
      <w:jc w:val="right"/>
      <w:rPr>
        <w:lang w:val="fr-FR"/>
      </w:rPr>
    </w:pPr>
  </w:p>
  <w:p w14:paraId="55970E6D" w14:textId="77777777" w:rsidR="00C5159D" w:rsidRPr="002F4496" w:rsidRDefault="00C5159D">
    <w:pPr>
      <w:pStyle w:val="Header"/>
      <w:rPr>
        <w:lang w:val="fr-FR"/>
      </w:rPr>
    </w:pPr>
  </w:p>
  <w:p w14:paraId="1F115B3E" w14:textId="77777777" w:rsidR="00C5159D" w:rsidRPr="002F4496" w:rsidRDefault="00C5159D">
    <w:pPr>
      <w:pStyle w:val="Header"/>
      <w:rPr>
        <w:lang w:val="fr-FR"/>
      </w:rPr>
    </w:pPr>
  </w:p>
  <w:p w14:paraId="77E625B9" w14:textId="77777777" w:rsidR="00C5159D" w:rsidRPr="002F4496" w:rsidRDefault="00C5159D">
    <w:pPr>
      <w:pStyle w:val="Header"/>
      <w:rPr>
        <w:lang w:val="fr-FR"/>
      </w:rPr>
    </w:pPr>
  </w:p>
  <w:p w14:paraId="53421FFE" w14:textId="77777777" w:rsidR="00C5159D" w:rsidRPr="002F4496" w:rsidRDefault="00C5159D">
    <w:pPr>
      <w:pStyle w:val="Header"/>
      <w:rPr>
        <w:highlight w:val="yellow"/>
        <w:lang w:val="fr-FR"/>
      </w:rPr>
    </w:pPr>
  </w:p>
  <w:p w14:paraId="2AD241CB" w14:textId="77777777" w:rsidR="00C5159D" w:rsidRDefault="00C5159D">
    <w:pPr>
      <w:pStyle w:val="Header"/>
    </w:pPr>
    <w:r>
      <w:rPr>
        <w:noProof/>
        <w:lang w:val="en-IE" w:eastAsia="en-IE"/>
      </w:rPr>
      <mc:AlternateContent>
        <mc:Choice Requires="wps">
          <w:drawing>
            <wp:anchor distT="0" distB="0" distL="114299" distR="114299" simplePos="0" relativeHeight="251660288" behindDoc="0" locked="0" layoutInCell="1" allowOverlap="1" wp14:anchorId="78B43D20" wp14:editId="359A003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EB0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" strokecolor="#283583" strokeweight="1pt">
              <w10:wrap anchorx="page" anchory="page"/>
            </v:line>
          </w:pict>
        </mc:Fallback>
      </mc:AlternateContent>
    </w:r>
    <w:r>
      <w:rPr>
        <w:noProof/>
        <w:lang w:val="en-IE" w:eastAsia="en-IE"/>
      </w:rPr>
      <w:drawing>
        <wp:anchor distT="0" distB="0" distL="114300" distR="114300" simplePos="0" relativeHeight="251659264" behindDoc="0" locked="0" layoutInCell="1" allowOverlap="1" wp14:anchorId="7007271A" wp14:editId="5D740A9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4D70A5"/>
    <w:multiLevelType w:val="hybridMultilevel"/>
    <w:tmpl w:val="B9D00BF0"/>
    <w:lvl w:ilvl="0" w:tplc="18090017">
      <w:start w:val="1"/>
      <w:numFmt w:val="lowerLetter"/>
      <w:lvlText w:val="%1)"/>
      <w:lvlJc w:val="left"/>
      <w:pPr>
        <w:ind w:left="2138" w:hanging="360"/>
      </w:pPr>
    </w:lvl>
    <w:lvl w:ilvl="1" w:tplc="18090019" w:tentative="1">
      <w:start w:val="1"/>
      <w:numFmt w:val="lowerLetter"/>
      <w:lvlText w:val="%2."/>
      <w:lvlJc w:val="left"/>
      <w:pPr>
        <w:ind w:left="2858" w:hanging="360"/>
      </w:pPr>
    </w:lvl>
    <w:lvl w:ilvl="2" w:tplc="1809001B" w:tentative="1">
      <w:start w:val="1"/>
      <w:numFmt w:val="lowerRoman"/>
      <w:lvlText w:val="%3."/>
      <w:lvlJc w:val="right"/>
      <w:pPr>
        <w:ind w:left="3578" w:hanging="180"/>
      </w:pPr>
    </w:lvl>
    <w:lvl w:ilvl="3" w:tplc="1809000F" w:tentative="1">
      <w:start w:val="1"/>
      <w:numFmt w:val="decimal"/>
      <w:lvlText w:val="%4."/>
      <w:lvlJc w:val="left"/>
      <w:pPr>
        <w:ind w:left="4298" w:hanging="360"/>
      </w:pPr>
    </w:lvl>
    <w:lvl w:ilvl="4" w:tplc="18090019" w:tentative="1">
      <w:start w:val="1"/>
      <w:numFmt w:val="lowerLetter"/>
      <w:lvlText w:val="%5."/>
      <w:lvlJc w:val="left"/>
      <w:pPr>
        <w:ind w:left="5018" w:hanging="360"/>
      </w:pPr>
    </w:lvl>
    <w:lvl w:ilvl="5" w:tplc="1809001B" w:tentative="1">
      <w:start w:val="1"/>
      <w:numFmt w:val="lowerRoman"/>
      <w:lvlText w:val="%6."/>
      <w:lvlJc w:val="right"/>
      <w:pPr>
        <w:ind w:left="5738" w:hanging="180"/>
      </w:pPr>
    </w:lvl>
    <w:lvl w:ilvl="6" w:tplc="1809000F" w:tentative="1">
      <w:start w:val="1"/>
      <w:numFmt w:val="decimal"/>
      <w:lvlText w:val="%7."/>
      <w:lvlJc w:val="left"/>
      <w:pPr>
        <w:ind w:left="6458" w:hanging="360"/>
      </w:pPr>
    </w:lvl>
    <w:lvl w:ilvl="7" w:tplc="18090019" w:tentative="1">
      <w:start w:val="1"/>
      <w:numFmt w:val="lowerLetter"/>
      <w:lvlText w:val="%8."/>
      <w:lvlJc w:val="left"/>
      <w:pPr>
        <w:ind w:left="7178" w:hanging="360"/>
      </w:pPr>
    </w:lvl>
    <w:lvl w:ilvl="8" w:tplc="1809001B" w:tentative="1">
      <w:start w:val="1"/>
      <w:numFmt w:val="lowerRoman"/>
      <w:lvlText w:val="%9."/>
      <w:lvlJc w:val="right"/>
      <w:pPr>
        <w:ind w:left="7898" w:hanging="180"/>
      </w:p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C92B33"/>
    <w:multiLevelType w:val="hybridMultilevel"/>
    <w:tmpl w:val="EF1EE4D6"/>
    <w:lvl w:ilvl="0" w:tplc="1000000F">
      <w:start w:val="1"/>
      <w:numFmt w:val="decimal"/>
      <w:lvlText w:val="%1."/>
      <w:lvlJc w:val="left"/>
      <w:pPr>
        <w:ind w:left="773" w:hanging="360"/>
      </w:pPr>
      <w:rPr>
        <w:rFonts w:hint="default"/>
      </w:rPr>
    </w:lvl>
    <w:lvl w:ilvl="1" w:tplc="18090003" w:tentative="1">
      <w:start w:val="1"/>
      <w:numFmt w:val="bullet"/>
      <w:lvlText w:val="o"/>
      <w:lvlJc w:val="left"/>
      <w:pPr>
        <w:ind w:left="1493" w:hanging="360"/>
      </w:pPr>
      <w:rPr>
        <w:rFonts w:ascii="Courier New" w:hAnsi="Courier New" w:cs="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cs="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cs="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492E35"/>
    <w:multiLevelType w:val="hybridMultilevel"/>
    <w:tmpl w:val="E9E45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531877"/>
    <w:multiLevelType w:val="hybridMultilevel"/>
    <w:tmpl w:val="79844C4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F765D1"/>
    <w:multiLevelType w:val="hybridMultilevel"/>
    <w:tmpl w:val="C5748A26"/>
    <w:lvl w:ilvl="0" w:tplc="DAF0E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3EB55BBB"/>
    <w:multiLevelType w:val="hybridMultilevel"/>
    <w:tmpl w:val="368CF8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108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0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1361" w:hanging="360"/>
      </w:pPr>
    </w:lvl>
    <w:lvl w:ilvl="4" w:tplc="04090019" w:tentative="1">
      <w:start w:val="1"/>
      <w:numFmt w:val="lowerLetter"/>
      <w:lvlText w:val="%5."/>
      <w:lvlJc w:val="left"/>
      <w:pPr>
        <w:ind w:left="-641" w:hanging="360"/>
      </w:pPr>
    </w:lvl>
    <w:lvl w:ilvl="5" w:tplc="0409001B" w:tentative="1">
      <w:start w:val="1"/>
      <w:numFmt w:val="lowerRoman"/>
      <w:lvlText w:val="%6."/>
      <w:lvlJc w:val="right"/>
      <w:pPr>
        <w:ind w:left="79" w:hanging="180"/>
      </w:pPr>
    </w:lvl>
    <w:lvl w:ilvl="6" w:tplc="0409000F">
      <w:start w:val="1"/>
      <w:numFmt w:val="decimal"/>
      <w:lvlText w:val="%7."/>
      <w:lvlJc w:val="left"/>
      <w:pPr>
        <w:ind w:left="799" w:hanging="360"/>
      </w:pPr>
    </w:lvl>
    <w:lvl w:ilvl="7" w:tplc="04090019" w:tentative="1">
      <w:start w:val="1"/>
      <w:numFmt w:val="lowerLetter"/>
      <w:lvlText w:val="%8."/>
      <w:lvlJc w:val="left"/>
      <w:pPr>
        <w:ind w:left="1519" w:hanging="360"/>
      </w:pPr>
    </w:lvl>
    <w:lvl w:ilvl="8" w:tplc="0409001B" w:tentative="1">
      <w:start w:val="1"/>
      <w:numFmt w:val="lowerRoman"/>
      <w:lvlText w:val="%9."/>
      <w:lvlJc w:val="right"/>
      <w:pPr>
        <w:ind w:left="2239"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A56090"/>
    <w:multiLevelType w:val="hybridMultilevel"/>
    <w:tmpl w:val="3E3E20D6"/>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9"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4722498"/>
    <w:multiLevelType w:val="hybridMultilevel"/>
    <w:tmpl w:val="3DA44736"/>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37" w15:restartNumberingAfterBreak="0">
    <w:nsid w:val="65082E3C"/>
    <w:multiLevelType w:val="hybridMultilevel"/>
    <w:tmpl w:val="86E20D2E"/>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38" w15:restartNumberingAfterBreak="0">
    <w:nsid w:val="671A2EA8"/>
    <w:multiLevelType w:val="hybridMultilevel"/>
    <w:tmpl w:val="1228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4"/>
  </w:num>
  <w:num w:numId="4">
    <w:abstractNumId w:val="26"/>
  </w:num>
  <w:num w:numId="5">
    <w:abstractNumId w:val="29"/>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5"/>
  </w:num>
  <w:num w:numId="15">
    <w:abstractNumId w:val="11"/>
  </w:num>
  <w:num w:numId="16">
    <w:abstractNumId w:val="2"/>
  </w:num>
  <w:num w:numId="17">
    <w:abstractNumId w:val="15"/>
  </w:num>
  <w:num w:numId="18">
    <w:abstractNumId w:val="17"/>
  </w:num>
  <w:num w:numId="19">
    <w:abstractNumId w:val="19"/>
  </w:num>
  <w:num w:numId="20">
    <w:abstractNumId w:val="30"/>
  </w:num>
  <w:num w:numId="21">
    <w:abstractNumId w:val="43"/>
  </w:num>
  <w:num w:numId="22">
    <w:abstractNumId w:val="27"/>
  </w:num>
  <w:num w:numId="23">
    <w:abstractNumId w:val="10"/>
  </w:num>
  <w:num w:numId="24">
    <w:abstractNumId w:val="33"/>
  </w:num>
  <w:num w:numId="25">
    <w:abstractNumId w:val="32"/>
  </w:num>
  <w:num w:numId="26">
    <w:abstractNumId w:val="22"/>
  </w:num>
  <w:num w:numId="27">
    <w:abstractNumId w:val="39"/>
  </w:num>
  <w:num w:numId="28">
    <w:abstractNumId w:val="45"/>
  </w:num>
  <w:num w:numId="29">
    <w:abstractNumId w:val="8"/>
  </w:num>
  <w:num w:numId="30">
    <w:abstractNumId w:val="3"/>
  </w:num>
  <w:num w:numId="31">
    <w:abstractNumId w:val="24"/>
  </w:num>
  <w:num w:numId="32">
    <w:abstractNumId w:val="23"/>
  </w:num>
  <w:num w:numId="33">
    <w:abstractNumId w:val="41"/>
  </w:num>
  <w:num w:numId="34">
    <w:abstractNumId w:val="40"/>
  </w:num>
  <w:num w:numId="35">
    <w:abstractNumId w:val="36"/>
  </w:num>
  <w:num w:numId="36">
    <w:abstractNumId w:val="1"/>
  </w:num>
  <w:num w:numId="37">
    <w:abstractNumId w:val="28"/>
  </w:num>
  <w:num w:numId="38">
    <w:abstractNumId w:val="37"/>
  </w:num>
  <w:num w:numId="39">
    <w:abstractNumId w:val="12"/>
  </w:num>
  <w:num w:numId="40">
    <w:abstractNumId w:val="16"/>
  </w:num>
  <w:num w:numId="41">
    <w:abstractNumId w:val="38"/>
  </w:num>
  <w:num w:numId="42">
    <w:abstractNumId w:val="7"/>
  </w:num>
  <w:num w:numId="43">
    <w:abstractNumId w:val="20"/>
  </w:num>
  <w:num w:numId="44">
    <w:abstractNumId w:val="13"/>
  </w:num>
  <w:num w:numId="45">
    <w:abstractNumId w:val="5"/>
    <w:lvlOverride w:ilvl="0"/>
    <w:lvlOverride w:ilvl="1"/>
    <w:lvlOverride w:ilvl="2"/>
    <w:lvlOverride w:ilvl="3"/>
    <w:lvlOverride w:ilvl="4"/>
    <w:lvlOverride w:ilvl="5"/>
    <w:lvlOverride w:ilvl="6"/>
    <w:lvlOverride w:ilvl="7"/>
    <w:lvlOverride w:ilvl="8"/>
  </w:num>
  <w:num w:numId="46">
    <w:abstractNumId w:val="42"/>
    <w:lvlOverride w:ilvl="0"/>
    <w:lvlOverride w:ilvl="1"/>
    <w:lvlOverride w:ilvl="2"/>
    <w:lvlOverride w:ilvl="3"/>
    <w:lvlOverride w:ilvl="4"/>
    <w:lvlOverride w:ilvl="5"/>
    <w:lvlOverride w:ilvl="6"/>
    <w:lvlOverride w:ilvl="7"/>
    <w:lvlOverride w:ilvl="8"/>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nl-NL"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revisionView w:formatting="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31"/>
    <w:rsid w:val="00001A89"/>
    <w:rsid w:val="000033E2"/>
    <w:rsid w:val="00006558"/>
    <w:rsid w:val="0001177B"/>
    <w:rsid w:val="00012DAB"/>
    <w:rsid w:val="000160DB"/>
    <w:rsid w:val="0001684A"/>
    <w:rsid w:val="00022147"/>
    <w:rsid w:val="000222B3"/>
    <w:rsid w:val="000242FF"/>
    <w:rsid w:val="0002480B"/>
    <w:rsid w:val="00025CCA"/>
    <w:rsid w:val="00027275"/>
    <w:rsid w:val="00033593"/>
    <w:rsid w:val="00034B76"/>
    <w:rsid w:val="00036FAF"/>
    <w:rsid w:val="0004133F"/>
    <w:rsid w:val="00041F3B"/>
    <w:rsid w:val="00041FCC"/>
    <w:rsid w:val="0004306D"/>
    <w:rsid w:val="00044F81"/>
    <w:rsid w:val="0004590A"/>
    <w:rsid w:val="0004634C"/>
    <w:rsid w:val="00047C17"/>
    <w:rsid w:val="00051DCD"/>
    <w:rsid w:val="00055153"/>
    <w:rsid w:val="00056C08"/>
    <w:rsid w:val="000604A9"/>
    <w:rsid w:val="00062B86"/>
    <w:rsid w:val="000641CF"/>
    <w:rsid w:val="00066F1C"/>
    <w:rsid w:val="00071E41"/>
    <w:rsid w:val="0007384E"/>
    <w:rsid w:val="00074B20"/>
    <w:rsid w:val="00076E03"/>
    <w:rsid w:val="00081D39"/>
    <w:rsid w:val="0008201A"/>
    <w:rsid w:val="00086CCD"/>
    <w:rsid w:val="0009173B"/>
    <w:rsid w:val="00093A4A"/>
    <w:rsid w:val="00094532"/>
    <w:rsid w:val="00094781"/>
    <w:rsid w:val="00095834"/>
    <w:rsid w:val="000A3BF7"/>
    <w:rsid w:val="000B28B5"/>
    <w:rsid w:val="000B3F18"/>
    <w:rsid w:val="000B4D86"/>
    <w:rsid w:val="000C0136"/>
    <w:rsid w:val="000C37DE"/>
    <w:rsid w:val="000C73AB"/>
    <w:rsid w:val="000D1689"/>
    <w:rsid w:val="000D4BD9"/>
    <w:rsid w:val="000D5F77"/>
    <w:rsid w:val="000E260D"/>
    <w:rsid w:val="000E30A1"/>
    <w:rsid w:val="000E5E1D"/>
    <w:rsid w:val="000E7B3E"/>
    <w:rsid w:val="000F002A"/>
    <w:rsid w:val="000F2C14"/>
    <w:rsid w:val="000F53DF"/>
    <w:rsid w:val="00107DE0"/>
    <w:rsid w:val="00113EF7"/>
    <w:rsid w:val="00126521"/>
    <w:rsid w:val="001456D7"/>
    <w:rsid w:val="001532E5"/>
    <w:rsid w:val="001555CA"/>
    <w:rsid w:val="00155C11"/>
    <w:rsid w:val="001561E0"/>
    <w:rsid w:val="001568DE"/>
    <w:rsid w:val="001600ED"/>
    <w:rsid w:val="00170292"/>
    <w:rsid w:val="0017278E"/>
    <w:rsid w:val="001732F6"/>
    <w:rsid w:val="00181EB1"/>
    <w:rsid w:val="001820A4"/>
    <w:rsid w:val="001858B4"/>
    <w:rsid w:val="0019002C"/>
    <w:rsid w:val="001935A2"/>
    <w:rsid w:val="00195457"/>
    <w:rsid w:val="00196E69"/>
    <w:rsid w:val="001A10A3"/>
    <w:rsid w:val="001A35F6"/>
    <w:rsid w:val="001A46AC"/>
    <w:rsid w:val="001A6052"/>
    <w:rsid w:val="001B0B8D"/>
    <w:rsid w:val="001B0C6B"/>
    <w:rsid w:val="001B12A8"/>
    <w:rsid w:val="001B7C78"/>
    <w:rsid w:val="001C3072"/>
    <w:rsid w:val="001C5051"/>
    <w:rsid w:val="001C665D"/>
    <w:rsid w:val="001D12FF"/>
    <w:rsid w:val="001D233B"/>
    <w:rsid w:val="001D2D26"/>
    <w:rsid w:val="001D7338"/>
    <w:rsid w:val="001F4D7F"/>
    <w:rsid w:val="001F618A"/>
    <w:rsid w:val="001F7DB8"/>
    <w:rsid w:val="002019F5"/>
    <w:rsid w:val="00205CDD"/>
    <w:rsid w:val="0020661F"/>
    <w:rsid w:val="00206EBA"/>
    <w:rsid w:val="002100F7"/>
    <w:rsid w:val="0021312D"/>
    <w:rsid w:val="00215E7B"/>
    <w:rsid w:val="0022111A"/>
    <w:rsid w:val="00221877"/>
    <w:rsid w:val="0022351F"/>
    <w:rsid w:val="00223EF0"/>
    <w:rsid w:val="002260B2"/>
    <w:rsid w:val="002264D2"/>
    <w:rsid w:val="002270B4"/>
    <w:rsid w:val="002413A3"/>
    <w:rsid w:val="00242872"/>
    <w:rsid w:val="00250A65"/>
    <w:rsid w:val="00257237"/>
    <w:rsid w:val="00270A24"/>
    <w:rsid w:val="00270EAB"/>
    <w:rsid w:val="002737A1"/>
    <w:rsid w:val="00275F0B"/>
    <w:rsid w:val="0028585B"/>
    <w:rsid w:val="0028765C"/>
    <w:rsid w:val="00292081"/>
    <w:rsid w:val="002A0AA7"/>
    <w:rsid w:val="002A5015"/>
    <w:rsid w:val="002A635C"/>
    <w:rsid w:val="002B3C86"/>
    <w:rsid w:val="002B5280"/>
    <w:rsid w:val="002C785B"/>
    <w:rsid w:val="002C7FD5"/>
    <w:rsid w:val="002D440F"/>
    <w:rsid w:val="002D5836"/>
    <w:rsid w:val="002D76D7"/>
    <w:rsid w:val="002E13C1"/>
    <w:rsid w:val="002E197A"/>
    <w:rsid w:val="002E2475"/>
    <w:rsid w:val="002F5339"/>
    <w:rsid w:val="002F7CE4"/>
    <w:rsid w:val="00301902"/>
    <w:rsid w:val="00303873"/>
    <w:rsid w:val="00312CDB"/>
    <w:rsid w:val="003170A5"/>
    <w:rsid w:val="00321EE2"/>
    <w:rsid w:val="0032244E"/>
    <w:rsid w:val="00323690"/>
    <w:rsid w:val="003236EF"/>
    <w:rsid w:val="00330BB6"/>
    <w:rsid w:val="00331D2F"/>
    <w:rsid w:val="00335824"/>
    <w:rsid w:val="00335D8C"/>
    <w:rsid w:val="00336496"/>
    <w:rsid w:val="00341B91"/>
    <w:rsid w:val="00365077"/>
    <w:rsid w:val="00370392"/>
    <w:rsid w:val="00375A1F"/>
    <w:rsid w:val="00383F36"/>
    <w:rsid w:val="00384CE7"/>
    <w:rsid w:val="00397F24"/>
    <w:rsid w:val="003A1FF6"/>
    <w:rsid w:val="003A374D"/>
    <w:rsid w:val="003A4989"/>
    <w:rsid w:val="003B1A5A"/>
    <w:rsid w:val="003B1B48"/>
    <w:rsid w:val="003B225A"/>
    <w:rsid w:val="003B376D"/>
    <w:rsid w:val="003B42EB"/>
    <w:rsid w:val="003B6792"/>
    <w:rsid w:val="003B67EB"/>
    <w:rsid w:val="003C7058"/>
    <w:rsid w:val="003C737A"/>
    <w:rsid w:val="003D1D72"/>
    <w:rsid w:val="003D3CF8"/>
    <w:rsid w:val="003D4A53"/>
    <w:rsid w:val="003D670E"/>
    <w:rsid w:val="003D702C"/>
    <w:rsid w:val="003E1BC1"/>
    <w:rsid w:val="003E3991"/>
    <w:rsid w:val="003E3F20"/>
    <w:rsid w:val="003F0E8F"/>
    <w:rsid w:val="003F1E65"/>
    <w:rsid w:val="003F3024"/>
    <w:rsid w:val="00401474"/>
    <w:rsid w:val="00402841"/>
    <w:rsid w:val="00405387"/>
    <w:rsid w:val="00406B10"/>
    <w:rsid w:val="00407B55"/>
    <w:rsid w:val="00410AF4"/>
    <w:rsid w:val="0041103C"/>
    <w:rsid w:val="004203D8"/>
    <w:rsid w:val="0042573E"/>
    <w:rsid w:val="00426D54"/>
    <w:rsid w:val="00433325"/>
    <w:rsid w:val="004348A9"/>
    <w:rsid w:val="0043515B"/>
    <w:rsid w:val="00442BC6"/>
    <w:rsid w:val="00442F81"/>
    <w:rsid w:val="004436CF"/>
    <w:rsid w:val="00443FD0"/>
    <w:rsid w:val="00444F15"/>
    <w:rsid w:val="00445ACA"/>
    <w:rsid w:val="00450D38"/>
    <w:rsid w:val="00454713"/>
    <w:rsid w:val="00455993"/>
    <w:rsid w:val="0046601E"/>
    <w:rsid w:val="004665C3"/>
    <w:rsid w:val="004675FC"/>
    <w:rsid w:val="00471491"/>
    <w:rsid w:val="00480D8D"/>
    <w:rsid w:val="00481327"/>
    <w:rsid w:val="00483B19"/>
    <w:rsid w:val="00484AA0"/>
    <w:rsid w:val="004870AC"/>
    <w:rsid w:val="00492087"/>
    <w:rsid w:val="004936F8"/>
    <w:rsid w:val="00496EA6"/>
    <w:rsid w:val="004975D6"/>
    <w:rsid w:val="004A3092"/>
    <w:rsid w:val="004A35F6"/>
    <w:rsid w:val="004B464D"/>
    <w:rsid w:val="004B596D"/>
    <w:rsid w:val="004C3C5F"/>
    <w:rsid w:val="004C3ED6"/>
    <w:rsid w:val="004D46AB"/>
    <w:rsid w:val="004D7BD0"/>
    <w:rsid w:val="004E0A65"/>
    <w:rsid w:val="004E11BE"/>
    <w:rsid w:val="004E364C"/>
    <w:rsid w:val="004E64A6"/>
    <w:rsid w:val="005000BC"/>
    <w:rsid w:val="0050168D"/>
    <w:rsid w:val="0051626E"/>
    <w:rsid w:val="00516EBA"/>
    <w:rsid w:val="00524CC0"/>
    <w:rsid w:val="00532083"/>
    <w:rsid w:val="005401FD"/>
    <w:rsid w:val="00541886"/>
    <w:rsid w:val="00544F54"/>
    <w:rsid w:val="005528CA"/>
    <w:rsid w:val="0055777F"/>
    <w:rsid w:val="00564F01"/>
    <w:rsid w:val="0056619B"/>
    <w:rsid w:val="00567F33"/>
    <w:rsid w:val="005746F5"/>
    <w:rsid w:val="00576CCD"/>
    <w:rsid w:val="00581BAD"/>
    <w:rsid w:val="00582105"/>
    <w:rsid w:val="00584227"/>
    <w:rsid w:val="005867A4"/>
    <w:rsid w:val="00592889"/>
    <w:rsid w:val="00593F56"/>
    <w:rsid w:val="00594BBC"/>
    <w:rsid w:val="00596647"/>
    <w:rsid w:val="005A2135"/>
    <w:rsid w:val="005A2568"/>
    <w:rsid w:val="005A2D67"/>
    <w:rsid w:val="005A2E3C"/>
    <w:rsid w:val="005A7959"/>
    <w:rsid w:val="005B1658"/>
    <w:rsid w:val="005B4496"/>
    <w:rsid w:val="005C711D"/>
    <w:rsid w:val="005D285A"/>
    <w:rsid w:val="005D4112"/>
    <w:rsid w:val="005D4947"/>
    <w:rsid w:val="005D6B38"/>
    <w:rsid w:val="005F34EB"/>
    <w:rsid w:val="005F46A4"/>
    <w:rsid w:val="005F4FCF"/>
    <w:rsid w:val="00607331"/>
    <w:rsid w:val="00607FF7"/>
    <w:rsid w:val="00611951"/>
    <w:rsid w:val="006134EE"/>
    <w:rsid w:val="0062689C"/>
    <w:rsid w:val="00626DEC"/>
    <w:rsid w:val="0063016C"/>
    <w:rsid w:val="006331A6"/>
    <w:rsid w:val="006411B5"/>
    <w:rsid w:val="00643F7F"/>
    <w:rsid w:val="00663C48"/>
    <w:rsid w:val="0066566B"/>
    <w:rsid w:val="00666A21"/>
    <w:rsid w:val="00673506"/>
    <w:rsid w:val="00675C72"/>
    <w:rsid w:val="00680C99"/>
    <w:rsid w:val="006817AA"/>
    <w:rsid w:val="00683CC3"/>
    <w:rsid w:val="00686072"/>
    <w:rsid w:val="00690A72"/>
    <w:rsid w:val="006922C3"/>
    <w:rsid w:val="006942C0"/>
    <w:rsid w:val="0069571A"/>
    <w:rsid w:val="006A0D23"/>
    <w:rsid w:val="006A3876"/>
    <w:rsid w:val="006B08C5"/>
    <w:rsid w:val="006B5CFB"/>
    <w:rsid w:val="006C4824"/>
    <w:rsid w:val="006C67AD"/>
    <w:rsid w:val="006D02B0"/>
    <w:rsid w:val="006E0485"/>
    <w:rsid w:val="006E12E0"/>
    <w:rsid w:val="006E24F7"/>
    <w:rsid w:val="006E3BD1"/>
    <w:rsid w:val="006F0323"/>
    <w:rsid w:val="006F0D4B"/>
    <w:rsid w:val="006F3BFC"/>
    <w:rsid w:val="006F4BA7"/>
    <w:rsid w:val="0070491D"/>
    <w:rsid w:val="0071129D"/>
    <w:rsid w:val="007115FF"/>
    <w:rsid w:val="00713BD9"/>
    <w:rsid w:val="00716E68"/>
    <w:rsid w:val="00717B6D"/>
    <w:rsid w:val="007218EF"/>
    <w:rsid w:val="00723424"/>
    <w:rsid w:val="00723C73"/>
    <w:rsid w:val="00725B1C"/>
    <w:rsid w:val="0073055D"/>
    <w:rsid w:val="00733790"/>
    <w:rsid w:val="00734D08"/>
    <w:rsid w:val="00735334"/>
    <w:rsid w:val="00740F33"/>
    <w:rsid w:val="00741126"/>
    <w:rsid w:val="007425D2"/>
    <w:rsid w:val="00742863"/>
    <w:rsid w:val="0074318F"/>
    <w:rsid w:val="007548CC"/>
    <w:rsid w:val="0076523F"/>
    <w:rsid w:val="00770A08"/>
    <w:rsid w:val="00777CD3"/>
    <w:rsid w:val="00777E9B"/>
    <w:rsid w:val="007A240A"/>
    <w:rsid w:val="007A5123"/>
    <w:rsid w:val="007B092A"/>
    <w:rsid w:val="007B3BE2"/>
    <w:rsid w:val="007B448F"/>
    <w:rsid w:val="007B474B"/>
    <w:rsid w:val="007C74AC"/>
    <w:rsid w:val="007D6FF3"/>
    <w:rsid w:val="007D750B"/>
    <w:rsid w:val="007D7967"/>
    <w:rsid w:val="007E2C5D"/>
    <w:rsid w:val="007F27B4"/>
    <w:rsid w:val="007F4216"/>
    <w:rsid w:val="007F4239"/>
    <w:rsid w:val="007F4C6B"/>
    <w:rsid w:val="007F51A7"/>
    <w:rsid w:val="007F7EAA"/>
    <w:rsid w:val="0080571F"/>
    <w:rsid w:val="0080785A"/>
    <w:rsid w:val="008114A2"/>
    <w:rsid w:val="008157C3"/>
    <w:rsid w:val="00816CEB"/>
    <w:rsid w:val="008212A0"/>
    <w:rsid w:val="008309B9"/>
    <w:rsid w:val="00831B95"/>
    <w:rsid w:val="008343BB"/>
    <w:rsid w:val="00843357"/>
    <w:rsid w:val="008510E1"/>
    <w:rsid w:val="008520DE"/>
    <w:rsid w:val="00870295"/>
    <w:rsid w:val="008773F1"/>
    <w:rsid w:val="0087785B"/>
    <w:rsid w:val="00881419"/>
    <w:rsid w:val="0088142C"/>
    <w:rsid w:val="00881BD2"/>
    <w:rsid w:val="008830AA"/>
    <w:rsid w:val="008838FD"/>
    <w:rsid w:val="008907E4"/>
    <w:rsid w:val="00892BCB"/>
    <w:rsid w:val="008979C3"/>
    <w:rsid w:val="008A098A"/>
    <w:rsid w:val="008B210A"/>
    <w:rsid w:val="008B3EF8"/>
    <w:rsid w:val="008B438E"/>
    <w:rsid w:val="008B4F7F"/>
    <w:rsid w:val="008B5E91"/>
    <w:rsid w:val="008B6C66"/>
    <w:rsid w:val="008C0434"/>
    <w:rsid w:val="008C2E40"/>
    <w:rsid w:val="008C500E"/>
    <w:rsid w:val="008E72F0"/>
    <w:rsid w:val="008F05DC"/>
    <w:rsid w:val="008F1B39"/>
    <w:rsid w:val="008F2CF8"/>
    <w:rsid w:val="008F728F"/>
    <w:rsid w:val="0090215F"/>
    <w:rsid w:val="00913339"/>
    <w:rsid w:val="00916A1A"/>
    <w:rsid w:val="00921848"/>
    <w:rsid w:val="00923B17"/>
    <w:rsid w:val="00925CA5"/>
    <w:rsid w:val="0092643A"/>
    <w:rsid w:val="009315D9"/>
    <w:rsid w:val="00931C21"/>
    <w:rsid w:val="00933558"/>
    <w:rsid w:val="00934B73"/>
    <w:rsid w:val="00937F41"/>
    <w:rsid w:val="00940FFA"/>
    <w:rsid w:val="0094187A"/>
    <w:rsid w:val="0094271E"/>
    <w:rsid w:val="00943344"/>
    <w:rsid w:val="00943FC0"/>
    <w:rsid w:val="00944F3A"/>
    <w:rsid w:val="00946A35"/>
    <w:rsid w:val="00950882"/>
    <w:rsid w:val="00950CF9"/>
    <w:rsid w:val="00954902"/>
    <w:rsid w:val="00956A11"/>
    <w:rsid w:val="00957802"/>
    <w:rsid w:val="00965320"/>
    <w:rsid w:val="00977160"/>
    <w:rsid w:val="009806F0"/>
    <w:rsid w:val="00981B4A"/>
    <w:rsid w:val="00985D84"/>
    <w:rsid w:val="00991C92"/>
    <w:rsid w:val="009930C0"/>
    <w:rsid w:val="009A28A3"/>
    <w:rsid w:val="009A362A"/>
    <w:rsid w:val="009A414E"/>
    <w:rsid w:val="009A44FD"/>
    <w:rsid w:val="009A62AB"/>
    <w:rsid w:val="009B0671"/>
    <w:rsid w:val="009B3298"/>
    <w:rsid w:val="009B4428"/>
    <w:rsid w:val="009B6A2D"/>
    <w:rsid w:val="009C59A8"/>
    <w:rsid w:val="009C59F8"/>
    <w:rsid w:val="009C6687"/>
    <w:rsid w:val="009D08C9"/>
    <w:rsid w:val="009D0AE6"/>
    <w:rsid w:val="009D0AF0"/>
    <w:rsid w:val="009D3984"/>
    <w:rsid w:val="009D3D34"/>
    <w:rsid w:val="009D430F"/>
    <w:rsid w:val="009D7560"/>
    <w:rsid w:val="009E02C2"/>
    <w:rsid w:val="009E3B09"/>
    <w:rsid w:val="009E55EE"/>
    <w:rsid w:val="009E594D"/>
    <w:rsid w:val="00A0098B"/>
    <w:rsid w:val="00A05DA9"/>
    <w:rsid w:val="00A22021"/>
    <w:rsid w:val="00A22FA5"/>
    <w:rsid w:val="00A25B0D"/>
    <w:rsid w:val="00A27457"/>
    <w:rsid w:val="00A275CA"/>
    <w:rsid w:val="00A31154"/>
    <w:rsid w:val="00A350B3"/>
    <w:rsid w:val="00A37DC0"/>
    <w:rsid w:val="00A41594"/>
    <w:rsid w:val="00A50AF9"/>
    <w:rsid w:val="00A534A4"/>
    <w:rsid w:val="00A54394"/>
    <w:rsid w:val="00A556A5"/>
    <w:rsid w:val="00A556D2"/>
    <w:rsid w:val="00A73D8A"/>
    <w:rsid w:val="00A755AB"/>
    <w:rsid w:val="00A84EC8"/>
    <w:rsid w:val="00A87A15"/>
    <w:rsid w:val="00A96BCF"/>
    <w:rsid w:val="00A9793A"/>
    <w:rsid w:val="00AA2B49"/>
    <w:rsid w:val="00AB0297"/>
    <w:rsid w:val="00AB3396"/>
    <w:rsid w:val="00AB6AA2"/>
    <w:rsid w:val="00AB7AB5"/>
    <w:rsid w:val="00AC0933"/>
    <w:rsid w:val="00AC0C86"/>
    <w:rsid w:val="00AC2FA6"/>
    <w:rsid w:val="00AC3DD5"/>
    <w:rsid w:val="00AC475C"/>
    <w:rsid w:val="00AD059E"/>
    <w:rsid w:val="00AE04BA"/>
    <w:rsid w:val="00B00362"/>
    <w:rsid w:val="00B0159B"/>
    <w:rsid w:val="00B049B9"/>
    <w:rsid w:val="00B070B1"/>
    <w:rsid w:val="00B130FD"/>
    <w:rsid w:val="00B266D6"/>
    <w:rsid w:val="00B31832"/>
    <w:rsid w:val="00B3464E"/>
    <w:rsid w:val="00B40E62"/>
    <w:rsid w:val="00B43CDB"/>
    <w:rsid w:val="00B442FB"/>
    <w:rsid w:val="00B45784"/>
    <w:rsid w:val="00B47D3B"/>
    <w:rsid w:val="00B50F97"/>
    <w:rsid w:val="00B540A1"/>
    <w:rsid w:val="00B61A71"/>
    <w:rsid w:val="00B61F24"/>
    <w:rsid w:val="00B675C8"/>
    <w:rsid w:val="00B7574F"/>
    <w:rsid w:val="00B8049C"/>
    <w:rsid w:val="00B82F87"/>
    <w:rsid w:val="00B837EA"/>
    <w:rsid w:val="00B84324"/>
    <w:rsid w:val="00B85C67"/>
    <w:rsid w:val="00B860FE"/>
    <w:rsid w:val="00B929A5"/>
    <w:rsid w:val="00BA0167"/>
    <w:rsid w:val="00BB69DA"/>
    <w:rsid w:val="00BB790D"/>
    <w:rsid w:val="00BC0D3A"/>
    <w:rsid w:val="00BD3432"/>
    <w:rsid w:val="00BD413E"/>
    <w:rsid w:val="00BD5A77"/>
    <w:rsid w:val="00BD5DCE"/>
    <w:rsid w:val="00BE0988"/>
    <w:rsid w:val="00BE545F"/>
    <w:rsid w:val="00BE6668"/>
    <w:rsid w:val="00BF0484"/>
    <w:rsid w:val="00C022FE"/>
    <w:rsid w:val="00C05D5D"/>
    <w:rsid w:val="00C07455"/>
    <w:rsid w:val="00C07D74"/>
    <w:rsid w:val="00C13250"/>
    <w:rsid w:val="00C1588F"/>
    <w:rsid w:val="00C205AB"/>
    <w:rsid w:val="00C23099"/>
    <w:rsid w:val="00C31948"/>
    <w:rsid w:val="00C36A83"/>
    <w:rsid w:val="00C411B1"/>
    <w:rsid w:val="00C47A31"/>
    <w:rsid w:val="00C5159D"/>
    <w:rsid w:val="00C56652"/>
    <w:rsid w:val="00C645D6"/>
    <w:rsid w:val="00C64F13"/>
    <w:rsid w:val="00C650FD"/>
    <w:rsid w:val="00C7132C"/>
    <w:rsid w:val="00C7194C"/>
    <w:rsid w:val="00C755E8"/>
    <w:rsid w:val="00C76346"/>
    <w:rsid w:val="00C77EDC"/>
    <w:rsid w:val="00C80B6A"/>
    <w:rsid w:val="00C93498"/>
    <w:rsid w:val="00CA1A0F"/>
    <w:rsid w:val="00CB0A00"/>
    <w:rsid w:val="00CB4EB8"/>
    <w:rsid w:val="00CC213B"/>
    <w:rsid w:val="00CD0F31"/>
    <w:rsid w:val="00CD184D"/>
    <w:rsid w:val="00CD4E09"/>
    <w:rsid w:val="00CE3408"/>
    <w:rsid w:val="00CE37CC"/>
    <w:rsid w:val="00CE7677"/>
    <w:rsid w:val="00CE77B6"/>
    <w:rsid w:val="00CF01EE"/>
    <w:rsid w:val="00CF2D12"/>
    <w:rsid w:val="00CF5D7C"/>
    <w:rsid w:val="00D10457"/>
    <w:rsid w:val="00D111A3"/>
    <w:rsid w:val="00D15A25"/>
    <w:rsid w:val="00D17D08"/>
    <w:rsid w:val="00D319BE"/>
    <w:rsid w:val="00D319E5"/>
    <w:rsid w:val="00D33152"/>
    <w:rsid w:val="00D35F81"/>
    <w:rsid w:val="00D37666"/>
    <w:rsid w:val="00D403DE"/>
    <w:rsid w:val="00D42F3F"/>
    <w:rsid w:val="00D439E2"/>
    <w:rsid w:val="00D50942"/>
    <w:rsid w:val="00D56B8C"/>
    <w:rsid w:val="00D62AC3"/>
    <w:rsid w:val="00D63EB1"/>
    <w:rsid w:val="00D702FE"/>
    <w:rsid w:val="00D711C7"/>
    <w:rsid w:val="00D740BD"/>
    <w:rsid w:val="00D75AB7"/>
    <w:rsid w:val="00D7766F"/>
    <w:rsid w:val="00D81296"/>
    <w:rsid w:val="00D81B4B"/>
    <w:rsid w:val="00D859E1"/>
    <w:rsid w:val="00D87329"/>
    <w:rsid w:val="00D925A2"/>
    <w:rsid w:val="00D92B12"/>
    <w:rsid w:val="00D962BD"/>
    <w:rsid w:val="00DA0E8A"/>
    <w:rsid w:val="00DA641D"/>
    <w:rsid w:val="00DA68E3"/>
    <w:rsid w:val="00DB2059"/>
    <w:rsid w:val="00DB377B"/>
    <w:rsid w:val="00DB7A0A"/>
    <w:rsid w:val="00DC3C80"/>
    <w:rsid w:val="00DC62D7"/>
    <w:rsid w:val="00DD65C4"/>
    <w:rsid w:val="00DD7F74"/>
    <w:rsid w:val="00DE29F0"/>
    <w:rsid w:val="00DE4A76"/>
    <w:rsid w:val="00E03E85"/>
    <w:rsid w:val="00E05DF3"/>
    <w:rsid w:val="00E1091F"/>
    <w:rsid w:val="00E12094"/>
    <w:rsid w:val="00E1229C"/>
    <w:rsid w:val="00E15E4B"/>
    <w:rsid w:val="00E21F3C"/>
    <w:rsid w:val="00E3231A"/>
    <w:rsid w:val="00E37530"/>
    <w:rsid w:val="00E4261D"/>
    <w:rsid w:val="00E43A92"/>
    <w:rsid w:val="00E46A22"/>
    <w:rsid w:val="00E470A9"/>
    <w:rsid w:val="00E54255"/>
    <w:rsid w:val="00E54AB8"/>
    <w:rsid w:val="00E55014"/>
    <w:rsid w:val="00E56693"/>
    <w:rsid w:val="00E601CA"/>
    <w:rsid w:val="00E60351"/>
    <w:rsid w:val="00E65B90"/>
    <w:rsid w:val="00E65CEC"/>
    <w:rsid w:val="00E6662C"/>
    <w:rsid w:val="00E70B08"/>
    <w:rsid w:val="00E733D0"/>
    <w:rsid w:val="00E750C2"/>
    <w:rsid w:val="00E82527"/>
    <w:rsid w:val="00E82564"/>
    <w:rsid w:val="00E8397F"/>
    <w:rsid w:val="00E8672A"/>
    <w:rsid w:val="00E91300"/>
    <w:rsid w:val="00E91C97"/>
    <w:rsid w:val="00E9283D"/>
    <w:rsid w:val="00E95C58"/>
    <w:rsid w:val="00E96307"/>
    <w:rsid w:val="00EA52D9"/>
    <w:rsid w:val="00EA65BB"/>
    <w:rsid w:val="00EB0345"/>
    <w:rsid w:val="00EB0877"/>
    <w:rsid w:val="00EB2EC7"/>
    <w:rsid w:val="00EB378E"/>
    <w:rsid w:val="00EC56A9"/>
    <w:rsid w:val="00ED263B"/>
    <w:rsid w:val="00ED2BBA"/>
    <w:rsid w:val="00ED7F36"/>
    <w:rsid w:val="00EE01BD"/>
    <w:rsid w:val="00EE1DF6"/>
    <w:rsid w:val="00EE6C03"/>
    <w:rsid w:val="00EE7318"/>
    <w:rsid w:val="00EE796D"/>
    <w:rsid w:val="00EF10CB"/>
    <w:rsid w:val="00EF2E9A"/>
    <w:rsid w:val="00EF30D9"/>
    <w:rsid w:val="00F01526"/>
    <w:rsid w:val="00F01B16"/>
    <w:rsid w:val="00F02363"/>
    <w:rsid w:val="00F115B7"/>
    <w:rsid w:val="00F11BF8"/>
    <w:rsid w:val="00F13CB9"/>
    <w:rsid w:val="00F14FE3"/>
    <w:rsid w:val="00F20ED5"/>
    <w:rsid w:val="00F22A79"/>
    <w:rsid w:val="00F23B64"/>
    <w:rsid w:val="00F260FD"/>
    <w:rsid w:val="00F27EAE"/>
    <w:rsid w:val="00F302AF"/>
    <w:rsid w:val="00F3115C"/>
    <w:rsid w:val="00F40E41"/>
    <w:rsid w:val="00F476FB"/>
    <w:rsid w:val="00F65B34"/>
    <w:rsid w:val="00F66303"/>
    <w:rsid w:val="00F70056"/>
    <w:rsid w:val="00F722E6"/>
    <w:rsid w:val="00F77B30"/>
    <w:rsid w:val="00F82343"/>
    <w:rsid w:val="00F907ED"/>
    <w:rsid w:val="00F94F1D"/>
    <w:rsid w:val="00F9786C"/>
    <w:rsid w:val="00FA410A"/>
    <w:rsid w:val="00FA53F0"/>
    <w:rsid w:val="00FB4401"/>
    <w:rsid w:val="00FB526C"/>
    <w:rsid w:val="00FB7E9D"/>
    <w:rsid w:val="00FC4D23"/>
    <w:rsid w:val="00FC68AD"/>
    <w:rsid w:val="00FC7A43"/>
    <w:rsid w:val="00FD210E"/>
    <w:rsid w:val="00FD33C5"/>
    <w:rsid w:val="00FD61F2"/>
    <w:rsid w:val="00FD677C"/>
    <w:rsid w:val="00FD7D47"/>
    <w:rsid w:val="00FE1243"/>
    <w:rsid w:val="00FE1622"/>
    <w:rsid w:val="00FE1768"/>
    <w:rsid w:val="00FE26B6"/>
    <w:rsid w:val="00FE674A"/>
    <w:rsid w:val="00FF2EB1"/>
    <w:rsid w:val="00FF4B9C"/>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CBF8"/>
  <w15:chartTrackingRefBased/>
  <w15:docId w15:val="{03EB0A33-FD0C-4935-A426-8429B2F8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5B"/>
    <w:pPr>
      <w:spacing w:after="0" w:line="240" w:lineRule="auto"/>
    </w:pPr>
    <w:rPr>
      <w:rFonts w:ascii="Arial" w:eastAsia="Times New Roman" w:hAnsi="Arial" w:cs="Times New Roman"/>
      <w:sz w:val="20"/>
      <w:szCs w:val="24"/>
      <w:lang w:val="en-GB" w:eastAsia="de-DE"/>
    </w:rPr>
  </w:style>
  <w:style w:type="paragraph" w:styleId="Heading1">
    <w:name w:val="heading 1"/>
    <w:basedOn w:val="Normal"/>
    <w:next w:val="Normal"/>
    <w:link w:val="Heading1Char"/>
    <w:qFormat/>
    <w:rsid w:val="002C785B"/>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2C785B"/>
    <w:pPr>
      <w:keepNext/>
      <w:keepLines/>
      <w:spacing w:before="200" w:after="120"/>
      <w:outlineLvl w:val="1"/>
    </w:pPr>
    <w:rPr>
      <w:b/>
      <w:bCs/>
      <w:szCs w:val="26"/>
    </w:rPr>
  </w:style>
  <w:style w:type="paragraph" w:styleId="Heading3">
    <w:name w:val="heading 3"/>
    <w:basedOn w:val="Normal"/>
    <w:next w:val="Normal"/>
    <w:link w:val="Heading3Char2"/>
    <w:qFormat/>
    <w:rsid w:val="002C785B"/>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2C785B"/>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rsid w:val="002C785B"/>
    <w:pPr>
      <w:keepNext/>
      <w:keepLines/>
      <w:numPr>
        <w:numId w:val="13"/>
      </w:numPr>
      <w:spacing w:before="200"/>
      <w:jc w:val="both"/>
      <w:outlineLvl w:val="4"/>
    </w:pPr>
    <w:rPr>
      <w:b/>
    </w:rPr>
  </w:style>
  <w:style w:type="paragraph" w:styleId="Heading6">
    <w:name w:val="heading 6"/>
    <w:basedOn w:val="Normal"/>
    <w:next w:val="Normal"/>
    <w:link w:val="Heading6Char"/>
    <w:qFormat/>
    <w:rsid w:val="002C785B"/>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C785B"/>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2C785B"/>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2C785B"/>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85B"/>
    <w:rPr>
      <w:rFonts w:ascii="Arial" w:eastAsia="Times New Roman" w:hAnsi="Arial" w:cs="Arial"/>
      <w:b/>
      <w:bCs/>
      <w:kern w:val="32"/>
      <w:sz w:val="24"/>
      <w:szCs w:val="32"/>
      <w:lang w:val="en-GB" w:eastAsia="de-DE"/>
    </w:rPr>
  </w:style>
  <w:style w:type="character" w:customStyle="1" w:styleId="Heading2Char">
    <w:name w:val="Heading 2 Char"/>
    <w:basedOn w:val="DefaultParagraphFont"/>
    <w:rsid w:val="002C785B"/>
    <w:rPr>
      <w:rFonts w:asciiTheme="majorHAnsi" w:eastAsiaTheme="majorEastAsia" w:hAnsiTheme="majorHAnsi" w:cstheme="majorBidi"/>
      <w:color w:val="2E74B5" w:themeColor="accent1" w:themeShade="BF"/>
      <w:sz w:val="26"/>
      <w:szCs w:val="26"/>
      <w:lang w:val="en-GB" w:eastAsia="de-DE"/>
    </w:rPr>
  </w:style>
  <w:style w:type="character" w:customStyle="1" w:styleId="Heading3Char">
    <w:name w:val="Heading 3 Char"/>
    <w:basedOn w:val="DefaultParagraphFont"/>
    <w:rsid w:val="002C785B"/>
    <w:rPr>
      <w:rFonts w:asciiTheme="majorHAnsi" w:eastAsiaTheme="majorEastAsia" w:hAnsiTheme="majorHAnsi" w:cstheme="majorBidi"/>
      <w:color w:val="1F4D78" w:themeColor="accent1" w:themeShade="7F"/>
      <w:sz w:val="24"/>
      <w:szCs w:val="24"/>
      <w:lang w:val="en-GB" w:eastAsia="de-DE"/>
    </w:rPr>
  </w:style>
  <w:style w:type="character" w:customStyle="1" w:styleId="Heading4Char">
    <w:name w:val="Heading 4 Char"/>
    <w:basedOn w:val="DefaultParagraphFont"/>
    <w:rsid w:val="002C785B"/>
    <w:rPr>
      <w:rFonts w:asciiTheme="majorHAnsi" w:eastAsiaTheme="majorEastAsia" w:hAnsiTheme="majorHAnsi" w:cstheme="majorBidi"/>
      <w:i/>
      <w:iCs/>
      <w:color w:val="2E74B5" w:themeColor="accent1" w:themeShade="BF"/>
      <w:sz w:val="20"/>
      <w:szCs w:val="24"/>
      <w:lang w:val="en-GB" w:eastAsia="de-DE"/>
    </w:rPr>
  </w:style>
  <w:style w:type="character" w:customStyle="1" w:styleId="Heading5Char">
    <w:name w:val="Heading 5 Char"/>
    <w:basedOn w:val="DefaultParagraphFont"/>
    <w:uiPriority w:val="9"/>
    <w:rsid w:val="002C785B"/>
    <w:rPr>
      <w:rFonts w:asciiTheme="majorHAnsi" w:eastAsiaTheme="majorEastAsia" w:hAnsiTheme="majorHAnsi" w:cstheme="majorBidi"/>
      <w:color w:val="2E74B5" w:themeColor="accent1" w:themeShade="BF"/>
      <w:sz w:val="20"/>
      <w:szCs w:val="24"/>
      <w:lang w:val="en-GB" w:eastAsia="de-DE"/>
    </w:rPr>
  </w:style>
  <w:style w:type="character" w:customStyle="1" w:styleId="Heading6Char">
    <w:name w:val="Heading 6 Char"/>
    <w:basedOn w:val="DefaultParagraphFont"/>
    <w:link w:val="Heading6"/>
    <w:rsid w:val="002C785B"/>
    <w:rPr>
      <w:rFonts w:ascii="Times New Roman" w:eastAsia="Times New Roman" w:hAnsi="Times New Roman" w:cs="Times New Roman"/>
      <w:b/>
      <w:bCs/>
      <w:sz w:val="20"/>
      <w:lang w:val="en-GB" w:eastAsia="de-DE"/>
    </w:rPr>
  </w:style>
  <w:style w:type="character" w:customStyle="1" w:styleId="Heading7Char">
    <w:name w:val="Heading 7 Char"/>
    <w:basedOn w:val="DefaultParagraphFont"/>
    <w:link w:val="Heading7"/>
    <w:rsid w:val="002C785B"/>
    <w:rPr>
      <w:rFonts w:ascii="Times New Roman" w:eastAsia="Times New Roman" w:hAnsi="Times New Roman" w:cs="Times New Roman"/>
      <w:sz w:val="20"/>
      <w:szCs w:val="24"/>
      <w:lang w:val="en-GB" w:eastAsia="de-DE"/>
    </w:rPr>
  </w:style>
  <w:style w:type="character" w:customStyle="1" w:styleId="Heading8Char">
    <w:name w:val="Heading 8 Char"/>
    <w:basedOn w:val="DefaultParagraphFont"/>
    <w:link w:val="Heading8"/>
    <w:rsid w:val="002C785B"/>
    <w:rPr>
      <w:rFonts w:ascii="Times New Roman" w:eastAsia="Times New Roman" w:hAnsi="Times New Roman" w:cs="Times New Roman"/>
      <w:i/>
      <w:iCs/>
      <w:sz w:val="20"/>
      <w:szCs w:val="24"/>
      <w:lang w:val="en-GB" w:eastAsia="de-DE"/>
    </w:rPr>
  </w:style>
  <w:style w:type="character" w:customStyle="1" w:styleId="Heading9Char">
    <w:name w:val="Heading 9 Char"/>
    <w:basedOn w:val="DefaultParagraphFont"/>
    <w:link w:val="Heading9"/>
    <w:rsid w:val="002C785B"/>
    <w:rPr>
      <w:rFonts w:ascii="Arial" w:eastAsia="Times New Roman" w:hAnsi="Arial" w:cs="Arial"/>
      <w:sz w:val="20"/>
      <w:lang w:val="en-GB" w:eastAsia="de-DE"/>
    </w:rPr>
  </w:style>
  <w:style w:type="paragraph" w:styleId="Header">
    <w:name w:val="header"/>
    <w:basedOn w:val="Normal"/>
    <w:link w:val="HeaderChar"/>
    <w:rsid w:val="002C785B"/>
    <w:pPr>
      <w:tabs>
        <w:tab w:val="center" w:pos="4536"/>
        <w:tab w:val="right" w:pos="9072"/>
      </w:tabs>
    </w:pPr>
  </w:style>
  <w:style w:type="character" w:customStyle="1" w:styleId="HeaderChar">
    <w:name w:val="Header Char"/>
    <w:basedOn w:val="DefaultParagraphFont"/>
    <w:link w:val="Header"/>
    <w:rsid w:val="002C785B"/>
    <w:rPr>
      <w:rFonts w:ascii="Arial" w:eastAsia="Times New Roman" w:hAnsi="Arial" w:cs="Times New Roman"/>
      <w:sz w:val="20"/>
      <w:szCs w:val="24"/>
      <w:lang w:val="en-GB" w:eastAsia="de-DE"/>
    </w:rPr>
  </w:style>
  <w:style w:type="paragraph" w:styleId="Footer">
    <w:name w:val="footer"/>
    <w:basedOn w:val="Normal"/>
    <w:link w:val="FooterChar"/>
    <w:uiPriority w:val="99"/>
    <w:rsid w:val="002C785B"/>
    <w:pPr>
      <w:tabs>
        <w:tab w:val="center" w:pos="4536"/>
        <w:tab w:val="right" w:pos="9072"/>
      </w:tabs>
    </w:pPr>
  </w:style>
  <w:style w:type="character" w:customStyle="1" w:styleId="FooterChar">
    <w:name w:val="Footer Char"/>
    <w:basedOn w:val="DefaultParagraphFont"/>
    <w:link w:val="Footer"/>
    <w:uiPriority w:val="99"/>
    <w:rsid w:val="002C785B"/>
    <w:rPr>
      <w:rFonts w:ascii="Arial" w:eastAsia="Times New Roman" w:hAnsi="Arial" w:cs="Times New Roman"/>
      <w:sz w:val="20"/>
      <w:szCs w:val="24"/>
      <w:lang w:val="en-GB" w:eastAsia="de-DE"/>
    </w:rPr>
  </w:style>
  <w:style w:type="table" w:styleId="TableGrid">
    <w:name w:val="Table Grid"/>
    <w:basedOn w:val="TableNormal"/>
    <w:uiPriority w:val="39"/>
    <w:rsid w:val="002C785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2C785B"/>
    <w:pPr>
      <w:spacing w:line="200" w:lineRule="exact"/>
    </w:pPr>
    <w:rPr>
      <w:color w:val="2D4190"/>
      <w:sz w:val="16"/>
    </w:rPr>
  </w:style>
  <w:style w:type="paragraph" w:customStyle="1" w:styleId="05aTitle">
    <w:name w:val="05a_Title"/>
    <w:basedOn w:val="Normal"/>
    <w:locked/>
    <w:rsid w:val="002C785B"/>
    <w:pPr>
      <w:spacing w:line="340" w:lineRule="exact"/>
    </w:pPr>
    <w:rPr>
      <w:b/>
      <w:color w:val="000000"/>
      <w:sz w:val="28"/>
    </w:rPr>
  </w:style>
  <w:style w:type="paragraph" w:customStyle="1" w:styleId="02Date">
    <w:name w:val="02_Date"/>
    <w:basedOn w:val="Normal"/>
    <w:locked/>
    <w:rsid w:val="002C785B"/>
    <w:pPr>
      <w:spacing w:line="220" w:lineRule="exact"/>
    </w:pPr>
    <w:rPr>
      <w:sz w:val="17"/>
    </w:rPr>
  </w:style>
  <w:style w:type="paragraph" w:customStyle="1" w:styleId="00aPagenumber">
    <w:name w:val="00a_Page number"/>
    <w:basedOn w:val="00Footer"/>
    <w:locked/>
    <w:rsid w:val="002C785B"/>
    <w:pPr>
      <w:spacing w:line="280" w:lineRule="atLeast"/>
      <w:jc w:val="right"/>
    </w:pPr>
    <w:rPr>
      <w:color w:val="000000"/>
      <w:sz w:val="20"/>
    </w:rPr>
  </w:style>
  <w:style w:type="paragraph" w:customStyle="1" w:styleId="04BodyText">
    <w:name w:val="04_Body Text"/>
    <w:basedOn w:val="Normal"/>
    <w:link w:val="04BodyTextChar"/>
    <w:locked/>
    <w:rsid w:val="002C785B"/>
    <w:pPr>
      <w:spacing w:after="250" w:line="276" w:lineRule="auto"/>
      <w:jc w:val="both"/>
    </w:pPr>
  </w:style>
  <w:style w:type="paragraph" w:customStyle="1" w:styleId="05HeadlinenoIndex">
    <w:name w:val="05_Headline no Index"/>
    <w:basedOn w:val="04BodyText"/>
    <w:locked/>
    <w:rsid w:val="002C785B"/>
    <w:pPr>
      <w:spacing w:line="300" w:lineRule="exact"/>
    </w:pPr>
    <w:rPr>
      <w:b/>
      <w:sz w:val="24"/>
    </w:rPr>
  </w:style>
  <w:style w:type="paragraph" w:customStyle="1" w:styleId="05cHeadline1">
    <w:name w:val="05c_Headline 1"/>
    <w:basedOn w:val="05HeadlinenoIndex"/>
    <w:next w:val="04BodyText"/>
    <w:locked/>
    <w:rsid w:val="002C785B"/>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2C785B"/>
    <w:pPr>
      <w:tabs>
        <w:tab w:val="num" w:pos="851"/>
      </w:tabs>
      <w:ind w:left="851" w:hanging="284"/>
    </w:pPr>
  </w:style>
  <w:style w:type="character" w:styleId="PageNumber">
    <w:name w:val="page number"/>
    <w:basedOn w:val="DefaultParagraphFont"/>
    <w:rsid w:val="002C785B"/>
  </w:style>
  <w:style w:type="paragraph" w:customStyle="1" w:styleId="00bDBInfo">
    <w:name w:val="00b_DB_Info"/>
    <w:basedOn w:val="00aPagenumber"/>
    <w:locked/>
    <w:rsid w:val="002C785B"/>
    <w:rPr>
      <w:color w:val="FFFFFF"/>
    </w:rPr>
  </w:style>
  <w:style w:type="paragraph" w:customStyle="1" w:styleId="01aDBTitle">
    <w:name w:val="01a_DB_Title"/>
    <w:basedOn w:val="05aTitle"/>
    <w:locked/>
    <w:rsid w:val="002C785B"/>
    <w:pPr>
      <w:spacing w:line="400" w:lineRule="exact"/>
      <w:jc w:val="right"/>
    </w:pPr>
    <w:rPr>
      <w:color w:val="2D4190"/>
      <w:sz w:val="40"/>
    </w:rPr>
  </w:style>
  <w:style w:type="paragraph" w:customStyle="1" w:styleId="01bDBSubtitle">
    <w:name w:val="01b_DB_Subtitle"/>
    <w:locked/>
    <w:rsid w:val="002C785B"/>
    <w:pPr>
      <w:spacing w:after="0" w:line="240" w:lineRule="auto"/>
      <w:jc w:val="right"/>
    </w:pPr>
    <w:rPr>
      <w:rFonts w:ascii="Georgia" w:eastAsia="Times New Roman" w:hAnsi="Georgia" w:cs="Times New Roman"/>
      <w:color w:val="000000"/>
      <w:sz w:val="24"/>
      <w:szCs w:val="24"/>
      <w:lang w:val="en-GB" w:eastAsia="de-DE"/>
    </w:rPr>
  </w:style>
  <w:style w:type="paragraph" w:customStyle="1" w:styleId="05dHeadline1blue">
    <w:name w:val="05d_Headline 1 blue"/>
    <w:basedOn w:val="05cHeadline1"/>
    <w:next w:val="04fBodytextblue"/>
    <w:locked/>
    <w:rsid w:val="002C785B"/>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2C785B"/>
    <w:pPr>
      <w:tabs>
        <w:tab w:val="left" w:pos="510"/>
        <w:tab w:val="right" w:leader="underscore" w:pos="9412"/>
      </w:tabs>
      <w:spacing w:line="250" w:lineRule="exact"/>
    </w:pPr>
  </w:style>
  <w:style w:type="paragraph" w:customStyle="1" w:styleId="04fBodytextblue">
    <w:name w:val="04f_Body text blue"/>
    <w:basedOn w:val="04BodyText"/>
    <w:locked/>
    <w:rsid w:val="002C785B"/>
    <w:pPr>
      <w:pBdr>
        <w:bottom w:val="single" w:sz="4" w:space="12" w:color="283583"/>
      </w:pBdr>
    </w:pPr>
    <w:rPr>
      <w:color w:val="2D4190"/>
    </w:rPr>
  </w:style>
  <w:style w:type="character" w:styleId="Hyperlink">
    <w:name w:val="Hyperlink"/>
    <w:rsid w:val="002C785B"/>
    <w:rPr>
      <w:color w:val="0000FF"/>
      <w:u w:val="single"/>
    </w:rPr>
  </w:style>
  <w:style w:type="paragraph" w:customStyle="1" w:styleId="04bList">
    <w:name w:val="04b_List"/>
    <w:basedOn w:val="04BodyText"/>
    <w:uiPriority w:val="99"/>
    <w:locked/>
    <w:rsid w:val="002C785B"/>
    <w:pPr>
      <w:numPr>
        <w:numId w:val="3"/>
      </w:numPr>
    </w:pPr>
  </w:style>
  <w:style w:type="paragraph" w:customStyle="1" w:styleId="04eBodytextleft">
    <w:name w:val="04e_Body text left"/>
    <w:basedOn w:val="04BodyText"/>
    <w:locked/>
    <w:rsid w:val="002C785B"/>
    <w:pPr>
      <w:spacing w:after="0"/>
      <w:jc w:val="left"/>
    </w:pPr>
  </w:style>
  <w:style w:type="paragraph" w:customStyle="1" w:styleId="05eHeadline2">
    <w:name w:val="05e_Headline 2"/>
    <w:locked/>
    <w:rsid w:val="002C785B"/>
    <w:pPr>
      <w:numPr>
        <w:ilvl w:val="1"/>
        <w:numId w:val="4"/>
      </w:numPr>
      <w:tabs>
        <w:tab w:val="left" w:pos="397"/>
      </w:tabs>
      <w:spacing w:after="250" w:line="250" w:lineRule="exact"/>
    </w:pPr>
    <w:rPr>
      <w:rFonts w:ascii="Georgia" w:eastAsia="Times New Roman" w:hAnsi="Georgia" w:cs="Arial"/>
      <w:bCs/>
      <w:iCs/>
      <w:sz w:val="20"/>
      <w:szCs w:val="20"/>
      <w:lang w:val="en-GB"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2C785B"/>
    <w:pPr>
      <w:spacing w:line="200" w:lineRule="exact"/>
    </w:pPr>
    <w:rPr>
      <w:sz w:val="16"/>
      <w:szCs w:val="20"/>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basedOn w:val="DefaultParagraphFont"/>
    <w:link w:val="FootnoteText"/>
    <w:rsid w:val="002C785B"/>
    <w:rPr>
      <w:rFonts w:ascii="Arial" w:eastAsia="Times New Roman" w:hAnsi="Arial" w:cs="Times New Roman"/>
      <w:sz w:val="16"/>
      <w:szCs w:val="20"/>
      <w:lang w:val="en-GB" w:eastAsia="de-DE"/>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2C785B"/>
    <w:rPr>
      <w:vertAlign w:val="superscript"/>
    </w:rPr>
  </w:style>
  <w:style w:type="paragraph" w:styleId="TOC2">
    <w:name w:val="toc 2"/>
    <w:basedOn w:val="Normal"/>
    <w:next w:val="Normal"/>
    <w:autoRedefine/>
    <w:uiPriority w:val="39"/>
    <w:qFormat/>
    <w:rsid w:val="002C785B"/>
    <w:pPr>
      <w:spacing w:after="100"/>
      <w:ind w:left="220"/>
    </w:pPr>
  </w:style>
  <w:style w:type="paragraph" w:customStyle="1" w:styleId="05bHeadline1black">
    <w:name w:val="05b_Headline 1 black"/>
    <w:basedOn w:val="05dHeadline1blue"/>
    <w:locked/>
    <w:rsid w:val="002C785B"/>
    <w:pPr>
      <w:pBdr>
        <w:top w:val="none" w:sz="0" w:space="0" w:color="auto"/>
      </w:pBdr>
    </w:pPr>
    <w:rPr>
      <w:color w:val="000000"/>
    </w:rPr>
  </w:style>
  <w:style w:type="paragraph" w:customStyle="1" w:styleId="03Headbold">
    <w:name w:val="03_Head_bold"/>
    <w:basedOn w:val="04BodyText"/>
    <w:locked/>
    <w:rsid w:val="002C785B"/>
    <w:pPr>
      <w:tabs>
        <w:tab w:val="left" w:pos="414"/>
        <w:tab w:val="left" w:pos="454"/>
      </w:tabs>
      <w:spacing w:after="0" w:line="240" w:lineRule="auto"/>
    </w:pPr>
    <w:rPr>
      <w:b/>
    </w:rPr>
  </w:style>
  <w:style w:type="paragraph" w:customStyle="1" w:styleId="03aHead">
    <w:name w:val="03a_Head"/>
    <w:basedOn w:val="03Headbold"/>
    <w:locked/>
    <w:rsid w:val="002C785B"/>
    <w:rPr>
      <w:b w:val="0"/>
    </w:rPr>
  </w:style>
  <w:style w:type="paragraph" w:customStyle="1" w:styleId="04dBodyTextbold">
    <w:name w:val="04d_Body Text bold"/>
    <w:basedOn w:val="04BodyText"/>
    <w:locked/>
    <w:rsid w:val="002C785B"/>
    <w:pPr>
      <w:tabs>
        <w:tab w:val="left" w:pos="414"/>
      </w:tabs>
    </w:pPr>
    <w:rPr>
      <w:b/>
    </w:rPr>
  </w:style>
  <w:style w:type="paragraph" w:customStyle="1" w:styleId="06InfoTitle">
    <w:name w:val="06_Info_Title"/>
    <w:basedOn w:val="Normal"/>
    <w:link w:val="06InfoTitleZchn"/>
    <w:locked/>
    <w:rsid w:val="002C785B"/>
    <w:pPr>
      <w:spacing w:after="40"/>
      <w:jc w:val="both"/>
    </w:pPr>
    <w:rPr>
      <w:b/>
      <w:sz w:val="24"/>
    </w:rPr>
  </w:style>
  <w:style w:type="character" w:customStyle="1" w:styleId="06InfoTitleZchn">
    <w:name w:val="06_Info_Title Zchn"/>
    <w:link w:val="06InfoTitle"/>
    <w:rsid w:val="002C785B"/>
    <w:rPr>
      <w:rFonts w:ascii="Arial" w:eastAsia="Times New Roman" w:hAnsi="Arial" w:cs="Times New Roman"/>
      <w:b/>
      <w:sz w:val="24"/>
      <w:szCs w:val="24"/>
      <w:lang w:val="en-GB" w:eastAsia="de-DE"/>
    </w:rPr>
  </w:style>
  <w:style w:type="paragraph" w:customStyle="1" w:styleId="06aInfoTitle">
    <w:name w:val="06a_Info_Title"/>
    <w:basedOn w:val="06InfoTitle"/>
    <w:link w:val="06aInfoTitleZchn"/>
    <w:locked/>
    <w:rsid w:val="002C785B"/>
    <w:rPr>
      <w:sz w:val="16"/>
    </w:rPr>
  </w:style>
  <w:style w:type="character" w:customStyle="1" w:styleId="06aInfoTitleZchn">
    <w:name w:val="06a_Info_Title Zchn"/>
    <w:link w:val="06aInfoTitle"/>
    <w:rsid w:val="002C785B"/>
    <w:rPr>
      <w:rFonts w:ascii="Arial" w:eastAsia="Times New Roman" w:hAnsi="Arial" w:cs="Times New Roman"/>
      <w:b/>
      <w:sz w:val="16"/>
      <w:szCs w:val="24"/>
      <w:lang w:val="en-GB" w:eastAsia="de-DE"/>
    </w:rPr>
  </w:style>
  <w:style w:type="paragraph" w:customStyle="1" w:styleId="04cA">
    <w:name w:val="04c_A"/>
    <w:aliases w:val="B,C"/>
    <w:locked/>
    <w:rsid w:val="002C785B"/>
    <w:pPr>
      <w:tabs>
        <w:tab w:val="num" w:pos="907"/>
      </w:tabs>
      <w:spacing w:after="0" w:line="276" w:lineRule="auto"/>
      <w:ind w:left="340" w:firstLine="227"/>
    </w:pPr>
    <w:rPr>
      <w:rFonts w:ascii="Georgia" w:eastAsia="Times New Roman" w:hAnsi="Georgia" w:cs="Times New Roman"/>
      <w:sz w:val="20"/>
      <w:szCs w:val="24"/>
      <w:lang w:val="en-GB" w:eastAsia="de-DE"/>
    </w:rPr>
  </w:style>
  <w:style w:type="paragraph" w:customStyle="1" w:styleId="05Headline1">
    <w:name w:val="05_Headline 1"/>
    <w:basedOn w:val="04BodyText"/>
    <w:locked/>
    <w:rsid w:val="002C785B"/>
    <w:pPr>
      <w:spacing w:line="300" w:lineRule="exact"/>
    </w:pPr>
    <w:rPr>
      <w:b/>
      <w:sz w:val="24"/>
    </w:rPr>
  </w:style>
  <w:style w:type="paragraph" w:customStyle="1" w:styleId="05aHeadline2">
    <w:name w:val="05a_Headline 2"/>
    <w:basedOn w:val="05Headline1"/>
    <w:next w:val="04BodyText"/>
    <w:locked/>
    <w:rsid w:val="002C785B"/>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2C785B"/>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2C785B"/>
    <w:pPr>
      <w:pBdr>
        <w:bottom w:val="single" w:sz="4" w:space="12" w:color="283583"/>
      </w:pBdr>
    </w:pPr>
    <w:rPr>
      <w:color w:val="2D4190"/>
    </w:rPr>
  </w:style>
  <w:style w:type="paragraph" w:customStyle="1" w:styleId="04cBodytextleft">
    <w:name w:val="04c_Body text left"/>
    <w:basedOn w:val="04BodyText"/>
    <w:locked/>
    <w:rsid w:val="002C785B"/>
    <w:pPr>
      <w:spacing w:after="0"/>
      <w:jc w:val="left"/>
    </w:pPr>
  </w:style>
  <w:style w:type="paragraph" w:customStyle="1" w:styleId="Style04RunningTextBold">
    <w:name w:val="Style 04_Running Text + Bold"/>
    <w:basedOn w:val="04BodyText"/>
    <w:locked/>
    <w:rsid w:val="002C785B"/>
    <w:pPr>
      <w:keepNext/>
    </w:pPr>
    <w:rPr>
      <w:b/>
      <w:bCs/>
    </w:rPr>
  </w:style>
  <w:style w:type="character" w:styleId="CommentReference">
    <w:name w:val="annotation reference"/>
    <w:rsid w:val="002C785B"/>
    <w:rPr>
      <w:sz w:val="16"/>
      <w:szCs w:val="16"/>
    </w:rPr>
  </w:style>
  <w:style w:type="paragraph" w:styleId="CommentText">
    <w:name w:val="annotation text"/>
    <w:basedOn w:val="Normal"/>
    <w:link w:val="CommentTextChar"/>
    <w:rsid w:val="002C785B"/>
    <w:rPr>
      <w:szCs w:val="20"/>
    </w:rPr>
  </w:style>
  <w:style w:type="character" w:customStyle="1" w:styleId="CommentTextChar">
    <w:name w:val="Comment Text Char"/>
    <w:basedOn w:val="DefaultParagraphFont"/>
    <w:link w:val="CommentText"/>
    <w:rsid w:val="002C785B"/>
    <w:rPr>
      <w:rFonts w:ascii="Arial" w:eastAsia="Times New Roman" w:hAnsi="Arial" w:cs="Times New Roman"/>
      <w:sz w:val="20"/>
      <w:szCs w:val="20"/>
      <w:lang w:val="en-GB" w:eastAsia="de-DE"/>
    </w:rPr>
  </w:style>
  <w:style w:type="paragraph" w:styleId="CommentSubject">
    <w:name w:val="annotation subject"/>
    <w:basedOn w:val="CommentText"/>
    <w:next w:val="CommentText"/>
    <w:link w:val="CommentSubjectChar"/>
    <w:rsid w:val="002C785B"/>
    <w:rPr>
      <w:b/>
      <w:bCs/>
    </w:rPr>
  </w:style>
  <w:style w:type="character" w:customStyle="1" w:styleId="CommentSubjectChar">
    <w:name w:val="Comment Subject Char"/>
    <w:basedOn w:val="CommentTextChar"/>
    <w:link w:val="CommentSubject"/>
    <w:rsid w:val="002C785B"/>
    <w:rPr>
      <w:rFonts w:ascii="Arial" w:eastAsia="Times New Roman" w:hAnsi="Arial" w:cs="Times New Roman"/>
      <w:b/>
      <w:bCs/>
      <w:sz w:val="20"/>
      <w:szCs w:val="20"/>
      <w:lang w:val="en-GB" w:eastAsia="de-DE"/>
    </w:rPr>
  </w:style>
  <w:style w:type="paragraph" w:styleId="BalloonText">
    <w:name w:val="Balloon Text"/>
    <w:basedOn w:val="Normal"/>
    <w:link w:val="BalloonTextChar"/>
    <w:rsid w:val="002C785B"/>
    <w:rPr>
      <w:rFonts w:ascii="Tahoma" w:hAnsi="Tahoma" w:cs="Tahoma"/>
      <w:sz w:val="16"/>
      <w:szCs w:val="16"/>
    </w:rPr>
  </w:style>
  <w:style w:type="character" w:customStyle="1" w:styleId="BalloonTextChar">
    <w:name w:val="Balloon Text Char"/>
    <w:basedOn w:val="DefaultParagraphFont"/>
    <w:link w:val="BalloonText"/>
    <w:rsid w:val="002C785B"/>
    <w:rPr>
      <w:rFonts w:ascii="Tahoma" w:eastAsia="Times New Roman" w:hAnsi="Tahoma" w:cs="Tahoma"/>
      <w:sz w:val="16"/>
      <w:szCs w:val="16"/>
      <w:lang w:val="en-GB"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rsid w:val="002C785B"/>
    <w:pPr>
      <w:ind w:left="720"/>
      <w:contextualSpacing/>
    </w:pPr>
  </w:style>
  <w:style w:type="paragraph" w:styleId="TOCHeading">
    <w:name w:val="TOC Heading"/>
    <w:basedOn w:val="Heading1"/>
    <w:next w:val="Normal"/>
    <w:uiPriority w:val="39"/>
    <w:unhideWhenUsed/>
    <w:qFormat/>
    <w:rsid w:val="002C785B"/>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2C785B"/>
    <w:pPr>
      <w:tabs>
        <w:tab w:val="num" w:pos="454"/>
      </w:tabs>
      <w:ind w:left="454" w:hanging="454"/>
    </w:pPr>
    <w:rPr>
      <w:lang w:val="fr-FR"/>
    </w:rPr>
  </w:style>
  <w:style w:type="character" w:customStyle="1" w:styleId="04aNumerationChar">
    <w:name w:val="04a_Numeration Char"/>
    <w:link w:val="04aNumeration"/>
    <w:locked/>
    <w:rsid w:val="002C785B"/>
    <w:rPr>
      <w:rFonts w:ascii="Arial" w:eastAsia="Times New Roman" w:hAnsi="Arial" w:cs="Times New Roman"/>
      <w:sz w:val="20"/>
      <w:szCs w:val="24"/>
      <w:lang w:val="fr-FR" w:eastAsia="de-DE"/>
    </w:rPr>
  </w:style>
  <w:style w:type="paragraph" w:customStyle="1" w:styleId="DPpara">
    <w:name w:val="DP para"/>
    <w:basedOn w:val="04aNumeration"/>
    <w:link w:val="DPparaChar"/>
    <w:locked/>
    <w:rsid w:val="002C785B"/>
    <w:pPr>
      <w:numPr>
        <w:numId w:val="6"/>
      </w:numPr>
    </w:pPr>
    <w:rPr>
      <w:szCs w:val="20"/>
    </w:rPr>
  </w:style>
  <w:style w:type="character" w:customStyle="1" w:styleId="DPparaChar">
    <w:name w:val="DP para Char"/>
    <w:link w:val="DPpara"/>
    <w:locked/>
    <w:rsid w:val="002C785B"/>
    <w:rPr>
      <w:rFonts w:ascii="Arial" w:eastAsia="Times New Roman" w:hAnsi="Arial" w:cs="Times New Roman"/>
      <w:sz w:val="20"/>
      <w:szCs w:val="20"/>
      <w:lang w:val="fr-FR" w:eastAsia="de-DE"/>
    </w:rPr>
  </w:style>
  <w:style w:type="character" w:customStyle="1" w:styleId="CommentTextChar1">
    <w:name w:val="Comment Text Char1"/>
    <w:locked/>
    <w:rsid w:val="002C785B"/>
    <w:rPr>
      <w:rFonts w:ascii="Georgia" w:hAnsi="Georgia"/>
      <w:lang w:eastAsia="de-DE"/>
    </w:rPr>
  </w:style>
  <w:style w:type="character" w:customStyle="1" w:styleId="FootnoteTextChar1">
    <w:name w:val="Footnote Text Char1"/>
    <w:aliases w:val="Char3 Char1, Char3 Char1"/>
    <w:locked/>
    <w:rsid w:val="002C785B"/>
    <w:rPr>
      <w:rFonts w:ascii="Georgia" w:hAnsi="Georgia"/>
      <w:sz w:val="16"/>
      <w:lang w:eastAsia="de-DE"/>
    </w:rPr>
  </w:style>
  <w:style w:type="paragraph" w:customStyle="1" w:styleId="Default">
    <w:name w:val="Default"/>
    <w:locked/>
    <w:rsid w:val="002C785B"/>
    <w:pPr>
      <w:autoSpaceDE w:val="0"/>
      <w:autoSpaceDN w:val="0"/>
      <w:adjustRightInd w:val="0"/>
      <w:spacing w:after="0" w:line="240" w:lineRule="auto"/>
    </w:pPr>
    <w:rPr>
      <w:rFonts w:ascii="Georgia" w:eastAsia="Times New Roman" w:hAnsi="Georgia" w:cs="Georgia"/>
      <w:color w:val="000000"/>
      <w:sz w:val="24"/>
      <w:szCs w:val="24"/>
      <w:lang w:val="fr-FR" w:eastAsia="en-GB"/>
    </w:rPr>
  </w:style>
  <w:style w:type="character" w:customStyle="1" w:styleId="hps">
    <w:name w:val="hps"/>
    <w:basedOn w:val="DefaultParagraphFont"/>
    <w:locked/>
    <w:rsid w:val="002C785B"/>
  </w:style>
  <w:style w:type="paragraph" w:customStyle="1" w:styleId="ManualNumPar1">
    <w:name w:val="Manual NumPar 1"/>
    <w:basedOn w:val="Normal"/>
    <w:next w:val="Normal"/>
    <w:link w:val="ManualNumPar1Char"/>
    <w:uiPriority w:val="99"/>
    <w:locked/>
    <w:rsid w:val="002C785B"/>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2C785B"/>
    <w:rPr>
      <w:rFonts w:ascii="Times New Roman" w:eastAsia="Times New Roman" w:hAnsi="Times New Roman" w:cs="Times New Roman"/>
      <w:sz w:val="24"/>
      <w:szCs w:val="24"/>
      <w:lang w:val="en-GB"/>
    </w:rPr>
  </w:style>
  <w:style w:type="character" w:styleId="Emphasis">
    <w:name w:val="Emphasis"/>
    <w:uiPriority w:val="20"/>
    <w:qFormat/>
    <w:rsid w:val="002C785B"/>
    <w:rPr>
      <w:i/>
      <w:iCs/>
    </w:rPr>
  </w:style>
  <w:style w:type="paragraph" w:styleId="Revision">
    <w:name w:val="Revision"/>
    <w:link w:val="RevisionChar"/>
    <w:hidden/>
    <w:uiPriority w:val="99"/>
    <w:semiHidden/>
    <w:rsid w:val="002C785B"/>
    <w:pPr>
      <w:spacing w:after="0" w:line="240" w:lineRule="auto"/>
    </w:pPr>
    <w:rPr>
      <w:rFonts w:ascii="Georgia" w:eastAsia="Times New Roman" w:hAnsi="Georgia" w:cs="Times New Roman"/>
      <w:szCs w:val="24"/>
      <w:lang w:val="en-GB" w:eastAsia="de-DE"/>
    </w:rPr>
  </w:style>
  <w:style w:type="paragraph" w:styleId="TOC3">
    <w:name w:val="toc 3"/>
    <w:basedOn w:val="Normal"/>
    <w:next w:val="Normal"/>
    <w:autoRedefine/>
    <w:uiPriority w:val="39"/>
    <w:qFormat/>
    <w:rsid w:val="002C785B"/>
    <w:pPr>
      <w:spacing w:after="100"/>
      <w:ind w:left="440"/>
    </w:pPr>
  </w:style>
  <w:style w:type="character" w:customStyle="1" w:styleId="SprechblasentextZeichen">
    <w:name w:val="Sprechblasentext Zeichen"/>
    <w:uiPriority w:val="99"/>
    <w:semiHidden/>
    <w:locked/>
    <w:rsid w:val="002C785B"/>
    <w:rPr>
      <w:rFonts w:ascii="Lucida Grande" w:hAnsi="Lucida Grande"/>
      <w:sz w:val="18"/>
      <w:szCs w:val="18"/>
    </w:rPr>
  </w:style>
  <w:style w:type="paragraph" w:customStyle="1" w:styleId="CM3">
    <w:name w:val="CM3"/>
    <w:basedOn w:val="Normal"/>
    <w:next w:val="Normal"/>
    <w:uiPriority w:val="99"/>
    <w:locked/>
    <w:rsid w:val="002C785B"/>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2C785B"/>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2C785B"/>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2C785B"/>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2C785B"/>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2C785B"/>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2C785B"/>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2C785B"/>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2C785B"/>
    <w:rPr>
      <w:b/>
      <w:bCs/>
      <w:color w:val="FFFFFF"/>
      <w:spacing w:val="0"/>
      <w:u w:val="single"/>
    </w:rPr>
  </w:style>
  <w:style w:type="paragraph" w:styleId="Caption">
    <w:name w:val="caption"/>
    <w:basedOn w:val="Normal"/>
    <w:next w:val="Normal"/>
    <w:unhideWhenUsed/>
    <w:qFormat/>
    <w:rsid w:val="002C785B"/>
    <w:pPr>
      <w:spacing w:after="200"/>
    </w:pPr>
    <w:rPr>
      <w:b/>
      <w:bCs/>
      <w:sz w:val="18"/>
      <w:szCs w:val="18"/>
    </w:rPr>
  </w:style>
  <w:style w:type="paragraph" w:styleId="NormalWeb">
    <w:name w:val="Normal (Web)"/>
    <w:basedOn w:val="Normal"/>
    <w:uiPriority w:val="99"/>
    <w:rsid w:val="002C785B"/>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2C785B"/>
    <w:rPr>
      <w:rFonts w:ascii="Georgia" w:hAnsi="Georgia"/>
      <w:b/>
      <w:bCs/>
      <w:iCs/>
      <w:szCs w:val="26"/>
      <w:lang w:eastAsia="de-DE"/>
    </w:rPr>
  </w:style>
  <w:style w:type="paragraph" w:styleId="DocumentMap">
    <w:name w:val="Document Map"/>
    <w:basedOn w:val="Normal"/>
    <w:link w:val="DocumentMapChar"/>
    <w:rsid w:val="002C785B"/>
    <w:rPr>
      <w:rFonts w:ascii="Tahoma" w:hAnsi="Tahoma" w:cs="Tahoma"/>
      <w:sz w:val="16"/>
      <w:szCs w:val="16"/>
    </w:rPr>
  </w:style>
  <w:style w:type="character" w:customStyle="1" w:styleId="DocumentMapChar">
    <w:name w:val="Document Map Char"/>
    <w:basedOn w:val="DefaultParagraphFont"/>
    <w:link w:val="DocumentMap"/>
    <w:rsid w:val="002C785B"/>
    <w:rPr>
      <w:rFonts w:ascii="Tahoma" w:eastAsia="Times New Roman" w:hAnsi="Tahoma" w:cs="Tahoma"/>
      <w:sz w:val="16"/>
      <w:szCs w:val="16"/>
      <w:lang w:val="en-GB" w:eastAsia="de-DE"/>
    </w:rPr>
  </w:style>
  <w:style w:type="paragraph" w:styleId="PlainText">
    <w:name w:val="Plain Text"/>
    <w:basedOn w:val="Normal"/>
    <w:link w:val="PlainTextChar"/>
    <w:unhideWhenUsed/>
    <w:rsid w:val="002C785B"/>
    <w:rPr>
      <w:rFonts w:ascii="Consolas" w:hAnsi="Consolas"/>
      <w:sz w:val="21"/>
      <w:szCs w:val="21"/>
      <w:lang w:val="de-DE"/>
    </w:rPr>
  </w:style>
  <w:style w:type="character" w:customStyle="1" w:styleId="PlainTextChar">
    <w:name w:val="Plain Text Char"/>
    <w:basedOn w:val="DefaultParagraphFont"/>
    <w:link w:val="PlainText"/>
    <w:rsid w:val="002C785B"/>
    <w:rPr>
      <w:rFonts w:ascii="Consolas" w:eastAsia="Times New Roman" w:hAnsi="Consolas" w:cs="Times New Roman"/>
      <w:sz w:val="21"/>
      <w:szCs w:val="21"/>
      <w:lang w:val="de-DE" w:eastAsia="de-DE"/>
    </w:rPr>
  </w:style>
  <w:style w:type="paragraph" w:styleId="BodyText">
    <w:name w:val="Body Text"/>
    <w:basedOn w:val="Normal"/>
    <w:link w:val="BodyTextChar"/>
    <w:unhideWhenUsed/>
    <w:rsid w:val="002C785B"/>
    <w:pPr>
      <w:numPr>
        <w:numId w:val="8"/>
      </w:numPr>
      <w:spacing w:after="240"/>
      <w:jc w:val="both"/>
    </w:pPr>
    <w:rPr>
      <w:rFonts w:ascii="Times New Roman" w:hAnsi="Times New Roman"/>
      <w:sz w:val="24"/>
      <w:szCs w:val="20"/>
      <w:lang w:eastAsia="en-GB"/>
    </w:rPr>
  </w:style>
  <w:style w:type="character" w:customStyle="1" w:styleId="BodyTextChar">
    <w:name w:val="Body Text Char"/>
    <w:basedOn w:val="DefaultParagraphFont"/>
    <w:link w:val="BodyText"/>
    <w:rsid w:val="002C785B"/>
    <w:rPr>
      <w:rFonts w:ascii="Times New Roman" w:eastAsia="Times New Roman" w:hAnsi="Times New Roman" w:cs="Times New Roman"/>
      <w:sz w:val="24"/>
      <w:szCs w:val="20"/>
      <w:lang w:val="en-GB" w:eastAsia="en-GB"/>
    </w:rPr>
  </w:style>
  <w:style w:type="paragraph" w:customStyle="1" w:styleId="ListParagraph1">
    <w:name w:val="List Paragraph1"/>
    <w:basedOn w:val="Normal"/>
    <w:qFormat/>
    <w:locked/>
    <w:rsid w:val="002C785B"/>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2C785B"/>
    <w:rPr>
      <w:rFonts w:ascii="Georgia" w:eastAsia="Times New Roman" w:hAnsi="Georgia" w:cs="Times New Roman"/>
      <w:b/>
      <w:szCs w:val="24"/>
      <w:lang w:eastAsia="de-DE"/>
    </w:rPr>
  </w:style>
  <w:style w:type="character" w:styleId="Strong">
    <w:name w:val="Strong"/>
    <w:aliases w:val="Bolded"/>
    <w:qFormat/>
    <w:rsid w:val="002C785B"/>
    <w:rPr>
      <w:b/>
      <w:bCs/>
    </w:rPr>
  </w:style>
  <w:style w:type="character" w:customStyle="1" w:styleId="Strong1">
    <w:name w:val="Strong1"/>
    <w:qFormat/>
    <w:locked/>
    <w:rsid w:val="002C785B"/>
    <w:rPr>
      <w:b/>
      <w:bCs/>
    </w:rPr>
  </w:style>
  <w:style w:type="character" w:customStyle="1" w:styleId="Strong2">
    <w:name w:val="Strong2"/>
    <w:qFormat/>
    <w:locked/>
    <w:rsid w:val="002C785B"/>
    <w:rPr>
      <w:b/>
      <w:bCs/>
    </w:rPr>
  </w:style>
  <w:style w:type="character" w:customStyle="1" w:styleId="Heading5Char3">
    <w:name w:val="Heading 5 Char3"/>
    <w:locked/>
    <w:rsid w:val="002C785B"/>
    <w:rPr>
      <w:rFonts w:ascii="Georgia" w:eastAsia="Times New Roman" w:hAnsi="Georgia" w:cs="Times New Roman"/>
      <w:b/>
      <w:szCs w:val="24"/>
      <w:lang w:eastAsia="de-DE"/>
    </w:rPr>
  </w:style>
  <w:style w:type="character" w:customStyle="1" w:styleId="Heading5Char4">
    <w:name w:val="Heading 5 Char4"/>
    <w:locked/>
    <w:rsid w:val="002C785B"/>
    <w:rPr>
      <w:rFonts w:ascii="Georgia" w:eastAsia="Times New Roman" w:hAnsi="Georgia" w:cs="Times New Roman"/>
      <w:b/>
      <w:szCs w:val="24"/>
      <w:lang w:eastAsia="de-DE"/>
    </w:rPr>
  </w:style>
  <w:style w:type="character" w:customStyle="1" w:styleId="Heading2Char1">
    <w:name w:val="Heading 2 Char1"/>
    <w:locked/>
    <w:rsid w:val="002C785B"/>
    <w:rPr>
      <w:rFonts w:ascii="Georgia" w:eastAsia="Times New Roman" w:hAnsi="Georgia" w:cs="Times New Roman"/>
      <w:b/>
      <w:bCs/>
      <w:sz w:val="22"/>
      <w:szCs w:val="26"/>
      <w:lang w:eastAsia="de-DE"/>
    </w:rPr>
  </w:style>
  <w:style w:type="character" w:customStyle="1" w:styleId="Heading5Char5">
    <w:name w:val="Heading 5 Char5"/>
    <w:locked/>
    <w:rsid w:val="002C785B"/>
    <w:rPr>
      <w:rFonts w:ascii="Georgia" w:eastAsia="Times New Roman" w:hAnsi="Georgia" w:cs="Times New Roman"/>
      <w:b/>
      <w:szCs w:val="24"/>
      <w:lang w:eastAsia="de-DE"/>
    </w:rPr>
  </w:style>
  <w:style w:type="character" w:customStyle="1" w:styleId="Heading2Char2">
    <w:name w:val="Heading 2 Char2"/>
    <w:link w:val="Heading2"/>
    <w:rsid w:val="002C785B"/>
    <w:rPr>
      <w:rFonts w:ascii="Arial" w:eastAsia="Times New Roman" w:hAnsi="Arial" w:cs="Times New Roman"/>
      <w:b/>
      <w:bCs/>
      <w:sz w:val="20"/>
      <w:szCs w:val="26"/>
      <w:lang w:val="en-GB" w:eastAsia="de-DE"/>
    </w:rPr>
  </w:style>
  <w:style w:type="character" w:customStyle="1" w:styleId="Strong3">
    <w:name w:val="Strong3"/>
    <w:qFormat/>
    <w:locked/>
    <w:rsid w:val="002C785B"/>
    <w:rPr>
      <w:b/>
      <w:bCs/>
    </w:rPr>
  </w:style>
  <w:style w:type="character" w:customStyle="1" w:styleId="Heading5Char6">
    <w:name w:val="Heading 5 Char6"/>
    <w:locked/>
    <w:rsid w:val="002C785B"/>
    <w:rPr>
      <w:rFonts w:ascii="Georgia" w:eastAsia="Times New Roman" w:hAnsi="Georgia" w:cs="Times New Roman"/>
      <w:b/>
      <w:szCs w:val="24"/>
      <w:lang w:eastAsia="de-DE"/>
    </w:rPr>
  </w:style>
  <w:style w:type="character" w:customStyle="1" w:styleId="italic1">
    <w:name w:val="italic1"/>
    <w:uiPriority w:val="99"/>
    <w:locked/>
    <w:rsid w:val="002C785B"/>
    <w:rPr>
      <w:rFonts w:cs="Times New Roman"/>
      <w:i/>
      <w:iCs/>
    </w:rPr>
  </w:style>
  <w:style w:type="paragraph" w:customStyle="1" w:styleId="5Normal">
    <w:name w:val="5 Normal"/>
    <w:basedOn w:val="Normal"/>
    <w:link w:val="5NormalChar"/>
    <w:locked/>
    <w:rsid w:val="002C785B"/>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2C785B"/>
    <w:rPr>
      <w:rFonts w:ascii="Verdana" w:eastAsia="Times New Roman" w:hAnsi="Verdana" w:cs="Times New Roman"/>
      <w:spacing w:val="-2"/>
      <w:sz w:val="20"/>
      <w:szCs w:val="24"/>
      <w:lang w:val="en-GB" w:eastAsia="en-GB"/>
    </w:rPr>
  </w:style>
  <w:style w:type="character" w:customStyle="1" w:styleId="Heading5Char7">
    <w:name w:val="Heading 5 Char7"/>
    <w:aliases w:val="Questions Char"/>
    <w:locked/>
    <w:rsid w:val="002C785B"/>
    <w:rPr>
      <w:rFonts w:ascii="Georgia" w:eastAsia="Times New Roman" w:hAnsi="Georgia" w:cs="Times New Roman"/>
      <w:b/>
      <w:szCs w:val="24"/>
      <w:lang w:eastAsia="de-DE"/>
    </w:rPr>
  </w:style>
  <w:style w:type="character" w:customStyle="1" w:styleId="Heading5Char8">
    <w:name w:val="Heading 5 Char8"/>
    <w:aliases w:val="Questions Char1"/>
    <w:locked/>
    <w:rsid w:val="002C785B"/>
    <w:rPr>
      <w:rFonts w:ascii="Georgia" w:eastAsia="Times New Roman" w:hAnsi="Georgia" w:cs="Times New Roman"/>
      <w:b/>
      <w:szCs w:val="24"/>
      <w:lang w:eastAsia="de-DE"/>
    </w:rPr>
  </w:style>
  <w:style w:type="numbering" w:customStyle="1" w:styleId="NoList1">
    <w:name w:val="No List1"/>
    <w:next w:val="NoList"/>
    <w:uiPriority w:val="99"/>
    <w:semiHidden/>
    <w:unhideWhenUsed/>
    <w:locked/>
    <w:rsid w:val="002C785B"/>
  </w:style>
  <w:style w:type="character" w:styleId="FollowedHyperlink">
    <w:name w:val="FollowedHyperlink"/>
    <w:unhideWhenUsed/>
    <w:rsid w:val="002C785B"/>
    <w:rPr>
      <w:color w:val="800080"/>
      <w:u w:val="single"/>
    </w:rPr>
  </w:style>
  <w:style w:type="paragraph" w:styleId="EndnoteText">
    <w:name w:val="endnote text"/>
    <w:basedOn w:val="Normal"/>
    <w:link w:val="EndnoteTextChar"/>
    <w:unhideWhenUsed/>
    <w:rsid w:val="002C785B"/>
    <w:rPr>
      <w:szCs w:val="20"/>
    </w:rPr>
  </w:style>
  <w:style w:type="character" w:customStyle="1" w:styleId="EndnoteTextChar">
    <w:name w:val="Endnote Text Char"/>
    <w:basedOn w:val="DefaultParagraphFont"/>
    <w:link w:val="EndnoteText"/>
    <w:rsid w:val="002C785B"/>
    <w:rPr>
      <w:rFonts w:ascii="Arial" w:eastAsia="Times New Roman" w:hAnsi="Arial" w:cs="Times New Roman"/>
      <w:sz w:val="20"/>
      <w:szCs w:val="20"/>
      <w:lang w:val="en-GB" w:eastAsia="de-DE"/>
    </w:rPr>
  </w:style>
  <w:style w:type="paragraph" w:styleId="ListNumber">
    <w:name w:val="List Number"/>
    <w:basedOn w:val="Normal"/>
    <w:unhideWhenUsed/>
    <w:rsid w:val="002C785B"/>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C785B"/>
    <w:rPr>
      <w:rFonts w:ascii="Arial" w:eastAsia="Times New Roman" w:hAnsi="Arial" w:cs="Times New Roman"/>
      <w:sz w:val="20"/>
      <w:szCs w:val="24"/>
      <w:lang w:val="en-GB" w:eastAsia="de-DE"/>
    </w:rPr>
  </w:style>
  <w:style w:type="paragraph" w:customStyle="1" w:styleId="04anumbering0">
    <w:name w:val="04anumbering"/>
    <w:basedOn w:val="Normal"/>
    <w:locked/>
    <w:rsid w:val="002C785B"/>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C785B"/>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C785B"/>
    <w:rPr>
      <w:rFonts w:ascii="Georgia" w:hAnsi="Georgia"/>
      <w:b/>
      <w:u w:val="single"/>
      <w:lang w:eastAsia="de-DE"/>
    </w:rPr>
  </w:style>
  <w:style w:type="paragraph" w:customStyle="1" w:styleId="DP">
    <w:name w:val="DP"/>
    <w:basedOn w:val="ListParagraph"/>
    <w:link w:val="DPChar"/>
    <w:qFormat/>
    <w:locked/>
    <w:rsid w:val="002C785B"/>
    <w:pPr>
      <w:ind w:left="708"/>
      <w:contextualSpacing w:val="0"/>
      <w:jc w:val="both"/>
    </w:pPr>
    <w:rPr>
      <w:rFonts w:ascii="Georgia" w:eastAsiaTheme="minorHAnsi" w:hAnsi="Georgia" w:cstheme="minorBidi"/>
      <w:b/>
      <w:sz w:val="22"/>
      <w:szCs w:val="22"/>
      <w:u w:val="single"/>
      <w:lang w:val="en-US"/>
    </w:rPr>
  </w:style>
  <w:style w:type="paragraph" w:customStyle="1" w:styleId="Bullet">
    <w:name w:val="Bullet"/>
    <w:basedOn w:val="Normal"/>
    <w:locked/>
    <w:rsid w:val="002C785B"/>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C785B"/>
    <w:rPr>
      <w:vertAlign w:val="superscript"/>
    </w:rPr>
  </w:style>
  <w:style w:type="character" w:styleId="PlaceholderText">
    <w:name w:val="Placeholder Text"/>
    <w:uiPriority w:val="99"/>
    <w:semiHidden/>
    <w:rsid w:val="002C785B"/>
    <w:rPr>
      <w:color w:val="808080"/>
    </w:rPr>
  </w:style>
  <w:style w:type="character" w:customStyle="1" w:styleId="apple-converted-space">
    <w:name w:val="apple-converted-space"/>
    <w:locked/>
    <w:rsid w:val="002C785B"/>
  </w:style>
  <w:style w:type="table" w:customStyle="1" w:styleId="TableGrid1">
    <w:name w:val="Table Grid1"/>
    <w:basedOn w:val="TableNormal"/>
    <w:uiPriority w:val="39"/>
    <w:locked/>
    <w:rsid w:val="002C785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C785B"/>
  </w:style>
  <w:style w:type="paragraph" w:customStyle="1" w:styleId="AutoCorrect">
    <w:name w:val="AutoCorrect"/>
    <w:locked/>
    <w:rsid w:val="002C785B"/>
    <w:pPr>
      <w:spacing w:after="200" w:line="276" w:lineRule="auto"/>
    </w:pPr>
    <w:rPr>
      <w:rFonts w:ascii="Calibri" w:eastAsia="Times New Roman" w:hAnsi="Calibri" w:cs="Times New Roman"/>
    </w:rPr>
  </w:style>
  <w:style w:type="character" w:styleId="LineNumber">
    <w:name w:val="line number"/>
    <w:basedOn w:val="DefaultParagraphFont"/>
    <w:uiPriority w:val="99"/>
    <w:unhideWhenUsed/>
    <w:rsid w:val="002C785B"/>
  </w:style>
  <w:style w:type="paragraph" w:customStyle="1" w:styleId="aStyle">
    <w:name w:val="a) Style"/>
    <w:basedOn w:val="Normal"/>
    <w:qFormat/>
    <w:locked/>
    <w:rsid w:val="002C785B"/>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2C785B"/>
    <w:rPr>
      <w:rFonts w:ascii="Arial" w:eastAsia="Times New Roman" w:hAnsi="Arial" w:cs="Times New Roman"/>
      <w:sz w:val="20"/>
      <w:szCs w:val="24"/>
      <w:lang w:val="en-GB" w:eastAsia="de-DE"/>
    </w:rPr>
  </w:style>
  <w:style w:type="paragraph" w:customStyle="1" w:styleId="Anwer">
    <w:name w:val="Anwer"/>
    <w:basedOn w:val="Caption"/>
    <w:link w:val="AnwerChar"/>
    <w:qFormat/>
    <w:locked/>
    <w:rsid w:val="002C785B"/>
    <w:pPr>
      <w:spacing w:before="120"/>
      <w:jc w:val="both"/>
    </w:pPr>
    <w:rPr>
      <w:color w:val="C0504D"/>
    </w:rPr>
  </w:style>
  <w:style w:type="character" w:customStyle="1" w:styleId="AnwerChar">
    <w:name w:val="Anwer Char"/>
    <w:link w:val="Anwer"/>
    <w:rsid w:val="002C785B"/>
    <w:rPr>
      <w:rFonts w:ascii="Arial" w:eastAsia="Times New Roman" w:hAnsi="Arial" w:cs="Times New Roman"/>
      <w:b/>
      <w:bCs/>
      <w:color w:val="C0504D"/>
      <w:sz w:val="18"/>
      <w:szCs w:val="18"/>
      <w:lang w:val="en-GB" w:eastAsia="de-DE"/>
    </w:rPr>
  </w:style>
  <w:style w:type="paragraph" w:customStyle="1" w:styleId="MYNORMAL">
    <w:name w:val="MYNORMAL"/>
    <w:basedOn w:val="04aNumeration"/>
    <w:link w:val="MYNORMALChar"/>
    <w:qFormat/>
    <w:rsid w:val="002C785B"/>
    <w:pPr>
      <w:tabs>
        <w:tab w:val="clear" w:pos="454"/>
      </w:tabs>
      <w:spacing w:before="120"/>
      <w:ind w:left="0" w:firstLine="0"/>
    </w:pPr>
  </w:style>
  <w:style w:type="character" w:customStyle="1" w:styleId="MYNORMALChar">
    <w:name w:val="MYNORMAL Char"/>
    <w:link w:val="MYNORMAL"/>
    <w:rsid w:val="002C785B"/>
    <w:rPr>
      <w:rFonts w:ascii="Arial" w:eastAsia="Times New Roman" w:hAnsi="Arial" w:cs="Times New Roman"/>
      <w:sz w:val="20"/>
      <w:szCs w:val="24"/>
      <w:lang w:val="fr-FR" w:eastAsia="de-DE"/>
    </w:rPr>
  </w:style>
  <w:style w:type="paragraph" w:customStyle="1" w:styleId="Normal1">
    <w:name w:val="Normal1"/>
    <w:basedOn w:val="Normal"/>
    <w:rsid w:val="002C785B"/>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2C785B"/>
    <w:rPr>
      <w:rFonts w:ascii="Georgia" w:eastAsia="Times New Roman" w:hAnsi="Georgia" w:cs="Times New Roman"/>
      <w:b/>
      <w:szCs w:val="24"/>
      <w:lang w:eastAsia="de-DE"/>
    </w:rPr>
  </w:style>
  <w:style w:type="character" w:customStyle="1" w:styleId="Heading5Char10">
    <w:name w:val="Heading 5 Char10"/>
    <w:aliases w:val="Questions Char3"/>
    <w:locked/>
    <w:rsid w:val="002C785B"/>
    <w:rPr>
      <w:rFonts w:ascii="Georgia" w:eastAsia="Times New Roman" w:hAnsi="Georgia" w:cs="Times New Roman"/>
      <w:b/>
      <w:szCs w:val="24"/>
      <w:lang w:eastAsia="de-DE"/>
    </w:rPr>
  </w:style>
  <w:style w:type="character" w:customStyle="1" w:styleId="Heading5Char11">
    <w:name w:val="Heading 5 Char11"/>
    <w:aliases w:val="Questions Char4"/>
    <w:locked/>
    <w:rsid w:val="002C785B"/>
    <w:rPr>
      <w:rFonts w:ascii="Georgia" w:eastAsia="Times New Roman" w:hAnsi="Georgia" w:cs="Times New Roman"/>
      <w:b/>
      <w:szCs w:val="24"/>
      <w:lang w:eastAsia="de-DE"/>
    </w:rPr>
  </w:style>
  <w:style w:type="character" w:customStyle="1" w:styleId="Heading3Char1">
    <w:name w:val="Heading 3 Char1"/>
    <w:locked/>
    <w:rsid w:val="002C785B"/>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2C785B"/>
    <w:rPr>
      <w:rFonts w:ascii="Georgia" w:eastAsia="Times New Roman" w:hAnsi="Georgia" w:cs="Times New Roman"/>
      <w:b/>
      <w:szCs w:val="24"/>
      <w:lang w:eastAsia="de-DE"/>
    </w:rPr>
  </w:style>
  <w:style w:type="character" w:customStyle="1" w:styleId="Heading5Char13">
    <w:name w:val="Heading 5 Char13"/>
    <w:aliases w:val="Questions Char6"/>
    <w:locked/>
    <w:rsid w:val="002C785B"/>
    <w:rPr>
      <w:rFonts w:ascii="Georgia" w:eastAsia="Times New Roman" w:hAnsi="Georgia" w:cs="Times New Roman"/>
      <w:b/>
      <w:szCs w:val="24"/>
      <w:lang w:eastAsia="de-DE"/>
    </w:rPr>
  </w:style>
  <w:style w:type="character" w:customStyle="1" w:styleId="Strong4">
    <w:name w:val="Strong4"/>
    <w:uiPriority w:val="22"/>
    <w:qFormat/>
    <w:locked/>
    <w:rsid w:val="002C785B"/>
    <w:rPr>
      <w:b/>
      <w:bCs/>
    </w:rPr>
  </w:style>
  <w:style w:type="character" w:customStyle="1" w:styleId="Heading5Char14">
    <w:name w:val="Heading 5 Char14"/>
    <w:aliases w:val="Questions Char7"/>
    <w:link w:val="Heading5"/>
    <w:uiPriority w:val="9"/>
    <w:rsid w:val="002C785B"/>
    <w:rPr>
      <w:rFonts w:ascii="Arial" w:eastAsia="Times New Roman" w:hAnsi="Arial" w:cs="Times New Roman"/>
      <w:b/>
      <w:sz w:val="20"/>
      <w:szCs w:val="24"/>
      <w:lang w:val="en-GB" w:eastAsia="de-DE"/>
    </w:rPr>
  </w:style>
  <w:style w:type="character" w:customStyle="1" w:styleId="Heading3Char2">
    <w:name w:val="Heading 3 Char2"/>
    <w:link w:val="Heading3"/>
    <w:rsid w:val="002C785B"/>
    <w:rPr>
      <w:rFonts w:ascii="Cambria" w:eastAsia="Times New Roman" w:hAnsi="Cambria" w:cs="Times New Roman"/>
      <w:b/>
      <w:bCs/>
      <w:color w:val="4F81BD"/>
      <w:sz w:val="20"/>
      <w:szCs w:val="24"/>
      <w:lang w:val="en-GB" w:eastAsia="de-DE"/>
    </w:rPr>
  </w:style>
  <w:style w:type="character" w:customStyle="1" w:styleId="Heading4Char1">
    <w:name w:val="Heading 4 Char1"/>
    <w:link w:val="Heading4"/>
    <w:rsid w:val="002C785B"/>
    <w:rPr>
      <w:rFonts w:ascii="Times New Roman" w:eastAsia="Times New Roman" w:hAnsi="Times New Roman" w:cs="Times New Roman"/>
      <w:b/>
      <w:bCs/>
      <w:sz w:val="28"/>
      <w:szCs w:val="28"/>
      <w:lang w:val="en-GB" w:eastAsia="de-DE"/>
    </w:rPr>
  </w:style>
  <w:style w:type="table" w:styleId="LightList-Accent3">
    <w:name w:val="Light List Accent 3"/>
    <w:basedOn w:val="TableNormal"/>
    <w:uiPriority w:val="61"/>
    <w:rsid w:val="002C785B"/>
    <w:pPr>
      <w:spacing w:after="0" w:line="240" w:lineRule="auto"/>
    </w:pPr>
    <w:rPr>
      <w:rFonts w:ascii="Calibri" w:eastAsia="Times New Roman" w:hAnsi="Calibri" w:cs="Times New Roman"/>
      <w:lang w:val="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2C785B"/>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2C785B"/>
    <w:rPr>
      <w:rFonts w:ascii="Tahoma" w:hAnsi="Tahoma" w:cs="Tahoma"/>
      <w:sz w:val="16"/>
      <w:szCs w:val="16"/>
      <w:lang w:val="en-GB" w:eastAsia="en-GB"/>
    </w:rPr>
  </w:style>
  <w:style w:type="character" w:customStyle="1" w:styleId="31TextobasenotadeprensaCNMVCar">
    <w:name w:val="3.1. Texto base nota de prensa CNMV Car"/>
    <w:locked/>
    <w:rsid w:val="002C785B"/>
    <w:rPr>
      <w:rFonts w:ascii="Celeste" w:hAnsi="Celeste" w:cs="Times New Roman"/>
      <w:sz w:val="22"/>
      <w:lang w:val="es-ES" w:eastAsia="es-ES" w:bidi="ar-SA"/>
    </w:rPr>
  </w:style>
  <w:style w:type="paragraph" w:customStyle="1" w:styleId="01Title">
    <w:name w:val="01_Title"/>
    <w:basedOn w:val="Normal"/>
    <w:locked/>
    <w:rsid w:val="002C785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2C785B"/>
    <w:pPr>
      <w:spacing w:after="250" w:line="276" w:lineRule="auto"/>
      <w:ind w:left="397" w:hanging="397"/>
      <w:jc w:val="both"/>
    </w:pPr>
    <w:rPr>
      <w:lang w:val="x-none"/>
    </w:rPr>
  </w:style>
  <w:style w:type="paragraph" w:customStyle="1" w:styleId="04bListing">
    <w:name w:val="04b_Listing"/>
    <w:basedOn w:val="04RunningText"/>
    <w:locked/>
    <w:rsid w:val="002C785B"/>
    <w:pPr>
      <w:tabs>
        <w:tab w:val="num" w:pos="568"/>
      </w:tabs>
      <w:ind w:left="568" w:hanging="284"/>
    </w:pPr>
  </w:style>
  <w:style w:type="paragraph" w:customStyle="1" w:styleId="04cRunningtextleft">
    <w:name w:val="04c_Running text left"/>
    <w:basedOn w:val="04RunningText"/>
    <w:locked/>
    <w:rsid w:val="002C785B"/>
    <w:pPr>
      <w:spacing w:after="0"/>
      <w:jc w:val="left"/>
    </w:pPr>
  </w:style>
  <w:style w:type="paragraph" w:customStyle="1" w:styleId="05bHeadline3">
    <w:name w:val="05b_Headline 3"/>
    <w:basedOn w:val="Heading2"/>
    <w:locked/>
    <w:rsid w:val="002C785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2C785B"/>
    <w:rPr>
      <w:rFonts w:ascii="Courier New" w:hAnsi="Courier New" w:cs="Courier New"/>
    </w:rPr>
  </w:style>
  <w:style w:type="paragraph" w:customStyle="1" w:styleId="TOCHeading1">
    <w:name w:val="TOC Heading1"/>
    <w:basedOn w:val="Heading1"/>
    <w:next w:val="Normal"/>
    <w:unhideWhenUsed/>
    <w:qFormat/>
    <w:locked/>
    <w:rsid w:val="002C785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2C785B"/>
    <w:pPr>
      <w:suppressAutoHyphens/>
      <w:spacing w:after="250" w:line="276" w:lineRule="auto"/>
      <w:ind w:left="397" w:hanging="397"/>
      <w:jc w:val="both"/>
    </w:pPr>
    <w:rPr>
      <w:rFonts w:ascii="Century Schoolbook" w:eastAsia="Times New Roman" w:hAnsi="Century Schoolbook" w:cs="Garamond"/>
      <w:sz w:val="20"/>
      <w:lang w:val="en-GB" w:eastAsia="ar-SA"/>
    </w:rPr>
  </w:style>
  <w:style w:type="paragraph" w:customStyle="1" w:styleId="04anumeration0">
    <w:name w:val="04anumeration"/>
    <w:basedOn w:val="Normal"/>
    <w:locked/>
    <w:rsid w:val="002C785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2C785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2C785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2C785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2C785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2C785B"/>
    <w:pPr>
      <w:ind w:left="720"/>
      <w:contextualSpacing/>
    </w:pPr>
    <w:rPr>
      <w:rFonts w:ascii="Cambria" w:hAnsi="Cambria"/>
      <w:sz w:val="24"/>
      <w:lang w:val="en-US" w:eastAsia="en-US"/>
    </w:rPr>
  </w:style>
  <w:style w:type="character" w:customStyle="1" w:styleId="CommentTextChar2">
    <w:name w:val="Comment Text Char2"/>
    <w:semiHidden/>
    <w:locked/>
    <w:rsid w:val="002C785B"/>
    <w:rPr>
      <w:rFonts w:ascii="Arial" w:hAnsi="Arial" w:cs="Times New Roman"/>
      <w:lang w:val="en-GB" w:eastAsia="en-GB" w:bidi="ar-SA"/>
    </w:rPr>
  </w:style>
  <w:style w:type="character" w:customStyle="1" w:styleId="subparatext">
    <w:name w:val="subparatext"/>
    <w:locked/>
    <w:rsid w:val="002C785B"/>
    <w:rPr>
      <w:rFonts w:cs="Times New Roman"/>
    </w:rPr>
  </w:style>
  <w:style w:type="paragraph" w:customStyle="1" w:styleId="Normal12Hanging">
    <w:name w:val="Normal12Hanging"/>
    <w:basedOn w:val="Normal"/>
    <w:rsid w:val="002C785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2C785B"/>
    <w:rPr>
      <w:szCs w:val="20"/>
    </w:rPr>
  </w:style>
  <w:style w:type="paragraph" w:customStyle="1" w:styleId="Sbuchead">
    <w:name w:val="Sbuchead"/>
    <w:basedOn w:val="Normal"/>
    <w:locked/>
    <w:rsid w:val="002C785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2C785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2C785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2C785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2C785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2C785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2C785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2C785B"/>
    <w:pPr>
      <w:spacing w:before="360"/>
      <w:jc w:val="center"/>
    </w:pPr>
    <w:rPr>
      <w:rFonts w:ascii="Times New Roman" w:hAnsi="Times New Roman"/>
      <w:b/>
      <w:sz w:val="24"/>
      <w:lang w:eastAsia="en-US"/>
    </w:rPr>
  </w:style>
  <w:style w:type="paragraph" w:customStyle="1" w:styleId="HeaderLandscape">
    <w:name w:val="HeaderLandscape"/>
    <w:basedOn w:val="Normal"/>
    <w:locked/>
    <w:rsid w:val="002C785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2C785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2C785B"/>
    <w:pPr>
      <w:spacing w:before="120" w:after="120"/>
      <w:ind w:left="850"/>
      <w:jc w:val="both"/>
    </w:pPr>
    <w:rPr>
      <w:rFonts w:ascii="Times New Roman" w:hAnsi="Times New Roman"/>
      <w:sz w:val="24"/>
      <w:lang w:eastAsia="en-US"/>
    </w:rPr>
  </w:style>
  <w:style w:type="paragraph" w:customStyle="1" w:styleId="Text2">
    <w:name w:val="Text 2"/>
    <w:basedOn w:val="Normal"/>
    <w:locked/>
    <w:rsid w:val="002C785B"/>
    <w:pPr>
      <w:spacing w:before="120" w:after="120"/>
      <w:ind w:left="1417"/>
      <w:jc w:val="both"/>
    </w:pPr>
    <w:rPr>
      <w:rFonts w:ascii="Times New Roman" w:hAnsi="Times New Roman"/>
      <w:sz w:val="24"/>
      <w:lang w:eastAsia="en-US"/>
    </w:rPr>
  </w:style>
  <w:style w:type="paragraph" w:customStyle="1" w:styleId="Text3">
    <w:name w:val="Text 3"/>
    <w:basedOn w:val="Normal"/>
    <w:locked/>
    <w:rsid w:val="002C785B"/>
    <w:pPr>
      <w:spacing w:before="120" w:after="120"/>
      <w:ind w:left="1984"/>
      <w:jc w:val="both"/>
    </w:pPr>
    <w:rPr>
      <w:rFonts w:ascii="Times New Roman" w:hAnsi="Times New Roman"/>
      <w:sz w:val="24"/>
      <w:lang w:eastAsia="en-US"/>
    </w:rPr>
  </w:style>
  <w:style w:type="paragraph" w:customStyle="1" w:styleId="Text4">
    <w:name w:val="Text 4"/>
    <w:basedOn w:val="Normal"/>
    <w:locked/>
    <w:rsid w:val="002C785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2C785B"/>
    <w:pPr>
      <w:spacing w:before="120" w:after="120"/>
      <w:jc w:val="center"/>
    </w:pPr>
    <w:rPr>
      <w:rFonts w:ascii="Times New Roman" w:hAnsi="Times New Roman"/>
      <w:sz w:val="24"/>
      <w:lang w:eastAsia="en-US"/>
    </w:rPr>
  </w:style>
  <w:style w:type="paragraph" w:customStyle="1" w:styleId="NormalLeft">
    <w:name w:val="Normal Left"/>
    <w:basedOn w:val="Normal"/>
    <w:rsid w:val="002C785B"/>
    <w:pPr>
      <w:spacing w:before="120" w:after="120"/>
    </w:pPr>
    <w:rPr>
      <w:rFonts w:ascii="Times New Roman" w:hAnsi="Times New Roman"/>
      <w:sz w:val="24"/>
      <w:lang w:eastAsia="en-US"/>
    </w:rPr>
  </w:style>
  <w:style w:type="paragraph" w:customStyle="1" w:styleId="NormalRight">
    <w:name w:val="Normal Right"/>
    <w:basedOn w:val="Normal"/>
    <w:rsid w:val="002C785B"/>
    <w:pPr>
      <w:spacing w:before="120" w:after="120"/>
      <w:jc w:val="right"/>
    </w:pPr>
    <w:rPr>
      <w:rFonts w:ascii="Times New Roman" w:hAnsi="Times New Roman"/>
      <w:sz w:val="24"/>
      <w:lang w:eastAsia="en-US"/>
    </w:rPr>
  </w:style>
  <w:style w:type="paragraph" w:customStyle="1" w:styleId="QuotedText">
    <w:name w:val="Quoted Text"/>
    <w:basedOn w:val="Normal"/>
    <w:locked/>
    <w:rsid w:val="002C785B"/>
    <w:pPr>
      <w:spacing w:before="120" w:after="120"/>
      <w:ind w:left="1417"/>
      <w:jc w:val="both"/>
    </w:pPr>
    <w:rPr>
      <w:rFonts w:ascii="Times New Roman" w:hAnsi="Times New Roman"/>
      <w:sz w:val="24"/>
      <w:lang w:eastAsia="en-US"/>
    </w:rPr>
  </w:style>
  <w:style w:type="paragraph" w:customStyle="1" w:styleId="Point0">
    <w:name w:val="Point 0"/>
    <w:basedOn w:val="Normal"/>
    <w:locked/>
    <w:rsid w:val="002C785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2C785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2C785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2C785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2C785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2C785B"/>
    <w:pPr>
      <w:numPr>
        <w:numId w:val="18"/>
      </w:numPr>
    </w:pPr>
  </w:style>
  <w:style w:type="paragraph" w:customStyle="1" w:styleId="Tiret2">
    <w:name w:val="Tiret 2"/>
    <w:basedOn w:val="Point2"/>
    <w:locked/>
    <w:rsid w:val="002C785B"/>
    <w:pPr>
      <w:tabs>
        <w:tab w:val="num" w:pos="1984"/>
      </w:tabs>
    </w:pPr>
  </w:style>
  <w:style w:type="paragraph" w:customStyle="1" w:styleId="Tiret3">
    <w:name w:val="Tiret 3"/>
    <w:basedOn w:val="Point3"/>
    <w:locked/>
    <w:rsid w:val="002C785B"/>
    <w:pPr>
      <w:numPr>
        <w:numId w:val="19"/>
      </w:numPr>
    </w:pPr>
  </w:style>
  <w:style w:type="paragraph" w:customStyle="1" w:styleId="Tiret4">
    <w:name w:val="Tiret 4"/>
    <w:basedOn w:val="Point4"/>
    <w:locked/>
    <w:rsid w:val="002C785B"/>
    <w:pPr>
      <w:numPr>
        <w:numId w:val="20"/>
      </w:numPr>
    </w:pPr>
  </w:style>
  <w:style w:type="paragraph" w:customStyle="1" w:styleId="PointDouble0">
    <w:name w:val="PointDouble 0"/>
    <w:basedOn w:val="Normal"/>
    <w:locked/>
    <w:rsid w:val="002C785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2C785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2C785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2C785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2C785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2C785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2C785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2C785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2C785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2C785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2C785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2C785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2C785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2C785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2C785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2C785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2C785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2C785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2C785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2C785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2C785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2C785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2C785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2C785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2C785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2C785B"/>
    <w:pPr>
      <w:spacing w:before="120" w:after="120"/>
      <w:jc w:val="center"/>
    </w:pPr>
    <w:rPr>
      <w:rFonts w:ascii="Times New Roman" w:hAnsi="Times New Roman"/>
      <w:b/>
      <w:sz w:val="24"/>
      <w:lang w:eastAsia="en-US"/>
    </w:rPr>
  </w:style>
  <w:style w:type="character" w:customStyle="1" w:styleId="Marker">
    <w:name w:val="Marker"/>
    <w:locked/>
    <w:rsid w:val="002C785B"/>
    <w:rPr>
      <w:color w:val="0000FF"/>
      <w:shd w:val="clear" w:color="auto" w:fill="auto"/>
    </w:rPr>
  </w:style>
  <w:style w:type="character" w:customStyle="1" w:styleId="Marker1">
    <w:name w:val="Marker1"/>
    <w:locked/>
    <w:rsid w:val="002C785B"/>
    <w:rPr>
      <w:color w:val="008000"/>
      <w:shd w:val="clear" w:color="auto" w:fill="auto"/>
    </w:rPr>
  </w:style>
  <w:style w:type="character" w:customStyle="1" w:styleId="Marker2">
    <w:name w:val="Marker2"/>
    <w:locked/>
    <w:rsid w:val="002C785B"/>
    <w:rPr>
      <w:color w:val="FF0000"/>
      <w:shd w:val="clear" w:color="auto" w:fill="auto"/>
    </w:rPr>
  </w:style>
  <w:style w:type="paragraph" w:customStyle="1" w:styleId="Point0number">
    <w:name w:val="Point 0 (number)"/>
    <w:basedOn w:val="Normal"/>
    <w:locked/>
    <w:rsid w:val="002C785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2C785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2C785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2C785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2C785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2C785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2C785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2C785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2C785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2C785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2C785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2C785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2C785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2C785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2C785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2C785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2C785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2C785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2C785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2C785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2C785B"/>
    <w:pPr>
      <w:spacing w:after="240"/>
    </w:pPr>
    <w:rPr>
      <w:rFonts w:ascii="Times New Roman" w:hAnsi="Times New Roman"/>
      <w:sz w:val="24"/>
      <w:lang w:eastAsia="en-US"/>
    </w:rPr>
  </w:style>
  <w:style w:type="paragraph" w:customStyle="1" w:styleId="Datedadoption">
    <w:name w:val="Date d'adoption"/>
    <w:basedOn w:val="Normal"/>
    <w:next w:val="Titreobjet"/>
    <w:locked/>
    <w:rsid w:val="002C785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2C785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2C785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2C785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2C785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2C785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2C785B"/>
    <w:rPr>
      <w:rFonts w:cs="Arial"/>
      <w:sz w:val="24"/>
      <w:lang w:eastAsia="en-US"/>
    </w:rPr>
  </w:style>
  <w:style w:type="paragraph" w:customStyle="1" w:styleId="Rfrenceinstitutionnelle">
    <w:name w:val="Référence institutionnelle"/>
    <w:basedOn w:val="Normal"/>
    <w:next w:val="Confidentialit"/>
    <w:locked/>
    <w:rsid w:val="002C785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2C785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2C785B"/>
    <w:pPr>
      <w:ind w:left="5103"/>
    </w:pPr>
    <w:rPr>
      <w:rFonts w:ascii="Times New Roman" w:hAnsi="Times New Roman"/>
      <w:sz w:val="24"/>
      <w:lang w:eastAsia="en-US"/>
    </w:rPr>
  </w:style>
  <w:style w:type="paragraph" w:customStyle="1" w:styleId="Sous-titreobjet">
    <w:name w:val="Sous-titre objet"/>
    <w:basedOn w:val="Normal"/>
    <w:locked/>
    <w:rsid w:val="002C785B"/>
    <w:pPr>
      <w:jc w:val="center"/>
    </w:pPr>
    <w:rPr>
      <w:rFonts w:ascii="Times New Roman" w:hAnsi="Times New Roman"/>
      <w:b/>
      <w:sz w:val="24"/>
      <w:lang w:eastAsia="en-US"/>
    </w:rPr>
  </w:style>
  <w:style w:type="paragraph" w:customStyle="1" w:styleId="Statut">
    <w:name w:val="Statut"/>
    <w:basedOn w:val="Normal"/>
    <w:next w:val="Typedudocument"/>
    <w:locked/>
    <w:rsid w:val="002C785B"/>
    <w:pPr>
      <w:spacing w:before="360"/>
      <w:jc w:val="center"/>
    </w:pPr>
    <w:rPr>
      <w:rFonts w:ascii="Times New Roman" w:hAnsi="Times New Roman"/>
      <w:sz w:val="24"/>
      <w:lang w:eastAsia="en-US"/>
    </w:rPr>
  </w:style>
  <w:style w:type="character" w:customStyle="1" w:styleId="Added">
    <w:name w:val="Added"/>
    <w:locked/>
    <w:rsid w:val="002C785B"/>
    <w:rPr>
      <w:b/>
      <w:u w:val="single"/>
      <w:shd w:val="clear" w:color="auto" w:fill="auto"/>
    </w:rPr>
  </w:style>
  <w:style w:type="character" w:customStyle="1" w:styleId="Deleted">
    <w:name w:val="Deleted"/>
    <w:locked/>
    <w:rsid w:val="002C785B"/>
    <w:rPr>
      <w:strike/>
      <w:shd w:val="clear" w:color="auto" w:fill="auto"/>
    </w:rPr>
  </w:style>
  <w:style w:type="paragraph" w:customStyle="1" w:styleId="Address">
    <w:name w:val="Address"/>
    <w:basedOn w:val="Normal"/>
    <w:next w:val="Normal"/>
    <w:locked/>
    <w:rsid w:val="002C785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2C785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2C785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2C785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2C785B"/>
    <w:pPr>
      <w:spacing w:before="360"/>
      <w:jc w:val="center"/>
    </w:pPr>
    <w:rPr>
      <w:rFonts w:ascii="Times New Roman" w:hAnsi="Times New Roman"/>
      <w:sz w:val="24"/>
      <w:lang w:eastAsia="en-US"/>
    </w:rPr>
  </w:style>
  <w:style w:type="paragraph" w:customStyle="1" w:styleId="Rfrencecroise">
    <w:name w:val="Référence croisée"/>
    <w:basedOn w:val="Normal"/>
    <w:locked/>
    <w:rsid w:val="002C785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2C785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2C785B"/>
  </w:style>
  <w:style w:type="paragraph" w:customStyle="1" w:styleId="RfrenceinterinstitutionnellePagedecouverture">
    <w:name w:val="Référence interinstitutionnelle (Page de couverture)"/>
    <w:basedOn w:val="Rfrenceinterinstitutionnelle"/>
    <w:next w:val="Confidentialit"/>
    <w:locked/>
    <w:rsid w:val="002C785B"/>
  </w:style>
  <w:style w:type="paragraph" w:customStyle="1" w:styleId="Sous-titreobjetPagedecouverture">
    <w:name w:val="Sous-titre objet (Page de couverture)"/>
    <w:basedOn w:val="Sous-titreobjet"/>
    <w:locked/>
    <w:rsid w:val="002C785B"/>
  </w:style>
  <w:style w:type="paragraph" w:customStyle="1" w:styleId="StatutPagedecouverture">
    <w:name w:val="Statut (Page de couverture)"/>
    <w:basedOn w:val="Statut"/>
    <w:next w:val="TypedudocumentPagedecouverture"/>
    <w:locked/>
    <w:rsid w:val="002C785B"/>
  </w:style>
  <w:style w:type="paragraph" w:customStyle="1" w:styleId="TitreobjetPagedecouverture">
    <w:name w:val="Titre objet (Page de couverture)"/>
    <w:basedOn w:val="Titreobjet"/>
    <w:next w:val="Sous-titreobjetPagedecouverture"/>
    <w:locked/>
    <w:rsid w:val="002C785B"/>
  </w:style>
  <w:style w:type="paragraph" w:customStyle="1" w:styleId="TypedudocumentPagedecouverture">
    <w:name w:val="Type du document (Page de couverture)"/>
    <w:basedOn w:val="Typedudocument"/>
    <w:next w:val="TitreobjetPagedecouverture"/>
    <w:locked/>
    <w:rsid w:val="002C785B"/>
  </w:style>
  <w:style w:type="paragraph" w:customStyle="1" w:styleId="Volume">
    <w:name w:val="Volume"/>
    <w:basedOn w:val="Normal"/>
    <w:next w:val="Confidentialit"/>
    <w:locked/>
    <w:rsid w:val="002C785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2C785B"/>
    <w:pPr>
      <w:spacing w:after="240"/>
    </w:pPr>
  </w:style>
  <w:style w:type="paragraph" w:customStyle="1" w:styleId="Accompagnant">
    <w:name w:val="Accompagnant"/>
    <w:basedOn w:val="Normal"/>
    <w:next w:val="Typeacteprincipal"/>
    <w:locked/>
    <w:rsid w:val="002C785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2C785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2C785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2C785B"/>
  </w:style>
  <w:style w:type="paragraph" w:customStyle="1" w:styleId="AccompagnantPagedecouverture">
    <w:name w:val="Accompagnant (Page de couverture)"/>
    <w:basedOn w:val="Accompagnant"/>
    <w:next w:val="TypeacteprincipalPagedecouverture"/>
    <w:locked/>
    <w:rsid w:val="002C785B"/>
  </w:style>
  <w:style w:type="paragraph" w:customStyle="1" w:styleId="TypeacteprincipalPagedecouverture">
    <w:name w:val="Type acte principal (Page de couverture)"/>
    <w:basedOn w:val="Typeacteprincipal"/>
    <w:next w:val="ObjetacteprincipalPagedecouverture"/>
    <w:locked/>
    <w:rsid w:val="002C785B"/>
  </w:style>
  <w:style w:type="paragraph" w:customStyle="1" w:styleId="ObjetacteprincipalPagedecouverture">
    <w:name w:val="Objet acte principal (Page de couverture)"/>
    <w:basedOn w:val="Objetacteprincipal"/>
    <w:next w:val="Rfrencecroise"/>
    <w:locked/>
    <w:rsid w:val="002C785B"/>
  </w:style>
  <w:style w:type="paragraph" w:customStyle="1" w:styleId="LanguesfaisantfoiPagedecouverture">
    <w:name w:val="Langues faisant foi (Page de couverture)"/>
    <w:basedOn w:val="Normal"/>
    <w:next w:val="Normal"/>
    <w:locked/>
    <w:rsid w:val="002C785B"/>
    <w:pPr>
      <w:spacing w:before="360"/>
      <w:jc w:val="center"/>
    </w:pPr>
    <w:rPr>
      <w:rFonts w:ascii="Times New Roman" w:hAnsi="Times New Roman"/>
      <w:sz w:val="24"/>
      <w:lang w:eastAsia="en-US"/>
    </w:rPr>
  </w:style>
  <w:style w:type="paragraph" w:styleId="ListNumber2">
    <w:name w:val="List Number 2"/>
    <w:basedOn w:val="Normal"/>
    <w:rsid w:val="002C785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2C785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2C785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2C785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2C785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2C785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2C785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2C785B"/>
    <w:pPr>
      <w:spacing w:before="120" w:after="120"/>
      <w:jc w:val="both"/>
    </w:pPr>
    <w:rPr>
      <w:rFonts w:ascii="Times New Roman" w:hAnsi="Times New Roman"/>
      <w:sz w:val="24"/>
      <w:lang w:eastAsia="en-US"/>
    </w:rPr>
  </w:style>
  <w:style w:type="character" w:customStyle="1" w:styleId="CommentTextChar3">
    <w:name w:val="Comment Text Char3"/>
    <w:locked/>
    <w:rsid w:val="002C785B"/>
    <w:rPr>
      <w:rFonts w:ascii="Arial" w:hAnsi="Arial" w:cs="Times New Roman"/>
      <w:lang w:val="en-GB" w:eastAsia="en-GB" w:bidi="ar-SA"/>
    </w:rPr>
  </w:style>
  <w:style w:type="paragraph" w:customStyle="1" w:styleId="Paragrafoelenco3">
    <w:name w:val="Paragrafo elenco3"/>
    <w:basedOn w:val="Normal"/>
    <w:locked/>
    <w:rsid w:val="002C785B"/>
    <w:pPr>
      <w:ind w:left="720"/>
      <w:contextualSpacing/>
    </w:pPr>
    <w:rPr>
      <w:rFonts w:ascii="Cambria" w:hAnsi="Cambria"/>
      <w:sz w:val="24"/>
      <w:lang w:val="en-US" w:eastAsia="en-US"/>
    </w:rPr>
  </w:style>
  <w:style w:type="paragraph" w:customStyle="1" w:styleId="Listeavsnitt1">
    <w:name w:val="Listeavsnitt1"/>
    <w:basedOn w:val="Normal"/>
    <w:locked/>
    <w:rsid w:val="002C785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2C785B"/>
    <w:rPr>
      <w:rFonts w:ascii="Consolas" w:hAnsi="Consolas" w:cs="Consolas"/>
      <w:sz w:val="21"/>
      <w:szCs w:val="21"/>
      <w:lang w:eastAsia="de-DE"/>
    </w:rPr>
  </w:style>
  <w:style w:type="character" w:customStyle="1" w:styleId="CharChar1">
    <w:name w:val="Char Char1"/>
    <w:semiHidden/>
    <w:locked/>
    <w:rsid w:val="002C785B"/>
    <w:rPr>
      <w:rFonts w:ascii="Arial" w:hAnsi="Arial"/>
      <w:lang w:val="en-GB" w:eastAsia="en-GB" w:bidi="ar-SA"/>
    </w:rPr>
  </w:style>
  <w:style w:type="character" w:customStyle="1" w:styleId="CharChar">
    <w:name w:val="Char Char"/>
    <w:semiHidden/>
    <w:locked/>
    <w:rsid w:val="002C785B"/>
    <w:rPr>
      <w:rFonts w:ascii="Arial" w:hAnsi="Arial"/>
      <w:lang w:val="en-GB" w:eastAsia="en-GB" w:bidi="ar-SA"/>
    </w:rPr>
  </w:style>
  <w:style w:type="character" w:customStyle="1" w:styleId="CharChar2">
    <w:name w:val="Char Char2"/>
    <w:semiHidden/>
    <w:locked/>
    <w:rsid w:val="002C785B"/>
    <w:rPr>
      <w:rFonts w:ascii="Arial" w:hAnsi="Arial"/>
      <w:lang w:val="en-GB" w:eastAsia="en-GB" w:bidi="ar-SA"/>
    </w:rPr>
  </w:style>
  <w:style w:type="character" w:customStyle="1" w:styleId="CharChar4">
    <w:name w:val="Char Char4"/>
    <w:semiHidden/>
    <w:locked/>
    <w:rsid w:val="002C785B"/>
    <w:rPr>
      <w:rFonts w:ascii="Arial" w:hAnsi="Arial" w:cs="Times New Roman"/>
      <w:lang w:val="en-GB" w:eastAsia="en-GB" w:bidi="ar-SA"/>
    </w:rPr>
  </w:style>
  <w:style w:type="numbering" w:customStyle="1" w:styleId="Formatvorlage1">
    <w:name w:val="Formatvorlage1"/>
    <w:uiPriority w:val="99"/>
    <w:locked/>
    <w:rsid w:val="002C785B"/>
    <w:pPr>
      <w:numPr>
        <w:numId w:val="27"/>
      </w:numPr>
    </w:pPr>
  </w:style>
  <w:style w:type="character" w:customStyle="1" w:styleId="DeltaViewDeletion">
    <w:name w:val="DeltaView Deletion"/>
    <w:locked/>
    <w:rsid w:val="002C785B"/>
    <w:rPr>
      <w:b/>
      <w:strike/>
      <w:color w:val="FFFFFF"/>
      <w:spacing w:val="0"/>
    </w:rPr>
  </w:style>
  <w:style w:type="paragraph" w:customStyle="1" w:styleId="Listenabsatz3">
    <w:name w:val="Listenabsatz3"/>
    <w:basedOn w:val="Normal"/>
    <w:locked/>
    <w:rsid w:val="002C785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2C785B"/>
    <w:pPr>
      <w:ind w:left="720"/>
      <w:contextualSpacing/>
    </w:pPr>
    <w:rPr>
      <w:rFonts w:ascii="Cambria" w:hAnsi="Cambria"/>
      <w:sz w:val="24"/>
      <w:lang w:val="en-US" w:eastAsia="en-US"/>
    </w:rPr>
  </w:style>
  <w:style w:type="paragraph" w:customStyle="1" w:styleId="ListParagraph2">
    <w:name w:val="List Paragraph2"/>
    <w:basedOn w:val="Normal"/>
    <w:locked/>
    <w:rsid w:val="002C785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2C785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2C785B"/>
    <w:pPr>
      <w:spacing w:after="0" w:line="240" w:lineRule="auto"/>
    </w:pPr>
    <w:rPr>
      <w:rFonts w:ascii="Times New Roman" w:eastAsia="Times New Roman" w:hAnsi="Times New Roman" w:cs="Times New Roman"/>
      <w:sz w:val="24"/>
      <w:szCs w:val="24"/>
      <w:lang w:val="en-GB"/>
    </w:rPr>
  </w:style>
  <w:style w:type="paragraph" w:customStyle="1" w:styleId="CODParagraphes">
    <w:name w:val="COD Paragraphes"/>
    <w:basedOn w:val="Normal"/>
    <w:locked/>
    <w:rsid w:val="002C785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2C785B"/>
    <w:rPr>
      <w:rFonts w:ascii="Times New Roman" w:eastAsia="Times New Roman" w:hAnsi="Times New Roman" w:cs="Times New Roman"/>
      <w:i/>
      <w:sz w:val="24"/>
      <w:szCs w:val="24"/>
      <w:lang w:val="x-none" w:eastAsia="x-none"/>
    </w:rPr>
  </w:style>
  <w:style w:type="paragraph" w:customStyle="1" w:styleId="CODArticle12">
    <w:name w:val="COD Article + 12"/>
    <w:basedOn w:val="Normal"/>
    <w:uiPriority w:val="99"/>
    <w:locked/>
    <w:rsid w:val="002C785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2C785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2C785B"/>
    <w:pPr>
      <w:ind w:left="720"/>
      <w:contextualSpacing/>
    </w:pPr>
    <w:rPr>
      <w:rFonts w:ascii="Times New Roman" w:hAnsi="Times New Roman"/>
      <w:sz w:val="24"/>
      <w:lang w:eastAsia="en-GB"/>
    </w:rPr>
  </w:style>
  <w:style w:type="paragraph" w:customStyle="1" w:styleId="Listenabsatz4">
    <w:name w:val="Listenabsatz4"/>
    <w:basedOn w:val="Normal"/>
    <w:qFormat/>
    <w:locked/>
    <w:rsid w:val="002C785B"/>
    <w:pPr>
      <w:ind w:left="720"/>
      <w:contextualSpacing/>
    </w:pPr>
    <w:rPr>
      <w:rFonts w:ascii="Times New Roman" w:hAnsi="Times New Roman"/>
      <w:sz w:val="24"/>
      <w:lang w:eastAsia="en-GB"/>
    </w:rPr>
  </w:style>
  <w:style w:type="character" w:customStyle="1" w:styleId="04BodyTextChar">
    <w:name w:val="04_Body Text Char"/>
    <w:link w:val="04BodyText"/>
    <w:rsid w:val="002C785B"/>
    <w:rPr>
      <w:rFonts w:ascii="Arial" w:eastAsia="Times New Roman" w:hAnsi="Arial" w:cs="Times New Roman"/>
      <w:sz w:val="20"/>
      <w:szCs w:val="24"/>
      <w:lang w:val="en-GB" w:eastAsia="de-DE"/>
    </w:rPr>
  </w:style>
  <w:style w:type="paragraph" w:customStyle="1" w:styleId="05dHeadline1line">
    <w:name w:val="05d_Headline 1 line"/>
    <w:basedOn w:val="05cHeadline1"/>
    <w:next w:val="04fBodytextline"/>
    <w:locked/>
    <w:rsid w:val="002C785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2C785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2C785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2C785B"/>
    <w:rPr>
      <w:rFonts w:ascii="Arial" w:eastAsia="Times New Roman" w:hAnsi="Arial" w:cs="Times New Roman"/>
      <w:sz w:val="20"/>
      <w:szCs w:val="24"/>
      <w:lang w:val="x-none" w:eastAsia="de-DE"/>
    </w:rPr>
  </w:style>
  <w:style w:type="character" w:customStyle="1" w:styleId="AnnexChar">
    <w:name w:val="Annex Char"/>
    <w:link w:val="Annex"/>
    <w:rsid w:val="002C785B"/>
    <w:rPr>
      <w:rFonts w:ascii="Arial" w:eastAsia="Times New Roman" w:hAnsi="Arial" w:cs="Times New Roman"/>
      <w:b/>
      <w:color w:val="000000"/>
      <w:sz w:val="20"/>
      <w:szCs w:val="24"/>
      <w:lang w:val="x-none" w:eastAsia="de-DE"/>
    </w:rPr>
  </w:style>
  <w:style w:type="paragraph" w:customStyle="1" w:styleId="CM1">
    <w:name w:val="CM1"/>
    <w:basedOn w:val="Default"/>
    <w:next w:val="Default"/>
    <w:uiPriority w:val="99"/>
    <w:locked/>
    <w:rsid w:val="002C785B"/>
    <w:rPr>
      <w:rFonts w:ascii="EUAlbertina" w:hAnsi="EUAlbertina" w:cs="Times New Roman"/>
      <w:color w:val="auto"/>
      <w:lang w:val="de-DE" w:eastAsia="de-DE"/>
    </w:rPr>
  </w:style>
  <w:style w:type="paragraph" w:customStyle="1" w:styleId="aStyle1">
    <w:name w:val="a. Style1"/>
    <w:basedOn w:val="Normal"/>
    <w:link w:val="aStyle1Char"/>
    <w:qFormat/>
    <w:locked/>
    <w:rsid w:val="002C785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2C785B"/>
    <w:rPr>
      <w:rFonts w:ascii="Arial" w:eastAsia="Times New Roman" w:hAnsi="Arial" w:cs="Times New Roman"/>
      <w:sz w:val="20"/>
      <w:szCs w:val="20"/>
      <w:lang w:val="x-none" w:eastAsia="x-none"/>
    </w:rPr>
  </w:style>
  <w:style w:type="paragraph" w:styleId="Title">
    <w:name w:val="Title"/>
    <w:basedOn w:val="Normal"/>
    <w:next w:val="Normal"/>
    <w:link w:val="TitleChar"/>
    <w:uiPriority w:val="10"/>
    <w:qFormat/>
    <w:rsid w:val="002C785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basedOn w:val="DefaultParagraphFont"/>
    <w:link w:val="Title"/>
    <w:uiPriority w:val="10"/>
    <w:rsid w:val="002C785B"/>
    <w:rPr>
      <w:rFonts w:ascii="Cambria" w:eastAsia="Times New Roman" w:hAnsi="Cambria" w:cs="Times New Roman"/>
      <w:b/>
      <w:kern w:val="28"/>
      <w:sz w:val="32"/>
      <w:szCs w:val="20"/>
      <w:lang w:val="fr-FR" w:eastAsia="fr-FR"/>
    </w:rPr>
  </w:style>
  <w:style w:type="paragraph" w:customStyle="1" w:styleId="32LadilloosubtitulonotadeprensaCNMV">
    <w:name w:val="3.2. Ladillo o subtitulo nota de prensa CNMV"/>
    <w:basedOn w:val="Normal"/>
    <w:locked/>
    <w:rsid w:val="002C785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2C785B"/>
    <w:rPr>
      <w:rFonts w:ascii="Georgia" w:eastAsia="Times New Roman" w:hAnsi="Georgia" w:cs="Times New Roman"/>
      <w:szCs w:val="24"/>
      <w:lang w:val="en-GB" w:eastAsia="de-DE"/>
    </w:rPr>
  </w:style>
  <w:style w:type="table" w:customStyle="1" w:styleId="TableGrid2">
    <w:name w:val="Table Grid2"/>
    <w:basedOn w:val="TableNormal"/>
    <w:next w:val="TableGrid"/>
    <w:uiPriority w:val="59"/>
    <w:locked/>
    <w:rsid w:val="002C785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2C785B"/>
    <w:rPr>
      <w:b/>
      <w:i w:val="0"/>
      <w:iCs/>
      <w:sz w:val="20"/>
    </w:rPr>
  </w:style>
  <w:style w:type="paragraph" w:customStyle="1" w:styleId="NEW-Paragraph-Level1">
    <w:name w:val="NEW-Paragraph-Level1"/>
    <w:basedOn w:val="Normal"/>
    <w:locked/>
    <w:rsid w:val="002C785B"/>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2C785B"/>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2C785B"/>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2C785B"/>
    <w:rPr>
      <w:rFonts w:ascii="Arial" w:eastAsia="Times New Roman" w:hAnsi="Arial" w:cs="Times New Roman"/>
      <w:sz w:val="20"/>
      <w:szCs w:val="20"/>
      <w:lang w:val="en-GB" w:eastAsia="de-DE"/>
    </w:rPr>
  </w:style>
  <w:style w:type="character" w:customStyle="1" w:styleId="NEW-Paragraph-level3Char">
    <w:name w:val="NEW-Paragraph-level3 Char"/>
    <w:link w:val="NEW-Paragraph-level3"/>
    <w:rsid w:val="002C785B"/>
    <w:rPr>
      <w:rFonts w:ascii="Arial" w:eastAsia="Times New Roman" w:hAnsi="Arial" w:cs="Times New Roman"/>
      <w:sz w:val="20"/>
      <w:szCs w:val="20"/>
      <w:lang w:val="en-GB" w:eastAsia="de-DE"/>
    </w:rPr>
  </w:style>
  <w:style w:type="paragraph" w:customStyle="1" w:styleId="NEW-Level0">
    <w:name w:val="NEW-Level0"/>
    <w:basedOn w:val="Normal"/>
    <w:locked/>
    <w:rsid w:val="002C785B"/>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2C785B"/>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2C785B"/>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2C785B"/>
    <w:rPr>
      <w:rFonts w:ascii="Arial" w:eastAsia="Times New Roman" w:hAnsi="Arial" w:cs="Georgia"/>
      <w:b/>
      <w:bCs/>
      <w:color w:val="000000"/>
      <w:sz w:val="20"/>
      <w:szCs w:val="20"/>
      <w:u w:val="single"/>
      <w:lang w:val="en-GB" w:eastAsia="en-GB"/>
    </w:rPr>
  </w:style>
  <w:style w:type="paragraph" w:customStyle="1" w:styleId="aNEW-Level0">
    <w:name w:val="aNEW-Level0"/>
    <w:basedOn w:val="NEW-Level0"/>
    <w:link w:val="aNEW-Level0Char"/>
    <w:qFormat/>
    <w:locked/>
    <w:rsid w:val="002C785B"/>
    <w:pPr>
      <w:spacing w:before="120" w:after="120"/>
      <w:ind w:left="425" w:hanging="425"/>
    </w:pPr>
  </w:style>
  <w:style w:type="paragraph" w:customStyle="1" w:styleId="aNEW-Level1">
    <w:name w:val="aNEW-Level1"/>
    <w:basedOn w:val="NEW-Level1"/>
    <w:link w:val="aNEW-Level1Char"/>
    <w:qFormat/>
    <w:locked/>
    <w:rsid w:val="002C785B"/>
    <w:pPr>
      <w:spacing w:before="120" w:after="120"/>
      <w:ind w:left="431" w:hanging="431"/>
    </w:pPr>
  </w:style>
  <w:style w:type="character" w:customStyle="1" w:styleId="aNEW-Level0Char">
    <w:name w:val="aNEW-Level0 Char"/>
    <w:link w:val="aNEW-Level0"/>
    <w:rsid w:val="002C785B"/>
    <w:rPr>
      <w:rFonts w:ascii="Arial" w:eastAsia="Times New Roman" w:hAnsi="Arial" w:cs="Arial"/>
      <w:b/>
      <w:bCs/>
      <w:kern w:val="32"/>
      <w:sz w:val="28"/>
      <w:szCs w:val="28"/>
      <w:lang w:val="en-GB" w:eastAsia="de-DE"/>
    </w:rPr>
  </w:style>
  <w:style w:type="character" w:customStyle="1" w:styleId="aNEW-Level1Char">
    <w:name w:val="aNEW-Level1 Char"/>
    <w:link w:val="aNEW-Level1"/>
    <w:rsid w:val="002C785B"/>
    <w:rPr>
      <w:rFonts w:ascii="Arial" w:eastAsia="Times New Roman" w:hAnsi="Arial" w:cs="Arial"/>
      <w:b/>
      <w:bCs/>
      <w:kern w:val="32"/>
      <w:sz w:val="24"/>
      <w:szCs w:val="32"/>
      <w:lang w:val="en-GB" w:eastAsia="de-DE"/>
    </w:rPr>
  </w:style>
  <w:style w:type="paragraph" w:customStyle="1" w:styleId="aNEW-Level2">
    <w:name w:val="aNEW-Level2"/>
    <w:basedOn w:val="NEW-Level2"/>
    <w:link w:val="aNEW-Level2Char"/>
    <w:qFormat/>
    <w:locked/>
    <w:rsid w:val="002C785B"/>
  </w:style>
  <w:style w:type="paragraph" w:customStyle="1" w:styleId="aNEW-Level4">
    <w:name w:val="aNEW-Level4"/>
    <w:basedOn w:val="Normal"/>
    <w:link w:val="aNEW-Level4Char"/>
    <w:qFormat/>
    <w:locked/>
    <w:rsid w:val="002C785B"/>
    <w:pPr>
      <w:tabs>
        <w:tab w:val="left" w:pos="720"/>
      </w:tabs>
      <w:spacing w:after="250" w:line="276" w:lineRule="auto"/>
      <w:jc w:val="both"/>
    </w:pPr>
    <w:rPr>
      <w:i/>
      <w:szCs w:val="20"/>
    </w:rPr>
  </w:style>
  <w:style w:type="character" w:customStyle="1" w:styleId="aNEW-Level2Char">
    <w:name w:val="aNEW-Level2 Char"/>
    <w:link w:val="aNEW-Level2"/>
    <w:rsid w:val="002C785B"/>
    <w:rPr>
      <w:rFonts w:ascii="Arial" w:eastAsia="Times New Roman" w:hAnsi="Arial" w:cs="Georgia"/>
      <w:b/>
      <w:bCs/>
      <w:color w:val="000000"/>
      <w:sz w:val="20"/>
      <w:szCs w:val="20"/>
      <w:u w:val="single"/>
      <w:lang w:val="en-GB" w:eastAsia="en-GB"/>
    </w:rPr>
  </w:style>
  <w:style w:type="paragraph" w:customStyle="1" w:styleId="aNEW-Questions">
    <w:name w:val="aNEW-Questions"/>
    <w:basedOn w:val="Normal"/>
    <w:link w:val="aNEW-QuestionsChar"/>
    <w:qFormat/>
    <w:locked/>
    <w:rsid w:val="002C785B"/>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2C785B"/>
    <w:rPr>
      <w:rFonts w:ascii="Arial" w:eastAsia="Times New Roman" w:hAnsi="Arial" w:cs="Times New Roman"/>
      <w:i/>
      <w:sz w:val="20"/>
      <w:szCs w:val="20"/>
      <w:lang w:val="en-GB" w:eastAsia="de-DE"/>
    </w:rPr>
  </w:style>
  <w:style w:type="paragraph" w:customStyle="1" w:styleId="aNEW-Paragraph">
    <w:name w:val="aNEW-Paragraph"/>
    <w:basedOn w:val="NEW-Paragraph-Level1"/>
    <w:link w:val="aNEW-ParagraphChar"/>
    <w:qFormat/>
    <w:locked/>
    <w:rsid w:val="002C785B"/>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2C785B"/>
    <w:rPr>
      <w:rFonts w:ascii="Arial" w:eastAsia="Calibri" w:hAnsi="Arial" w:cs="Times New Roman"/>
      <w:b/>
      <w:bCs/>
      <w:kern w:val="28"/>
      <w:sz w:val="20"/>
      <w:szCs w:val="32"/>
      <w:lang w:val="en-GB"/>
    </w:rPr>
  </w:style>
  <w:style w:type="character" w:customStyle="1" w:styleId="aNEW-ParagraphChar">
    <w:name w:val="aNEW-Paragraph Char"/>
    <w:link w:val="aNEW-Paragraph"/>
    <w:rsid w:val="002C785B"/>
    <w:rPr>
      <w:rFonts w:ascii="Arial" w:eastAsia="Calibri" w:hAnsi="Arial" w:cs="Times New Roman"/>
      <w:sz w:val="20"/>
      <w:szCs w:val="20"/>
      <w:lang w:val="en-GB" w:eastAsia="de-DE"/>
    </w:rPr>
  </w:style>
  <w:style w:type="paragraph" w:customStyle="1" w:styleId="aNew-Level33">
    <w:name w:val="aNew-Level33"/>
    <w:basedOn w:val="Normal"/>
    <w:link w:val="aNew-Level33Char"/>
    <w:qFormat/>
    <w:locked/>
    <w:rsid w:val="002C785B"/>
    <w:pPr>
      <w:spacing w:after="250" w:line="276" w:lineRule="auto"/>
      <w:ind w:left="426" w:hanging="426"/>
      <w:jc w:val="both"/>
    </w:pPr>
    <w:rPr>
      <w:b/>
    </w:rPr>
  </w:style>
  <w:style w:type="paragraph" w:customStyle="1" w:styleId="aNew-BoxTitle">
    <w:name w:val="aNew-BoxTitle"/>
    <w:basedOn w:val="04aNumbering"/>
    <w:link w:val="aNew-BoxTitleChar"/>
    <w:qFormat/>
    <w:locked/>
    <w:rsid w:val="002C785B"/>
    <w:pPr>
      <w:shd w:val="clear" w:color="auto" w:fill="D9D9D9"/>
      <w:tabs>
        <w:tab w:val="clear" w:pos="851"/>
        <w:tab w:val="left" w:pos="720"/>
      </w:tabs>
      <w:ind w:left="284"/>
    </w:pPr>
    <w:rPr>
      <w:b/>
    </w:rPr>
  </w:style>
  <w:style w:type="character" w:customStyle="1" w:styleId="aNew-Level33Char">
    <w:name w:val="aNew-Level33 Char"/>
    <w:link w:val="aNew-Level33"/>
    <w:rsid w:val="002C785B"/>
    <w:rPr>
      <w:rFonts w:ascii="Arial" w:eastAsia="Times New Roman" w:hAnsi="Arial" w:cs="Times New Roman"/>
      <w:b/>
      <w:sz w:val="20"/>
      <w:szCs w:val="24"/>
      <w:lang w:val="en-GB" w:eastAsia="de-DE"/>
    </w:rPr>
  </w:style>
  <w:style w:type="character" w:customStyle="1" w:styleId="aNew-BoxTitleChar">
    <w:name w:val="aNew-BoxTitle Char"/>
    <w:link w:val="aNew-BoxTitle"/>
    <w:rsid w:val="002C785B"/>
    <w:rPr>
      <w:rFonts w:ascii="Arial" w:eastAsia="Times New Roman" w:hAnsi="Arial" w:cs="Times New Roman"/>
      <w:b/>
      <w:sz w:val="20"/>
      <w:szCs w:val="24"/>
      <w:shd w:val="clear" w:color="auto" w:fill="D9D9D9"/>
      <w:lang w:val="en-GB" w:eastAsia="de-DE"/>
    </w:rPr>
  </w:style>
  <w:style w:type="paragraph" w:customStyle="1" w:styleId="aNEW-Paragraph-level2">
    <w:name w:val="aNEW-Paragraph-level2"/>
    <w:basedOn w:val="NEW-Paragraph-level2"/>
    <w:link w:val="aNEW-Paragraph-level2Char"/>
    <w:qFormat/>
    <w:locked/>
    <w:rsid w:val="002C785B"/>
    <w:pPr>
      <w:ind w:left="851" w:hanging="425"/>
    </w:pPr>
  </w:style>
  <w:style w:type="paragraph" w:customStyle="1" w:styleId="aNEW-Paragraph-level3">
    <w:name w:val="aNEW-Paragraph-level3"/>
    <w:basedOn w:val="NEW-Paragraph-level3"/>
    <w:link w:val="aNEW-Paragraph-level3Char"/>
    <w:qFormat/>
    <w:locked/>
    <w:rsid w:val="002C785B"/>
    <w:pPr>
      <w:ind w:left="1276" w:hanging="426"/>
    </w:pPr>
  </w:style>
  <w:style w:type="character" w:customStyle="1" w:styleId="aNEW-Paragraph-level2Char">
    <w:name w:val="aNEW-Paragraph-level2 Char"/>
    <w:link w:val="aNEW-Paragraph-level2"/>
    <w:rsid w:val="002C785B"/>
    <w:rPr>
      <w:rFonts w:ascii="Arial" w:eastAsia="Times New Roman" w:hAnsi="Arial" w:cs="Times New Roman"/>
      <w:sz w:val="20"/>
      <w:szCs w:val="20"/>
      <w:lang w:val="en-GB" w:eastAsia="de-DE"/>
    </w:rPr>
  </w:style>
  <w:style w:type="character" w:customStyle="1" w:styleId="aNEW-Paragraph-level3Char">
    <w:name w:val="aNEW-Paragraph-level3 Char"/>
    <w:link w:val="aNEW-Paragraph-level3"/>
    <w:rsid w:val="002C785B"/>
    <w:rPr>
      <w:rFonts w:ascii="Arial" w:eastAsia="Times New Roman" w:hAnsi="Arial" w:cs="Times New Roman"/>
      <w:sz w:val="20"/>
      <w:szCs w:val="20"/>
      <w:lang w:val="en-GB" w:eastAsia="de-DE"/>
    </w:rPr>
  </w:style>
  <w:style w:type="paragraph" w:customStyle="1" w:styleId="aNew-Level5">
    <w:name w:val="aNew-Level5"/>
    <w:basedOn w:val="Normal"/>
    <w:link w:val="aNew-Level5Char"/>
    <w:qFormat/>
    <w:locked/>
    <w:rsid w:val="002C785B"/>
    <w:pPr>
      <w:tabs>
        <w:tab w:val="left" w:pos="720"/>
      </w:tabs>
      <w:spacing w:after="250" w:line="276" w:lineRule="auto"/>
      <w:jc w:val="both"/>
    </w:pPr>
    <w:rPr>
      <w:i/>
      <w:szCs w:val="20"/>
      <w:u w:val="single"/>
    </w:rPr>
  </w:style>
  <w:style w:type="character" w:customStyle="1" w:styleId="aNew-Level5Char">
    <w:name w:val="aNew-Level5 Char"/>
    <w:link w:val="aNew-Level5"/>
    <w:rsid w:val="002C785B"/>
    <w:rPr>
      <w:rFonts w:ascii="Arial" w:eastAsia="Times New Roman" w:hAnsi="Arial" w:cs="Times New Roman"/>
      <w:i/>
      <w:sz w:val="20"/>
      <w:szCs w:val="20"/>
      <w:u w:val="single"/>
      <w:lang w:val="en-GB" w:eastAsia="de-DE"/>
    </w:rPr>
  </w:style>
  <w:style w:type="paragraph" w:customStyle="1" w:styleId="Questions-ESMA">
    <w:name w:val="Questions-ESMA"/>
    <w:basedOn w:val="Normal"/>
    <w:link w:val="Questions-ESMAChar"/>
    <w:qFormat/>
    <w:locked/>
    <w:rsid w:val="002C785B"/>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2C785B"/>
    <w:rPr>
      <w:rFonts w:ascii="Calibri" w:eastAsia="Times New Roman" w:hAnsi="Calibri" w:cs="Times New Roman"/>
      <w:b/>
      <w:szCs w:val="20"/>
      <w:lang w:val="en-GB"/>
    </w:rPr>
  </w:style>
  <w:style w:type="paragraph" w:customStyle="1" w:styleId="CPQuestions">
    <w:name w:val="CP_Questions"/>
    <w:basedOn w:val="Normal"/>
    <w:link w:val="CPQuestionsChar"/>
    <w:qFormat/>
    <w:locked/>
    <w:rsid w:val="00F40E41"/>
    <w:pPr>
      <w:numPr>
        <w:numId w:val="32"/>
      </w:numPr>
      <w:spacing w:before="250" w:after="250" w:line="276" w:lineRule="auto"/>
      <w:ind w:left="5321"/>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2C785B"/>
    <w:rPr>
      <w:rFonts w:ascii="Arial" w:eastAsiaTheme="minorEastAsia" w:hAnsi="Arial"/>
      <w:b/>
      <w:szCs w:val="20"/>
      <w:lang w:val="en-GB"/>
    </w:rPr>
  </w:style>
  <w:style w:type="paragraph" w:customStyle="1" w:styleId="CPQuest2">
    <w:name w:val="CP_Quest2"/>
    <w:basedOn w:val="CPQuestions"/>
    <w:link w:val="CPQuest2Char"/>
    <w:autoRedefine/>
    <w:qFormat/>
    <w:locked/>
    <w:rsid w:val="002C785B"/>
    <w:pPr>
      <w:numPr>
        <w:numId w:val="33"/>
      </w:numPr>
    </w:pPr>
    <w:rPr>
      <w:rFonts w:eastAsia="Calibri"/>
    </w:rPr>
  </w:style>
  <w:style w:type="character" w:customStyle="1" w:styleId="CPQuest2Char">
    <w:name w:val="CP_Quest2 Char"/>
    <w:basedOn w:val="CPQuestionsChar"/>
    <w:link w:val="CPQuest2"/>
    <w:rsid w:val="002C785B"/>
    <w:rPr>
      <w:rFonts w:ascii="Arial" w:eastAsia="Calibri" w:hAnsi="Arial"/>
      <w:b/>
      <w:szCs w:val="20"/>
      <w:lang w:val="en-GB"/>
    </w:rPr>
  </w:style>
  <w:style w:type="character" w:styleId="IntenseEmphasis">
    <w:name w:val="Intense Emphasis"/>
    <w:basedOn w:val="DefaultParagraphFont"/>
    <w:uiPriority w:val="21"/>
    <w:qFormat/>
    <w:rsid w:val="002C785B"/>
    <w:rPr>
      <w:b/>
      <w:bCs/>
      <w:i/>
      <w:iCs/>
    </w:rPr>
  </w:style>
  <w:style w:type="character" w:customStyle="1" w:styleId="CPTitle1Char">
    <w:name w:val="CP_Title1 Char"/>
    <w:basedOn w:val="DefaultParagraphFont"/>
    <w:link w:val="CPTitle1"/>
    <w:locked/>
    <w:rsid w:val="002C785B"/>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2C785B"/>
    <w:pPr>
      <w:keepLines/>
      <w:numPr>
        <w:numId w:val="34"/>
      </w:numPr>
      <w:spacing w:before="320" w:after="0" w:line="276" w:lineRule="auto"/>
      <w:jc w:val="both"/>
    </w:pPr>
    <w:rPr>
      <w:rFonts w:asciiTheme="majorHAnsi" w:eastAsiaTheme="majorEastAsia" w:hAnsiTheme="majorHAnsi" w:cstheme="majorHAnsi"/>
      <w:bCs w:val="0"/>
      <w:kern w:val="0"/>
      <w:sz w:val="32"/>
      <w:lang w:val="en-US" w:eastAsia="en-US"/>
    </w:rPr>
  </w:style>
  <w:style w:type="paragraph" w:customStyle="1" w:styleId="CPTitle3">
    <w:name w:val="CP_Title3"/>
    <w:basedOn w:val="Heading2"/>
    <w:qFormat/>
    <w:locked/>
    <w:rsid w:val="002C785B"/>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2C785B"/>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2C785B"/>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2C785B"/>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2C785B"/>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2C785B"/>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2C785B"/>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styleId="UnresolvedMention">
    <w:name w:val="Unresolved Mention"/>
    <w:basedOn w:val="DefaultParagraphFont"/>
    <w:uiPriority w:val="99"/>
    <w:semiHidden/>
    <w:unhideWhenUsed/>
    <w:rsid w:val="006F4BA7"/>
    <w:rPr>
      <w:color w:val="605E5C"/>
      <w:shd w:val="clear" w:color="auto" w:fill="E1DFDD"/>
    </w:rPr>
  </w:style>
  <w:style w:type="character" w:customStyle="1" w:styleId="UnresolvedMention1">
    <w:name w:val="Unresolved Mention1"/>
    <w:basedOn w:val="DefaultParagraphFont"/>
    <w:uiPriority w:val="99"/>
    <w:semiHidden/>
    <w:unhideWhenUsed/>
    <w:rsid w:val="00F4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0705">
      <w:bodyDiv w:val="1"/>
      <w:marLeft w:val="0"/>
      <w:marRight w:val="0"/>
      <w:marTop w:val="0"/>
      <w:marBottom w:val="0"/>
      <w:divBdr>
        <w:top w:val="none" w:sz="0" w:space="0" w:color="auto"/>
        <w:left w:val="none" w:sz="0" w:space="0" w:color="auto"/>
        <w:bottom w:val="none" w:sz="0" w:space="0" w:color="auto"/>
        <w:right w:val="none" w:sz="0" w:space="0" w:color="auto"/>
      </w:divBdr>
    </w:div>
    <w:div w:id="797143560">
      <w:bodyDiv w:val="1"/>
      <w:marLeft w:val="0"/>
      <w:marRight w:val="0"/>
      <w:marTop w:val="0"/>
      <w:marBottom w:val="0"/>
      <w:divBdr>
        <w:top w:val="none" w:sz="0" w:space="0" w:color="auto"/>
        <w:left w:val="none" w:sz="0" w:space="0" w:color="auto"/>
        <w:bottom w:val="none" w:sz="0" w:space="0" w:color="auto"/>
        <w:right w:val="none" w:sz="0" w:space="0" w:color="auto"/>
      </w:divBdr>
    </w:div>
    <w:div w:id="814876554">
      <w:bodyDiv w:val="1"/>
      <w:marLeft w:val="0"/>
      <w:marRight w:val="0"/>
      <w:marTop w:val="0"/>
      <w:marBottom w:val="0"/>
      <w:divBdr>
        <w:top w:val="none" w:sz="0" w:space="0" w:color="auto"/>
        <w:left w:val="none" w:sz="0" w:space="0" w:color="auto"/>
        <w:bottom w:val="none" w:sz="0" w:space="0" w:color="auto"/>
        <w:right w:val="none" w:sz="0" w:space="0" w:color="auto"/>
      </w:divBdr>
    </w:div>
    <w:div w:id="909579254">
      <w:bodyDiv w:val="1"/>
      <w:marLeft w:val="0"/>
      <w:marRight w:val="0"/>
      <w:marTop w:val="0"/>
      <w:marBottom w:val="0"/>
      <w:divBdr>
        <w:top w:val="none" w:sz="0" w:space="0" w:color="auto"/>
        <w:left w:val="none" w:sz="0" w:space="0" w:color="auto"/>
        <w:bottom w:val="none" w:sz="0" w:space="0" w:color="auto"/>
        <w:right w:val="none" w:sz="0" w:space="0" w:color="auto"/>
      </w:divBdr>
    </w:div>
    <w:div w:id="1008141843">
      <w:bodyDiv w:val="1"/>
      <w:marLeft w:val="0"/>
      <w:marRight w:val="0"/>
      <w:marTop w:val="0"/>
      <w:marBottom w:val="0"/>
      <w:divBdr>
        <w:top w:val="none" w:sz="0" w:space="0" w:color="auto"/>
        <w:left w:val="none" w:sz="0" w:space="0" w:color="auto"/>
        <w:bottom w:val="none" w:sz="0" w:space="0" w:color="auto"/>
        <w:right w:val="none" w:sz="0" w:space="0" w:color="auto"/>
      </w:divBdr>
    </w:div>
    <w:div w:id="1068190334">
      <w:bodyDiv w:val="1"/>
      <w:marLeft w:val="0"/>
      <w:marRight w:val="0"/>
      <w:marTop w:val="0"/>
      <w:marBottom w:val="0"/>
      <w:divBdr>
        <w:top w:val="none" w:sz="0" w:space="0" w:color="auto"/>
        <w:left w:val="none" w:sz="0" w:space="0" w:color="auto"/>
        <w:bottom w:val="none" w:sz="0" w:space="0" w:color="auto"/>
        <w:right w:val="none" w:sz="0" w:space="0" w:color="auto"/>
      </w:divBdr>
    </w:div>
    <w:div w:id="1138650703">
      <w:bodyDiv w:val="1"/>
      <w:marLeft w:val="0"/>
      <w:marRight w:val="0"/>
      <w:marTop w:val="0"/>
      <w:marBottom w:val="0"/>
      <w:divBdr>
        <w:top w:val="none" w:sz="0" w:space="0" w:color="auto"/>
        <w:left w:val="none" w:sz="0" w:space="0" w:color="auto"/>
        <w:bottom w:val="none" w:sz="0" w:space="0" w:color="auto"/>
        <w:right w:val="none" w:sz="0" w:space="0" w:color="auto"/>
      </w:divBdr>
    </w:div>
    <w:div w:id="1140414955">
      <w:bodyDiv w:val="1"/>
      <w:marLeft w:val="0"/>
      <w:marRight w:val="0"/>
      <w:marTop w:val="0"/>
      <w:marBottom w:val="0"/>
      <w:divBdr>
        <w:top w:val="none" w:sz="0" w:space="0" w:color="auto"/>
        <w:left w:val="none" w:sz="0" w:space="0" w:color="auto"/>
        <w:bottom w:val="none" w:sz="0" w:space="0" w:color="auto"/>
        <w:right w:val="none" w:sz="0" w:space="0" w:color="auto"/>
      </w:divBdr>
    </w:div>
    <w:div w:id="1351638606">
      <w:bodyDiv w:val="1"/>
      <w:marLeft w:val="0"/>
      <w:marRight w:val="0"/>
      <w:marTop w:val="0"/>
      <w:marBottom w:val="0"/>
      <w:divBdr>
        <w:top w:val="none" w:sz="0" w:space="0" w:color="auto"/>
        <w:left w:val="none" w:sz="0" w:space="0" w:color="auto"/>
        <w:bottom w:val="none" w:sz="0" w:space="0" w:color="auto"/>
        <w:right w:val="none" w:sz="0" w:space="0" w:color="auto"/>
      </w:divBdr>
    </w:div>
    <w:div w:id="1453863147">
      <w:bodyDiv w:val="1"/>
      <w:marLeft w:val="0"/>
      <w:marRight w:val="0"/>
      <w:marTop w:val="0"/>
      <w:marBottom w:val="0"/>
      <w:divBdr>
        <w:top w:val="none" w:sz="0" w:space="0" w:color="auto"/>
        <w:left w:val="none" w:sz="0" w:space="0" w:color="auto"/>
        <w:bottom w:val="none" w:sz="0" w:space="0" w:color="auto"/>
        <w:right w:val="none" w:sz="0" w:space="0" w:color="auto"/>
      </w:divBdr>
    </w:div>
    <w:div w:id="1635256383">
      <w:bodyDiv w:val="1"/>
      <w:marLeft w:val="0"/>
      <w:marRight w:val="0"/>
      <w:marTop w:val="0"/>
      <w:marBottom w:val="0"/>
      <w:divBdr>
        <w:top w:val="none" w:sz="0" w:space="0" w:color="auto"/>
        <w:left w:val="none" w:sz="0" w:space="0" w:color="auto"/>
        <w:bottom w:val="none" w:sz="0" w:space="0" w:color="auto"/>
        <w:right w:val="none" w:sz="0" w:space="0" w:color="auto"/>
      </w:divBdr>
    </w:div>
    <w:div w:id="20850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arusft.com/what-we-need-to-do-to-fix-mifid-ii-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ma.europa.eu" TargetMode="External"/><Relationship Id="rId5" Type="http://schemas.openxmlformats.org/officeDocument/2006/relationships/numbering" Target="numbering.xml"/><Relationship Id="rId15" Type="http://schemas.openxmlformats.org/officeDocument/2006/relationships/hyperlink" Target="https://www.clarusft.com/what-we-need-to-do-to-fix-mifid-ii-dat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arusft.com/mifid-ii-data-for-bond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earchworks.stanford.edu/view/12663220" TargetMode="External"/><Relationship Id="rId3" Type="http://schemas.openxmlformats.org/officeDocument/2006/relationships/hyperlink" Target="https://www.nber.org/papers/w19417" TargetMode="External"/><Relationship Id="rId7" Type="http://schemas.openxmlformats.org/officeDocument/2006/relationships/hyperlink" Target="https://www.shearman.com/perspectives/2020/03/cftc-approves-proposed-rule-on-post-trade-name-give-up-on-swap-execution-facilities" TargetMode="External"/><Relationship Id="rId2" Type="http://schemas.openxmlformats.org/officeDocument/2006/relationships/hyperlink" Target="https://papers.ssrn.com/sol3/papers.cfm?abstract_id=3171056" TargetMode="External"/><Relationship Id="rId1" Type="http://schemas.openxmlformats.org/officeDocument/2006/relationships/hyperlink" Target="https://www.icmagroup.org/assets/documents/Regulatory/Secondary-markets/Time-to-act-ICMAs-3rd-study-into-the-state-and-evolution-of-the-European-investment-grade-corporate-bond-secondary-market-040320.pdf" TargetMode="External"/><Relationship Id="rId6" Type="http://schemas.openxmlformats.org/officeDocument/2006/relationships/hyperlink" Target="https://www.fia.org/resources/fia-epta-response-esma-consultation-cost-market-data-and-consolidated-tape" TargetMode="External"/><Relationship Id="rId5" Type="http://schemas.openxmlformats.org/officeDocument/2006/relationships/hyperlink" Target="http://papers.ssrn.com/sol3/papers.cfm?abstract_id=2443654" TargetMode="External"/><Relationship Id="rId4" Type="http://schemas.openxmlformats.org/officeDocument/2006/relationships/hyperlink" Target="https://papers.ssrn.com/sol3/papers.cfm?abstract_id=21765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9" ma:contentTypeDescription="Create a new document." ma:contentTypeScope="" ma:versionID="07ddbebdd0cafc6296f48db4b417bfc1">
  <xsd:schema xmlns:xsd="http://www.w3.org/2001/XMLSchema" xmlns:xs="http://www.w3.org/2001/XMLSchema" xmlns:p="http://schemas.microsoft.com/office/2006/metadata/properties" xmlns:ns2="cd8cd0e2-fecb-441a-a76e-fb96239463f3" targetNamespace="http://schemas.microsoft.com/office/2006/metadata/properties" ma:root="true" ma:fieldsID="382e6b03d7d574e8736cb8f62c879b32" ns2:_="">
    <xsd:import namespace="cd8cd0e2-fecb-441a-a76e-fb9623946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379F-A19E-4C84-B1A0-9645F4D916BA}">
  <ds:schemaRefs>
    <ds:schemaRef ds:uri="http://schemas.microsoft.com/sharepoint/v3/contenttype/forms"/>
  </ds:schemaRefs>
</ds:datastoreItem>
</file>

<file path=customXml/itemProps2.xml><?xml version="1.0" encoding="utf-8"?>
<ds:datastoreItem xmlns:ds="http://schemas.openxmlformats.org/officeDocument/2006/customXml" ds:itemID="{86E61904-96C1-4AA8-AA54-E7238B0AC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4B44E-B273-4C1F-AC9D-8D0CC2C4E77C}">
  <ds:schemaRefs>
    <ds:schemaRef ds:uri="http://purl.org/dc/terms/"/>
    <ds:schemaRef ds:uri="cd8cd0e2-fecb-441a-a76e-fb96239463f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94EEBC-7541-434D-A8E1-2D142D4C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10630</Words>
  <Characters>60591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Citadel, LLC</Company>
  <LinksUpToDate>false</LinksUpToDate>
  <CharactersWithSpaces>71079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Jonah</dc:creator>
  <cp:keywords/>
  <dc:description/>
  <cp:lastModifiedBy>Piebe Teeboom</cp:lastModifiedBy>
  <cp:revision>2</cp:revision>
  <cp:lastPrinted>2020-06-14T10:41:00Z</cp:lastPrinted>
  <dcterms:created xsi:type="dcterms:W3CDTF">2020-06-14T10:44:00Z</dcterms:created>
  <dcterms:modified xsi:type="dcterms:W3CDTF">2020-06-14T10:44:00Z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0x0101003BB5125868DD164F979D685E1741D1BD</vt:lpwstr>
  </property>
</Properties>
</file>