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A52EBB" w14:paraId="5DCC7BC8" w14:textId="77777777" w:rsidTr="00315E96">
        <w:trPr>
          <w:trHeight w:val="284"/>
        </w:trPr>
        <w:tc>
          <w:tcPr>
            <w:tcW w:w="9412" w:type="dxa"/>
          </w:tcPr>
          <w:p w14:paraId="16A89E45" w14:textId="134B4D37" w:rsidR="00C2094B" w:rsidRPr="00583885" w:rsidRDefault="00A52EBB" w:rsidP="0071740A">
            <w:pPr>
              <w:pStyle w:val="Footer"/>
              <w:rPr>
                <w:rFonts w:cs="Arial"/>
                <w:sz w:val="22"/>
                <w:szCs w:val="22"/>
              </w:rPr>
            </w:pPr>
            <w:permStart w:id="1707502347" w:edGrp="everyone"/>
            <w:permEnd w:id="1707502347"/>
            <w:r w:rsidRPr="00583885">
              <w:rPr>
                <w:rFonts w:cs="Arial"/>
                <w:color w:val="FFFFFF" w:themeColor="background1"/>
                <w:sz w:val="22"/>
                <w:szCs w:val="22"/>
              </w:rPr>
              <w:ptab w:relativeTo="margin" w:alignment="center" w:leader="none"/>
            </w:r>
            <w:r w:rsidRPr="00583885">
              <w:rPr>
                <w:rFonts w:cs="Arial"/>
                <w:color w:val="FFFFFF" w:themeColor="background1"/>
                <w:sz w:val="22"/>
                <w:szCs w:val="22"/>
              </w:rPr>
              <w:ptab w:relativeTo="margin" w:alignment="right" w:leader="none"/>
            </w:r>
            <w:r w:rsidR="00775D3F">
              <w:rPr>
                <w:rFonts w:cs="Arial"/>
                <w:color w:val="FFFFFF" w:themeColor="background1"/>
                <w:sz w:val="22"/>
                <w:szCs w:val="22"/>
              </w:rPr>
              <w:t>10 March</w:t>
            </w:r>
            <w:r w:rsidR="00B61CD3">
              <w:rPr>
                <w:rFonts w:cs="Arial"/>
                <w:color w:val="FFFFFF" w:themeColor="background1"/>
                <w:sz w:val="22"/>
                <w:szCs w:val="22"/>
              </w:rPr>
              <w:t xml:space="preserve"> 2020</w:t>
            </w:r>
          </w:p>
        </w:tc>
      </w:tr>
    </w:tbl>
    <w:p w14:paraId="08B582C6" w14:textId="77777777"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14:paraId="36A24E87" w14:textId="77777777" w:rsidTr="00F107EF">
        <w:trPr>
          <w:trHeight w:hRule="exact" w:val="1985"/>
        </w:trPr>
        <w:tc>
          <w:tcPr>
            <w:tcW w:w="9397" w:type="dxa"/>
            <w:vAlign w:val="bottom"/>
          </w:tcPr>
          <w:p w14:paraId="3666949C" w14:textId="6188D59D" w:rsidR="00791EB4" w:rsidRDefault="00AE627C" w:rsidP="00DD2CDA">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w:t>
            </w:r>
            <w:r w:rsidR="00DD2CDA">
              <w:t xml:space="preserve"> </w:t>
            </w:r>
            <w:r w:rsidR="00DD2CDA" w:rsidRPr="00DD2CDA">
              <w:rPr>
                <w:rFonts w:cs="Arial"/>
              </w:rPr>
              <w:t>Consultation Paper on</w:t>
            </w:r>
            <w:r w:rsidR="000E49B7" w:rsidRPr="000E49B7">
              <w:rPr>
                <w:rFonts w:cs="Arial"/>
              </w:rPr>
              <w:t xml:space="preserve"> </w:t>
            </w:r>
            <w:r w:rsidR="00F107EF" w:rsidRPr="00F107EF">
              <w:rPr>
                <w:rFonts w:cs="Arial"/>
              </w:rPr>
              <w:t xml:space="preserve">MiFID II/ MiFIR review report on the transparency regime for </w:t>
            </w:r>
            <w:r w:rsidR="00D320F7">
              <w:rPr>
                <w:rFonts w:cs="Arial"/>
              </w:rPr>
              <w:t>non-</w:t>
            </w:r>
            <w:r w:rsidR="00F107EF" w:rsidRPr="00F107EF">
              <w:rPr>
                <w:rFonts w:cs="Arial"/>
              </w:rPr>
              <w:t xml:space="preserve">equity and the trading obligations for </w:t>
            </w:r>
            <w:r w:rsidR="00D320F7">
              <w:rPr>
                <w:rFonts w:cs="Arial"/>
              </w:rPr>
              <w:t>derivatives</w:t>
            </w:r>
          </w:p>
          <w:p w14:paraId="186004BC" w14:textId="77777777" w:rsidR="00B61CD3" w:rsidRPr="00616B9B" w:rsidRDefault="00B61CD3" w:rsidP="00DD2CDA">
            <w:pPr>
              <w:pStyle w:val="01aDBTitle"/>
              <w:jc w:val="left"/>
              <w:rPr>
                <w:rFonts w:cs="Arial"/>
              </w:rPr>
            </w:pPr>
          </w:p>
        </w:tc>
      </w:tr>
      <w:tr w:rsidR="00060F72" w:rsidRPr="00616B9B" w14:paraId="4A9A8CFD" w14:textId="77777777" w:rsidTr="00B835D5">
        <w:trPr>
          <w:trHeight w:hRule="exact" w:val="605"/>
        </w:trPr>
        <w:tc>
          <w:tcPr>
            <w:tcW w:w="9397" w:type="dxa"/>
            <w:tcMar>
              <w:top w:w="142" w:type="dxa"/>
            </w:tcMar>
          </w:tcPr>
          <w:p w14:paraId="0BAB6DA8" w14:textId="77777777" w:rsidR="00D91010" w:rsidRPr="00616B9B" w:rsidRDefault="00013CCE" w:rsidP="00027ECF">
            <w:pPr>
              <w:pStyle w:val="01bDBSubtitle"/>
              <w:rPr>
                <w:rFonts w:ascii="Arial" w:hAnsi="Arial" w:cs="Arial"/>
              </w:rPr>
            </w:pPr>
            <w:r w:rsidRPr="00616B9B">
              <w:rPr>
                <w:rFonts w:ascii="Arial" w:hAnsi="Arial" w:cs="Arial"/>
              </w:rPr>
              <w:t xml:space="preserve"> </w:t>
            </w:r>
          </w:p>
        </w:tc>
      </w:tr>
    </w:tbl>
    <w:p w14:paraId="46E7260B" w14:textId="77777777" w:rsidR="00620D7C" w:rsidRPr="00616B9B" w:rsidRDefault="00620D7C" w:rsidP="00C00012">
      <w:pPr>
        <w:pStyle w:val="05HeadlinenoIndex"/>
        <w:rPr>
          <w:rFonts w:cs="Arial"/>
        </w:rPr>
        <w:sectPr w:rsidR="00620D7C" w:rsidRPr="00616B9B" w:rsidSect="006E3C72">
          <w:headerReference w:type="default" r:id="rId13"/>
          <w:footerReference w:type="default" r:id="rId14"/>
          <w:headerReference w:type="first" r:id="rId15"/>
          <w:footerReference w:type="first" r:id="rId16"/>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14:paraId="44C1664D" w14:textId="77777777" w:rsidTr="00315E96">
        <w:trPr>
          <w:trHeight w:hRule="exact" w:val="964"/>
        </w:trPr>
        <w:tc>
          <w:tcPr>
            <w:tcW w:w="2325" w:type="dxa"/>
          </w:tcPr>
          <w:p w14:paraId="2CAB5AA6" w14:textId="3C9BD149" w:rsidR="00620D7C" w:rsidRPr="00A52EBB" w:rsidRDefault="00620D7C" w:rsidP="00B1467D">
            <w:pPr>
              <w:pStyle w:val="02Date"/>
              <w:rPr>
                <w:rFonts w:cs="Arial"/>
              </w:rPr>
            </w:pPr>
            <w:r w:rsidRPr="00A52EBB">
              <w:rPr>
                <w:rFonts w:cs="Arial"/>
              </w:rPr>
              <w:lastRenderedPageBreak/>
              <w:t xml:space="preserve">Date: </w:t>
            </w:r>
            <w:r w:rsidR="00775D3F">
              <w:rPr>
                <w:rFonts w:cs="Arial"/>
              </w:rPr>
              <w:t>10 March</w:t>
            </w:r>
            <w:r w:rsidR="00B61CD3">
              <w:rPr>
                <w:rFonts w:cs="Arial"/>
              </w:rPr>
              <w:t xml:space="preserve"> 2020</w:t>
            </w:r>
          </w:p>
        </w:tc>
      </w:tr>
    </w:tbl>
    <w:p w14:paraId="4A7E6333"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6DB08373" w14:textId="59964C76"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w:t>
      </w:r>
      <w:r w:rsidR="000E49B7">
        <w:rPr>
          <w:rFonts w:cs="Arial"/>
        </w:rPr>
        <w:t xml:space="preserve">Consultation Paper on the </w:t>
      </w:r>
      <w:r w:rsidR="00F107EF" w:rsidRPr="00F107EF">
        <w:rPr>
          <w:rFonts w:cs="Arial"/>
        </w:rPr>
        <w:t>transparency regime for</w:t>
      </w:r>
      <w:r w:rsidR="007254DD">
        <w:rPr>
          <w:rFonts w:cs="Arial"/>
        </w:rPr>
        <w:t xml:space="preserve"> non-</w:t>
      </w:r>
      <w:r w:rsidR="00F107EF" w:rsidRPr="00F107EF">
        <w:rPr>
          <w:rFonts w:cs="Arial"/>
        </w:rPr>
        <w:t xml:space="preserve">equity instruments and the trading obligations for </w:t>
      </w:r>
      <w:r w:rsidR="007254DD">
        <w:rPr>
          <w:rFonts w:cs="Arial"/>
        </w:rPr>
        <w:t>derivatives</w:t>
      </w:r>
      <w:r w:rsidR="00F107EF" w:rsidRPr="00F107EF">
        <w:rPr>
          <w:rFonts w:cs="Arial"/>
        </w:rPr>
        <w:t xml:space="preserve"> MiFID II/ MiFIR review report </w:t>
      </w:r>
      <w:r w:rsidR="00015B5E" w:rsidRPr="00EF0769">
        <w:rPr>
          <w:rFonts w:cs="Arial"/>
        </w:rPr>
        <w:t>published on the ESMA website</w:t>
      </w:r>
      <w:r w:rsidR="004E49B0" w:rsidRPr="00EF0769">
        <w:rPr>
          <w:rFonts w:cs="Arial"/>
        </w:rPr>
        <w:t>.</w:t>
      </w:r>
    </w:p>
    <w:p w14:paraId="27AFD082" w14:textId="77777777" w:rsidR="001D000A" w:rsidRDefault="001D000A" w:rsidP="00F574D0">
      <w:pPr>
        <w:autoSpaceDE w:val="0"/>
        <w:autoSpaceDN w:val="0"/>
        <w:adjustRightInd w:val="0"/>
        <w:spacing w:before="120" w:after="120" w:line="276" w:lineRule="auto"/>
        <w:jc w:val="both"/>
        <w:rPr>
          <w:rStyle w:val="Strong4"/>
          <w:rFonts w:cs="Arial"/>
          <w:i/>
        </w:rPr>
      </w:pPr>
    </w:p>
    <w:p w14:paraId="1EDEDD47" w14:textId="77777777"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14:paraId="66DB9C4C" w14:textId="77777777"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14:paraId="1207EF98"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use </w:t>
      </w:r>
      <w:r w:rsidR="00332304" w:rsidRPr="00293D78">
        <w:rPr>
          <w:rFonts w:cs="Arial"/>
        </w:rPr>
        <w:t>this form</w:t>
      </w:r>
      <w:r w:rsidR="00955F48" w:rsidRPr="00293D78">
        <w:rPr>
          <w:rFonts w:cs="Arial"/>
        </w:rPr>
        <w:t xml:space="preserve"> and send </w:t>
      </w:r>
      <w:r w:rsidR="00332304" w:rsidRPr="00293D78">
        <w:rPr>
          <w:rFonts w:cs="Arial"/>
        </w:rPr>
        <w:t>your</w:t>
      </w:r>
      <w:r w:rsidR="00955F48" w:rsidRPr="00293D78">
        <w:rPr>
          <w:rFonts w:cs="Arial"/>
        </w:rPr>
        <w:t xml:space="preserve"> responses in Word format (pdf documents will not be considered except for annexes);</w:t>
      </w:r>
    </w:p>
    <w:p w14:paraId="557F67D8" w14:textId="21FE3BEA" w:rsidR="00F574D0" w:rsidRPr="00293D78" w:rsidRDefault="00D75FEE" w:rsidP="00366E20">
      <w:pPr>
        <w:pStyle w:val="04BodyText"/>
        <w:numPr>
          <w:ilvl w:val="0"/>
          <w:numId w:val="35"/>
        </w:numPr>
        <w:spacing w:before="120" w:after="120"/>
        <w:rPr>
          <w:rFonts w:cs="Arial"/>
        </w:rPr>
      </w:pPr>
      <w:r w:rsidRPr="00293D78">
        <w:rPr>
          <w:rFonts w:cs="Arial"/>
        </w:rPr>
        <w:t xml:space="preserve">do </w:t>
      </w:r>
      <w:r w:rsidR="00F574D0" w:rsidRPr="00293D78">
        <w:rPr>
          <w:rFonts w:cs="Arial"/>
        </w:rPr>
        <w:t>not remove the tags of type &lt;ESMA_</w:t>
      </w:r>
      <w:r w:rsidR="00431B0A" w:rsidRPr="00293D78">
        <w:rPr>
          <w:rFonts w:cs="Arial"/>
        </w:rPr>
        <w:t>QUESTION_</w:t>
      </w:r>
      <w:r w:rsidR="00227C1A">
        <w:rPr>
          <w:rFonts w:cs="Arial"/>
        </w:rPr>
        <w:t>CP</w:t>
      </w:r>
      <w:r w:rsidR="007254DD">
        <w:rPr>
          <w:rFonts w:cs="Arial"/>
        </w:rPr>
        <w:t>_MIFID_NQT</w:t>
      </w:r>
      <w:r w:rsidR="00227C1A">
        <w:rPr>
          <w:rFonts w:cs="Arial"/>
        </w:rPr>
        <w:t>_</w:t>
      </w:r>
      <w:r w:rsidR="000E49B7">
        <w:rPr>
          <w:rFonts w:cs="Arial"/>
        </w:rPr>
        <w:t>1</w:t>
      </w:r>
      <w:r w:rsidR="00F574D0" w:rsidRPr="00293D78">
        <w:rPr>
          <w:rFonts w:cs="Arial"/>
        </w:rPr>
        <w:t>&gt; - i.e. the response to one question has to be framed by the 2 tags corresponding to the question; and</w:t>
      </w:r>
    </w:p>
    <w:p w14:paraId="13BFAA34"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if </w:t>
      </w:r>
      <w:r w:rsidR="00D75FEE" w:rsidRPr="00293D78">
        <w:rPr>
          <w:rFonts w:cs="Arial"/>
        </w:rPr>
        <w:t>you do not have a</w:t>
      </w:r>
      <w:r w:rsidRPr="00293D78">
        <w:rPr>
          <w:rFonts w:cs="Arial"/>
        </w:rPr>
        <w:t xml:space="preserve"> response to a question, </w:t>
      </w:r>
      <w:r w:rsidR="00D75FEE" w:rsidRPr="00293D78">
        <w:rPr>
          <w:rFonts w:cs="Arial"/>
        </w:rPr>
        <w:t xml:space="preserve">do </w:t>
      </w:r>
      <w:r w:rsidRPr="00293D78">
        <w:rPr>
          <w:rFonts w:cs="Arial"/>
        </w:rPr>
        <w:t>not delete it and leave the text “TYPE YOUR TEXT HERE” between the tags.</w:t>
      </w:r>
    </w:p>
    <w:p w14:paraId="3AF15379" w14:textId="77777777"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14:paraId="571C26D7" w14:textId="77777777" w:rsidR="00F574D0" w:rsidRPr="00293D78" w:rsidRDefault="00F574D0" w:rsidP="00366E20">
      <w:pPr>
        <w:pStyle w:val="04BodyText"/>
        <w:numPr>
          <w:ilvl w:val="0"/>
          <w:numId w:val="36"/>
        </w:numPr>
        <w:spacing w:before="120" w:after="120"/>
        <w:rPr>
          <w:rFonts w:cs="Arial"/>
        </w:rPr>
      </w:pPr>
      <w:r w:rsidRPr="00293D78">
        <w:rPr>
          <w:rFonts w:cs="Arial"/>
        </w:rPr>
        <w:t>if they respond to the question stated;</w:t>
      </w:r>
    </w:p>
    <w:p w14:paraId="6E0AF6CC" w14:textId="77777777" w:rsidR="002E1760" w:rsidRPr="00293D78" w:rsidRDefault="002E1760" w:rsidP="00366E20">
      <w:pPr>
        <w:pStyle w:val="04BodyText"/>
        <w:numPr>
          <w:ilvl w:val="0"/>
          <w:numId w:val="36"/>
        </w:numPr>
        <w:spacing w:before="120" w:after="120"/>
        <w:rPr>
          <w:rFonts w:cs="Arial"/>
        </w:rPr>
      </w:pPr>
      <w:r w:rsidRPr="00293D78">
        <w:rPr>
          <w:rFonts w:cs="Arial"/>
        </w:rPr>
        <w:t>indicate the specific question to which the comment relates;</w:t>
      </w:r>
    </w:p>
    <w:p w14:paraId="35AAD124" w14:textId="77777777" w:rsidR="002E1760" w:rsidRPr="00293D78" w:rsidRDefault="002E1760" w:rsidP="00366E20">
      <w:pPr>
        <w:pStyle w:val="04BodyText"/>
        <w:numPr>
          <w:ilvl w:val="0"/>
          <w:numId w:val="36"/>
        </w:numPr>
        <w:spacing w:before="120" w:after="120"/>
        <w:rPr>
          <w:rFonts w:cs="Arial"/>
        </w:rPr>
      </w:pPr>
      <w:r w:rsidRPr="00293D78">
        <w:rPr>
          <w:rFonts w:cs="Arial"/>
        </w:rPr>
        <w:t>contain a clear rationale; and</w:t>
      </w:r>
    </w:p>
    <w:p w14:paraId="7526349B" w14:textId="77777777" w:rsidR="002E1760" w:rsidRPr="00293D78" w:rsidRDefault="002E1760" w:rsidP="00366E20">
      <w:pPr>
        <w:pStyle w:val="04BodyText"/>
        <w:numPr>
          <w:ilvl w:val="0"/>
          <w:numId w:val="36"/>
        </w:numPr>
        <w:spacing w:before="120" w:after="120"/>
        <w:rPr>
          <w:rFonts w:cs="Arial"/>
        </w:rPr>
      </w:pPr>
      <w:r w:rsidRPr="00293D78">
        <w:rPr>
          <w:rFonts w:cs="Arial"/>
        </w:rPr>
        <w:t>describe any alternatives ESMA should consider.</w:t>
      </w:r>
    </w:p>
    <w:p w14:paraId="55BD190A" w14:textId="77777777" w:rsidR="001D000A" w:rsidRDefault="001D000A" w:rsidP="000D17AA">
      <w:pPr>
        <w:pStyle w:val="04BodyText"/>
        <w:spacing w:before="120" w:after="120"/>
        <w:jc w:val="left"/>
        <w:rPr>
          <w:rFonts w:cs="Arial"/>
          <w:b/>
        </w:rPr>
      </w:pPr>
    </w:p>
    <w:p w14:paraId="527682DA" w14:textId="77777777" w:rsidR="000D17AA" w:rsidRPr="00EF0769" w:rsidRDefault="00606240" w:rsidP="000D17AA">
      <w:pPr>
        <w:pStyle w:val="04BodyText"/>
        <w:spacing w:before="120" w:after="120"/>
        <w:jc w:val="left"/>
        <w:rPr>
          <w:rFonts w:cs="Arial"/>
          <w:b/>
        </w:rPr>
      </w:pPr>
      <w:r>
        <w:rPr>
          <w:rFonts w:cs="Arial"/>
          <w:b/>
        </w:rPr>
        <w:t>Naming protocol</w:t>
      </w:r>
    </w:p>
    <w:p w14:paraId="2786C674" w14:textId="77777777" w:rsidR="000D17AA" w:rsidRPr="00EF0769" w:rsidRDefault="000D17AA" w:rsidP="000D17AA">
      <w:pPr>
        <w:pStyle w:val="04BodyText"/>
        <w:spacing w:before="120" w:after="120"/>
        <w:jc w:val="left"/>
        <w:rPr>
          <w:rFonts w:cs="Arial"/>
        </w:rPr>
      </w:pPr>
      <w:r w:rsidRPr="00EF0769">
        <w:rPr>
          <w:rFonts w:cs="Arial"/>
        </w:rPr>
        <w:t xml:space="preserve">In order to facilitate the handling of </w:t>
      </w:r>
      <w:r w:rsidR="009003B8" w:rsidRPr="00EF0769">
        <w:rPr>
          <w:rFonts w:cs="Arial"/>
        </w:rPr>
        <w:t>stakeholders’</w:t>
      </w:r>
      <w:r w:rsidRPr="00EF0769">
        <w:rPr>
          <w:rFonts w:cs="Arial"/>
        </w:rPr>
        <w:t xml:space="preserve"> responses please save your document using the following format:</w:t>
      </w:r>
    </w:p>
    <w:p w14:paraId="78782123" w14:textId="7C99ECBD"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w:t>
      </w:r>
      <w:r w:rsidR="007254DD">
        <w:rPr>
          <w:rFonts w:cs="Arial"/>
        </w:rPr>
        <w:t>_MIFID_NQT</w:t>
      </w:r>
      <w:r w:rsidR="00227C1A">
        <w:rPr>
          <w:rFonts w:cs="Arial"/>
        </w:rPr>
        <w:t>_</w:t>
      </w:r>
      <w:r w:rsidRPr="00EF0769">
        <w:rPr>
          <w:rFonts w:cs="Arial"/>
        </w:rPr>
        <w:t>NAMEOFCOMPANY_NAMEOFDOCUMENT</w:t>
      </w:r>
      <w:r w:rsidR="000D17AA" w:rsidRPr="00EF0769">
        <w:rPr>
          <w:rFonts w:cs="Arial"/>
        </w:rPr>
        <w:t>.</w:t>
      </w:r>
    </w:p>
    <w:p w14:paraId="339C231E" w14:textId="77777777"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14:paraId="07FC02DB" w14:textId="252000BB" w:rsidR="00021E83" w:rsidRPr="00EF0769" w:rsidRDefault="00021E83" w:rsidP="000D17AA">
      <w:pPr>
        <w:pStyle w:val="04BodyText"/>
        <w:spacing w:before="120" w:after="120"/>
        <w:jc w:val="left"/>
        <w:rPr>
          <w:rFonts w:cs="Arial"/>
        </w:rPr>
      </w:pPr>
      <w:r w:rsidRPr="00EF0769">
        <w:rPr>
          <w:rFonts w:cs="Arial"/>
        </w:rPr>
        <w:t>ESMA_</w:t>
      </w:r>
      <w:r w:rsidR="00227C1A">
        <w:rPr>
          <w:rFonts w:cs="Arial"/>
        </w:rPr>
        <w:t>CP</w:t>
      </w:r>
      <w:r w:rsidR="007254DD">
        <w:rPr>
          <w:rFonts w:cs="Arial"/>
        </w:rPr>
        <w:t>_MIFID_NQT</w:t>
      </w:r>
      <w:r w:rsidR="00227C1A">
        <w:rPr>
          <w:rFonts w:cs="Arial"/>
        </w:rPr>
        <w:t>_</w:t>
      </w:r>
      <w:r w:rsidRPr="00EF0769">
        <w:rPr>
          <w:rFonts w:cs="Arial"/>
        </w:rPr>
        <w:t xml:space="preserve">ESMA_REPLYFORM or </w:t>
      </w:r>
    </w:p>
    <w:p w14:paraId="6A062D93" w14:textId="4BC853F2"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w:t>
      </w:r>
      <w:r w:rsidR="007254DD">
        <w:rPr>
          <w:rFonts w:cs="Arial"/>
        </w:rPr>
        <w:t>_MIFID_NQT</w:t>
      </w:r>
      <w:r w:rsidR="00227C1A">
        <w:rPr>
          <w:rFonts w:cs="Arial"/>
        </w:rPr>
        <w:t>_</w:t>
      </w:r>
      <w:r w:rsidRPr="00EF0769">
        <w:rPr>
          <w:rFonts w:cs="Arial"/>
        </w:rPr>
        <w:t>ANNEX1</w:t>
      </w:r>
    </w:p>
    <w:p w14:paraId="0A0F4C14" w14:textId="77777777"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14:paraId="07E64F6B" w14:textId="77777777"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14:paraId="29817F88" w14:textId="3E5B9D78" w:rsidR="00F574D0" w:rsidRPr="00EF0769" w:rsidRDefault="00F574D0" w:rsidP="00F574D0">
      <w:pPr>
        <w:pStyle w:val="04BodyText"/>
        <w:spacing w:before="120" w:after="120"/>
        <w:rPr>
          <w:rFonts w:cs="Arial"/>
        </w:rPr>
      </w:pPr>
      <w:r w:rsidRPr="00EF0769">
        <w:rPr>
          <w:rFonts w:cs="Arial"/>
        </w:rPr>
        <w:t xml:space="preserve">Responses must </w:t>
      </w:r>
      <w:r w:rsidRPr="00775D3F">
        <w:rPr>
          <w:rFonts w:cs="Arial"/>
        </w:rPr>
        <w:t xml:space="preserve">reach us by </w:t>
      </w:r>
      <w:r w:rsidR="00F107EF" w:rsidRPr="00775D3F">
        <w:rPr>
          <w:rFonts w:cs="Arial"/>
          <w:b/>
        </w:rPr>
        <w:t>1</w:t>
      </w:r>
      <w:r w:rsidR="00775D3F" w:rsidRPr="00775D3F">
        <w:rPr>
          <w:rFonts w:cs="Arial"/>
          <w:b/>
        </w:rPr>
        <w:t>9</w:t>
      </w:r>
      <w:r w:rsidR="00227C1A" w:rsidRPr="00775D3F">
        <w:rPr>
          <w:rFonts w:cs="Arial"/>
          <w:b/>
        </w:rPr>
        <w:t xml:space="preserve"> </w:t>
      </w:r>
      <w:r w:rsidR="007254DD" w:rsidRPr="00775D3F">
        <w:rPr>
          <w:rFonts w:cs="Arial"/>
          <w:b/>
        </w:rPr>
        <w:t>April</w:t>
      </w:r>
      <w:r w:rsidR="00F107EF" w:rsidRPr="00775D3F">
        <w:rPr>
          <w:rFonts w:cs="Arial"/>
          <w:b/>
        </w:rPr>
        <w:t xml:space="preserve"> 2020</w:t>
      </w:r>
      <w:r w:rsidR="00021E83" w:rsidRPr="00775D3F">
        <w:rPr>
          <w:rFonts w:cs="Arial"/>
          <w:b/>
        </w:rPr>
        <w:t>.</w:t>
      </w:r>
    </w:p>
    <w:p w14:paraId="68065F11" w14:textId="77777777" w:rsidR="00332304" w:rsidRDefault="002E1760" w:rsidP="002E1760">
      <w:pPr>
        <w:autoSpaceDE w:val="0"/>
        <w:autoSpaceDN w:val="0"/>
        <w:adjustRightInd w:val="0"/>
        <w:spacing w:before="120" w:after="120" w:line="276" w:lineRule="auto"/>
        <w:jc w:val="both"/>
        <w:rPr>
          <w:rFonts w:cs="Arial"/>
          <w:b/>
          <w:bCs/>
          <w:i/>
          <w:color w:val="000000"/>
          <w:szCs w:val="20"/>
          <w:lang w:eastAsia="en-GB"/>
        </w:rPr>
      </w:pPr>
      <w:bookmarkStart w:id="1" w:name="_Toc335141334"/>
      <w:r w:rsidRPr="005B6B12">
        <w:t xml:space="preserve">All contributions should be submitted online at </w:t>
      </w:r>
      <w:hyperlink r:id="rId17" w:history="1">
        <w:r w:rsidRPr="005B6B12">
          <w:rPr>
            <w:rStyle w:val="Hyperlink"/>
          </w:rPr>
          <w:t>www.esma.europa.eu</w:t>
        </w:r>
      </w:hyperlink>
      <w:r w:rsidRPr="005B6B12">
        <w:t xml:space="preserve"> under the heading ‘Your input - Consultations’.</w:t>
      </w:r>
    </w:p>
    <w:p w14:paraId="577A0723" w14:textId="77777777"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14:paraId="7F709C22"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14:paraId="1E22BD10" w14:textId="77777777"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35BBDA44" w14:textId="77777777"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14:paraId="02B1392D"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14:paraId="63EB17FC" w14:textId="77777777"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8"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14:paraId="4D0417EF" w14:textId="77777777" w:rsidR="003755C6" w:rsidRDefault="003755C6" w:rsidP="00F574D0">
      <w:pPr>
        <w:autoSpaceDE w:val="0"/>
        <w:autoSpaceDN w:val="0"/>
        <w:adjustRightInd w:val="0"/>
        <w:spacing w:before="120" w:after="120" w:line="276" w:lineRule="auto"/>
        <w:jc w:val="both"/>
        <w:rPr>
          <w:rFonts w:cs="Arial"/>
          <w:szCs w:val="20"/>
        </w:rPr>
      </w:pPr>
    </w:p>
    <w:bookmarkEnd w:id="0"/>
    <w:p w14:paraId="31170032" w14:textId="77777777" w:rsidR="00332304" w:rsidRDefault="00332304">
      <w:pPr>
        <w:rPr>
          <w:rFonts w:cs="Arial"/>
          <w:b/>
          <w:bCs/>
          <w:kern w:val="32"/>
          <w:sz w:val="24"/>
          <w:szCs w:val="32"/>
        </w:rPr>
      </w:pPr>
      <w:r>
        <w:br w:type="page"/>
      </w:r>
    </w:p>
    <w:p w14:paraId="5A6F45DF" w14:textId="77777777" w:rsidR="00F87897" w:rsidRPr="00AB6D88" w:rsidRDefault="00F87897" w:rsidP="00F87897">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0DC9EAA1" w14:textId="77777777" w:rsidTr="00FA5524">
        <w:tc>
          <w:tcPr>
            <w:tcW w:w="3929" w:type="dxa"/>
            <w:shd w:val="clear" w:color="auto" w:fill="auto"/>
          </w:tcPr>
          <w:p w14:paraId="79D84F54" w14:textId="77777777" w:rsidR="00C2682A" w:rsidRPr="00E40A5C" w:rsidRDefault="00C2682A" w:rsidP="00FA5524">
            <w:pPr>
              <w:rPr>
                <w:rFonts w:cs="Arial"/>
                <w:sz w:val="22"/>
              </w:rPr>
            </w:pPr>
            <w:permStart w:id="1306485207" w:edGrp="everyone" w:colFirst="1" w:colLast="1"/>
            <w:r w:rsidRPr="00E40A5C">
              <w:rPr>
                <w:rFonts w:cs="Arial"/>
                <w:sz w:val="22"/>
              </w:rPr>
              <w:t>Name of the company / organisation</w:t>
            </w:r>
          </w:p>
        </w:tc>
        <w:sdt>
          <w:sdtPr>
            <w:rPr>
              <w:rStyle w:val="PlaceholderText"/>
              <w:rFonts w:cs="Arial"/>
            </w:rPr>
            <w:id w:val="651570699"/>
            <w:text/>
          </w:sdtPr>
          <w:sdtEndPr>
            <w:rPr>
              <w:rStyle w:val="PlaceholderText"/>
            </w:rPr>
          </w:sdtEndPr>
          <w:sdtContent>
            <w:tc>
              <w:tcPr>
                <w:tcW w:w="5595" w:type="dxa"/>
                <w:shd w:val="clear" w:color="auto" w:fill="auto"/>
              </w:tcPr>
              <w:p w14:paraId="7A68491E" w14:textId="77699DAF" w:rsidR="00C2682A" w:rsidRPr="00AB6D88" w:rsidRDefault="006251B9" w:rsidP="00FA5524">
                <w:pPr>
                  <w:rPr>
                    <w:rStyle w:val="PlaceholderText"/>
                    <w:rFonts w:cs="Arial"/>
                  </w:rPr>
                </w:pPr>
                <w:r>
                  <w:rPr>
                    <w:rStyle w:val="PlaceholderText"/>
                    <w:rFonts w:cs="Arial"/>
                  </w:rPr>
                  <w:t>E</w:t>
                </w:r>
                <w:r>
                  <w:rPr>
                    <w:rStyle w:val="PlaceholderText"/>
                  </w:rPr>
                  <w:t>uropex</w:t>
                </w:r>
              </w:p>
            </w:tc>
          </w:sdtContent>
        </w:sdt>
      </w:tr>
      <w:tr w:rsidR="00C2682A" w:rsidRPr="00AB6D88" w14:paraId="14AD8510" w14:textId="77777777" w:rsidTr="00FA5524">
        <w:tc>
          <w:tcPr>
            <w:tcW w:w="3929" w:type="dxa"/>
            <w:shd w:val="clear" w:color="auto" w:fill="auto"/>
          </w:tcPr>
          <w:p w14:paraId="163AD72A" w14:textId="77777777" w:rsidR="00C2682A" w:rsidRPr="00E40A5C" w:rsidRDefault="00C2682A" w:rsidP="00FA5524">
            <w:pPr>
              <w:rPr>
                <w:rFonts w:cs="Arial"/>
                <w:sz w:val="22"/>
              </w:rPr>
            </w:pPr>
            <w:permStart w:id="1273764253" w:edGrp="everyone" w:colFirst="1" w:colLast="1"/>
            <w:permEnd w:id="1306485207"/>
            <w:r w:rsidRPr="00E40A5C">
              <w:rPr>
                <w:rFonts w:cs="Arial"/>
                <w:sz w:val="22"/>
              </w:rPr>
              <w:t>Activity</w:t>
            </w:r>
          </w:p>
        </w:tc>
        <w:tc>
          <w:tcPr>
            <w:tcW w:w="5595" w:type="dxa"/>
            <w:shd w:val="clear" w:color="auto" w:fill="auto"/>
          </w:tcPr>
          <w:p w14:paraId="6A5D3455" w14:textId="24874473" w:rsidR="00C2682A" w:rsidRPr="00AB6D88" w:rsidRDefault="00F733E5" w:rsidP="00FA5524">
            <w:pPr>
              <w:rPr>
                <w:rFonts w:cs="Arial"/>
              </w:rPr>
            </w:pPr>
            <w:sdt>
              <w:sdtPr>
                <w:rPr>
                  <w:rFonts w:cs="Arial"/>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6251B9">
                  <w:rPr>
                    <w:rFonts w:cs="Arial"/>
                  </w:rPr>
                  <w:t>Regulated markets/Exchanges/Trading Systems</w:t>
                </w:r>
              </w:sdtContent>
            </w:sdt>
          </w:p>
        </w:tc>
      </w:tr>
      <w:tr w:rsidR="00C2682A" w:rsidRPr="00AB6D88" w14:paraId="523B9D2D" w14:textId="77777777" w:rsidTr="00FA5524">
        <w:tc>
          <w:tcPr>
            <w:tcW w:w="3929" w:type="dxa"/>
            <w:shd w:val="clear" w:color="auto" w:fill="auto"/>
          </w:tcPr>
          <w:p w14:paraId="5FD664AB" w14:textId="77777777" w:rsidR="00C2682A" w:rsidRPr="00E40A5C" w:rsidRDefault="00C2682A" w:rsidP="00FA5524">
            <w:pPr>
              <w:rPr>
                <w:rFonts w:cs="Arial"/>
                <w:sz w:val="22"/>
              </w:rPr>
            </w:pPr>
            <w:permStart w:id="366504703" w:edGrp="everyone" w:colFirst="1" w:colLast="1"/>
            <w:permEnd w:id="1273764253"/>
            <w:r w:rsidRPr="00E40A5C">
              <w:rPr>
                <w:rFonts w:cs="Arial"/>
                <w:sz w:val="22"/>
              </w:rPr>
              <w:t>Are you representing an association?</w:t>
            </w:r>
          </w:p>
        </w:tc>
        <w:sdt>
          <w:sdtPr>
            <w:rPr>
              <w:rFonts w:cs="Arial"/>
            </w:rPr>
            <w:id w:val="-226150188"/>
            <w14:checkbox>
              <w14:checked w14:val="1"/>
              <w14:checkedState w14:val="2612" w14:font="MS Gothic"/>
              <w14:uncheckedState w14:val="2610" w14:font="MS Gothic"/>
            </w14:checkbox>
          </w:sdtPr>
          <w:sdtEndPr/>
          <w:sdtContent>
            <w:tc>
              <w:tcPr>
                <w:tcW w:w="5595" w:type="dxa"/>
                <w:shd w:val="clear" w:color="auto" w:fill="auto"/>
              </w:tcPr>
              <w:p w14:paraId="3EE0D441" w14:textId="3E8CAB24" w:rsidR="00C2682A" w:rsidRPr="00AB6D88" w:rsidRDefault="006251B9" w:rsidP="00FA5524">
                <w:pPr>
                  <w:rPr>
                    <w:rFonts w:cs="Arial"/>
                  </w:rPr>
                </w:pPr>
                <w:r>
                  <w:rPr>
                    <w:rFonts w:ascii="MS Gothic" w:eastAsia="MS Gothic" w:hAnsi="MS Gothic" w:cs="Arial" w:hint="eastAsia"/>
                  </w:rPr>
                  <w:t>☒</w:t>
                </w:r>
              </w:p>
            </w:tc>
          </w:sdtContent>
        </w:sdt>
      </w:tr>
      <w:tr w:rsidR="00C2682A" w:rsidRPr="00AB6D88" w14:paraId="5F411987" w14:textId="77777777" w:rsidTr="00FA5524">
        <w:tc>
          <w:tcPr>
            <w:tcW w:w="3929" w:type="dxa"/>
            <w:shd w:val="clear" w:color="auto" w:fill="auto"/>
          </w:tcPr>
          <w:p w14:paraId="54099FD6" w14:textId="77777777" w:rsidR="00C2682A" w:rsidRPr="00E40A5C" w:rsidRDefault="00C2682A" w:rsidP="00FA5524">
            <w:pPr>
              <w:rPr>
                <w:rFonts w:cs="Arial"/>
                <w:sz w:val="22"/>
              </w:rPr>
            </w:pPr>
            <w:permStart w:id="1727412903" w:edGrp="everyone" w:colFirst="1" w:colLast="1"/>
            <w:permEnd w:id="366504703"/>
            <w:r w:rsidRPr="00E40A5C">
              <w:rPr>
                <w:rFonts w:cs="Arial"/>
                <w:sz w:val="22"/>
              </w:rPr>
              <w:t>Country/Region</w:t>
            </w:r>
          </w:p>
        </w:tc>
        <w:sdt>
          <w:sdtPr>
            <w:rPr>
              <w:rFonts w:cs="Arial"/>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1045C271" w14:textId="732B15D4" w:rsidR="00C2682A" w:rsidRPr="00AB6D88" w:rsidRDefault="006251B9" w:rsidP="00FA5524">
                <w:pPr>
                  <w:rPr>
                    <w:rFonts w:cs="Arial"/>
                  </w:rPr>
                </w:pPr>
                <w:r>
                  <w:rPr>
                    <w:rFonts w:cs="Arial"/>
                  </w:rPr>
                  <w:t>Belgium</w:t>
                </w:r>
              </w:p>
            </w:tc>
          </w:sdtContent>
        </w:sdt>
      </w:tr>
      <w:permEnd w:id="1727412903"/>
    </w:tbl>
    <w:p w14:paraId="5F7D3DE3" w14:textId="77777777" w:rsidR="00C2682A" w:rsidRDefault="00C2682A" w:rsidP="00F87897">
      <w:pPr>
        <w:spacing w:after="120" w:line="264" w:lineRule="auto"/>
      </w:pPr>
    </w:p>
    <w:p w14:paraId="62BC123E" w14:textId="77777777" w:rsidR="00F87897" w:rsidRDefault="00F87897" w:rsidP="00F87897">
      <w:pPr>
        <w:spacing w:after="120" w:line="264" w:lineRule="auto"/>
      </w:pPr>
    </w:p>
    <w:p w14:paraId="6414BA20" w14:textId="77777777" w:rsidR="00F87897" w:rsidRDefault="00F87897" w:rsidP="00F87897">
      <w:pPr>
        <w:pStyle w:val="Heading1"/>
        <w:numPr>
          <w:ilvl w:val="0"/>
          <w:numId w:val="0"/>
        </w:numPr>
        <w:ind w:left="431" w:hanging="431"/>
      </w:pPr>
      <w:r>
        <w:t>Introduction</w:t>
      </w:r>
    </w:p>
    <w:p w14:paraId="0A354328" w14:textId="77777777" w:rsidR="00F87897" w:rsidRPr="001D47A5" w:rsidRDefault="00F87897" w:rsidP="00F87897">
      <w:pPr>
        <w:rPr>
          <w:rStyle w:val="IntenseEmphasis"/>
        </w:rPr>
      </w:pPr>
      <w:r w:rsidRPr="001D47A5">
        <w:rPr>
          <w:rStyle w:val="IntenseEmphasis"/>
        </w:rPr>
        <w:t>Please make your introductory comments below, if any:</w:t>
      </w:r>
    </w:p>
    <w:p w14:paraId="385E0DBA" w14:textId="77777777" w:rsidR="00F87897" w:rsidRPr="00BF28DA" w:rsidRDefault="00F87897" w:rsidP="00F87897"/>
    <w:p w14:paraId="0B417B41" w14:textId="16C5E9F9" w:rsidR="00F87897" w:rsidRPr="006F4535" w:rsidRDefault="00F87897" w:rsidP="00F87897">
      <w:r w:rsidRPr="006F4535">
        <w:t>&lt;ESMA_COMMENT_</w:t>
      </w:r>
      <w:r w:rsidR="00227C1A">
        <w:t>CP</w:t>
      </w:r>
      <w:r w:rsidR="007254DD">
        <w:t>_MIFID_NQT</w:t>
      </w:r>
      <w:r w:rsidR="00F107EF">
        <w:t>_</w:t>
      </w:r>
      <w:r w:rsidRPr="006F4535">
        <w:t>1&gt;</w:t>
      </w:r>
    </w:p>
    <w:p w14:paraId="6A22288E" w14:textId="77777777" w:rsidR="00F87897" w:rsidRDefault="00F87897" w:rsidP="00F87897">
      <w:permStart w:id="1454525006" w:edGrp="everyone"/>
      <w:r>
        <w:t>TYPE YOUR TEXT HERE</w:t>
      </w:r>
      <w:permEnd w:id="1454525006"/>
    </w:p>
    <w:p w14:paraId="3B7AB56A" w14:textId="3EA6C574" w:rsidR="00F87897" w:rsidRPr="00BF28DA" w:rsidRDefault="00F87897" w:rsidP="00F87897">
      <w:r w:rsidRPr="00BF28DA">
        <w:t>&lt;ESMA_COMMENT_</w:t>
      </w:r>
      <w:r w:rsidR="00227C1A">
        <w:t>CP</w:t>
      </w:r>
      <w:r w:rsidR="007254DD">
        <w:t>_MIFID_NQT</w:t>
      </w:r>
      <w:r w:rsidR="00F107EF">
        <w:t>_</w:t>
      </w:r>
      <w:r w:rsidRPr="00BF28DA">
        <w:t>1&gt;</w:t>
      </w:r>
    </w:p>
    <w:p w14:paraId="6D8E7793" w14:textId="77777777" w:rsidR="00F87897" w:rsidRDefault="00F87897">
      <w:pPr>
        <w:rPr>
          <w:rFonts w:eastAsiaTheme="minorEastAsia" w:cstheme="minorBidi"/>
          <w:b/>
          <w:sz w:val="22"/>
          <w:szCs w:val="20"/>
          <w:lang w:eastAsia="en-US"/>
        </w:rPr>
      </w:pPr>
      <w:r>
        <w:br w:type="page"/>
      </w:r>
    </w:p>
    <w:p w14:paraId="0D8E3AF7" w14:textId="678DC6FD" w:rsidR="00A8728B" w:rsidRPr="00070630" w:rsidRDefault="007254DD" w:rsidP="00431B0A">
      <w:pPr>
        <w:pStyle w:val="CPQuestions"/>
      </w:pPr>
      <w:r w:rsidRPr="007254DD">
        <w:lastRenderedPageBreak/>
        <w:t>What benefits or impacts would you see in increased pre-trade transparency in the different non-equity markets? How could the benefits/impacts of such pre-trade transparency be achieved/be mitigated via changes of the Level 1 text?</w:t>
      </w:r>
      <w:r w:rsidR="00276A5A">
        <w:t>.</w:t>
      </w:r>
    </w:p>
    <w:p w14:paraId="2478D340" w14:textId="3C29782D" w:rsidR="00A8728B" w:rsidRDefault="00A8728B" w:rsidP="00A8728B">
      <w:r>
        <w:t>&lt;ESMA_QUESTION</w:t>
      </w:r>
      <w:r w:rsidR="00D920D1">
        <w:t>_</w:t>
      </w:r>
      <w:r w:rsidR="00227C1A">
        <w:t>CP</w:t>
      </w:r>
      <w:r w:rsidR="007254DD">
        <w:t>_MIFID_NQT</w:t>
      </w:r>
      <w:r w:rsidR="00F107EF">
        <w:t>_</w:t>
      </w:r>
      <w:r>
        <w:t>1&gt;</w:t>
      </w:r>
    </w:p>
    <w:p w14:paraId="29D78A5D" w14:textId="77777777" w:rsidR="006251B9" w:rsidRPr="006251B9" w:rsidRDefault="006251B9" w:rsidP="006251B9">
      <w:pPr>
        <w:spacing w:line="276" w:lineRule="auto"/>
        <w:ind w:left="720"/>
        <w:jc w:val="both"/>
        <w:rPr>
          <w:rFonts w:ascii="Calibri" w:hAnsi="Calibri" w:cs="Calibri"/>
          <w:color w:val="000000" w:themeColor="text1"/>
          <w:sz w:val="24"/>
        </w:rPr>
      </w:pPr>
      <w:permStart w:id="1955866996" w:edGrp="everyone"/>
      <w:r w:rsidRPr="006251B9">
        <w:rPr>
          <w:rFonts w:ascii="Calibri" w:hAnsi="Calibri" w:cs="Calibri"/>
          <w:color w:val="000000" w:themeColor="text1"/>
          <w:sz w:val="24"/>
        </w:rPr>
        <w:t xml:space="preserve">Europex fully supports the objectives of MiFID II / </w:t>
      </w:r>
      <w:proofErr w:type="spellStart"/>
      <w:r w:rsidRPr="006251B9">
        <w:rPr>
          <w:rFonts w:ascii="Calibri" w:hAnsi="Calibri" w:cs="Calibri"/>
          <w:color w:val="000000" w:themeColor="text1"/>
          <w:sz w:val="24"/>
        </w:rPr>
        <w:t>MiFIR</w:t>
      </w:r>
      <w:proofErr w:type="spellEnd"/>
      <w:r w:rsidRPr="006251B9">
        <w:rPr>
          <w:rFonts w:ascii="Calibri" w:hAnsi="Calibri" w:cs="Calibri"/>
          <w:color w:val="000000" w:themeColor="text1"/>
          <w:sz w:val="24"/>
        </w:rPr>
        <w:t xml:space="preserve"> and the G-20 Pittsburgh commitments to “improve the functioning and transparency of financial and commodity markets and address excessive commodity price volatility”. We equally agree with the general intention of the </w:t>
      </w:r>
      <w:proofErr w:type="spellStart"/>
      <w:r w:rsidRPr="006251B9">
        <w:rPr>
          <w:rFonts w:ascii="Calibri" w:hAnsi="Calibri" w:cs="Calibri"/>
          <w:color w:val="000000" w:themeColor="text1"/>
          <w:sz w:val="24"/>
        </w:rPr>
        <w:t>MiFIR</w:t>
      </w:r>
      <w:proofErr w:type="spellEnd"/>
      <w:r w:rsidRPr="006251B9">
        <w:rPr>
          <w:rFonts w:ascii="Calibri" w:hAnsi="Calibri" w:cs="Calibri"/>
          <w:color w:val="000000" w:themeColor="text1"/>
          <w:sz w:val="24"/>
        </w:rPr>
        <w:t xml:space="preserve"> pre-trade transparency regime which is meant to work towards this larger policy objective. However, we believe the current calibration of the illiquid (“IL”) and Large in Scale (“LIS”) waiver thresholds severely limits the development of niche and nascent contracts traded on secure and transparent exchanges and cleared through risk mitigating CCP clearing houses. We therefore consider that transparency requirements must be balanced to avoid damaging liquidity, undermining price discovery processes and pushing market participants towards uncleared bilateral trading.</w:t>
      </w:r>
    </w:p>
    <w:p w14:paraId="4CE3EA20" w14:textId="77777777" w:rsidR="006251B9" w:rsidRPr="006251B9" w:rsidRDefault="006251B9" w:rsidP="006251B9">
      <w:pPr>
        <w:spacing w:line="276" w:lineRule="auto"/>
        <w:ind w:left="720"/>
        <w:jc w:val="both"/>
        <w:rPr>
          <w:rFonts w:ascii="Calibri" w:hAnsi="Calibri" w:cs="Calibri"/>
          <w:color w:val="000000" w:themeColor="text1"/>
          <w:sz w:val="24"/>
        </w:rPr>
      </w:pPr>
    </w:p>
    <w:p w14:paraId="5E99AD62"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In sum, the pre-trade transparency regime should better reflect that non-equity markets are fundamentally different from equity markets. Furthermore, there are significant differences across the underlying non-equity markets themselves. For example, it is important to understand that commodity markets have specific characteristics and often suffer from a one-size fits all regulatory approach to financial instruments. </w:t>
      </w:r>
    </w:p>
    <w:p w14:paraId="489D67AF" w14:textId="77777777" w:rsidR="006251B9" w:rsidRPr="006251B9" w:rsidRDefault="006251B9" w:rsidP="006251B9">
      <w:pPr>
        <w:spacing w:line="276" w:lineRule="auto"/>
        <w:ind w:left="720"/>
        <w:jc w:val="both"/>
        <w:rPr>
          <w:rFonts w:ascii="Calibri" w:hAnsi="Calibri" w:cs="Calibri"/>
          <w:color w:val="000000" w:themeColor="text1"/>
          <w:sz w:val="24"/>
        </w:rPr>
      </w:pPr>
    </w:p>
    <w:p w14:paraId="599F91AB"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Additionally, when compared to other financial instruments, commodity instruments are often less liquid. In order to achieve execution, trades are pre-negotiated outside the regulated venues according to the rules of a specific exchange. They are then brought to the exchange to be immediately cleared at the exchanges’ respective central counterparty (CCP), rather than entered in a central order book where a satisfactory execution would be less likely. This ensures an appropriate level of transparency for these nascent markets.</w:t>
      </w:r>
    </w:p>
    <w:p w14:paraId="59A438F1" w14:textId="77777777" w:rsidR="006251B9" w:rsidRPr="006251B9" w:rsidRDefault="006251B9" w:rsidP="006251B9">
      <w:pPr>
        <w:spacing w:line="276" w:lineRule="auto"/>
        <w:ind w:left="720"/>
        <w:jc w:val="both"/>
        <w:rPr>
          <w:rFonts w:ascii="Calibri" w:hAnsi="Calibri" w:cs="Calibri"/>
          <w:color w:val="000000" w:themeColor="text1"/>
          <w:sz w:val="24"/>
        </w:rPr>
      </w:pPr>
    </w:p>
    <w:p w14:paraId="0C295E01"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Moreover, energy markets are – by nature – characterised by a wide range of different contract types, including former swaps, forwards, futures and options with various combinations of quality, location, delivery type, duration and size. These markets are used by professional investors to hedge risk connected to the production or consumption of an actual commodity; therefore, they often require liaison via a broker to find a counter party without incurring undue risk. </w:t>
      </w:r>
    </w:p>
    <w:p w14:paraId="2A0807C8" w14:textId="77777777" w:rsidR="006251B9" w:rsidRPr="006251B9" w:rsidRDefault="006251B9" w:rsidP="006251B9">
      <w:pPr>
        <w:spacing w:line="276" w:lineRule="auto"/>
        <w:ind w:left="720"/>
        <w:jc w:val="both"/>
        <w:rPr>
          <w:rFonts w:ascii="Calibri" w:hAnsi="Calibri" w:cs="Calibri"/>
          <w:color w:val="000000" w:themeColor="text1"/>
          <w:sz w:val="24"/>
        </w:rPr>
      </w:pPr>
    </w:p>
    <w:p w14:paraId="111F5F12"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lastRenderedPageBreak/>
        <w:t>We explicitly welcome ESMA’s willingness to review the current pre-trade transparency regime design for commodity derivatives on both Level 1 and 2. A better tailored transparency regime would help to foster EU commodity markets, notably energy markets denominated in Euro, and contribute to the strengthening of international role of the Euro.</w:t>
      </w:r>
    </w:p>
    <w:p w14:paraId="7B8F0017" w14:textId="77777777" w:rsidR="006251B9" w:rsidRPr="006251B9" w:rsidRDefault="006251B9" w:rsidP="006251B9">
      <w:pPr>
        <w:spacing w:line="276" w:lineRule="auto"/>
        <w:ind w:left="720"/>
        <w:jc w:val="both"/>
        <w:rPr>
          <w:rStyle w:val="IntenseEmphasis"/>
          <w:rFonts w:ascii="Calibri" w:hAnsi="Calibri" w:cs="Calibri"/>
          <w:b w:val="0"/>
          <w:bCs w:val="0"/>
          <w:i w:val="0"/>
          <w:iCs w:val="0"/>
          <w:color w:val="000000" w:themeColor="text1"/>
          <w:sz w:val="24"/>
        </w:rPr>
      </w:pPr>
    </w:p>
    <w:p w14:paraId="3803684B" w14:textId="77777777" w:rsidR="006251B9" w:rsidRPr="006251B9" w:rsidRDefault="006251B9" w:rsidP="006251B9">
      <w:pPr>
        <w:spacing w:line="276" w:lineRule="auto"/>
        <w:ind w:left="720"/>
        <w:jc w:val="both"/>
        <w:rPr>
          <w:rStyle w:val="IntenseEmphasis"/>
          <w:rFonts w:ascii="Calibri" w:hAnsi="Calibri" w:cs="Calibri"/>
          <w:b w:val="0"/>
          <w:bCs w:val="0"/>
          <w:i w:val="0"/>
          <w:iCs w:val="0"/>
          <w:color w:val="000000" w:themeColor="text1"/>
          <w:sz w:val="24"/>
        </w:rPr>
      </w:pPr>
      <w:r w:rsidRPr="006251B9">
        <w:rPr>
          <w:rFonts w:ascii="Calibri" w:hAnsi="Calibri" w:cs="Calibri"/>
          <w:color w:val="000000" w:themeColor="text1"/>
          <w:sz w:val="24"/>
        </w:rPr>
        <w:t xml:space="preserve">Certain exemptions from the general requirement to publish pre-trade transparency data can rightly be granted to trading venues to preserve orderly price discovery processes and allow in particular illiquid and nascent markets to develop. However, </w:t>
      </w:r>
      <w:r w:rsidRPr="006251B9">
        <w:rPr>
          <w:rStyle w:val="IntenseEmphasis"/>
          <w:rFonts w:ascii="Calibri" w:hAnsi="Calibri" w:cs="Calibri"/>
          <w:color w:val="000000" w:themeColor="text1"/>
          <w:sz w:val="24"/>
        </w:rPr>
        <w:t xml:space="preserve">we believe the current </w:t>
      </w:r>
      <w:proofErr w:type="spellStart"/>
      <w:r w:rsidRPr="006251B9">
        <w:rPr>
          <w:rStyle w:val="IntenseEmphasis"/>
          <w:rFonts w:ascii="Calibri" w:hAnsi="Calibri" w:cs="Calibri"/>
          <w:color w:val="000000" w:themeColor="text1"/>
          <w:sz w:val="24"/>
        </w:rPr>
        <w:t>MiFIR</w:t>
      </w:r>
      <w:proofErr w:type="spellEnd"/>
      <w:r w:rsidRPr="006251B9">
        <w:rPr>
          <w:rStyle w:val="IntenseEmphasis"/>
          <w:rFonts w:ascii="Calibri" w:hAnsi="Calibri" w:cs="Calibri"/>
          <w:color w:val="000000" w:themeColor="text1"/>
          <w:sz w:val="24"/>
        </w:rPr>
        <w:t xml:space="preserve"> pre-trade transparency regime and the calibration of the waiver methodologies do not sufficiently take into account the above considerations. </w:t>
      </w:r>
    </w:p>
    <w:p w14:paraId="75C4DB7C" w14:textId="77777777" w:rsidR="006251B9" w:rsidRPr="006251B9" w:rsidRDefault="006251B9" w:rsidP="006251B9">
      <w:pPr>
        <w:spacing w:line="276" w:lineRule="auto"/>
        <w:ind w:left="720"/>
        <w:jc w:val="both"/>
        <w:rPr>
          <w:rStyle w:val="IntenseEmphasis"/>
          <w:rFonts w:ascii="Calibri" w:hAnsi="Calibri" w:cs="Calibri"/>
          <w:b w:val="0"/>
          <w:bCs w:val="0"/>
          <w:i w:val="0"/>
          <w:iCs w:val="0"/>
          <w:color w:val="000000" w:themeColor="text1"/>
          <w:sz w:val="24"/>
        </w:rPr>
      </w:pPr>
    </w:p>
    <w:p w14:paraId="1C2526E0" w14:textId="77777777" w:rsidR="006251B9" w:rsidRPr="006251B9" w:rsidRDefault="006251B9" w:rsidP="006251B9">
      <w:pPr>
        <w:spacing w:line="276" w:lineRule="auto"/>
        <w:ind w:left="720"/>
        <w:jc w:val="both"/>
        <w:rPr>
          <w:rStyle w:val="IntenseEmphasis"/>
          <w:rFonts w:ascii="Calibri" w:hAnsi="Calibri" w:cs="Calibri"/>
          <w:b w:val="0"/>
          <w:bCs w:val="0"/>
          <w:i w:val="0"/>
          <w:iCs w:val="0"/>
          <w:color w:val="000000" w:themeColor="text1"/>
          <w:sz w:val="24"/>
        </w:rPr>
      </w:pPr>
      <w:r w:rsidRPr="006251B9">
        <w:rPr>
          <w:rStyle w:val="IntenseEmphasis"/>
          <w:rFonts w:ascii="Calibri" w:hAnsi="Calibri" w:cs="Calibri"/>
          <w:color w:val="000000" w:themeColor="text1"/>
          <w:sz w:val="24"/>
        </w:rPr>
        <w:t>Notably, the methodology for the threshold calculation is setting boundaries to the pre-trade transparency regime. The Illiquid Instrument (IL) and Large in Scale (LIS) waivers are therefore flawed. These calculation flaws result in many illiquid derivative contracts being wrongly classified as liquid and thus made subject to unduly high LIS thresholds. Counterintuitively, LIS thresholds end up being very low for liquid derivative products. The consequences are particularly visible in commodity derivatives markets which forces larger volumes to be executed in fully bilateral transactions.</w:t>
      </w:r>
    </w:p>
    <w:p w14:paraId="5851188B" w14:textId="77777777" w:rsidR="006251B9" w:rsidRPr="006251B9" w:rsidRDefault="006251B9" w:rsidP="006251B9">
      <w:pPr>
        <w:spacing w:line="276" w:lineRule="auto"/>
        <w:ind w:left="720"/>
        <w:jc w:val="both"/>
        <w:rPr>
          <w:rFonts w:ascii="Calibri" w:hAnsi="Calibri" w:cs="Calibri"/>
          <w:color w:val="000000" w:themeColor="text1"/>
          <w:sz w:val="24"/>
        </w:rPr>
      </w:pPr>
    </w:p>
    <w:p w14:paraId="3A277D0A"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In order to mitigate the negative consequences of the currently ill-calibrated IL and LIS waiver thresholds, changes should be </w:t>
      </w:r>
      <w:proofErr w:type="gramStart"/>
      <w:r w:rsidRPr="006251B9">
        <w:rPr>
          <w:rFonts w:ascii="Calibri" w:hAnsi="Calibri" w:cs="Calibri"/>
          <w:color w:val="000000" w:themeColor="text1"/>
          <w:sz w:val="24"/>
        </w:rPr>
        <w:t>made  to</w:t>
      </w:r>
      <w:proofErr w:type="gramEnd"/>
      <w:r w:rsidRPr="006251B9">
        <w:rPr>
          <w:rFonts w:ascii="Calibri" w:hAnsi="Calibri" w:cs="Calibri"/>
          <w:color w:val="000000" w:themeColor="text1"/>
          <w:sz w:val="24"/>
        </w:rPr>
        <w:t xml:space="preserve"> Level 2 legislation.</w:t>
      </w:r>
    </w:p>
    <w:p w14:paraId="17F4BBBB" w14:textId="77777777" w:rsidR="006251B9" w:rsidRPr="006251B9" w:rsidRDefault="006251B9" w:rsidP="006251B9">
      <w:pPr>
        <w:spacing w:line="276" w:lineRule="auto"/>
        <w:ind w:left="720"/>
        <w:jc w:val="both"/>
        <w:rPr>
          <w:rFonts w:ascii="Calibri" w:hAnsi="Calibri" w:cs="Calibri"/>
          <w:color w:val="000000" w:themeColor="text1"/>
          <w:sz w:val="24"/>
        </w:rPr>
      </w:pPr>
    </w:p>
    <w:p w14:paraId="22D2B945" w14:textId="77777777" w:rsidR="006251B9" w:rsidRPr="006251B9" w:rsidRDefault="006251B9" w:rsidP="006251B9">
      <w:pPr>
        <w:spacing w:line="276" w:lineRule="auto"/>
        <w:ind w:left="720"/>
        <w:jc w:val="both"/>
        <w:rPr>
          <w:rFonts w:ascii="Calibri" w:hAnsi="Calibri" w:cs="Calibri"/>
          <w:color w:val="000000" w:themeColor="text1"/>
          <w:sz w:val="24"/>
        </w:rPr>
      </w:pPr>
    </w:p>
    <w:p w14:paraId="091A58B9" w14:textId="77777777" w:rsidR="006251B9" w:rsidRPr="006251B9" w:rsidRDefault="006251B9" w:rsidP="006251B9">
      <w:pPr>
        <w:spacing w:line="276" w:lineRule="auto"/>
        <w:ind w:left="720"/>
        <w:jc w:val="both"/>
        <w:rPr>
          <w:rStyle w:val="IntenseEmphasis"/>
          <w:rFonts w:ascii="Calibri" w:hAnsi="Calibri" w:cs="Calibri"/>
          <w:b w:val="0"/>
          <w:bCs w:val="0"/>
          <w:i w:val="0"/>
          <w:iCs w:val="0"/>
          <w:color w:val="000000" w:themeColor="text1"/>
          <w:sz w:val="24"/>
        </w:rPr>
      </w:pPr>
      <w:r w:rsidRPr="006251B9">
        <w:rPr>
          <w:rStyle w:val="IntenseEmphasis"/>
          <w:rFonts w:ascii="Calibri" w:hAnsi="Calibri" w:cs="Calibri"/>
          <w:color w:val="000000" w:themeColor="text1"/>
          <w:sz w:val="24"/>
        </w:rPr>
        <w:t xml:space="preserve">Against this </w:t>
      </w:r>
      <w:proofErr w:type="gramStart"/>
      <w:r w:rsidRPr="006251B9">
        <w:rPr>
          <w:rStyle w:val="IntenseEmphasis"/>
          <w:rFonts w:ascii="Calibri" w:hAnsi="Calibri" w:cs="Calibri"/>
          <w:color w:val="000000" w:themeColor="text1"/>
          <w:sz w:val="24"/>
        </w:rPr>
        <w:t>background,  we</w:t>
      </w:r>
      <w:proofErr w:type="gramEnd"/>
      <w:r w:rsidRPr="006251B9">
        <w:rPr>
          <w:rStyle w:val="IntenseEmphasis"/>
          <w:rFonts w:ascii="Calibri" w:hAnsi="Calibri" w:cs="Calibri"/>
          <w:color w:val="000000" w:themeColor="text1"/>
          <w:sz w:val="24"/>
        </w:rPr>
        <w:t xml:space="preserve"> generally welcome that ESMA acknowledges the need to review the current design of the pre-trade transparency regime for commodity derivative contracts in both Level 1 and Level 2 legislation. </w:t>
      </w:r>
    </w:p>
    <w:p w14:paraId="52CA5DB7" w14:textId="77777777" w:rsidR="006251B9" w:rsidRPr="006251B9" w:rsidRDefault="006251B9" w:rsidP="006251B9">
      <w:pPr>
        <w:spacing w:line="276" w:lineRule="auto"/>
        <w:jc w:val="both"/>
        <w:rPr>
          <w:rFonts w:ascii="Calibri" w:hAnsi="Calibri" w:cs="Calibri"/>
          <w:color w:val="000000" w:themeColor="text1"/>
          <w:sz w:val="24"/>
        </w:rPr>
      </w:pPr>
    </w:p>
    <w:p w14:paraId="387A0B46" w14:textId="77777777" w:rsidR="006251B9" w:rsidRPr="006251B9" w:rsidRDefault="006251B9" w:rsidP="006251B9">
      <w:pPr>
        <w:spacing w:line="276" w:lineRule="auto"/>
        <w:ind w:left="720"/>
        <w:jc w:val="both"/>
        <w:rPr>
          <w:rStyle w:val="IntenseEmphasis"/>
          <w:rFonts w:ascii="Calibri" w:hAnsi="Calibri" w:cs="Calibri"/>
          <w:b w:val="0"/>
          <w:bCs w:val="0"/>
          <w:i w:val="0"/>
          <w:iCs w:val="0"/>
          <w:color w:val="000000" w:themeColor="text1"/>
          <w:sz w:val="24"/>
        </w:rPr>
      </w:pPr>
      <w:r w:rsidRPr="006251B9">
        <w:rPr>
          <w:rFonts w:ascii="Calibri" w:hAnsi="Calibri" w:cs="Calibri"/>
          <w:color w:val="000000" w:themeColor="text1"/>
          <w:sz w:val="24"/>
        </w:rPr>
        <w:t xml:space="preserve">As for Level 1, Europex proposes that the hedging exemption available in </w:t>
      </w:r>
      <w:proofErr w:type="spellStart"/>
      <w:r w:rsidRPr="006251B9">
        <w:rPr>
          <w:rFonts w:ascii="Calibri" w:hAnsi="Calibri" w:cs="Calibri"/>
          <w:color w:val="000000" w:themeColor="text1"/>
          <w:sz w:val="24"/>
        </w:rPr>
        <w:t>MiFIR</w:t>
      </w:r>
      <w:proofErr w:type="spellEnd"/>
      <w:r w:rsidRPr="006251B9">
        <w:rPr>
          <w:rFonts w:ascii="Calibri" w:hAnsi="Calibri" w:cs="Calibri"/>
          <w:color w:val="000000" w:themeColor="text1"/>
          <w:sz w:val="24"/>
        </w:rPr>
        <w:t xml:space="preserve"> Article 8(1) is extended to cover all market participants managing risks arising from activity in the physical market, including financial counterparties. Such a solution would allow for more order book liquidity without jeopardising the ability of commodity derivatives markets to fulfil their function. In addition, it would better take into account the important risk management function of commodity derivatives trading.</w:t>
      </w:r>
    </w:p>
    <w:p w14:paraId="3D0F5572" w14:textId="77777777" w:rsidR="006251B9" w:rsidRPr="006251B9" w:rsidRDefault="006251B9" w:rsidP="006251B9">
      <w:pPr>
        <w:spacing w:line="276" w:lineRule="auto"/>
        <w:jc w:val="both"/>
        <w:rPr>
          <w:rStyle w:val="IntenseEmphasis"/>
          <w:rFonts w:ascii="Calibri" w:hAnsi="Calibri" w:cs="Calibri"/>
          <w:b w:val="0"/>
          <w:bCs w:val="0"/>
          <w:i w:val="0"/>
          <w:iCs w:val="0"/>
          <w:color w:val="000000" w:themeColor="text1"/>
          <w:sz w:val="24"/>
        </w:rPr>
      </w:pPr>
    </w:p>
    <w:p w14:paraId="104DC82A" w14:textId="77777777" w:rsidR="006251B9" w:rsidRPr="006251B9" w:rsidRDefault="006251B9" w:rsidP="006251B9">
      <w:pPr>
        <w:spacing w:line="276" w:lineRule="auto"/>
        <w:ind w:firstLine="720"/>
        <w:jc w:val="both"/>
        <w:rPr>
          <w:rStyle w:val="IntenseEmphasis"/>
          <w:rFonts w:ascii="Calibri" w:hAnsi="Calibri" w:cs="Calibri"/>
          <w:b w:val="0"/>
          <w:bCs w:val="0"/>
          <w:color w:val="000000" w:themeColor="text1"/>
          <w:sz w:val="24"/>
        </w:rPr>
      </w:pPr>
      <w:r w:rsidRPr="006251B9">
        <w:rPr>
          <w:rStyle w:val="IntenseEmphasis"/>
          <w:rFonts w:ascii="Calibri" w:hAnsi="Calibri" w:cs="Calibri"/>
          <w:color w:val="000000" w:themeColor="text1"/>
          <w:sz w:val="24"/>
        </w:rPr>
        <w:t>Reaction to ESMA analysis</w:t>
      </w:r>
    </w:p>
    <w:p w14:paraId="1304AD41" w14:textId="77777777" w:rsidR="006251B9" w:rsidRPr="006251B9" w:rsidRDefault="006251B9" w:rsidP="006251B9">
      <w:pPr>
        <w:spacing w:line="276" w:lineRule="auto"/>
        <w:jc w:val="both"/>
        <w:rPr>
          <w:rFonts w:ascii="Calibri" w:hAnsi="Calibri" w:cs="Calibri"/>
          <w:color w:val="000000" w:themeColor="text1"/>
          <w:sz w:val="24"/>
        </w:rPr>
      </w:pPr>
    </w:p>
    <w:p w14:paraId="357760B8"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The consultation paper argues that the overall level of PTT in non-equity markets appears to be limited, as evidenced by the high share of financial instruments benefitting from a </w:t>
      </w:r>
      <w:r w:rsidRPr="006251B9">
        <w:rPr>
          <w:rFonts w:ascii="Calibri" w:hAnsi="Calibri" w:cs="Calibri"/>
          <w:color w:val="000000" w:themeColor="text1"/>
          <w:sz w:val="24"/>
        </w:rPr>
        <w:lastRenderedPageBreak/>
        <w:t>waiver. While this may be the case across other asset classes in general, the IL and LIS waivers have proven to be ill-calibrated to commodity derivatives markets. Particularly the RTS 2 methodology for calculating LIS thresholds and determining illiquid instruments has proven unworkable and counterintuitive in practice.</w:t>
      </w:r>
    </w:p>
    <w:p w14:paraId="3FC63EF9" w14:textId="77777777" w:rsidR="006251B9" w:rsidRPr="006251B9" w:rsidRDefault="006251B9" w:rsidP="006251B9">
      <w:pPr>
        <w:pStyle w:val="ListParagraph"/>
        <w:spacing w:line="276" w:lineRule="auto"/>
        <w:ind w:left="1080"/>
        <w:jc w:val="both"/>
        <w:rPr>
          <w:rFonts w:ascii="Calibri" w:hAnsi="Calibri" w:cs="Calibri"/>
          <w:color w:val="000000" w:themeColor="text1"/>
          <w:sz w:val="24"/>
        </w:rPr>
      </w:pPr>
    </w:p>
    <w:p w14:paraId="336A9EEA"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Furthermore, because there was no EU-wide transparency regime for non-equity prior to MiFID II, it is impossible to compare the current levels of pre-trade transparency (PTT) with pre-MiFID II PTT levels.</w:t>
      </w:r>
    </w:p>
    <w:p w14:paraId="1C5F434A" w14:textId="77777777" w:rsidR="006251B9" w:rsidRPr="006251B9" w:rsidRDefault="006251B9" w:rsidP="006251B9">
      <w:pPr>
        <w:pStyle w:val="ListParagraph"/>
        <w:spacing w:line="276" w:lineRule="auto"/>
        <w:ind w:left="1080"/>
        <w:jc w:val="both"/>
        <w:rPr>
          <w:rFonts w:ascii="Calibri" w:hAnsi="Calibri" w:cs="Calibri"/>
          <w:color w:val="000000" w:themeColor="text1"/>
          <w:sz w:val="24"/>
        </w:rPr>
      </w:pPr>
    </w:p>
    <w:p w14:paraId="0DA51DEA"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The consultation paper concludes that after two years of application of MiFID II, the impact on most market participants from pre-trade transparency was rather limited (paragraph 42). This conclusion, however, cannot apply to commodity derivatives markets given that the full PTT regime was not applied to pre-negotiated trades during these two years. In accordance with the ESMA supervisory briefing published in June 2019, the concerned trading venues prepared to ensure compliance by 31 December 2019. </w:t>
      </w:r>
    </w:p>
    <w:p w14:paraId="12795E0C" w14:textId="77777777" w:rsidR="006251B9" w:rsidRPr="006251B9" w:rsidRDefault="006251B9" w:rsidP="006251B9">
      <w:pPr>
        <w:spacing w:line="276" w:lineRule="auto"/>
        <w:ind w:left="360"/>
        <w:jc w:val="both"/>
        <w:rPr>
          <w:rFonts w:ascii="Calibri" w:hAnsi="Calibri" w:cs="Calibri"/>
          <w:color w:val="000000" w:themeColor="text1"/>
          <w:sz w:val="24"/>
        </w:rPr>
      </w:pPr>
    </w:p>
    <w:p w14:paraId="5519A323"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Further distinction must be drawn between the different non-equity asset classes when considering the application and effectiveness of PTT. There are fundamental differences in how market participants use non-equity derivatives instruments for hedging and commercial purposes. These need to be reflected in the design of the PTT regime so that it can fulfil its objectives, contributing to more efficient price formation process as well as the timely valuation of products.</w:t>
      </w:r>
    </w:p>
    <w:permEnd w:id="1955866996"/>
    <w:p w14:paraId="4A4CF699" w14:textId="73B96152" w:rsidR="00A8728B" w:rsidRDefault="00A8728B" w:rsidP="00A8728B"/>
    <w:p w14:paraId="059D15D7" w14:textId="3C370F9E" w:rsidR="00A8728B" w:rsidRDefault="00A8728B" w:rsidP="00A8728B">
      <w:r>
        <w:t>&lt;ESMA_QUESTION</w:t>
      </w:r>
      <w:r w:rsidR="00D920D1">
        <w:t>_</w:t>
      </w:r>
      <w:r w:rsidR="00227C1A">
        <w:t>CP</w:t>
      </w:r>
      <w:r w:rsidR="007254DD">
        <w:t>_MIFID_NQT</w:t>
      </w:r>
      <w:r w:rsidR="00F107EF">
        <w:t>_</w:t>
      </w:r>
      <w:r>
        <w:t>1&gt;</w:t>
      </w:r>
    </w:p>
    <w:p w14:paraId="765B8CCE" w14:textId="77777777" w:rsidR="00C228C1" w:rsidRDefault="00C228C1" w:rsidP="00A8728B"/>
    <w:p w14:paraId="3135A16A" w14:textId="35DBECDC" w:rsidR="00431DA4" w:rsidRPr="00431DA4" w:rsidRDefault="007254DD" w:rsidP="00EF383B">
      <w:pPr>
        <w:pStyle w:val="CPQuestions"/>
      </w:pPr>
      <w:r w:rsidRPr="007254DD">
        <w:t>What proposals do you have for improving the level of pre-trade transparency available? Do you believe that the simplification of the regime for pre-trade transparency waivers would contribute to the improvement of the level of pre-trade transparency available?</w:t>
      </w:r>
    </w:p>
    <w:p w14:paraId="717E2C9B" w14:textId="02342204" w:rsidR="00A8728B" w:rsidRDefault="00A8728B" w:rsidP="00A8728B">
      <w:r>
        <w:t>&lt;ESMA_QUESTION</w:t>
      </w:r>
      <w:r w:rsidR="00D920D1">
        <w:t>_</w:t>
      </w:r>
      <w:r w:rsidR="00227C1A">
        <w:t>CP</w:t>
      </w:r>
      <w:r w:rsidR="007254DD">
        <w:t>_MIFID_NQT</w:t>
      </w:r>
      <w:r w:rsidR="00F107EF">
        <w:t>_</w:t>
      </w:r>
      <w:r>
        <w:t>2&gt;</w:t>
      </w:r>
    </w:p>
    <w:p w14:paraId="1CC4DDDC" w14:textId="070F02BA" w:rsidR="006251B9" w:rsidRPr="006251B9" w:rsidRDefault="006251B9" w:rsidP="00131DEB">
      <w:pPr>
        <w:spacing w:line="276" w:lineRule="auto"/>
        <w:ind w:left="720"/>
        <w:jc w:val="both"/>
        <w:rPr>
          <w:rFonts w:ascii="Calibri" w:hAnsi="Calibri" w:cs="Calibri"/>
          <w:color w:val="000000" w:themeColor="text1"/>
          <w:sz w:val="24"/>
        </w:rPr>
      </w:pPr>
      <w:permStart w:id="1066216518" w:edGrp="everyone"/>
      <w:proofErr w:type="spellStart"/>
      <w:r w:rsidRPr="006251B9">
        <w:rPr>
          <w:rFonts w:ascii="Calibri" w:hAnsi="Calibri" w:cs="Calibri"/>
          <w:color w:val="000000" w:themeColor="text1"/>
          <w:sz w:val="24"/>
        </w:rPr>
        <w:t>MiFIR</w:t>
      </w:r>
      <w:proofErr w:type="spellEnd"/>
      <w:r w:rsidRPr="006251B9">
        <w:rPr>
          <w:rFonts w:ascii="Calibri" w:hAnsi="Calibri" w:cs="Calibri"/>
          <w:color w:val="000000" w:themeColor="text1"/>
          <w:sz w:val="24"/>
        </w:rPr>
        <w:t xml:space="preserve"> rightly recognises that certain exemptions can be granted to trading venues from the general requirement to publish pre-trade transparency data to preserve orderly price discovery processes and allow illiquid and nascent markets to develop. </w:t>
      </w:r>
    </w:p>
    <w:p w14:paraId="4780142B" w14:textId="77777777" w:rsidR="006251B9" w:rsidRPr="006251B9" w:rsidRDefault="006251B9" w:rsidP="00131DEB">
      <w:pPr>
        <w:spacing w:line="276" w:lineRule="auto"/>
        <w:ind w:left="720"/>
        <w:jc w:val="both"/>
        <w:rPr>
          <w:rFonts w:ascii="Calibri" w:hAnsi="Calibri" w:cs="Calibri"/>
          <w:color w:val="000000" w:themeColor="text1"/>
          <w:sz w:val="24"/>
        </w:rPr>
      </w:pPr>
    </w:p>
    <w:p w14:paraId="179287E5" w14:textId="77777777" w:rsidR="006251B9" w:rsidRPr="006251B9" w:rsidRDefault="006251B9" w:rsidP="00131DEB">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We believe the current calibration of the illiquid (“IL”) and Large in Scale (“LIS”) waiver thresholds severely limits the development of niche and nascent contracts. The reason for this is that a number of niche and nascent products are incorrectly classified as liquid based on the two liquidity criteria in table 7.1, Annex III, RTS 2, thus becoming subject to </w:t>
      </w:r>
      <w:r w:rsidRPr="006251B9">
        <w:rPr>
          <w:rFonts w:ascii="Calibri" w:hAnsi="Calibri" w:cs="Calibri"/>
          <w:color w:val="000000" w:themeColor="text1"/>
          <w:sz w:val="24"/>
        </w:rPr>
        <w:lastRenderedPageBreak/>
        <w:t xml:space="preserve">significant broader transparency requirements and made subject to excessive LIS thresholds.  </w:t>
      </w:r>
    </w:p>
    <w:p w14:paraId="6B742099" w14:textId="77777777" w:rsidR="006251B9" w:rsidRPr="006251B9" w:rsidRDefault="006251B9" w:rsidP="00131DEB">
      <w:pPr>
        <w:spacing w:line="276" w:lineRule="auto"/>
        <w:ind w:left="720"/>
        <w:jc w:val="both"/>
        <w:rPr>
          <w:rFonts w:ascii="Calibri" w:hAnsi="Calibri" w:cs="Calibri"/>
          <w:color w:val="000000" w:themeColor="text1"/>
          <w:sz w:val="24"/>
        </w:rPr>
      </w:pPr>
    </w:p>
    <w:p w14:paraId="61138790" w14:textId="77777777" w:rsidR="006251B9" w:rsidRPr="006251B9" w:rsidRDefault="006251B9" w:rsidP="00131DEB">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The current shortcomings of the regime have sometimes prevented market participants from moving to transparent and regulated venues and central clearing. As outlined in Q1, following the specific market reality and the role of pre-negotiated transactions in energy markets, we recommend a review of the current ill-calibrated IL and LIS waiver thresholds size and methodology. Furthermore, we propose that the hedging exemption in Article 8(1) of </w:t>
      </w:r>
      <w:proofErr w:type="spellStart"/>
      <w:r w:rsidRPr="006251B9">
        <w:rPr>
          <w:rFonts w:ascii="Calibri" w:hAnsi="Calibri" w:cs="Calibri"/>
          <w:color w:val="000000" w:themeColor="text1"/>
          <w:sz w:val="24"/>
        </w:rPr>
        <w:t>MiFIR</w:t>
      </w:r>
      <w:proofErr w:type="spellEnd"/>
      <w:r w:rsidRPr="006251B9">
        <w:rPr>
          <w:rFonts w:ascii="Calibri" w:hAnsi="Calibri" w:cs="Calibri"/>
          <w:color w:val="000000" w:themeColor="text1"/>
          <w:sz w:val="24"/>
        </w:rPr>
        <w:t xml:space="preserve"> be extended to financial counterparties for pre-trade transparency purposes.</w:t>
      </w:r>
    </w:p>
    <w:p w14:paraId="4544946D" w14:textId="77777777" w:rsidR="006251B9" w:rsidRPr="008D2F34" w:rsidRDefault="006251B9" w:rsidP="00131DEB">
      <w:pPr>
        <w:spacing w:line="276" w:lineRule="auto"/>
        <w:ind w:left="720"/>
        <w:jc w:val="both"/>
        <w:rPr>
          <w:rFonts w:ascii="Calibri" w:hAnsi="Calibri" w:cs="Calibri"/>
          <w:b/>
          <w:color w:val="000000" w:themeColor="text1"/>
        </w:rPr>
      </w:pPr>
    </w:p>
    <w:p w14:paraId="108232FE" w14:textId="759E0517" w:rsidR="00A8728B" w:rsidRDefault="006251B9" w:rsidP="00A8728B">
      <w:r w:rsidRPr="006251B9">
        <w:rPr>
          <w:rFonts w:ascii="Calibri" w:hAnsi="Calibri" w:cs="Calibri"/>
          <w:color w:val="000000" w:themeColor="text1"/>
          <w:sz w:val="24"/>
        </w:rPr>
        <w:t>In doing so, the regime would allow for pre-negotiated trades of the most illiquid and new contracts to be brought to an exchange and subsequently familiarise energy commodity traders with the beneficial features of increased transparency and secure on-venue trading</w:t>
      </w:r>
      <w:r w:rsidRPr="008D2F34">
        <w:rPr>
          <w:rFonts w:ascii="Calibri" w:hAnsi="Calibri" w:cs="Calibri"/>
          <w:color w:val="000000" w:themeColor="text1"/>
        </w:rPr>
        <w:t>.</w:t>
      </w:r>
      <w:permEnd w:id="1066216518"/>
    </w:p>
    <w:p w14:paraId="6DEAF756" w14:textId="7F38DFEA" w:rsidR="00A8728B" w:rsidRDefault="00A8728B" w:rsidP="00A8728B">
      <w:r>
        <w:t>&lt;ESMA_QUESTION</w:t>
      </w:r>
      <w:r w:rsidR="00D920D1">
        <w:t>_</w:t>
      </w:r>
      <w:r w:rsidR="00227C1A">
        <w:t>CP</w:t>
      </w:r>
      <w:r w:rsidR="007254DD">
        <w:t>_MIFID_NQT</w:t>
      </w:r>
      <w:r w:rsidR="00F107EF">
        <w:t>_</w:t>
      </w:r>
      <w:r>
        <w:t>2&gt;</w:t>
      </w:r>
    </w:p>
    <w:p w14:paraId="6A1F9FDE" w14:textId="77777777" w:rsidR="002E1760" w:rsidRDefault="002E1760" w:rsidP="00A8728B"/>
    <w:p w14:paraId="5A44EAC7" w14:textId="58C35D04" w:rsidR="002E1760" w:rsidRPr="00431DA4" w:rsidRDefault="007254DD" w:rsidP="00293D78">
      <w:pPr>
        <w:pStyle w:val="CPQuestions"/>
      </w:pPr>
      <w:r w:rsidRPr="007254DD">
        <w:t>Are you supportive of ESMA’s proposal to delete the pre-trade SSTI-waiver? Would you compensate for this by lowering the pre-trade LIS-thresholds across all asset classes or only for selected asset classes? What would be the appropriate level for such adjusted LIS-thresholds? If you do not support ESMA’s proposal to delete the pre-trade SSTI-waiver, what should be the way forward on the SSTI-waiver in your view?</w:t>
      </w:r>
    </w:p>
    <w:p w14:paraId="20EFBA0C" w14:textId="5FF0A6A3" w:rsidR="002E1760" w:rsidRDefault="002E1760" w:rsidP="002E1760">
      <w:r>
        <w:t>&lt;ESMA_QUESTION_</w:t>
      </w:r>
      <w:r w:rsidR="00227C1A">
        <w:t>CP</w:t>
      </w:r>
      <w:r w:rsidR="007254DD">
        <w:t>_MIFID_NQT</w:t>
      </w:r>
      <w:r w:rsidR="00F107EF">
        <w:t>_</w:t>
      </w:r>
      <w:r>
        <w:t>3&gt;</w:t>
      </w:r>
    </w:p>
    <w:p w14:paraId="17511B9C" w14:textId="77777777" w:rsidR="006251B9" w:rsidRPr="006251B9" w:rsidRDefault="006251B9" w:rsidP="006251B9">
      <w:pPr>
        <w:spacing w:line="276" w:lineRule="auto"/>
        <w:ind w:left="720"/>
        <w:jc w:val="both"/>
        <w:rPr>
          <w:rFonts w:ascii="Calibri" w:hAnsi="Calibri" w:cs="Calibri"/>
          <w:color w:val="000000" w:themeColor="text1"/>
          <w:sz w:val="24"/>
        </w:rPr>
      </w:pPr>
      <w:permStart w:id="473446270" w:edGrp="everyone"/>
      <w:r w:rsidRPr="006251B9">
        <w:rPr>
          <w:rFonts w:ascii="Calibri" w:hAnsi="Calibri" w:cs="Calibri"/>
          <w:color w:val="000000" w:themeColor="text1"/>
          <w:sz w:val="24"/>
        </w:rPr>
        <w:t xml:space="preserve">Europex agrees with ESMA’s proposal to delete the pre-trade SSTI waiver due to its limited use. At the same time, we support the proposal to lower LIS waiver thresholds. We recommend that the LIS calculation methodology is revised to remove factors leading to counterintuitive results, namely </w:t>
      </w:r>
      <w:proofErr w:type="gramStart"/>
      <w:r w:rsidRPr="006251B9">
        <w:rPr>
          <w:rFonts w:ascii="Calibri" w:hAnsi="Calibri" w:cs="Calibri"/>
          <w:color w:val="000000" w:themeColor="text1"/>
          <w:sz w:val="24"/>
        </w:rPr>
        <w:t>less</w:t>
      </w:r>
      <w:proofErr w:type="gramEnd"/>
      <w:r w:rsidRPr="006251B9">
        <w:rPr>
          <w:rFonts w:ascii="Calibri" w:hAnsi="Calibri" w:cs="Calibri"/>
          <w:color w:val="000000" w:themeColor="text1"/>
          <w:sz w:val="24"/>
        </w:rPr>
        <w:t xml:space="preserve"> liquid instruments receiving very high LIS thresholds and vice versa.</w:t>
      </w:r>
    </w:p>
    <w:permEnd w:id="473446270"/>
    <w:p w14:paraId="27C12B76" w14:textId="12245803" w:rsidR="002E1760" w:rsidRDefault="002E1760" w:rsidP="002E1760"/>
    <w:p w14:paraId="38AD242F" w14:textId="5BFF8517" w:rsidR="002E1760" w:rsidRDefault="002E1760" w:rsidP="002E1760">
      <w:r>
        <w:t>&lt;ESMA_QUESTION_</w:t>
      </w:r>
      <w:r w:rsidR="00227C1A">
        <w:t>CP</w:t>
      </w:r>
      <w:r w:rsidR="007254DD">
        <w:t>_MIFID_NQT</w:t>
      </w:r>
      <w:r w:rsidR="00F107EF">
        <w:t>_</w:t>
      </w:r>
      <w:r>
        <w:t>3&gt;</w:t>
      </w:r>
    </w:p>
    <w:p w14:paraId="65520281" w14:textId="77777777" w:rsidR="002E1760" w:rsidRDefault="002E1760" w:rsidP="00A8728B"/>
    <w:p w14:paraId="1636EA21" w14:textId="3747DB04" w:rsidR="002E1760" w:rsidRPr="00431DA4" w:rsidRDefault="007254DD" w:rsidP="00293D78">
      <w:pPr>
        <w:pStyle w:val="CPQuestions"/>
      </w:pPr>
      <w:r w:rsidRPr="007254DD">
        <w:t>What are your views on the use of the SSTI for the SI-quoting obligations. Should it remain (Option 1) or be replaced by linking the quoting obligation to another threshold (e.g. a certain percentage of the LIS-threshold) (Option 2)? Please explain</w:t>
      </w:r>
      <w:r w:rsidR="00B61CD3">
        <w:t>.</w:t>
      </w:r>
    </w:p>
    <w:p w14:paraId="53C0B09B" w14:textId="7657C17F" w:rsidR="002E1760" w:rsidRDefault="002E1760" w:rsidP="002E1760">
      <w:r>
        <w:t>&lt;ESMA_QUESTION_</w:t>
      </w:r>
      <w:r w:rsidR="00227C1A">
        <w:t>CP</w:t>
      </w:r>
      <w:r w:rsidR="007254DD">
        <w:t>_MIFID_NQT</w:t>
      </w:r>
      <w:r w:rsidR="00F107EF">
        <w:t>_</w:t>
      </w:r>
      <w:r>
        <w:t>4&gt;</w:t>
      </w:r>
    </w:p>
    <w:p w14:paraId="22440220" w14:textId="77777777" w:rsidR="002E1760" w:rsidRDefault="002E1760" w:rsidP="002E1760">
      <w:permStart w:id="1101743476" w:edGrp="everyone"/>
      <w:r>
        <w:t>TYPE YOUR TEXT HERE</w:t>
      </w:r>
      <w:permEnd w:id="1101743476"/>
    </w:p>
    <w:p w14:paraId="26125AF8" w14:textId="6B643FEF" w:rsidR="002E1760" w:rsidRDefault="002E1760" w:rsidP="002E1760">
      <w:r>
        <w:t>&lt;ESMA_QUESTION_</w:t>
      </w:r>
      <w:r w:rsidR="00227C1A">
        <w:t>CP</w:t>
      </w:r>
      <w:r w:rsidR="007254DD">
        <w:t>_MIFID_NQT</w:t>
      </w:r>
      <w:r w:rsidR="00F107EF">
        <w:t>_</w:t>
      </w:r>
      <w:r>
        <w:t>4&gt;</w:t>
      </w:r>
    </w:p>
    <w:p w14:paraId="2938B1AA" w14:textId="77777777" w:rsidR="002E1760" w:rsidRDefault="002E1760" w:rsidP="002E1760"/>
    <w:p w14:paraId="7F048ADD" w14:textId="66E775F9" w:rsidR="002E1760" w:rsidRPr="00431DA4" w:rsidRDefault="007254DD" w:rsidP="00293D78">
      <w:pPr>
        <w:pStyle w:val="CPQuestions"/>
      </w:pPr>
      <w:r w:rsidRPr="007254DD">
        <w:t>Would you support turning the hedging exemption into a limited negotiated trade waiver? If so, would you support Option 1 or Option 2? If not, please explain why</w:t>
      </w:r>
      <w:r w:rsidR="00B61CD3">
        <w:t>.</w:t>
      </w:r>
    </w:p>
    <w:p w14:paraId="6C5044C2" w14:textId="0F366BCF" w:rsidR="00227C1A" w:rsidRDefault="00227C1A" w:rsidP="00227C1A">
      <w:r>
        <w:lastRenderedPageBreak/>
        <w:t>&lt;ESMA_QUESTION_CP</w:t>
      </w:r>
      <w:r w:rsidR="007254DD">
        <w:t>_MIFID_NQT</w:t>
      </w:r>
      <w:r w:rsidR="00F107EF">
        <w:t>_</w:t>
      </w:r>
      <w:r w:rsidR="0062022D">
        <w:t>5</w:t>
      </w:r>
      <w:r>
        <w:t>&gt;</w:t>
      </w:r>
    </w:p>
    <w:p w14:paraId="0CB16A52" w14:textId="77777777" w:rsidR="006251B9" w:rsidRPr="006251B9" w:rsidRDefault="006251B9" w:rsidP="006251B9">
      <w:pPr>
        <w:pStyle w:val="CPQuestions"/>
        <w:numPr>
          <w:ilvl w:val="0"/>
          <w:numId w:val="0"/>
        </w:numPr>
        <w:ind w:left="720" w:hanging="11"/>
        <w:rPr>
          <w:rFonts w:ascii="Calibri" w:eastAsiaTheme="minorHAnsi" w:hAnsi="Calibri" w:cs="Calibri"/>
          <w:b w:val="0"/>
          <w:color w:val="000000" w:themeColor="text1"/>
          <w:sz w:val="24"/>
          <w:szCs w:val="24"/>
        </w:rPr>
      </w:pPr>
      <w:permStart w:id="1725855520" w:edGrp="everyone"/>
      <w:r w:rsidRPr="006251B9">
        <w:rPr>
          <w:rFonts w:ascii="Calibri" w:eastAsiaTheme="minorHAnsi" w:hAnsi="Calibri" w:cs="Calibri"/>
          <w:b w:val="0"/>
          <w:color w:val="000000" w:themeColor="text1"/>
          <w:sz w:val="24"/>
          <w:szCs w:val="24"/>
        </w:rPr>
        <w:t xml:space="preserve">We do not see merit in replacing the current hedging exemption with a waiver that has the exact same scope. Such a change would increase the administrative burden and procedural obligations for market participants, outweighing any potential benefits a waiver could bring. </w:t>
      </w:r>
    </w:p>
    <w:p w14:paraId="0D487C92" w14:textId="77777777" w:rsidR="006251B9" w:rsidRDefault="006251B9" w:rsidP="006251B9">
      <w:pPr>
        <w:pStyle w:val="CPQuestions"/>
        <w:numPr>
          <w:ilvl w:val="0"/>
          <w:numId w:val="0"/>
        </w:numPr>
        <w:ind w:left="720" w:hanging="11"/>
        <w:rPr>
          <w:rFonts w:ascii="Calibri" w:eastAsiaTheme="minorHAnsi" w:hAnsi="Calibri" w:cs="Calibri"/>
          <w:b w:val="0"/>
          <w:color w:val="000000" w:themeColor="text1"/>
          <w:sz w:val="24"/>
          <w:szCs w:val="24"/>
        </w:rPr>
      </w:pPr>
      <w:r w:rsidRPr="00CE285C">
        <w:rPr>
          <w:rFonts w:ascii="Calibri" w:eastAsiaTheme="minorHAnsi" w:hAnsi="Calibri" w:cs="Calibri"/>
          <w:b w:val="0"/>
          <w:color w:val="000000" w:themeColor="text1"/>
          <w:sz w:val="24"/>
          <w:szCs w:val="24"/>
        </w:rPr>
        <w:t>Further, we explicitly support extending the hedging exemption to financial counterparties. Such a solution would allow liquidity to continue to build in the order book without jeopardising the ability of commodity derivatives markets to fulfil their function. Moreover, a dedicated (pre-)negotiated trade waiver for non-equity instruments should be considered. However, such a waiver should be introduced in addition to the existing, and ideally extended, hedging exemption but not replace it.</w:t>
      </w:r>
    </w:p>
    <w:permEnd w:id="1725855520"/>
    <w:p w14:paraId="5E6AA5B5" w14:textId="63674AE7" w:rsidR="00227C1A" w:rsidRDefault="00227C1A" w:rsidP="00227C1A"/>
    <w:p w14:paraId="3C640BDD" w14:textId="6C310C96" w:rsidR="00227C1A" w:rsidRDefault="00227C1A" w:rsidP="00227C1A">
      <w:r>
        <w:t>&lt;ESMA_QUESTION_CP</w:t>
      </w:r>
      <w:r w:rsidR="007254DD">
        <w:t>_MIFID_NQT</w:t>
      </w:r>
      <w:r w:rsidR="00F107EF">
        <w:t>_</w:t>
      </w:r>
      <w:r w:rsidR="0062022D">
        <w:t>5</w:t>
      </w:r>
      <w:r>
        <w:t>&gt;</w:t>
      </w:r>
    </w:p>
    <w:p w14:paraId="6527E178" w14:textId="3385D4D9" w:rsidR="002E1760" w:rsidRDefault="002E1760" w:rsidP="002E1760"/>
    <w:p w14:paraId="3043648C" w14:textId="77777777" w:rsidR="00B27E7B" w:rsidRDefault="00B27E7B" w:rsidP="002E1760"/>
    <w:p w14:paraId="46019DAC" w14:textId="6C95E4EE" w:rsidR="002E1760" w:rsidRPr="00431DA4" w:rsidRDefault="007254DD" w:rsidP="00293D78">
      <w:pPr>
        <w:pStyle w:val="CPQuestions"/>
      </w:pPr>
      <w:r w:rsidRPr="007254DD">
        <w:t>Do you agree with ESMA’s observations on the emergence of new trading systems and the proposed way forward requiring a Level 1 change and ESMA to issue an Opinion for each new trading system defining its characteristics and the transparency requirements? Would you have suggestions for the timeline and process of such Opinions? Please explain</w:t>
      </w:r>
      <w:r w:rsidR="00B61CD3">
        <w:t>.</w:t>
      </w:r>
    </w:p>
    <w:p w14:paraId="470AAA99" w14:textId="532FAE54" w:rsidR="0062022D" w:rsidRDefault="0062022D" w:rsidP="0062022D">
      <w:r>
        <w:t>&lt;ESMA_QUESTION_CP</w:t>
      </w:r>
      <w:r w:rsidR="007254DD">
        <w:t>_MIFID_NQT</w:t>
      </w:r>
      <w:r w:rsidR="00F107EF">
        <w:t>_</w:t>
      </w:r>
      <w:r w:rsidR="00A263DF">
        <w:t>6</w:t>
      </w:r>
      <w:r>
        <w:t>&gt;</w:t>
      </w:r>
    </w:p>
    <w:p w14:paraId="44273A59" w14:textId="77777777" w:rsidR="006251B9" w:rsidRPr="006251B9" w:rsidRDefault="006251B9" w:rsidP="006251B9">
      <w:pPr>
        <w:pStyle w:val="CPQuestions"/>
        <w:numPr>
          <w:ilvl w:val="0"/>
          <w:numId w:val="0"/>
        </w:numPr>
        <w:ind w:left="360"/>
        <w:rPr>
          <w:rFonts w:ascii="Calibri" w:hAnsi="Calibri" w:cs="Calibri"/>
          <w:b w:val="0"/>
          <w:color w:val="000000" w:themeColor="text1"/>
          <w:sz w:val="24"/>
          <w:szCs w:val="24"/>
        </w:rPr>
      </w:pPr>
      <w:permStart w:id="203298670" w:edGrp="everyone"/>
      <w:r w:rsidRPr="006251B9">
        <w:rPr>
          <w:rFonts w:ascii="Calibri" w:hAnsi="Calibri" w:cs="Calibri"/>
          <w:b w:val="0"/>
          <w:color w:val="000000" w:themeColor="text1"/>
          <w:sz w:val="24"/>
          <w:szCs w:val="24"/>
        </w:rPr>
        <w:t xml:space="preserve">Europex agrees that the current catalogue of trading systems in Annex 1 of RTS 2 may not fully capture all available trading systems. However, having an opinion issued by ESMA for every new system might result in very extensive acknowledgement processes and likely result in undue stress on ESMA’s resources. Any backlog in such an approval process (as has been observed with the approval process for waiver applications) bears the risk of delaying innovation and will result in longer periods of trading in less regulated environments (i.e. OTC market). For the same reason, we propose to have changes </w:t>
      </w:r>
      <w:r w:rsidRPr="006251B9">
        <w:rPr>
          <w:rFonts w:ascii="Calibri" w:hAnsi="Calibri" w:cs="Calibri"/>
          <w:b w:val="0"/>
          <w:color w:val="000000" w:themeColor="text1"/>
          <w:sz w:val="24"/>
          <w:szCs w:val="24"/>
          <w:lang w:eastAsia="de-DE"/>
        </w:rPr>
        <w:t>work solely in a forward-</w:t>
      </w:r>
      <w:r w:rsidRPr="006251B9">
        <w:rPr>
          <w:rFonts w:ascii="Calibri" w:hAnsi="Calibri" w:cs="Calibri"/>
          <w:b w:val="0"/>
          <w:color w:val="000000" w:themeColor="text1"/>
          <w:sz w:val="24"/>
          <w:szCs w:val="24"/>
        </w:rPr>
        <w:t>looking way.</w:t>
      </w:r>
    </w:p>
    <w:p w14:paraId="2FF63C7A" w14:textId="77777777" w:rsidR="006251B9" w:rsidRPr="008D2F34" w:rsidRDefault="006251B9" w:rsidP="006251B9">
      <w:pPr>
        <w:pStyle w:val="CPQuestions"/>
        <w:numPr>
          <w:ilvl w:val="0"/>
          <w:numId w:val="0"/>
        </w:numPr>
        <w:ind w:left="360"/>
        <w:rPr>
          <w:rFonts w:ascii="Calibri" w:eastAsia="Times New Roman" w:hAnsi="Calibri" w:cs="Calibri"/>
          <w:b w:val="0"/>
          <w:color w:val="000000" w:themeColor="text1"/>
          <w:sz w:val="24"/>
          <w:szCs w:val="24"/>
          <w:lang w:eastAsia="de-DE"/>
        </w:rPr>
      </w:pPr>
      <w:r w:rsidRPr="008D2F34">
        <w:rPr>
          <w:rFonts w:ascii="Calibri" w:hAnsi="Calibri" w:cs="Calibri"/>
          <w:b w:val="0"/>
          <w:color w:val="000000" w:themeColor="text1"/>
          <w:sz w:val="24"/>
          <w:szCs w:val="24"/>
        </w:rPr>
        <w:t>Instead, we believe a more efficient way forward is to extend the existing definitions of trading systems.</w:t>
      </w:r>
      <w:r w:rsidRPr="008D2F34">
        <w:rPr>
          <w:rFonts w:ascii="Calibri" w:eastAsia="Times New Roman" w:hAnsi="Calibri" w:cs="Calibri"/>
          <w:color w:val="000000" w:themeColor="text1"/>
          <w:sz w:val="24"/>
          <w:szCs w:val="24"/>
          <w:lang w:eastAsia="de-DE"/>
        </w:rPr>
        <w:t xml:space="preserve"> </w:t>
      </w:r>
      <w:r w:rsidRPr="008D2F34">
        <w:rPr>
          <w:rFonts w:ascii="Calibri" w:eastAsia="Times New Roman" w:hAnsi="Calibri" w:cs="Calibri"/>
          <w:b w:val="0"/>
          <w:color w:val="000000" w:themeColor="text1"/>
          <w:sz w:val="24"/>
          <w:szCs w:val="24"/>
          <w:lang w:eastAsia="de-DE"/>
        </w:rPr>
        <w:t xml:space="preserve">We propose to amend the definitions of Annex 1 in such a way that they cover variations of the initial system types, which might share main characteristics but are also partly innovative. This way, the currently misused “hybrid systems” definition with its significant leeway in choice of applicable transparency would be phased out for such cases and instead replaced by an efficient regime. The transparency requirement for such innovative systems should, however, be sufficiently amended, reflecting the fact that it might prove difficult to </w:t>
      </w:r>
      <w:r w:rsidRPr="008D2F34">
        <w:rPr>
          <w:rFonts w:ascii="Calibri" w:eastAsia="Times New Roman" w:hAnsi="Calibri" w:cs="Calibri"/>
          <w:b w:val="0"/>
          <w:color w:val="000000" w:themeColor="text1"/>
          <w:sz w:val="24"/>
          <w:szCs w:val="24"/>
          <w:lang w:eastAsia="de-DE"/>
        </w:rPr>
        <w:lastRenderedPageBreak/>
        <w:t>provide the same level of transparency. Such an amendment would additionally pose a change on Level 2 as opposed to Level 1, offering the possibility of a quicker amendment process.</w:t>
      </w:r>
    </w:p>
    <w:p w14:paraId="7F3F849F" w14:textId="52922D96" w:rsidR="0062022D" w:rsidRDefault="006251B9" w:rsidP="0062022D">
      <w:r w:rsidRPr="008D2F34">
        <w:rPr>
          <w:rFonts w:ascii="Calibri" w:hAnsi="Calibri" w:cs="Calibri"/>
          <w:color w:val="000000" w:themeColor="text1"/>
          <w:sz w:val="24"/>
        </w:rPr>
        <w:t>Europex could see merit in the proposed ESMA opinions on new trading systems as a complementary solution, where they cover system types which are in no way variations of the definitions listed in Annex 1 and instead completely innovative. This way, ESMA resources would only be used in exceptional cases where there is indeed a distinct need for analysis and requirements suitable for the respective market conditions. To not obstruct market innovation, trading venues should be allowed to operate these new systems under provisional requirements agreed with their respective regulators while the opinion is pending. However, we would like to stress that such opinions must be issued as soon as practically possible and within less than six weeks.</w:t>
      </w:r>
      <w:permEnd w:id="203298670"/>
    </w:p>
    <w:p w14:paraId="42CFCE2F" w14:textId="1383F8B4" w:rsidR="0062022D" w:rsidRDefault="0062022D" w:rsidP="0062022D">
      <w:r>
        <w:t>&lt;ESMA_QUESTION_CP</w:t>
      </w:r>
      <w:r w:rsidR="007254DD">
        <w:t>_MIFID_NQT</w:t>
      </w:r>
      <w:r w:rsidR="00F107EF">
        <w:t>_</w:t>
      </w:r>
      <w:r w:rsidR="00A263DF">
        <w:t>6</w:t>
      </w:r>
      <w:r>
        <w:t>&gt;</w:t>
      </w:r>
    </w:p>
    <w:p w14:paraId="3925B5D2" w14:textId="77777777" w:rsidR="0062022D" w:rsidRDefault="0062022D" w:rsidP="009003B8">
      <w:pPr>
        <w:jc w:val="both"/>
        <w:rPr>
          <w:i/>
        </w:rPr>
      </w:pPr>
    </w:p>
    <w:p w14:paraId="76BCFD79" w14:textId="243F1871" w:rsidR="002E1760" w:rsidRPr="00431DA4" w:rsidRDefault="007254DD" w:rsidP="00293D78">
      <w:pPr>
        <w:pStyle w:val="CPQuestions"/>
      </w:pPr>
      <w:r w:rsidRPr="007254DD">
        <w:t>Do you agree with the proposal for the definition of hybrid system? Are there in your view trading systems currently not or not appropriately covered in RTS 2 on which ESMA should provide further guidance? Please explain</w:t>
      </w:r>
      <w:r w:rsidR="00A263DF">
        <w:t>.</w:t>
      </w:r>
    </w:p>
    <w:p w14:paraId="4B54F009" w14:textId="25456547" w:rsidR="00A263DF" w:rsidRDefault="00A263DF" w:rsidP="00A263DF">
      <w:r>
        <w:t>&lt;ESMA_QUESTION_CP</w:t>
      </w:r>
      <w:r w:rsidR="007254DD">
        <w:t>_MIFID_NQT</w:t>
      </w:r>
      <w:r w:rsidR="00F107EF">
        <w:t>_</w:t>
      </w:r>
      <w:r>
        <w:t>7&gt;</w:t>
      </w:r>
    </w:p>
    <w:p w14:paraId="1E7C8DAC" w14:textId="77777777" w:rsidR="006251B9" w:rsidRPr="006251B9" w:rsidRDefault="006251B9" w:rsidP="006251B9">
      <w:pPr>
        <w:pStyle w:val="CPQuestions"/>
        <w:numPr>
          <w:ilvl w:val="0"/>
          <w:numId w:val="0"/>
        </w:numPr>
        <w:rPr>
          <w:rFonts w:ascii="Calibri" w:hAnsi="Calibri" w:cs="Calibri"/>
          <w:b w:val="0"/>
          <w:color w:val="000000" w:themeColor="text1"/>
          <w:sz w:val="24"/>
          <w:szCs w:val="24"/>
        </w:rPr>
      </w:pPr>
      <w:permStart w:id="795872801" w:edGrp="everyone"/>
      <w:r w:rsidRPr="006251B9">
        <w:rPr>
          <w:rFonts w:ascii="Calibri" w:hAnsi="Calibri" w:cs="Calibri"/>
          <w:b w:val="0"/>
          <w:color w:val="000000" w:themeColor="text1"/>
          <w:sz w:val="24"/>
          <w:szCs w:val="24"/>
        </w:rPr>
        <w:t>We agree with the reasoning outlined by ESMA. Europex considers hybrid systems as those formed of more than one component.  Our proposal in our answer to Q6 would bring its definition back to its originally intended use-case of only covering combinations, instead leaving variations to be covered by extended definitions and complete innovations by ESMA opinions, respectively.</w:t>
      </w:r>
    </w:p>
    <w:permEnd w:id="795872801"/>
    <w:p w14:paraId="14896476" w14:textId="5AF5B062" w:rsidR="00A263DF" w:rsidRDefault="00A263DF" w:rsidP="00A263DF"/>
    <w:p w14:paraId="75DFB883" w14:textId="4820BBD8" w:rsidR="00A263DF" w:rsidRDefault="00A263DF" w:rsidP="00A263DF">
      <w:r>
        <w:t>&lt;ESMA_QUESTION_CP</w:t>
      </w:r>
      <w:r w:rsidR="007254DD">
        <w:t>_MIFID_NQT</w:t>
      </w:r>
      <w:r w:rsidR="00F107EF">
        <w:t>_</w:t>
      </w:r>
      <w:r>
        <w:t>7&gt;</w:t>
      </w:r>
    </w:p>
    <w:p w14:paraId="22B67BE4" w14:textId="77777777" w:rsidR="00C228C1" w:rsidRDefault="00C228C1" w:rsidP="00A263DF"/>
    <w:p w14:paraId="4DBBAEDF" w14:textId="3F7FCC4B" w:rsidR="002E1760" w:rsidRPr="00431DA4" w:rsidRDefault="007254DD" w:rsidP="00293D78">
      <w:pPr>
        <w:pStyle w:val="CPQuestions"/>
      </w:pPr>
      <w:r w:rsidRPr="007254DD">
        <w:t>Do you agree with ESMA’s proposal to require SIs to make available data free of charge 15 minutes after publication? Please explain</w:t>
      </w:r>
      <w:r w:rsidR="008418E3">
        <w:t>.</w:t>
      </w:r>
    </w:p>
    <w:p w14:paraId="34308112" w14:textId="01E84FC1" w:rsidR="00A263DF" w:rsidRDefault="00A263DF" w:rsidP="00A263DF">
      <w:r>
        <w:t>&lt;ESMA_QUESTION_CP</w:t>
      </w:r>
      <w:r w:rsidR="007254DD">
        <w:t>_MIFID_NQT</w:t>
      </w:r>
      <w:r w:rsidR="00F107EF">
        <w:t>_</w:t>
      </w:r>
      <w:r w:rsidR="00C228C1">
        <w:t>8</w:t>
      </w:r>
      <w:r>
        <w:t>&gt;</w:t>
      </w:r>
    </w:p>
    <w:p w14:paraId="43D46422" w14:textId="77777777" w:rsidR="00A263DF" w:rsidRDefault="00A263DF" w:rsidP="00A263DF">
      <w:permStart w:id="1747589383" w:edGrp="everyone"/>
      <w:r>
        <w:t>TYPE YOUR TEXT HERE</w:t>
      </w:r>
      <w:permEnd w:id="1747589383"/>
    </w:p>
    <w:p w14:paraId="461248F6" w14:textId="19787DD3" w:rsidR="00A263DF" w:rsidRDefault="00A263DF" w:rsidP="00A263DF">
      <w:r>
        <w:t>&lt;ESMA_QUESTION_CP</w:t>
      </w:r>
      <w:r w:rsidR="007254DD">
        <w:t>_MIFID_NQT</w:t>
      </w:r>
      <w:r w:rsidR="00F107EF">
        <w:t>_</w:t>
      </w:r>
      <w:r w:rsidR="00C228C1">
        <w:t>8</w:t>
      </w:r>
      <w:r>
        <w:t>&gt;</w:t>
      </w:r>
    </w:p>
    <w:p w14:paraId="4685F2B0" w14:textId="77777777" w:rsidR="00C228C1" w:rsidRDefault="00C228C1" w:rsidP="00A263DF"/>
    <w:p w14:paraId="1BBC244E" w14:textId="4608BF5A" w:rsidR="002E1760" w:rsidRPr="00431DA4" w:rsidRDefault="007254DD" w:rsidP="00293D78">
      <w:pPr>
        <w:pStyle w:val="CPQuestions"/>
      </w:pPr>
      <w:r w:rsidRPr="007254DD">
        <w:t>Would you see value in further standardising the pre-trade transparency information to increase the usability and comparability of the information? Please explain</w:t>
      </w:r>
      <w:r w:rsidR="008418E3">
        <w:t>.</w:t>
      </w:r>
    </w:p>
    <w:p w14:paraId="1BC97A10" w14:textId="490926D2" w:rsidR="002E1760" w:rsidRDefault="002E1760" w:rsidP="002E1760">
      <w:r>
        <w:t>&lt;ESMA_QUESTION_</w:t>
      </w:r>
      <w:r w:rsidR="00227C1A">
        <w:t>CP</w:t>
      </w:r>
      <w:r w:rsidR="007254DD">
        <w:t>_MIFID_NQT</w:t>
      </w:r>
      <w:r w:rsidR="00F107EF">
        <w:t>_</w:t>
      </w:r>
      <w:r>
        <w:t>9&gt;</w:t>
      </w:r>
    </w:p>
    <w:p w14:paraId="76683892" w14:textId="2582D727" w:rsidR="006251B9" w:rsidRPr="006251B9" w:rsidRDefault="006251B9" w:rsidP="00D14128">
      <w:pPr>
        <w:shd w:val="clear" w:color="auto" w:fill="FFFFFF"/>
        <w:spacing w:line="276" w:lineRule="auto"/>
        <w:ind w:firstLine="11"/>
        <w:jc w:val="both"/>
        <w:rPr>
          <w:rFonts w:ascii="Calibri" w:hAnsi="Calibri" w:cs="Calibri"/>
          <w:color w:val="000000" w:themeColor="text1"/>
          <w:sz w:val="24"/>
        </w:rPr>
      </w:pPr>
      <w:permStart w:id="1400726192" w:edGrp="everyone"/>
      <w:r w:rsidRPr="006251B9">
        <w:rPr>
          <w:rFonts w:ascii="Calibri" w:hAnsi="Calibri" w:cs="Calibri"/>
          <w:color w:val="000000" w:themeColor="text1"/>
          <w:sz w:val="24"/>
        </w:rPr>
        <w:t xml:space="preserve">No, Europex does not see value in further standardising pre-trade transparency </w:t>
      </w:r>
      <w:proofErr w:type="spellStart"/>
      <w:r w:rsidRPr="006251B9">
        <w:rPr>
          <w:rFonts w:ascii="Calibri" w:hAnsi="Calibri" w:cs="Calibri"/>
          <w:color w:val="000000" w:themeColor="text1"/>
          <w:sz w:val="24"/>
        </w:rPr>
        <w:t>inf</w:t>
      </w:r>
      <w:r w:rsidR="00D14128">
        <w:rPr>
          <w:rFonts w:ascii="Calibri" w:hAnsi="Calibri" w:cs="Calibri"/>
          <w:color w:val="000000" w:themeColor="text1"/>
          <w:sz w:val="24"/>
        </w:rPr>
        <w:t>o</w:t>
      </w:r>
      <w:r w:rsidRPr="006251B9">
        <w:rPr>
          <w:rFonts w:ascii="Calibri" w:hAnsi="Calibri" w:cs="Calibri"/>
          <w:color w:val="000000" w:themeColor="text1"/>
          <w:sz w:val="24"/>
        </w:rPr>
        <w:t>mation</w:t>
      </w:r>
      <w:proofErr w:type="spellEnd"/>
      <w:r w:rsidRPr="006251B9">
        <w:rPr>
          <w:rFonts w:ascii="Calibri" w:hAnsi="Calibri" w:cs="Calibri"/>
          <w:color w:val="000000" w:themeColor="text1"/>
          <w:sz w:val="24"/>
        </w:rPr>
        <w:t xml:space="preserve">.  </w:t>
      </w:r>
    </w:p>
    <w:p w14:paraId="174F34F9" w14:textId="77777777" w:rsidR="006251B9" w:rsidRPr="006251B9" w:rsidRDefault="006251B9" w:rsidP="006251B9">
      <w:pPr>
        <w:shd w:val="clear" w:color="auto" w:fill="FFFFFF"/>
        <w:spacing w:line="276" w:lineRule="auto"/>
        <w:ind w:left="720"/>
        <w:jc w:val="both"/>
        <w:rPr>
          <w:rFonts w:ascii="Calibri" w:hAnsi="Calibri" w:cs="Calibri"/>
          <w:color w:val="000000" w:themeColor="text1"/>
          <w:sz w:val="24"/>
        </w:rPr>
      </w:pPr>
    </w:p>
    <w:p w14:paraId="54AFF8B7" w14:textId="77777777" w:rsidR="006251B9" w:rsidRPr="006251B9" w:rsidRDefault="006251B9" w:rsidP="006251B9">
      <w:pPr>
        <w:shd w:val="clear" w:color="auto" w:fill="FFFFFF"/>
        <w:spacing w:line="276" w:lineRule="auto"/>
        <w:ind w:firstLine="720"/>
        <w:jc w:val="both"/>
        <w:rPr>
          <w:rFonts w:ascii="Calibri" w:hAnsi="Calibri" w:cs="Calibri"/>
          <w:color w:val="000000" w:themeColor="text1"/>
          <w:sz w:val="24"/>
        </w:rPr>
      </w:pPr>
      <w:r w:rsidRPr="006251B9">
        <w:rPr>
          <w:rFonts w:ascii="Calibri" w:hAnsi="Calibri" w:cs="Calibri"/>
          <w:color w:val="000000" w:themeColor="text1"/>
          <w:sz w:val="24"/>
        </w:rPr>
        <w:t>The reasons for this are as follows:</w:t>
      </w:r>
    </w:p>
    <w:p w14:paraId="7DE57086" w14:textId="77777777" w:rsidR="006251B9" w:rsidRPr="006251B9" w:rsidRDefault="006251B9" w:rsidP="006251B9">
      <w:pPr>
        <w:shd w:val="clear" w:color="auto" w:fill="FFFFFF"/>
        <w:spacing w:line="276" w:lineRule="auto"/>
        <w:ind w:firstLine="720"/>
        <w:jc w:val="both"/>
        <w:rPr>
          <w:rFonts w:ascii="Calibri" w:hAnsi="Calibri" w:cs="Calibri"/>
          <w:color w:val="000000" w:themeColor="text1"/>
          <w:sz w:val="24"/>
        </w:rPr>
      </w:pPr>
    </w:p>
    <w:p w14:paraId="661AC208" w14:textId="77777777" w:rsidR="006251B9" w:rsidRPr="006251B9" w:rsidRDefault="006251B9" w:rsidP="006251B9">
      <w:pPr>
        <w:pStyle w:val="ListParagraph"/>
        <w:numPr>
          <w:ilvl w:val="0"/>
          <w:numId w:val="42"/>
        </w:numPr>
        <w:shd w:val="clear" w:color="auto" w:fill="FFFFFF"/>
        <w:spacing w:line="276" w:lineRule="auto"/>
        <w:jc w:val="both"/>
        <w:rPr>
          <w:rFonts w:ascii="Calibri" w:hAnsi="Calibri" w:cs="Calibri"/>
          <w:color w:val="000000" w:themeColor="text1"/>
          <w:sz w:val="24"/>
        </w:rPr>
      </w:pPr>
      <w:r w:rsidRPr="006251B9">
        <w:rPr>
          <w:rFonts w:ascii="Calibri" w:hAnsi="Calibri" w:cs="Calibri"/>
          <w:color w:val="000000" w:themeColor="text1"/>
          <w:sz w:val="24"/>
        </w:rPr>
        <w:lastRenderedPageBreak/>
        <w:t>The vast quantity of data that needs to be published. It should be noted that the file formats are restricted in the quantity of data that can be displayed. Furthermore, applications that are available to non-professional users will have their own built-in features that restrict the display of millions of data entries.</w:t>
      </w:r>
    </w:p>
    <w:p w14:paraId="2B92A8C4" w14:textId="77777777" w:rsidR="006251B9" w:rsidRPr="006251B9" w:rsidRDefault="006251B9" w:rsidP="006251B9">
      <w:pPr>
        <w:pStyle w:val="ListParagraph"/>
        <w:shd w:val="clear" w:color="auto" w:fill="FFFFFF"/>
        <w:spacing w:line="276" w:lineRule="auto"/>
        <w:ind w:left="1080"/>
        <w:jc w:val="both"/>
        <w:rPr>
          <w:rFonts w:ascii="Calibri" w:hAnsi="Calibri" w:cs="Calibri"/>
          <w:color w:val="000000" w:themeColor="text1"/>
          <w:sz w:val="24"/>
        </w:rPr>
      </w:pPr>
    </w:p>
    <w:p w14:paraId="34612458" w14:textId="77777777" w:rsidR="006251B9" w:rsidRPr="006251B9" w:rsidRDefault="006251B9" w:rsidP="006251B9">
      <w:pPr>
        <w:pStyle w:val="ListParagraph"/>
        <w:numPr>
          <w:ilvl w:val="0"/>
          <w:numId w:val="42"/>
        </w:numPr>
        <w:shd w:val="clear" w:color="auto" w:fill="FFFFFF"/>
        <w:spacing w:line="276" w:lineRule="auto"/>
        <w:jc w:val="both"/>
        <w:rPr>
          <w:rFonts w:ascii="Calibri" w:hAnsi="Calibri" w:cs="Calibri"/>
          <w:color w:val="000000" w:themeColor="text1"/>
          <w:sz w:val="24"/>
        </w:rPr>
      </w:pPr>
      <w:r w:rsidRPr="006251B9">
        <w:rPr>
          <w:rFonts w:ascii="Calibri" w:hAnsi="Calibri" w:cs="Calibri"/>
          <w:color w:val="000000" w:themeColor="text1"/>
          <w:sz w:val="24"/>
        </w:rPr>
        <w:t>The high number of publication sites since each venue must publish data in the public domain. This is a very costly source for users to collect data. Professional users will have to connect to multiple sites to collate all data they require, restructuring multiple formats and filtering the required content. This requires a lot of time and effort.</w:t>
      </w:r>
    </w:p>
    <w:p w14:paraId="0DBC2634" w14:textId="77777777" w:rsidR="006251B9" w:rsidRPr="006251B9" w:rsidRDefault="006251B9" w:rsidP="006251B9">
      <w:pPr>
        <w:shd w:val="clear" w:color="auto" w:fill="FFFFFF"/>
        <w:spacing w:line="276" w:lineRule="auto"/>
        <w:jc w:val="both"/>
        <w:rPr>
          <w:rFonts w:ascii="Calibri" w:hAnsi="Calibri" w:cs="Calibri"/>
          <w:color w:val="000000" w:themeColor="text1"/>
          <w:sz w:val="24"/>
        </w:rPr>
      </w:pPr>
    </w:p>
    <w:p w14:paraId="06125164" w14:textId="77777777" w:rsidR="006251B9" w:rsidRPr="006251B9" w:rsidRDefault="006251B9" w:rsidP="006251B9">
      <w:pPr>
        <w:pStyle w:val="ListParagraph"/>
        <w:numPr>
          <w:ilvl w:val="0"/>
          <w:numId w:val="42"/>
        </w:numPr>
        <w:shd w:val="clear" w:color="auto" w:fill="FFFFFF"/>
        <w:spacing w:line="276" w:lineRule="auto"/>
        <w:jc w:val="both"/>
        <w:rPr>
          <w:rFonts w:ascii="Calibri" w:hAnsi="Calibri" w:cs="Calibri"/>
          <w:color w:val="000000" w:themeColor="text1"/>
          <w:sz w:val="24"/>
        </w:rPr>
      </w:pPr>
      <w:r w:rsidRPr="006251B9">
        <w:rPr>
          <w:rFonts w:ascii="Calibri" w:hAnsi="Calibri" w:cs="Calibri"/>
          <w:color w:val="000000" w:themeColor="text1"/>
          <w:sz w:val="24"/>
        </w:rPr>
        <w:t>The lack of demand for such information.</w:t>
      </w:r>
    </w:p>
    <w:permEnd w:id="1400726192"/>
    <w:p w14:paraId="1B5C745B" w14:textId="2AFAE677" w:rsidR="002E1760" w:rsidRDefault="002E1760" w:rsidP="002E1760"/>
    <w:p w14:paraId="44E897E8" w14:textId="7F1EDFFB" w:rsidR="002E1760" w:rsidRDefault="002E1760" w:rsidP="002E1760">
      <w:r>
        <w:t>&lt;ESMA_QUESTION_</w:t>
      </w:r>
      <w:r w:rsidR="00227C1A">
        <w:t>CP</w:t>
      </w:r>
      <w:r w:rsidR="007254DD">
        <w:t>_MIFID_NQT</w:t>
      </w:r>
      <w:r w:rsidR="00F107EF">
        <w:t>_</w:t>
      </w:r>
      <w:r>
        <w:t>9&gt;</w:t>
      </w:r>
    </w:p>
    <w:p w14:paraId="2A1878BF" w14:textId="77777777" w:rsidR="00C228C1" w:rsidRDefault="00C228C1" w:rsidP="002E1760"/>
    <w:p w14:paraId="07DD0C95" w14:textId="60685201" w:rsidR="002E1760" w:rsidRPr="00431DA4" w:rsidRDefault="001129F9" w:rsidP="00293D78">
      <w:pPr>
        <w:pStyle w:val="CPQuestions"/>
      </w:pPr>
      <w:r w:rsidRPr="001129F9">
        <w:t>Do you agree with ESMA’s assessment of the level of post-trade transparency and with the need of a more streamlined and uniform post-trade regime which does not include options at the discretion of the different jurisdictions? If not, please explain why and, where available, support your assessment with data</w:t>
      </w:r>
      <w:r w:rsidR="00FC7836">
        <w:t>.</w:t>
      </w:r>
    </w:p>
    <w:p w14:paraId="463877C3" w14:textId="77E3E7C8" w:rsidR="008418E3" w:rsidRDefault="008418E3" w:rsidP="008418E3">
      <w:r>
        <w:t>&lt;ESMA_QUESTION_CP</w:t>
      </w:r>
      <w:r w:rsidR="007254DD">
        <w:t>_MIFID_NQT</w:t>
      </w:r>
      <w:r w:rsidR="00F107EF">
        <w:t>_</w:t>
      </w:r>
      <w:r>
        <w:t>10&gt;</w:t>
      </w:r>
    </w:p>
    <w:p w14:paraId="7F574030" w14:textId="77777777" w:rsidR="008418E3" w:rsidRDefault="008418E3" w:rsidP="008418E3">
      <w:permStart w:id="929114806" w:edGrp="everyone"/>
      <w:r>
        <w:t>TYPE YOUR TEXT HERE</w:t>
      </w:r>
      <w:permEnd w:id="929114806"/>
    </w:p>
    <w:p w14:paraId="51467529" w14:textId="15FE6D4B" w:rsidR="008418E3" w:rsidRDefault="008418E3" w:rsidP="008418E3">
      <w:r>
        <w:t>&lt;ESMA_QUESTION_CP</w:t>
      </w:r>
      <w:r w:rsidR="007254DD">
        <w:t>_MIFID_NQT</w:t>
      </w:r>
      <w:r w:rsidR="00F107EF">
        <w:t>_</w:t>
      </w:r>
      <w:r>
        <w:t>10&gt;</w:t>
      </w:r>
    </w:p>
    <w:p w14:paraId="17098C53" w14:textId="24750EED" w:rsidR="00C228C1" w:rsidRDefault="00C228C1" w:rsidP="008418E3"/>
    <w:p w14:paraId="39CA5930" w14:textId="22CC5E08" w:rsidR="00B27E7B" w:rsidRDefault="00B27E7B" w:rsidP="008418E3"/>
    <w:p w14:paraId="15401959" w14:textId="571926E6" w:rsidR="00B27E7B" w:rsidRDefault="00B27E7B" w:rsidP="008418E3"/>
    <w:p w14:paraId="7AF62EE7" w14:textId="51723C98" w:rsidR="00B27E7B" w:rsidRDefault="00B27E7B" w:rsidP="008418E3"/>
    <w:p w14:paraId="268B639E" w14:textId="77777777" w:rsidR="00B27E7B" w:rsidRDefault="00B27E7B" w:rsidP="008418E3"/>
    <w:p w14:paraId="64590B3D" w14:textId="029FC383" w:rsidR="009003B8" w:rsidRDefault="001129F9" w:rsidP="00293D78">
      <w:pPr>
        <w:pStyle w:val="CPQuestions"/>
      </w:pPr>
      <w:r w:rsidRPr="001129F9">
        <w:t>Do you agree with this proposal? What would be the appropriate level of such a revised LIS-threshold in your view</w:t>
      </w:r>
      <w:r>
        <w:t>?</w:t>
      </w:r>
    </w:p>
    <w:p w14:paraId="4711211D" w14:textId="6D69DEE1" w:rsidR="00F469F8" w:rsidRDefault="00F469F8" w:rsidP="00F469F8">
      <w:r>
        <w:t>&lt;ESMA_QUESTION_CP</w:t>
      </w:r>
      <w:r w:rsidR="007254DD">
        <w:t>_MIFID_NQT</w:t>
      </w:r>
      <w:r w:rsidR="00F107EF">
        <w:t>_</w:t>
      </w:r>
      <w:r>
        <w:t>11&gt;</w:t>
      </w:r>
    </w:p>
    <w:p w14:paraId="77303C55" w14:textId="77777777" w:rsidR="00F469F8" w:rsidRDefault="00F469F8" w:rsidP="00F469F8">
      <w:permStart w:id="675495160" w:edGrp="everyone"/>
      <w:r>
        <w:t>TYPE YOUR TEXT HERE</w:t>
      </w:r>
      <w:permEnd w:id="675495160"/>
    </w:p>
    <w:p w14:paraId="1087912D" w14:textId="1A2E1CC5" w:rsidR="00F469F8" w:rsidRDefault="00F469F8" w:rsidP="00F469F8">
      <w:r>
        <w:t>&lt;ESMA_QUESTION_CP</w:t>
      </w:r>
      <w:r w:rsidR="007254DD">
        <w:t>_MIFID_NQT</w:t>
      </w:r>
      <w:r w:rsidR="00F107EF">
        <w:t>_</w:t>
      </w:r>
      <w:r>
        <w:t>11&gt;</w:t>
      </w:r>
    </w:p>
    <w:p w14:paraId="3BD92E69" w14:textId="77777777" w:rsidR="00C228C1" w:rsidRDefault="00C228C1" w:rsidP="00F469F8"/>
    <w:p w14:paraId="15D63B6D" w14:textId="0495BF6C" w:rsidR="00F469F8" w:rsidRDefault="001129F9" w:rsidP="00F469F8">
      <w:pPr>
        <w:pStyle w:val="CPQuestions"/>
      </w:pPr>
      <w:r w:rsidRPr="001129F9">
        <w:t>In your view, should the real time publication of volume masking transactions apply to transactions in illiquid instruments and above LIS waiver (Option 1) or to transactions above LIS only (Option 2 and Option 3). Please elaborate. If you support another alternative, please explain which one and why</w:t>
      </w:r>
      <w:r w:rsidR="00F469F8">
        <w:t>.</w:t>
      </w:r>
    </w:p>
    <w:p w14:paraId="56B290CC" w14:textId="3D646A05" w:rsidR="00F469F8" w:rsidRDefault="00F469F8" w:rsidP="00F469F8">
      <w:r>
        <w:t>&lt;ESMA_QUESTION_CP</w:t>
      </w:r>
      <w:r w:rsidR="007254DD">
        <w:t>_MIFID_NQT</w:t>
      </w:r>
      <w:r w:rsidR="00F107EF">
        <w:t>_</w:t>
      </w:r>
      <w:r>
        <w:t>1</w:t>
      </w:r>
      <w:r w:rsidR="002868FC">
        <w:t>2</w:t>
      </w:r>
      <w:r>
        <w:t>&gt;</w:t>
      </w:r>
    </w:p>
    <w:p w14:paraId="1B69D7E6" w14:textId="77777777" w:rsidR="00F469F8" w:rsidRDefault="00F469F8" w:rsidP="00F469F8">
      <w:permStart w:id="227761104" w:edGrp="everyone"/>
      <w:r>
        <w:t>TYPE YOUR TEXT HERE</w:t>
      </w:r>
      <w:permEnd w:id="227761104"/>
    </w:p>
    <w:p w14:paraId="468C5AB6" w14:textId="5D33ECBD" w:rsidR="00F469F8" w:rsidRDefault="00F469F8" w:rsidP="00F469F8">
      <w:r>
        <w:t>&lt;ESMA_QUESTION_CP</w:t>
      </w:r>
      <w:r w:rsidR="007254DD">
        <w:t>_MIFID_NQT</w:t>
      </w:r>
      <w:r w:rsidR="00F107EF">
        <w:t>_</w:t>
      </w:r>
      <w:r>
        <w:t>1</w:t>
      </w:r>
      <w:r w:rsidR="002868FC">
        <w:t>2</w:t>
      </w:r>
      <w:r>
        <w:t>&gt;</w:t>
      </w:r>
    </w:p>
    <w:p w14:paraId="1180CEE3" w14:textId="77777777" w:rsidR="009003B8" w:rsidRDefault="009003B8" w:rsidP="002E1760"/>
    <w:p w14:paraId="158D9AFB" w14:textId="1784951B" w:rsidR="00646C30" w:rsidRDefault="001129F9" w:rsidP="00646C30">
      <w:pPr>
        <w:pStyle w:val="CPQuestions"/>
      </w:pPr>
      <w:r w:rsidRPr="001129F9">
        <w:lastRenderedPageBreak/>
        <w:t>Do you agree with the publication of the price and volume of all transactions after a certain period of time, such as two calendar weeks (Option 1 and 2) or do you support the two-steps approach for LIS transactions (Option 3)? Please explain why and provide any alternative you would support. Which is the optimal option in case a consolidated tape would emerge in the future</w:t>
      </w:r>
      <w:r w:rsidR="00C228C1">
        <w:t>?</w:t>
      </w:r>
    </w:p>
    <w:p w14:paraId="747F51B8" w14:textId="3109D538" w:rsidR="00646C30" w:rsidRDefault="00646C30" w:rsidP="00646C30">
      <w:r>
        <w:t>&lt;ESMA_QUESTION_CP</w:t>
      </w:r>
      <w:r w:rsidR="007254DD">
        <w:t>_MIFID_NQT</w:t>
      </w:r>
      <w:r w:rsidR="00F107EF">
        <w:t>_</w:t>
      </w:r>
      <w:r>
        <w:t>1</w:t>
      </w:r>
      <w:r w:rsidR="00101BF1">
        <w:t>3</w:t>
      </w:r>
      <w:r>
        <w:t>&gt;</w:t>
      </w:r>
    </w:p>
    <w:p w14:paraId="536EE512" w14:textId="77777777" w:rsidR="00646C30" w:rsidRDefault="00646C30" w:rsidP="00646C30">
      <w:permStart w:id="308116658" w:edGrp="everyone"/>
      <w:r>
        <w:t>TYPE YOUR TEXT HERE</w:t>
      </w:r>
      <w:permEnd w:id="308116658"/>
    </w:p>
    <w:p w14:paraId="6056CCA9" w14:textId="450A35FD" w:rsidR="00646C30" w:rsidRDefault="00646C30" w:rsidP="00646C30">
      <w:r>
        <w:t>&lt;ESMA_QUESTION_CP</w:t>
      </w:r>
      <w:r w:rsidR="007254DD">
        <w:t>_MIFID_NQT</w:t>
      </w:r>
      <w:r w:rsidR="00F107EF">
        <w:t>_</w:t>
      </w:r>
      <w:r>
        <w:t>1</w:t>
      </w:r>
      <w:r w:rsidR="002F1683">
        <w:t>3</w:t>
      </w:r>
      <w:r>
        <w:t>&gt;</w:t>
      </w:r>
    </w:p>
    <w:p w14:paraId="7CF66986" w14:textId="77777777" w:rsidR="002868FC" w:rsidRDefault="002868FC" w:rsidP="002E1760"/>
    <w:p w14:paraId="143B3CBB" w14:textId="16510DB6" w:rsidR="00646C30" w:rsidRDefault="001129F9" w:rsidP="00646C30">
      <w:pPr>
        <w:pStyle w:val="CPQuestions"/>
      </w:pPr>
      <w:r w:rsidRPr="001129F9">
        <w:t>Do</w:t>
      </w:r>
      <w:r w:rsidR="004454CA">
        <w:t xml:space="preserve"> </w:t>
      </w:r>
      <w:r w:rsidR="004454CA" w:rsidRPr="004454CA">
        <w:t>you agree with ESMA’s proposed way forward to issue further guidance and put a stronger focus on enforcement to improve the quality of post-trade data? Are there any other measures necessary at the legislative level to improve the quality of post-trade data? What changes to the transparency regime in Level 1 could lead to a substantial improvement of data quality</w:t>
      </w:r>
      <w:r w:rsidR="00C228C1">
        <w:t>?</w:t>
      </w:r>
    </w:p>
    <w:p w14:paraId="3F959FEF" w14:textId="515D2CA4" w:rsidR="00646C30" w:rsidRDefault="00646C30" w:rsidP="00646C30">
      <w:r>
        <w:t>&lt;ESMA_QUESTION_CP</w:t>
      </w:r>
      <w:r w:rsidR="007254DD">
        <w:t>_MIFID_NQT</w:t>
      </w:r>
      <w:r w:rsidR="00F107EF">
        <w:t>_</w:t>
      </w:r>
      <w:r>
        <w:t>1</w:t>
      </w:r>
      <w:r w:rsidR="00101BF1">
        <w:t>4</w:t>
      </w:r>
      <w:r>
        <w:t>&gt;</w:t>
      </w:r>
    </w:p>
    <w:p w14:paraId="6A257108" w14:textId="77777777" w:rsidR="00646C30" w:rsidRDefault="00646C30" w:rsidP="00646C30">
      <w:permStart w:id="699085938" w:edGrp="everyone"/>
      <w:r>
        <w:t>TYPE YOUR TEXT HERE</w:t>
      </w:r>
      <w:permEnd w:id="699085938"/>
    </w:p>
    <w:p w14:paraId="396E3E9C" w14:textId="07F3E39D" w:rsidR="00646C30" w:rsidRDefault="00646C30" w:rsidP="00646C30">
      <w:r>
        <w:t>&lt;ESMA_QUESTION_CP</w:t>
      </w:r>
      <w:r w:rsidR="007254DD">
        <w:t>_MIFID_NQT</w:t>
      </w:r>
      <w:r w:rsidR="00F107EF">
        <w:t>_</w:t>
      </w:r>
      <w:r>
        <w:t>1</w:t>
      </w:r>
      <w:r w:rsidR="00101BF1">
        <w:t>4</w:t>
      </w:r>
      <w:r>
        <w:t>&gt;</w:t>
      </w:r>
    </w:p>
    <w:p w14:paraId="5564C66E" w14:textId="77777777" w:rsidR="002868FC" w:rsidRDefault="002868FC" w:rsidP="002E1760"/>
    <w:p w14:paraId="161D490C" w14:textId="2BC1D9EF" w:rsidR="00646C30" w:rsidRDefault="001129F9" w:rsidP="00646C30">
      <w:pPr>
        <w:pStyle w:val="CPQuestions"/>
      </w:pPr>
      <w:r w:rsidRPr="001129F9">
        <w:t>What would be the optimal transparency regime to help with the potential creation of a CTP</w:t>
      </w:r>
      <w:r>
        <w:t>?</w:t>
      </w:r>
    </w:p>
    <w:p w14:paraId="7C881817" w14:textId="00C34E3C" w:rsidR="00646C30" w:rsidRDefault="00646C30" w:rsidP="00646C30">
      <w:r>
        <w:t>&lt;ESMA_QUESTION_CP</w:t>
      </w:r>
      <w:r w:rsidR="007254DD">
        <w:t>_MIFID_NQT</w:t>
      </w:r>
      <w:r w:rsidR="00F107EF">
        <w:t>_</w:t>
      </w:r>
      <w:r>
        <w:t>1</w:t>
      </w:r>
      <w:r w:rsidR="00101BF1">
        <w:t>5</w:t>
      </w:r>
      <w:r>
        <w:t>&gt;</w:t>
      </w:r>
    </w:p>
    <w:p w14:paraId="0C11162E" w14:textId="77777777" w:rsidR="00646C30" w:rsidRDefault="00646C30" w:rsidP="00646C30">
      <w:permStart w:id="1271415520" w:edGrp="everyone"/>
      <w:r>
        <w:t>TYPE YOUR TEXT HERE</w:t>
      </w:r>
      <w:permEnd w:id="1271415520"/>
    </w:p>
    <w:p w14:paraId="068CA4E0" w14:textId="23D13543" w:rsidR="00646C30" w:rsidRDefault="00646C30" w:rsidP="00646C30">
      <w:r>
        <w:t>&lt;ESMA_QUESTION_CP</w:t>
      </w:r>
      <w:r w:rsidR="007254DD">
        <w:t>_MIFID_NQT</w:t>
      </w:r>
      <w:r w:rsidR="00F107EF">
        <w:t>_</w:t>
      </w:r>
      <w:r>
        <w:t>1</w:t>
      </w:r>
      <w:r w:rsidR="00101BF1">
        <w:t>5</w:t>
      </w:r>
      <w:r>
        <w:t>&gt;</w:t>
      </w:r>
    </w:p>
    <w:p w14:paraId="5C9DE7C3" w14:textId="4C797A6A" w:rsidR="002868FC" w:rsidRDefault="002868FC" w:rsidP="002E1760"/>
    <w:p w14:paraId="6B5A226D" w14:textId="7BE79B57" w:rsidR="00B27E7B" w:rsidRDefault="00B27E7B" w:rsidP="002E1760"/>
    <w:p w14:paraId="7F3F6099" w14:textId="3D69C17F" w:rsidR="00B27E7B" w:rsidRDefault="00B27E7B" w:rsidP="002E1760"/>
    <w:p w14:paraId="1D30FEFA" w14:textId="7BB28E7D" w:rsidR="00B27E7B" w:rsidRDefault="00B27E7B" w:rsidP="002E1760"/>
    <w:p w14:paraId="0C11512B" w14:textId="77777777" w:rsidR="00B27E7B" w:rsidRDefault="00B27E7B" w:rsidP="002E1760"/>
    <w:p w14:paraId="30D0FB22" w14:textId="071AFDEC" w:rsidR="00646C30" w:rsidRDefault="00B27E7B" w:rsidP="00646C30">
      <w:pPr>
        <w:pStyle w:val="CPQuestions"/>
      </w:pPr>
      <w:r w:rsidRPr="00B27E7B">
        <w:t>Do you agree with ESMA’s above assessment? If not, please explain</w:t>
      </w:r>
      <w:r w:rsidR="00292E82">
        <w:t>.</w:t>
      </w:r>
    </w:p>
    <w:p w14:paraId="5C3F1247" w14:textId="75BD1199" w:rsidR="00646C30" w:rsidRDefault="00646C30" w:rsidP="00646C30">
      <w:r>
        <w:t>&lt;ESMA_QUESTION_CP</w:t>
      </w:r>
      <w:r w:rsidR="007254DD">
        <w:t>_MIFID_NQT</w:t>
      </w:r>
      <w:r w:rsidR="00F107EF">
        <w:t>_</w:t>
      </w:r>
      <w:r>
        <w:t>1</w:t>
      </w:r>
      <w:r w:rsidR="00101BF1">
        <w:t>6</w:t>
      </w:r>
      <w:r>
        <w:t>&gt;</w:t>
      </w:r>
    </w:p>
    <w:p w14:paraId="7AAD2035" w14:textId="77777777" w:rsidR="00646C30" w:rsidRDefault="00646C30" w:rsidP="00646C30">
      <w:permStart w:id="2130212544" w:edGrp="everyone"/>
      <w:r>
        <w:t>TYPE YOUR TEXT HERE</w:t>
      </w:r>
      <w:permEnd w:id="2130212544"/>
    </w:p>
    <w:p w14:paraId="5EB9791A" w14:textId="7F6025A0" w:rsidR="00646C30" w:rsidRDefault="00646C30" w:rsidP="00646C30">
      <w:r>
        <w:t>&lt;ESMA_QUESTION_CP</w:t>
      </w:r>
      <w:r w:rsidR="007254DD">
        <w:t>_MIFID_NQT</w:t>
      </w:r>
      <w:r w:rsidR="00F107EF">
        <w:t>_</w:t>
      </w:r>
      <w:r>
        <w:t>1</w:t>
      </w:r>
      <w:r w:rsidR="00101BF1">
        <w:t>6</w:t>
      </w:r>
      <w:r>
        <w:t>&gt;</w:t>
      </w:r>
    </w:p>
    <w:p w14:paraId="0C67D15C" w14:textId="77777777" w:rsidR="002868FC" w:rsidRDefault="002868FC" w:rsidP="002E1760"/>
    <w:p w14:paraId="05D77404" w14:textId="72C966A7" w:rsidR="00646C30" w:rsidRDefault="00B27E7B" w:rsidP="00646C30">
      <w:pPr>
        <w:pStyle w:val="CPQuestions"/>
      </w:pPr>
      <w:r w:rsidRPr="00B27E7B">
        <w:t>Are you of the view that the interpretation of TOTV should remained aligned for both transparency and transaction reporting? If not, please explain why</w:t>
      </w:r>
      <w:r w:rsidR="00292E82">
        <w:t>.</w:t>
      </w:r>
    </w:p>
    <w:p w14:paraId="358A7CC5" w14:textId="0EE236B6" w:rsidR="00646C30" w:rsidRDefault="00646C30" w:rsidP="00646C30">
      <w:r>
        <w:t>&lt;ESMA_QUESTION_CP</w:t>
      </w:r>
      <w:r w:rsidR="007254DD">
        <w:t>_MIFID_NQT</w:t>
      </w:r>
      <w:r w:rsidR="00F107EF">
        <w:t>_</w:t>
      </w:r>
      <w:r>
        <w:t>1</w:t>
      </w:r>
      <w:r w:rsidR="00101BF1">
        <w:t>7</w:t>
      </w:r>
      <w:r>
        <w:t>&gt;</w:t>
      </w:r>
    </w:p>
    <w:p w14:paraId="1CE157B4" w14:textId="77777777" w:rsidR="00646C30" w:rsidRDefault="00646C30" w:rsidP="00646C30">
      <w:permStart w:id="96027498" w:edGrp="everyone"/>
      <w:r>
        <w:t>TYPE YOUR TEXT HERE</w:t>
      </w:r>
      <w:permEnd w:id="96027498"/>
    </w:p>
    <w:p w14:paraId="0BEE4878" w14:textId="65837815" w:rsidR="00646C30" w:rsidRDefault="00646C30" w:rsidP="00646C30">
      <w:r>
        <w:t>&lt;ESMA_QUESTION_CP</w:t>
      </w:r>
      <w:r w:rsidR="007254DD">
        <w:t>_MIFID_NQT</w:t>
      </w:r>
      <w:r w:rsidR="00F107EF">
        <w:t>_</w:t>
      </w:r>
      <w:r>
        <w:t>1</w:t>
      </w:r>
      <w:r w:rsidR="00101BF1">
        <w:t>7</w:t>
      </w:r>
      <w:r>
        <w:t>&gt;</w:t>
      </w:r>
    </w:p>
    <w:p w14:paraId="4F5EE049" w14:textId="77777777" w:rsidR="002868FC" w:rsidRDefault="002868FC" w:rsidP="002E1760"/>
    <w:p w14:paraId="05CF2F4F" w14:textId="3ED35056" w:rsidR="00646C30" w:rsidRDefault="00B27E7B" w:rsidP="00646C30">
      <w:pPr>
        <w:pStyle w:val="CPQuestions"/>
      </w:pPr>
      <w:r w:rsidRPr="00B27E7B">
        <w:t>Which of the three options proposed, would you recommend (Option 1, Option 2 or Option 3)? In case you recommend an alternative way forward, please explain</w:t>
      </w:r>
      <w:r w:rsidR="00C228C1">
        <w:t>.</w:t>
      </w:r>
    </w:p>
    <w:p w14:paraId="7856948E" w14:textId="20BB4D2A" w:rsidR="00646C30" w:rsidRDefault="00646C30" w:rsidP="00646C30">
      <w:r>
        <w:lastRenderedPageBreak/>
        <w:t>&lt;ESMA_QUESTION_CP</w:t>
      </w:r>
      <w:r w:rsidR="007254DD">
        <w:t>_MIFID_NQT</w:t>
      </w:r>
      <w:r w:rsidR="00F107EF">
        <w:t>_</w:t>
      </w:r>
      <w:r>
        <w:t>1</w:t>
      </w:r>
      <w:r w:rsidR="00101BF1">
        <w:t>8</w:t>
      </w:r>
      <w:r>
        <w:t>&gt;</w:t>
      </w:r>
    </w:p>
    <w:p w14:paraId="2C8E07E5" w14:textId="77777777" w:rsidR="00646C30" w:rsidRDefault="00646C30" w:rsidP="00646C30">
      <w:permStart w:id="70923797" w:edGrp="everyone"/>
      <w:r>
        <w:t>TYPE YOUR TEXT HERE</w:t>
      </w:r>
      <w:permEnd w:id="70923797"/>
    </w:p>
    <w:p w14:paraId="5FD19CDA" w14:textId="35D5FD7B" w:rsidR="00646C30" w:rsidRDefault="00646C30" w:rsidP="00646C30">
      <w:r>
        <w:t>&lt;ESMA_QUESTION_CP</w:t>
      </w:r>
      <w:r w:rsidR="007254DD">
        <w:t>_MIFID_NQT</w:t>
      </w:r>
      <w:r w:rsidR="00F107EF">
        <w:t>_</w:t>
      </w:r>
      <w:r>
        <w:t>1</w:t>
      </w:r>
      <w:r w:rsidR="00101BF1">
        <w:t>8</w:t>
      </w:r>
      <w:r>
        <w:t>&gt;</w:t>
      </w:r>
    </w:p>
    <w:p w14:paraId="077B4E09" w14:textId="77777777" w:rsidR="002868FC" w:rsidRDefault="002868FC" w:rsidP="002E1760"/>
    <w:p w14:paraId="206D65E5" w14:textId="7158BD33" w:rsidR="00646C30" w:rsidRDefault="00B27E7B" w:rsidP="00646C30">
      <w:pPr>
        <w:pStyle w:val="CPQuestions"/>
      </w:pPr>
      <w:r w:rsidRPr="00B27E7B">
        <w:t>What is your view on the proposal to delete the possibility for temporarily suspending the transparency provisions? Please explain</w:t>
      </w:r>
      <w:r w:rsidR="00292E82">
        <w:t>.</w:t>
      </w:r>
    </w:p>
    <w:p w14:paraId="1FEAC5A1" w14:textId="1B880F8C" w:rsidR="00646C30" w:rsidRDefault="00646C30" w:rsidP="00646C30">
      <w:r>
        <w:t>&lt;ESMA_QUESTION_CP</w:t>
      </w:r>
      <w:r w:rsidR="007254DD">
        <w:t>_MIFID_NQT</w:t>
      </w:r>
      <w:r w:rsidR="00F107EF">
        <w:t>_</w:t>
      </w:r>
      <w:r>
        <w:t>1</w:t>
      </w:r>
      <w:r w:rsidR="00101BF1">
        <w:t>9</w:t>
      </w:r>
      <w:r>
        <w:t>&gt;</w:t>
      </w:r>
    </w:p>
    <w:p w14:paraId="0CAC7740" w14:textId="77777777" w:rsidR="00646C30" w:rsidRDefault="00646C30" w:rsidP="00646C30">
      <w:permStart w:id="1628391240" w:edGrp="everyone"/>
      <w:r>
        <w:t>TYPE YOUR TEXT HERE</w:t>
      </w:r>
      <w:permEnd w:id="1628391240"/>
    </w:p>
    <w:p w14:paraId="4F6789D9" w14:textId="3A669704" w:rsidR="00646C30" w:rsidRDefault="00646C30" w:rsidP="00646C30">
      <w:r>
        <w:t>&lt;ESMA_QUESTION_CP</w:t>
      </w:r>
      <w:r w:rsidR="007254DD">
        <w:t>_MIFID_NQT</w:t>
      </w:r>
      <w:r w:rsidR="00F107EF">
        <w:t>_</w:t>
      </w:r>
      <w:r>
        <w:t>1</w:t>
      </w:r>
      <w:r w:rsidR="00101BF1">
        <w:t>9</w:t>
      </w:r>
      <w:r>
        <w:t>&gt;</w:t>
      </w:r>
    </w:p>
    <w:p w14:paraId="52201B21" w14:textId="77777777" w:rsidR="002868FC" w:rsidRDefault="002868FC" w:rsidP="002E1760"/>
    <w:p w14:paraId="34BD9DE6" w14:textId="6A512B74" w:rsidR="00646C30" w:rsidRDefault="00B27E7B" w:rsidP="00646C30">
      <w:pPr>
        <w:pStyle w:val="CPQuestions"/>
      </w:pPr>
      <w:r w:rsidRPr="00B27E7B">
        <w:t>Do you have any remarks on the assessment of Article 28 of MiFIR? Please explain</w:t>
      </w:r>
      <w:r w:rsidR="00292E82">
        <w:t>.</w:t>
      </w:r>
    </w:p>
    <w:p w14:paraId="695F6362" w14:textId="2D093C75" w:rsidR="00646C30" w:rsidRDefault="00646C30" w:rsidP="00646C30">
      <w:r>
        <w:t>&lt;ESMA_QUESTION_CP</w:t>
      </w:r>
      <w:r w:rsidR="007254DD">
        <w:t>_MIFID_NQT</w:t>
      </w:r>
      <w:r w:rsidR="00F107EF">
        <w:t>_</w:t>
      </w:r>
      <w:r w:rsidR="00101BF1">
        <w:t>20</w:t>
      </w:r>
      <w:r>
        <w:t>&gt;</w:t>
      </w:r>
    </w:p>
    <w:p w14:paraId="2BF6DC09" w14:textId="77777777" w:rsidR="001129F9" w:rsidRDefault="001129F9" w:rsidP="001129F9">
      <w:permStart w:id="951131482" w:edGrp="everyone"/>
      <w:r>
        <w:t>TYPE YOUR TEXT HERE</w:t>
      </w:r>
      <w:permEnd w:id="951131482"/>
    </w:p>
    <w:p w14:paraId="12CBBA0F" w14:textId="66955629" w:rsidR="00646C30" w:rsidRDefault="00646C30" w:rsidP="00646C30">
      <w:r>
        <w:t>&lt;ESMA_QUESTION_CP</w:t>
      </w:r>
      <w:r w:rsidR="007254DD">
        <w:t>_MIFID_NQT</w:t>
      </w:r>
      <w:r w:rsidR="00F107EF">
        <w:t>_</w:t>
      </w:r>
      <w:r w:rsidR="00101BF1">
        <w:t>20</w:t>
      </w:r>
      <w:r>
        <w:t>&gt;</w:t>
      </w:r>
    </w:p>
    <w:p w14:paraId="2CAD7FE8" w14:textId="77777777" w:rsidR="00646C30" w:rsidRDefault="00646C30" w:rsidP="002E1760"/>
    <w:p w14:paraId="1710B270" w14:textId="2B8E1F56" w:rsidR="00646C30" w:rsidRDefault="00B27E7B" w:rsidP="00646C30">
      <w:pPr>
        <w:pStyle w:val="CPQuestions"/>
      </w:pPr>
      <w:r w:rsidRPr="00B27E7B">
        <w:t>Do</w:t>
      </w:r>
      <w:r w:rsidR="004454CA" w:rsidRPr="004454CA">
        <w:t xml:space="preserve"> you have any views on the above-mentioned criteria and whether the criteria are sufficient and appropriate for assessing the liquidity of derivatives? Do you consider it necessary to include further criteria (e.g. currency)? Do you consider that ESMA should make use of the provision in Article 32(4) for asset classes currently not subject to the trading obligations? Please explain</w:t>
      </w:r>
      <w:r w:rsidR="00292E82">
        <w:t>.</w:t>
      </w:r>
    </w:p>
    <w:p w14:paraId="769A2D47" w14:textId="3A75F377" w:rsidR="00646C30" w:rsidRDefault="00646C30" w:rsidP="00646C30">
      <w:r>
        <w:t>&lt;ESMA_QUESTION_CP</w:t>
      </w:r>
      <w:r w:rsidR="007254DD">
        <w:t>_MIFID_NQT</w:t>
      </w:r>
      <w:r w:rsidR="00F107EF">
        <w:t>_</w:t>
      </w:r>
      <w:r w:rsidR="00101BF1">
        <w:t>21</w:t>
      </w:r>
      <w:r>
        <w:t>&gt;</w:t>
      </w:r>
    </w:p>
    <w:p w14:paraId="13C7FEA6" w14:textId="77777777" w:rsidR="00646C30" w:rsidRDefault="00646C30" w:rsidP="00646C30">
      <w:permStart w:id="37382354" w:edGrp="everyone"/>
      <w:r>
        <w:t>TYPE YOUR TEXT HERE</w:t>
      </w:r>
      <w:permEnd w:id="37382354"/>
    </w:p>
    <w:p w14:paraId="7A80D189" w14:textId="4CE6CE8E" w:rsidR="00646C30" w:rsidRDefault="00646C30" w:rsidP="00646C30">
      <w:r>
        <w:t>&lt;ESMA_QUESTION_CP</w:t>
      </w:r>
      <w:r w:rsidR="007254DD">
        <w:t>_MIFID_NQT</w:t>
      </w:r>
      <w:r w:rsidR="00F107EF">
        <w:t>_</w:t>
      </w:r>
      <w:r w:rsidR="00101BF1">
        <w:t>21</w:t>
      </w:r>
      <w:r>
        <w:t>&gt;</w:t>
      </w:r>
    </w:p>
    <w:p w14:paraId="3AF36D8E" w14:textId="0F638690" w:rsidR="00646C30" w:rsidRDefault="00646C30" w:rsidP="002E1760"/>
    <w:p w14:paraId="782DEEAB" w14:textId="152A0458" w:rsidR="00B27E7B" w:rsidRDefault="00B27E7B" w:rsidP="002E1760"/>
    <w:p w14:paraId="07F55EF1" w14:textId="6B47F527" w:rsidR="00B27E7B" w:rsidRDefault="00B27E7B" w:rsidP="002E1760"/>
    <w:p w14:paraId="4294BC73" w14:textId="5F0E552D" w:rsidR="00B27E7B" w:rsidRDefault="00B27E7B" w:rsidP="002E1760"/>
    <w:p w14:paraId="43E6918A" w14:textId="77777777" w:rsidR="00B27E7B" w:rsidRDefault="00B27E7B" w:rsidP="002E1760"/>
    <w:p w14:paraId="27BEB2EF" w14:textId="4EC62648" w:rsidR="00646C30" w:rsidRDefault="00B27E7B" w:rsidP="00646C30">
      <w:pPr>
        <w:pStyle w:val="CPQuestions"/>
      </w:pPr>
      <w:r w:rsidRPr="00B27E7B">
        <w:t>Do you agree that a procedure for the swift suspension of the trading obligation for derivatives is needed? Do you agree with the proposed procedure? Please explain.</w:t>
      </w:r>
    </w:p>
    <w:p w14:paraId="59E34633" w14:textId="7EC2B8C5" w:rsidR="00646C30" w:rsidRDefault="00646C30" w:rsidP="00646C30">
      <w:r>
        <w:t>&lt;ESMA_QUESTION_CP</w:t>
      </w:r>
      <w:r w:rsidR="007254DD">
        <w:t>_MIFID_NQT</w:t>
      </w:r>
      <w:r w:rsidR="00F107EF">
        <w:t>_</w:t>
      </w:r>
      <w:r w:rsidR="00101BF1">
        <w:t>22</w:t>
      </w:r>
      <w:r>
        <w:t>&gt;</w:t>
      </w:r>
    </w:p>
    <w:p w14:paraId="7F090863" w14:textId="77777777" w:rsidR="00646C30" w:rsidRDefault="00646C30" w:rsidP="00646C30">
      <w:permStart w:id="71373738" w:edGrp="everyone"/>
      <w:r>
        <w:t>TYPE YOUR TEXT HERE</w:t>
      </w:r>
      <w:permEnd w:id="71373738"/>
    </w:p>
    <w:p w14:paraId="1893B375" w14:textId="583DB585" w:rsidR="00646C30" w:rsidRDefault="00646C30" w:rsidP="00646C30">
      <w:r>
        <w:t>&lt;ESMA_QUESTION_CP</w:t>
      </w:r>
      <w:r w:rsidR="007254DD">
        <w:t>_MIFID_NQT</w:t>
      </w:r>
      <w:r w:rsidR="00F107EF">
        <w:t>_</w:t>
      </w:r>
      <w:r w:rsidR="00101BF1">
        <w:t>22</w:t>
      </w:r>
      <w:r>
        <w:t>&gt;</w:t>
      </w:r>
    </w:p>
    <w:p w14:paraId="75583BC9" w14:textId="77777777" w:rsidR="00646C30" w:rsidRDefault="00646C30" w:rsidP="002E1760"/>
    <w:p w14:paraId="54FA7545" w14:textId="5B42F806" w:rsidR="00646C30" w:rsidRDefault="00B27E7B" w:rsidP="00646C30">
      <w:pPr>
        <w:pStyle w:val="CPQuestions"/>
      </w:pPr>
      <w:r w:rsidRPr="00B27E7B">
        <w:t>Do you have a view on this or any other issues related to the application of the DTO</w:t>
      </w:r>
      <w:r>
        <w:t>?</w:t>
      </w:r>
    </w:p>
    <w:p w14:paraId="2771BD99" w14:textId="3A460116" w:rsidR="00646C30" w:rsidRDefault="00646C30" w:rsidP="00646C30">
      <w:r>
        <w:t>&lt;ESMA_QUESTION_CP</w:t>
      </w:r>
      <w:r w:rsidR="007254DD">
        <w:t>_MIFID_NQT</w:t>
      </w:r>
      <w:r w:rsidR="00F107EF">
        <w:t>_</w:t>
      </w:r>
      <w:r w:rsidR="00101BF1">
        <w:t>23</w:t>
      </w:r>
      <w:r>
        <w:t>&gt;</w:t>
      </w:r>
    </w:p>
    <w:p w14:paraId="51834EC7" w14:textId="77777777" w:rsidR="00646C30" w:rsidRDefault="00646C30" w:rsidP="00646C30">
      <w:permStart w:id="2102155623" w:edGrp="everyone"/>
      <w:r>
        <w:t>TYPE YOUR TEXT HERE</w:t>
      </w:r>
      <w:permEnd w:id="2102155623"/>
    </w:p>
    <w:p w14:paraId="35720AF9" w14:textId="027E6B1A" w:rsidR="00646C30" w:rsidRDefault="00646C30" w:rsidP="00646C30">
      <w:r>
        <w:t>&lt;ESMA_QUESTION_CP</w:t>
      </w:r>
      <w:r w:rsidR="007254DD">
        <w:t>_MIFID_NQT</w:t>
      </w:r>
      <w:r w:rsidR="00F107EF">
        <w:t>_</w:t>
      </w:r>
      <w:r w:rsidR="00101BF1">
        <w:t>23</w:t>
      </w:r>
      <w:r>
        <w:t>&gt;</w:t>
      </w:r>
    </w:p>
    <w:p w14:paraId="731BD4C3" w14:textId="77777777" w:rsidR="00646C30" w:rsidRDefault="00646C30" w:rsidP="002E1760"/>
    <w:p w14:paraId="0DBE22AC" w14:textId="123438FF" w:rsidR="00646C30" w:rsidRDefault="00B27E7B" w:rsidP="00646C30">
      <w:pPr>
        <w:pStyle w:val="CPQuestions"/>
      </w:pPr>
      <w:r w:rsidRPr="00B27E7B">
        <w:t>Do you have any views on the functioning of the register? Please explain</w:t>
      </w:r>
      <w:r w:rsidR="001138E8">
        <w:t>.</w:t>
      </w:r>
    </w:p>
    <w:p w14:paraId="5244CE44" w14:textId="03F4A256" w:rsidR="00646C30" w:rsidRDefault="00646C30" w:rsidP="00646C30">
      <w:r>
        <w:lastRenderedPageBreak/>
        <w:t>&lt;ESMA_QUESTION_CP</w:t>
      </w:r>
      <w:r w:rsidR="007254DD">
        <w:t>_MIFID_NQT</w:t>
      </w:r>
      <w:r w:rsidR="00F107EF">
        <w:t>_</w:t>
      </w:r>
      <w:r w:rsidR="00101BF1">
        <w:t>24</w:t>
      </w:r>
      <w:r>
        <w:t>&gt;</w:t>
      </w:r>
    </w:p>
    <w:p w14:paraId="34A9DFDE" w14:textId="77777777" w:rsidR="00646C30" w:rsidRDefault="00646C30" w:rsidP="00646C30">
      <w:permStart w:id="160242055" w:edGrp="everyone"/>
      <w:r>
        <w:t>TYPE YOUR TEXT HERE</w:t>
      </w:r>
      <w:permEnd w:id="160242055"/>
    </w:p>
    <w:p w14:paraId="73FE2754" w14:textId="570B75FE" w:rsidR="00646C30" w:rsidRDefault="00646C30" w:rsidP="00646C30">
      <w:r>
        <w:t>&lt;ESMA_QUESTION_CP</w:t>
      </w:r>
      <w:r w:rsidR="007254DD">
        <w:t>_MIFID_NQT</w:t>
      </w:r>
      <w:r w:rsidR="00F107EF">
        <w:t>_</w:t>
      </w:r>
      <w:r w:rsidR="00101BF1">
        <w:t>24</w:t>
      </w:r>
      <w:r>
        <w:t>&gt;</w:t>
      </w:r>
    </w:p>
    <w:p w14:paraId="7837BFFE" w14:textId="77777777" w:rsidR="00646C30" w:rsidRDefault="00646C30" w:rsidP="002E1760"/>
    <w:p w14:paraId="0DCD647E" w14:textId="46393DDA" w:rsidR="00646C30" w:rsidRDefault="00B27E7B" w:rsidP="00646C30">
      <w:pPr>
        <w:pStyle w:val="CPQuestions"/>
      </w:pPr>
      <w:r w:rsidRPr="00B27E7B">
        <w:t>Do you agree that the current quarterly liquidity calculation for bonds is appropriate or would you be of the view that the liquidity determination of bonds should be simplified and provide for more stable results? Please explain</w:t>
      </w:r>
      <w:r w:rsidR="00646C30">
        <w:t>.</w:t>
      </w:r>
    </w:p>
    <w:p w14:paraId="1B94FAEF" w14:textId="27551F0C" w:rsidR="00646C30" w:rsidRDefault="00646C30" w:rsidP="00646C30">
      <w:r>
        <w:t>&lt;ESMA_QUESTION_CP</w:t>
      </w:r>
      <w:r w:rsidR="007254DD">
        <w:t>_MIFID_NQT</w:t>
      </w:r>
      <w:r w:rsidR="00F107EF">
        <w:t>_</w:t>
      </w:r>
      <w:r w:rsidR="00101BF1">
        <w:t>25</w:t>
      </w:r>
      <w:r>
        <w:t>&gt;</w:t>
      </w:r>
    </w:p>
    <w:p w14:paraId="3D6B6F67" w14:textId="77777777" w:rsidR="00646C30" w:rsidRDefault="00646C30" w:rsidP="00646C30">
      <w:permStart w:id="203690501" w:edGrp="everyone"/>
      <w:r>
        <w:t>TYPE YOUR TEXT HERE</w:t>
      </w:r>
      <w:permEnd w:id="203690501"/>
    </w:p>
    <w:p w14:paraId="5D9D8E52" w14:textId="76951D44" w:rsidR="00646C30" w:rsidRDefault="00646C30" w:rsidP="00646C30">
      <w:r>
        <w:t>&lt;ESMA_QUESTION_CP</w:t>
      </w:r>
      <w:r w:rsidR="007254DD">
        <w:t>_MIFID_NQT</w:t>
      </w:r>
      <w:r w:rsidR="00F107EF">
        <w:t>_</w:t>
      </w:r>
      <w:r w:rsidR="00101BF1">
        <w:t>25</w:t>
      </w:r>
      <w:r>
        <w:t>&gt;</w:t>
      </w:r>
    </w:p>
    <w:p w14:paraId="0069B9B5" w14:textId="77777777" w:rsidR="00646C30" w:rsidRDefault="00646C30" w:rsidP="002E1760"/>
    <w:p w14:paraId="73060707" w14:textId="500D0DD5" w:rsidR="00646C30" w:rsidRDefault="00B27E7B" w:rsidP="00646C30">
      <w:pPr>
        <w:pStyle w:val="CPQuestions"/>
      </w:pPr>
      <w:r w:rsidRPr="00B27E7B">
        <w:t>Do you agree with ESMA proposal to move to stage 2 for the determination of the liquidity assessment of bonds? Please explain</w:t>
      </w:r>
      <w:r w:rsidR="00907865" w:rsidRPr="00907865">
        <w:t>.</w:t>
      </w:r>
    </w:p>
    <w:p w14:paraId="4948932D" w14:textId="36899E6E" w:rsidR="00646C30" w:rsidRDefault="00646C30" w:rsidP="00646C30">
      <w:r>
        <w:t>&lt;ESMA_QUESTION_CP</w:t>
      </w:r>
      <w:r w:rsidR="007254DD">
        <w:t>_MIFID_NQT</w:t>
      </w:r>
      <w:r w:rsidR="00F107EF">
        <w:t>_</w:t>
      </w:r>
      <w:r w:rsidR="00101BF1">
        <w:t>26</w:t>
      </w:r>
      <w:r>
        <w:t>&gt;</w:t>
      </w:r>
    </w:p>
    <w:p w14:paraId="00430256" w14:textId="77777777" w:rsidR="00646C30" w:rsidRDefault="00646C30" w:rsidP="00646C30">
      <w:permStart w:id="1935441367" w:edGrp="everyone"/>
      <w:r>
        <w:t>TYPE YOUR TEXT HERE</w:t>
      </w:r>
      <w:permEnd w:id="1935441367"/>
    </w:p>
    <w:p w14:paraId="25BD60AE" w14:textId="1905889C" w:rsidR="00646C30" w:rsidRDefault="00646C30" w:rsidP="00646C30">
      <w:r>
        <w:t>&lt;ESMA_QUESTION_CP</w:t>
      </w:r>
      <w:r w:rsidR="007254DD">
        <w:t>_MIFID_NQT</w:t>
      </w:r>
      <w:r w:rsidR="00F107EF">
        <w:t>_</w:t>
      </w:r>
      <w:r w:rsidR="00101BF1">
        <w:t>26</w:t>
      </w:r>
      <w:r>
        <w:t>&gt;</w:t>
      </w:r>
    </w:p>
    <w:p w14:paraId="6D32B8F8" w14:textId="77777777" w:rsidR="00646C30" w:rsidRDefault="00646C30" w:rsidP="002E1760"/>
    <w:p w14:paraId="4DEEEE71" w14:textId="3E7A20C4" w:rsidR="00646C30" w:rsidRDefault="00B27E7B" w:rsidP="00646C30">
      <w:pPr>
        <w:pStyle w:val="CPQuestions"/>
      </w:pPr>
      <w:r w:rsidRPr="00B27E7B">
        <w:t>Do you agree with ESMA proposal not to move to stage 2 for the determination of the pre-trade SSTI thresholds for all non-equity instruments except bonds? Please explain</w:t>
      </w:r>
      <w:r w:rsidR="001129F9">
        <w:t>.</w:t>
      </w:r>
    </w:p>
    <w:p w14:paraId="623E31B3" w14:textId="07441431" w:rsidR="00646C30" w:rsidRDefault="00646C30" w:rsidP="00646C30">
      <w:r>
        <w:t>&lt;ESMA_QUESTION_CP</w:t>
      </w:r>
      <w:r w:rsidR="007254DD">
        <w:t>_MIFID_NQT</w:t>
      </w:r>
      <w:r w:rsidR="00F107EF">
        <w:t>_</w:t>
      </w:r>
      <w:r w:rsidR="00101BF1">
        <w:t>27</w:t>
      </w:r>
      <w:r>
        <w:t>&gt;</w:t>
      </w:r>
    </w:p>
    <w:p w14:paraId="07059944" w14:textId="77777777" w:rsidR="00646C30" w:rsidRDefault="00646C30" w:rsidP="00646C30">
      <w:permStart w:id="1284132493" w:edGrp="everyone"/>
      <w:r>
        <w:t>TYPE YOUR TEXT HERE</w:t>
      </w:r>
      <w:permEnd w:id="1284132493"/>
    </w:p>
    <w:p w14:paraId="7CD57521" w14:textId="50137320" w:rsidR="00646C30" w:rsidRDefault="00646C30" w:rsidP="00646C30">
      <w:r>
        <w:t>&lt;ESMA_QUESTION_CP</w:t>
      </w:r>
      <w:r w:rsidR="007254DD">
        <w:t>_MIFID_NQT</w:t>
      </w:r>
      <w:r w:rsidR="00F107EF">
        <w:t>_</w:t>
      </w:r>
      <w:r w:rsidR="00101BF1">
        <w:t>27</w:t>
      </w:r>
      <w:r>
        <w:t>&gt;</w:t>
      </w:r>
    </w:p>
    <w:p w14:paraId="23FB725E" w14:textId="7F6A2E13" w:rsidR="00646C30" w:rsidRDefault="00646C30" w:rsidP="002E1760"/>
    <w:p w14:paraId="27769207" w14:textId="0ACCEB97" w:rsidR="00B27E7B" w:rsidRDefault="00B27E7B" w:rsidP="002E1760"/>
    <w:p w14:paraId="7276B98C" w14:textId="4FB92AD1" w:rsidR="00B27E7B" w:rsidRDefault="00B27E7B" w:rsidP="002E1760"/>
    <w:p w14:paraId="0DAC709E" w14:textId="77777777" w:rsidR="00B27E7B" w:rsidRDefault="00B27E7B" w:rsidP="002E1760"/>
    <w:p w14:paraId="005F51E6" w14:textId="1790009A" w:rsidR="00646C30" w:rsidRDefault="00B27E7B" w:rsidP="00646C30">
      <w:pPr>
        <w:pStyle w:val="CPQuestions"/>
      </w:pPr>
      <w:r w:rsidRPr="00B27E7B">
        <w:t>Do you agree with ESMA proposal to move to stage 2 for the determination of the pre-trade SSTI thresholds for bonds (except ETCs and ETNs)? Please explain</w:t>
      </w:r>
      <w:r w:rsidR="00646C30">
        <w:t>.</w:t>
      </w:r>
    </w:p>
    <w:p w14:paraId="63D59E8C" w14:textId="18B5F172" w:rsidR="00646C30" w:rsidRDefault="00646C30" w:rsidP="00646C30">
      <w:r>
        <w:t>&lt;ESMA_QUESTION_CP</w:t>
      </w:r>
      <w:r w:rsidR="007254DD">
        <w:t>_MIFID_NQT</w:t>
      </w:r>
      <w:r w:rsidR="00F107EF">
        <w:t>_</w:t>
      </w:r>
      <w:r>
        <w:t>2</w:t>
      </w:r>
      <w:r w:rsidR="00101BF1">
        <w:t>8</w:t>
      </w:r>
      <w:r>
        <w:t>&gt;</w:t>
      </w:r>
    </w:p>
    <w:p w14:paraId="15305155" w14:textId="77777777" w:rsidR="00646C30" w:rsidRDefault="00646C30" w:rsidP="00646C30">
      <w:permStart w:id="1735202609" w:edGrp="everyone"/>
      <w:r>
        <w:t>TYPE YOUR TEXT HERE</w:t>
      </w:r>
      <w:permEnd w:id="1735202609"/>
    </w:p>
    <w:p w14:paraId="79ACDE07" w14:textId="6C439D4C" w:rsidR="00646C30" w:rsidRDefault="00646C30" w:rsidP="00646C30">
      <w:r>
        <w:t>&lt;ESMA_QUESTION_CP</w:t>
      </w:r>
      <w:r w:rsidR="007254DD">
        <w:t>_MIFID_NQT</w:t>
      </w:r>
      <w:r w:rsidR="00F107EF">
        <w:t>_</w:t>
      </w:r>
      <w:r w:rsidR="00101BF1">
        <w:t>28</w:t>
      </w:r>
      <w:r>
        <w:t>&gt;</w:t>
      </w:r>
    </w:p>
    <w:p w14:paraId="77CE9C90" w14:textId="77777777" w:rsidR="00646C30" w:rsidRDefault="00646C30" w:rsidP="002E1760"/>
    <w:p w14:paraId="4C59416A" w14:textId="08E7855B" w:rsidR="00646C30" w:rsidRDefault="00B27E7B" w:rsidP="00646C30">
      <w:pPr>
        <w:pStyle w:val="CPQuestions"/>
      </w:pPr>
      <w:r w:rsidRPr="00B27E7B">
        <w:t>What is your view on the current calibration of the ADNA and ADNT for commodity derivatives? Are there specific sub-asset classes for which the current calibration is problematic? Please justify your views and proposals with quantitative elements where available</w:t>
      </w:r>
      <w:r>
        <w:t>.</w:t>
      </w:r>
    </w:p>
    <w:p w14:paraId="172F5827" w14:textId="1C5B0BB2" w:rsidR="00646C30" w:rsidRDefault="00646C30" w:rsidP="00646C30">
      <w:r>
        <w:t>&lt;ESMA_QUESTION_CP</w:t>
      </w:r>
      <w:r w:rsidR="007254DD">
        <w:t>_MIFID_NQT</w:t>
      </w:r>
      <w:r w:rsidR="00F107EF">
        <w:t>_</w:t>
      </w:r>
      <w:r w:rsidR="00101BF1">
        <w:t>29</w:t>
      </w:r>
      <w:r>
        <w:t>&gt;</w:t>
      </w:r>
    </w:p>
    <w:p w14:paraId="1377295B" w14:textId="77777777" w:rsidR="006251B9" w:rsidRPr="008D2F34" w:rsidRDefault="006251B9" w:rsidP="006251B9">
      <w:pPr>
        <w:pStyle w:val="CPQuestions"/>
        <w:numPr>
          <w:ilvl w:val="0"/>
          <w:numId w:val="0"/>
        </w:numPr>
        <w:ind w:left="720" w:hanging="11"/>
        <w:rPr>
          <w:rFonts w:ascii="Calibri" w:hAnsi="Calibri" w:cs="Calibri"/>
          <w:b w:val="0"/>
          <w:color w:val="000000" w:themeColor="text1"/>
          <w:sz w:val="24"/>
          <w:szCs w:val="24"/>
        </w:rPr>
      </w:pPr>
      <w:permStart w:id="1113393043" w:edGrp="everyone"/>
      <w:r w:rsidRPr="008D2F34">
        <w:rPr>
          <w:rFonts w:ascii="Calibri" w:hAnsi="Calibri" w:cs="Calibri"/>
          <w:b w:val="0"/>
          <w:color w:val="000000" w:themeColor="text1"/>
          <w:sz w:val="24"/>
          <w:szCs w:val="24"/>
        </w:rPr>
        <w:t xml:space="preserve">RTS 2 sets out the methodology for determining illiquid instruments. The IL waiver thresholds are determined on the basis of the average traded daily notional amount (ADNA) (or </w:t>
      </w:r>
      <w:r w:rsidRPr="008D2F34">
        <w:rPr>
          <w:rFonts w:ascii="Calibri" w:hAnsi="Calibri" w:cs="Calibri"/>
          <w:b w:val="0"/>
          <w:color w:val="000000" w:themeColor="text1"/>
          <w:sz w:val="24"/>
          <w:szCs w:val="24"/>
        </w:rPr>
        <w:lastRenderedPageBreak/>
        <w:t>average daily amount in the case of emission markets) and the average daily number of trades (ADNT) as specified by the RTS for a given sub-asset class.</w:t>
      </w:r>
    </w:p>
    <w:p w14:paraId="5D7A33BE" w14:textId="77777777" w:rsidR="006251B9" w:rsidRPr="008D2F34" w:rsidRDefault="006251B9" w:rsidP="006251B9">
      <w:pPr>
        <w:pStyle w:val="CPQuestions"/>
        <w:numPr>
          <w:ilvl w:val="0"/>
          <w:numId w:val="0"/>
        </w:numPr>
        <w:ind w:left="720"/>
        <w:rPr>
          <w:rFonts w:ascii="Calibri" w:hAnsi="Calibri" w:cs="Calibri"/>
          <w:b w:val="0"/>
          <w:color w:val="000000" w:themeColor="text1"/>
          <w:sz w:val="24"/>
          <w:szCs w:val="24"/>
        </w:rPr>
      </w:pPr>
      <w:r w:rsidRPr="008D2F34">
        <w:rPr>
          <w:rFonts w:ascii="Calibri" w:hAnsi="Calibri" w:cs="Calibri"/>
          <w:b w:val="0"/>
          <w:bCs/>
          <w:color w:val="000000" w:themeColor="text1"/>
          <w:sz w:val="24"/>
          <w:szCs w:val="24"/>
        </w:rPr>
        <w:t>However, this methodology has proven unworkable in practice, particularly with respect to energy commodity derivatives. Calculations based on insufficiently granular</w:t>
      </w:r>
      <w:r w:rsidRPr="008D2F34">
        <w:rPr>
          <w:rFonts w:ascii="Calibri" w:hAnsi="Calibri" w:cs="Calibri"/>
          <w:bCs/>
          <w:color w:val="000000" w:themeColor="text1"/>
        </w:rPr>
        <w:t xml:space="preserve"> </w:t>
      </w:r>
      <w:r w:rsidRPr="008D2F34">
        <w:rPr>
          <w:rFonts w:ascii="Calibri" w:hAnsi="Calibri" w:cs="Calibri"/>
          <w:b w:val="0"/>
          <w:bCs/>
          <w:color w:val="000000" w:themeColor="text1"/>
          <w:sz w:val="24"/>
          <w:szCs w:val="24"/>
        </w:rPr>
        <w:t xml:space="preserve">sub-asset classes, besides arbitrarily selected and inappropriately calibrated parameters, result in a </w:t>
      </w:r>
      <w:r w:rsidRPr="008D2F34">
        <w:rPr>
          <w:rFonts w:ascii="Calibri" w:hAnsi="Calibri" w:cs="Calibri"/>
          <w:b w:val="0"/>
          <w:color w:val="000000" w:themeColor="text1"/>
          <w:sz w:val="24"/>
          <w:szCs w:val="24"/>
        </w:rPr>
        <w:t>significant number of niche and nascent products being incorrectly classified as liquid based on the two liquidity criteria in Table 7.1, Annex III, RTS 2. These products are then subject to significantly broader transparency requirements, which were previously reserved for developed markets.</w:t>
      </w:r>
    </w:p>
    <w:p w14:paraId="341FD5E4" w14:textId="77777777" w:rsidR="006251B9" w:rsidRPr="008D2F34" w:rsidRDefault="006251B9" w:rsidP="006251B9">
      <w:pPr>
        <w:pStyle w:val="CPQuestions"/>
        <w:numPr>
          <w:ilvl w:val="0"/>
          <w:numId w:val="0"/>
        </w:numPr>
        <w:ind w:left="720"/>
        <w:rPr>
          <w:rFonts w:ascii="Calibri" w:hAnsi="Calibri" w:cs="Calibri"/>
          <w:b w:val="0"/>
          <w:color w:val="000000" w:themeColor="text1"/>
          <w:sz w:val="24"/>
          <w:szCs w:val="24"/>
          <w:lang w:eastAsia="en-GB"/>
        </w:rPr>
      </w:pPr>
      <w:r w:rsidRPr="008D2F34">
        <w:rPr>
          <w:rFonts w:ascii="Calibri" w:hAnsi="Calibri" w:cs="Calibri"/>
          <w:b w:val="0"/>
          <w:color w:val="000000" w:themeColor="text1"/>
          <w:sz w:val="24"/>
          <w:szCs w:val="24"/>
        </w:rPr>
        <w:t xml:space="preserve">The latter has the effect of preventing nascent commodity derivatives markets from developing, </w:t>
      </w:r>
      <w:r w:rsidRPr="008D2F34">
        <w:rPr>
          <w:rFonts w:ascii="Calibri" w:hAnsi="Calibri" w:cs="Calibri"/>
          <w:b w:val="0"/>
          <w:color w:val="000000" w:themeColor="text1"/>
          <w:sz w:val="24"/>
          <w:szCs w:val="24"/>
          <w:lang w:eastAsia="en-GB"/>
        </w:rPr>
        <w:t>pushing small and medium sized members towards more bilateral (OTC) trading. This ultimately results in more direct trading with the large(r) producers, often referred to as origination business.</w:t>
      </w:r>
    </w:p>
    <w:p w14:paraId="445D6BD0" w14:textId="77777777" w:rsidR="006251B9" w:rsidRPr="008D2F34" w:rsidRDefault="006251B9" w:rsidP="006251B9">
      <w:pPr>
        <w:pStyle w:val="CPQuestions"/>
        <w:numPr>
          <w:ilvl w:val="0"/>
          <w:numId w:val="0"/>
        </w:numPr>
        <w:ind w:left="720"/>
        <w:rPr>
          <w:rFonts w:ascii="Calibri" w:hAnsi="Calibri" w:cs="Calibri"/>
          <w:b w:val="0"/>
          <w:color w:val="000000" w:themeColor="text1"/>
          <w:sz w:val="24"/>
          <w:szCs w:val="24"/>
        </w:rPr>
      </w:pPr>
      <w:r w:rsidRPr="008D2F34">
        <w:rPr>
          <w:rFonts w:ascii="Calibri" w:hAnsi="Calibri" w:cs="Calibri"/>
          <w:b w:val="0"/>
          <w:bCs/>
          <w:color w:val="000000" w:themeColor="text1"/>
          <w:sz w:val="24"/>
          <w:szCs w:val="24"/>
        </w:rPr>
        <w:t xml:space="preserve">Consequently, Europex proposes to </w:t>
      </w:r>
      <w:r w:rsidRPr="008D2F34">
        <w:rPr>
          <w:rFonts w:ascii="Calibri" w:hAnsi="Calibri" w:cs="Calibri"/>
          <w:bCs/>
          <w:color w:val="000000" w:themeColor="text1"/>
          <w:sz w:val="24"/>
          <w:szCs w:val="24"/>
        </w:rPr>
        <w:t>replace the current RTS 2 methodology for calculating LIS and IL waiver thresholds for commodity derivatives with a product-specific approach</w:t>
      </w:r>
      <w:r w:rsidRPr="008D2F34">
        <w:rPr>
          <w:rFonts w:ascii="Calibri" w:hAnsi="Calibri" w:cs="Calibri"/>
          <w:b w:val="0"/>
          <w:color w:val="000000" w:themeColor="text1"/>
          <w:sz w:val="24"/>
          <w:szCs w:val="24"/>
        </w:rPr>
        <w:t xml:space="preserve"> based on well-established practices of trading venues. Please see our response to Question 31 for our full proposal.</w:t>
      </w:r>
    </w:p>
    <w:p w14:paraId="4EFDD830" w14:textId="77777777" w:rsidR="006251B9" w:rsidRPr="008D2F34" w:rsidRDefault="006251B9" w:rsidP="006251B9">
      <w:pPr>
        <w:pStyle w:val="CPQuestions"/>
        <w:numPr>
          <w:ilvl w:val="0"/>
          <w:numId w:val="0"/>
        </w:numPr>
        <w:ind w:left="720"/>
        <w:rPr>
          <w:rFonts w:ascii="Calibri" w:hAnsi="Calibri" w:cs="Calibri"/>
          <w:b w:val="0"/>
          <w:color w:val="000000" w:themeColor="text1"/>
          <w:sz w:val="24"/>
          <w:szCs w:val="24"/>
        </w:rPr>
      </w:pPr>
      <w:r w:rsidRPr="008D2F34">
        <w:rPr>
          <w:rFonts w:ascii="Calibri" w:hAnsi="Calibri" w:cs="Calibri"/>
          <w:b w:val="0"/>
          <w:color w:val="000000" w:themeColor="text1"/>
          <w:sz w:val="24"/>
          <w:szCs w:val="24"/>
        </w:rPr>
        <w:t xml:space="preserve">A key principle underpinning this approach is the exclusion of price from the calculation of IL and LIS threshold. The inclusion of price in the calculation of the ILQ and LIS threshold values can lead to misinterpretations and confusion when measuring liquidity in instruments that are not natively defined in notional value. This can result in situations like the following: </w:t>
      </w:r>
    </w:p>
    <w:p w14:paraId="7B5B8A2B" w14:textId="77777777" w:rsidR="006251B9" w:rsidRPr="008D2F34" w:rsidRDefault="006251B9" w:rsidP="006251B9">
      <w:pPr>
        <w:pStyle w:val="CPQuestions"/>
        <w:numPr>
          <w:ilvl w:val="0"/>
          <w:numId w:val="43"/>
        </w:numPr>
        <w:rPr>
          <w:rFonts w:ascii="Calibri" w:hAnsi="Calibri" w:cs="Calibri"/>
          <w:b w:val="0"/>
          <w:bCs/>
          <w:color w:val="000000" w:themeColor="text1"/>
          <w:sz w:val="24"/>
          <w:szCs w:val="24"/>
        </w:rPr>
      </w:pPr>
      <w:r w:rsidRPr="008D2F34">
        <w:rPr>
          <w:rFonts w:ascii="Calibri" w:hAnsi="Calibri" w:cs="Calibri"/>
          <w:b w:val="0"/>
          <w:bCs/>
          <w:color w:val="000000" w:themeColor="text1"/>
          <w:sz w:val="24"/>
          <w:szCs w:val="24"/>
        </w:rPr>
        <w:t xml:space="preserve">Price movements occurring in the same direction as changes in liquidity exaggerate the liquidity changes; </w:t>
      </w:r>
    </w:p>
    <w:p w14:paraId="01D08092" w14:textId="77777777" w:rsidR="006251B9" w:rsidRPr="008D2F34" w:rsidRDefault="006251B9" w:rsidP="006251B9">
      <w:pPr>
        <w:pStyle w:val="CPQuestions"/>
        <w:numPr>
          <w:ilvl w:val="0"/>
          <w:numId w:val="43"/>
        </w:numPr>
        <w:rPr>
          <w:rFonts w:ascii="Calibri" w:hAnsi="Calibri" w:cs="Calibri"/>
          <w:b w:val="0"/>
          <w:bCs/>
          <w:color w:val="000000" w:themeColor="text1"/>
          <w:sz w:val="24"/>
          <w:szCs w:val="24"/>
        </w:rPr>
      </w:pPr>
      <w:r w:rsidRPr="008D2F34">
        <w:rPr>
          <w:rFonts w:ascii="Calibri" w:hAnsi="Calibri" w:cs="Calibri"/>
          <w:b w:val="0"/>
          <w:bCs/>
          <w:color w:val="000000" w:themeColor="text1"/>
          <w:sz w:val="24"/>
          <w:szCs w:val="24"/>
        </w:rPr>
        <w:t>Price movements which occur in the opposite direction mute the change in liquidity;</w:t>
      </w:r>
    </w:p>
    <w:p w14:paraId="36E118B6" w14:textId="77777777" w:rsidR="006251B9" w:rsidRPr="008D2F34" w:rsidRDefault="006251B9" w:rsidP="006251B9">
      <w:pPr>
        <w:pStyle w:val="CPQuestions"/>
        <w:numPr>
          <w:ilvl w:val="0"/>
          <w:numId w:val="43"/>
        </w:numPr>
        <w:rPr>
          <w:rFonts w:ascii="Calibri" w:hAnsi="Calibri" w:cs="Calibri"/>
          <w:b w:val="0"/>
          <w:bCs/>
          <w:color w:val="000000" w:themeColor="text1"/>
          <w:sz w:val="24"/>
          <w:szCs w:val="24"/>
        </w:rPr>
      </w:pPr>
      <w:r w:rsidRPr="008D2F34">
        <w:rPr>
          <w:rFonts w:ascii="Calibri" w:hAnsi="Calibri" w:cs="Calibri"/>
          <w:b w:val="0"/>
          <w:bCs/>
          <w:color w:val="000000" w:themeColor="text1"/>
          <w:sz w:val="24"/>
          <w:szCs w:val="24"/>
        </w:rPr>
        <w:t>Price movements without a change in liquidity make liquidity appear more volatile than it actually is.</w:t>
      </w:r>
    </w:p>
    <w:p w14:paraId="747DD662" w14:textId="77777777" w:rsidR="006251B9" w:rsidRPr="008D2F34" w:rsidRDefault="006251B9" w:rsidP="006251B9">
      <w:pPr>
        <w:pStyle w:val="CPQuestions"/>
        <w:numPr>
          <w:ilvl w:val="0"/>
          <w:numId w:val="0"/>
        </w:numPr>
        <w:ind w:left="720"/>
        <w:rPr>
          <w:rFonts w:ascii="Calibri" w:hAnsi="Calibri" w:cs="Calibri"/>
          <w:b w:val="0"/>
          <w:bCs/>
          <w:color w:val="000000" w:themeColor="text1"/>
          <w:sz w:val="24"/>
          <w:szCs w:val="24"/>
        </w:rPr>
      </w:pPr>
      <w:r w:rsidRPr="008D2F34">
        <w:rPr>
          <w:rFonts w:ascii="Calibri" w:hAnsi="Calibri" w:cs="Calibri"/>
          <w:b w:val="0"/>
          <w:color w:val="000000" w:themeColor="text1"/>
          <w:sz w:val="24"/>
          <w:szCs w:val="24"/>
        </w:rPr>
        <w:t xml:space="preserve">Liquidity should therefore not be measured by the notional value of transactions. For example, applying notional value as per the ADNA across all asset classes is likely to introduce a significant amount of ‘noise’ to an analysis of market liquidity. Moreover, market players typically hedge their production and consumption in trading in lots and not in notional value. </w:t>
      </w:r>
    </w:p>
    <w:p w14:paraId="1A965D66" w14:textId="77777777" w:rsidR="006251B9" w:rsidRPr="008D2F34" w:rsidRDefault="006251B9" w:rsidP="006251B9">
      <w:pPr>
        <w:pStyle w:val="CPQuestions"/>
        <w:numPr>
          <w:ilvl w:val="0"/>
          <w:numId w:val="0"/>
        </w:numPr>
        <w:ind w:left="720"/>
        <w:rPr>
          <w:rFonts w:ascii="Calibri" w:hAnsi="Calibri" w:cs="Calibri"/>
          <w:b w:val="0"/>
          <w:bCs/>
          <w:color w:val="000000" w:themeColor="text1"/>
          <w:sz w:val="24"/>
          <w:szCs w:val="24"/>
        </w:rPr>
      </w:pPr>
      <w:r w:rsidRPr="008D2F34">
        <w:rPr>
          <w:rFonts w:ascii="Calibri" w:hAnsi="Calibri" w:cs="Calibri"/>
          <w:b w:val="0"/>
          <w:color w:val="000000" w:themeColor="text1"/>
          <w:sz w:val="24"/>
          <w:szCs w:val="24"/>
        </w:rPr>
        <w:lastRenderedPageBreak/>
        <w:t xml:space="preserve">Thus, we recommend that any liquidity analysis is normalised to a base quantity unit that is native to the asset class. For commodities this will typically be a specific unit of measure (e.g. barrels, tons, MW, etc.). </w:t>
      </w:r>
    </w:p>
    <w:p w14:paraId="1589C5D5" w14:textId="77777777" w:rsidR="006251B9" w:rsidRDefault="006251B9" w:rsidP="006251B9">
      <w:pPr>
        <w:pStyle w:val="CPQuestions"/>
        <w:numPr>
          <w:ilvl w:val="0"/>
          <w:numId w:val="0"/>
        </w:numPr>
        <w:ind w:left="720"/>
        <w:rPr>
          <w:rFonts w:ascii="Calibri" w:hAnsi="Calibri" w:cs="Calibri"/>
          <w:b w:val="0"/>
          <w:bCs/>
          <w:color w:val="000000" w:themeColor="text1"/>
          <w:sz w:val="24"/>
          <w:szCs w:val="24"/>
        </w:rPr>
      </w:pPr>
      <w:r w:rsidRPr="008D2F34">
        <w:rPr>
          <w:rFonts w:ascii="Calibri" w:hAnsi="Calibri" w:cs="Calibri"/>
          <w:b w:val="0"/>
          <w:color w:val="000000" w:themeColor="text1"/>
          <w:sz w:val="24"/>
          <w:szCs w:val="24"/>
        </w:rPr>
        <w:t xml:space="preserve">Given the urgent need to find a workable solution that avoids the negative impacts outlined above, we propose a </w:t>
      </w:r>
      <w:r w:rsidRPr="008D2F34">
        <w:rPr>
          <w:rFonts w:ascii="Calibri" w:hAnsi="Calibri" w:cs="Calibri"/>
          <w:bCs/>
          <w:color w:val="000000" w:themeColor="text1"/>
          <w:sz w:val="24"/>
          <w:szCs w:val="24"/>
        </w:rPr>
        <w:t>recalibration of the LIS and IL waiver thresholds for energy derivatives as a ‘quick-fix’</w:t>
      </w:r>
      <w:r w:rsidRPr="008D2F34">
        <w:rPr>
          <w:rFonts w:ascii="Calibri" w:hAnsi="Calibri" w:cs="Calibri"/>
          <w:b w:val="0"/>
          <w:color w:val="000000" w:themeColor="text1"/>
          <w:sz w:val="24"/>
          <w:szCs w:val="24"/>
        </w:rPr>
        <w:t xml:space="preserve"> solution. This will </w:t>
      </w:r>
      <w:r w:rsidRPr="008D2F34">
        <w:rPr>
          <w:rFonts w:ascii="Calibri" w:hAnsi="Calibri" w:cs="Calibri"/>
          <w:b w:val="0"/>
          <w:bCs/>
          <w:color w:val="000000" w:themeColor="text1"/>
          <w:sz w:val="24"/>
          <w:szCs w:val="24"/>
        </w:rPr>
        <w:t>allow exchanges to implement appropriate LIS thresholds for liquid contracts as soon as possible and reduce the</w:t>
      </w:r>
      <w:r w:rsidRPr="008D2F34">
        <w:rPr>
          <w:rFonts w:ascii="Calibri" w:hAnsi="Calibri" w:cs="Calibri"/>
          <w:bCs/>
          <w:color w:val="000000" w:themeColor="text1"/>
        </w:rPr>
        <w:t xml:space="preserve"> </w:t>
      </w:r>
      <w:r w:rsidRPr="008D2F34">
        <w:rPr>
          <w:rFonts w:ascii="Calibri" w:hAnsi="Calibri" w:cs="Calibri"/>
          <w:b w:val="0"/>
          <w:bCs/>
          <w:color w:val="000000" w:themeColor="text1"/>
          <w:sz w:val="24"/>
          <w:szCs w:val="24"/>
        </w:rPr>
        <w:t>detrimental impact of RTS 2 on the ability of energy market participants to use regulated platforms to hedge their risk exposures.</w:t>
      </w:r>
    </w:p>
    <w:permEnd w:id="1113393043"/>
    <w:p w14:paraId="0E557F14" w14:textId="6C2CF31A" w:rsidR="00646C30" w:rsidRDefault="00646C30" w:rsidP="00646C30"/>
    <w:p w14:paraId="00F8CA82" w14:textId="0109B071" w:rsidR="00646C30" w:rsidRDefault="00646C30" w:rsidP="00646C30">
      <w:r>
        <w:t>&lt;ESMA_QUESTION_CP</w:t>
      </w:r>
      <w:r w:rsidR="007254DD">
        <w:t>_MIFID_NQT</w:t>
      </w:r>
      <w:r w:rsidR="00F107EF">
        <w:t>_</w:t>
      </w:r>
      <w:r w:rsidR="00101BF1">
        <w:t>29</w:t>
      </w:r>
      <w:r>
        <w:t>&gt;</w:t>
      </w:r>
    </w:p>
    <w:p w14:paraId="637D7F18" w14:textId="77777777" w:rsidR="00646C30" w:rsidRDefault="00646C30" w:rsidP="002E1760"/>
    <w:p w14:paraId="60819974" w14:textId="29986451" w:rsidR="00646C30" w:rsidRDefault="00B27E7B" w:rsidP="00646C30">
      <w:pPr>
        <w:pStyle w:val="CPQuestions"/>
      </w:pPr>
      <w:r w:rsidRPr="00B27E7B">
        <w:t>In relation to the segmentation criteria used for commodity derivatives: what is your view on the segmentation criteria currently used? Do you have suggestions to amend them? What is your view on ESMA’s proposals SC1 to SC3? In your view, for which sub-asset classes the “delivery/cash settlement location” parameter is relevant</w:t>
      </w:r>
      <w:r w:rsidR="00646C30">
        <w:t>.</w:t>
      </w:r>
    </w:p>
    <w:p w14:paraId="66E8E55C" w14:textId="23F785A6" w:rsidR="00646C30" w:rsidRDefault="00646C30" w:rsidP="00646C30">
      <w:r>
        <w:t>&lt;ESMA_QUESTION_CP</w:t>
      </w:r>
      <w:r w:rsidR="007254DD">
        <w:t>_MIFID_NQT</w:t>
      </w:r>
      <w:r w:rsidR="00F107EF">
        <w:t>_</w:t>
      </w:r>
      <w:r w:rsidR="00101BF1">
        <w:t>30</w:t>
      </w:r>
      <w:r>
        <w:t>&gt;</w:t>
      </w:r>
    </w:p>
    <w:p w14:paraId="771BE352" w14:textId="77777777" w:rsidR="006251B9" w:rsidRPr="006251B9" w:rsidRDefault="006251B9" w:rsidP="006251B9">
      <w:pPr>
        <w:spacing w:line="276" w:lineRule="auto"/>
        <w:ind w:left="720"/>
        <w:jc w:val="both"/>
        <w:rPr>
          <w:rFonts w:ascii="Calibri" w:eastAsia="Calibri" w:hAnsi="Calibri" w:cs="Calibri"/>
          <w:color w:val="000000"/>
          <w:sz w:val="24"/>
          <w:lang w:eastAsia="en-US"/>
        </w:rPr>
      </w:pPr>
      <w:permStart w:id="547110296" w:edGrp="everyone"/>
      <w:r w:rsidRPr="006251B9">
        <w:rPr>
          <w:rFonts w:ascii="Calibri" w:eastAsia="Calibri" w:hAnsi="Calibri" w:cs="Calibri"/>
          <w:color w:val="000000"/>
          <w:sz w:val="24"/>
          <w:lang w:eastAsia="en-US"/>
        </w:rPr>
        <w:t>Europex supports proposals SC1 and SC2 for the added benefit they would provide in making data for different commodity classes more comparable. Therefore, we strongly recommend setting a generous timeline and work solely in a forward-looking way.</w:t>
      </w:r>
    </w:p>
    <w:p w14:paraId="03ECAD70" w14:textId="77777777" w:rsidR="006251B9" w:rsidRPr="006251B9" w:rsidRDefault="006251B9" w:rsidP="006251B9">
      <w:pPr>
        <w:spacing w:line="276" w:lineRule="auto"/>
        <w:ind w:left="720"/>
        <w:jc w:val="both"/>
        <w:rPr>
          <w:rFonts w:ascii="Calibri" w:eastAsia="Calibri" w:hAnsi="Calibri" w:cs="Calibri"/>
          <w:color w:val="000000"/>
          <w:sz w:val="24"/>
          <w:lang w:eastAsia="en-US"/>
        </w:rPr>
      </w:pPr>
    </w:p>
    <w:p w14:paraId="29C663DA" w14:textId="77777777" w:rsidR="006251B9" w:rsidRPr="006251B9" w:rsidRDefault="006251B9" w:rsidP="006251B9">
      <w:pPr>
        <w:spacing w:line="276" w:lineRule="auto"/>
        <w:ind w:left="720"/>
        <w:jc w:val="both"/>
        <w:rPr>
          <w:rFonts w:ascii="Calibri" w:eastAsia="Calibri" w:hAnsi="Calibri" w:cs="Calibri"/>
          <w:color w:val="000000"/>
          <w:sz w:val="24"/>
          <w:lang w:eastAsia="en-US"/>
        </w:rPr>
      </w:pPr>
      <w:r w:rsidRPr="006251B9">
        <w:rPr>
          <w:rFonts w:ascii="Calibri" w:eastAsia="Calibri" w:hAnsi="Calibri" w:cs="Calibri"/>
          <w:color w:val="000000"/>
          <w:sz w:val="24"/>
          <w:lang w:eastAsia="en-US"/>
        </w:rPr>
        <w:t xml:space="preserve">Europex considers the current segmentation criteria for commodity derivatives to be insufficiently granular. This leads to certain commodity derivatives contracts being wrongly classified as liquid or subject to excessive Large </w:t>
      </w:r>
      <w:proofErr w:type="gramStart"/>
      <w:r w:rsidRPr="006251B9">
        <w:rPr>
          <w:rFonts w:ascii="Calibri" w:eastAsia="Calibri" w:hAnsi="Calibri" w:cs="Calibri"/>
          <w:color w:val="000000"/>
          <w:sz w:val="24"/>
          <w:lang w:eastAsia="en-US"/>
        </w:rPr>
        <w:t>In</w:t>
      </w:r>
      <w:proofErr w:type="gramEnd"/>
      <w:r w:rsidRPr="006251B9">
        <w:rPr>
          <w:rFonts w:ascii="Calibri" w:eastAsia="Calibri" w:hAnsi="Calibri" w:cs="Calibri"/>
          <w:color w:val="000000"/>
          <w:sz w:val="24"/>
          <w:lang w:eastAsia="en-US"/>
        </w:rPr>
        <w:t xml:space="preserve"> Scale thresholds. This insufficient granularity is in particular an issue for oil markets where important aspects, such as delivery points, are currently not taken into account and contracts with the same physical underlying but delivered to different locations are subject to the same requirements. In consequence, this causes discriminatory treatment for oil contracts at less liquid delivery points. </w:t>
      </w:r>
    </w:p>
    <w:permEnd w:id="547110296"/>
    <w:p w14:paraId="0FB3DBAF" w14:textId="2CBFB999" w:rsidR="00646C30" w:rsidRDefault="00646C30" w:rsidP="00646C30"/>
    <w:p w14:paraId="01FF7336" w14:textId="7A10F27A" w:rsidR="00646C30" w:rsidRDefault="00646C30" w:rsidP="00646C30">
      <w:r>
        <w:t>&lt;ESMA_QUESTION_CP</w:t>
      </w:r>
      <w:r w:rsidR="007254DD">
        <w:t>_MIFID_NQT</w:t>
      </w:r>
      <w:r w:rsidR="00F107EF">
        <w:t>_</w:t>
      </w:r>
      <w:r w:rsidR="00101BF1">
        <w:t>30</w:t>
      </w:r>
      <w:r>
        <w:t>&gt;</w:t>
      </w:r>
    </w:p>
    <w:p w14:paraId="773321E3" w14:textId="7FA7ED22" w:rsidR="00B27E7B" w:rsidRDefault="00B27E7B" w:rsidP="00646C30"/>
    <w:p w14:paraId="5D75AF4A" w14:textId="072F1002" w:rsidR="00B27E7B" w:rsidRDefault="00B27E7B" w:rsidP="00B27E7B">
      <w:pPr>
        <w:pStyle w:val="CPQuestions"/>
      </w:pPr>
      <w:r w:rsidRPr="00B27E7B">
        <w:t>What is your view on the analysis and proposals related to the pre-trade LIS thresholds for commodity derivatives? Which proposal to mitigate the counterintuitive effect of the current percentile approach do you prefer (i.e. keep the current methodology but modify its parameters, or change the methodology e.g. using a different metric for the liquidity criteria)? Please justify your views and proposals with quantitative elements where available</w:t>
      </w:r>
      <w:r>
        <w:t>.</w:t>
      </w:r>
    </w:p>
    <w:p w14:paraId="06D29F86" w14:textId="06D8E075" w:rsidR="00B27E7B" w:rsidRDefault="00B27E7B" w:rsidP="00B27E7B">
      <w:r>
        <w:lastRenderedPageBreak/>
        <w:t>&lt;ESMA_QUESTION_CP_MIFID_NQT_31&gt;</w:t>
      </w:r>
    </w:p>
    <w:p w14:paraId="4B9B65E2" w14:textId="77777777" w:rsidR="006251B9" w:rsidRPr="006251B9" w:rsidRDefault="006251B9" w:rsidP="006251B9">
      <w:pPr>
        <w:pStyle w:val="CPQuestions"/>
        <w:numPr>
          <w:ilvl w:val="0"/>
          <w:numId w:val="0"/>
        </w:numPr>
        <w:ind w:left="720" w:hanging="11"/>
        <w:rPr>
          <w:rFonts w:ascii="Calibri" w:hAnsi="Calibri" w:cs="Calibri"/>
          <w:b w:val="0"/>
          <w:color w:val="000000" w:themeColor="text1"/>
          <w:sz w:val="24"/>
          <w:szCs w:val="24"/>
        </w:rPr>
      </w:pPr>
      <w:permStart w:id="1615734835" w:edGrp="everyone"/>
      <w:r w:rsidRPr="008D2F34">
        <w:rPr>
          <w:rFonts w:ascii="Calibri" w:hAnsi="Calibri" w:cs="Calibri"/>
          <w:b w:val="0"/>
          <w:color w:val="000000" w:themeColor="text1"/>
          <w:sz w:val="24"/>
          <w:szCs w:val="24"/>
        </w:rPr>
        <w:t>R</w:t>
      </w:r>
      <w:r w:rsidRPr="006251B9">
        <w:rPr>
          <w:rFonts w:ascii="Calibri" w:hAnsi="Calibri" w:cs="Calibri"/>
          <w:b w:val="0"/>
          <w:color w:val="000000" w:themeColor="text1"/>
          <w:sz w:val="24"/>
          <w:szCs w:val="24"/>
        </w:rPr>
        <w:t>TS 2 sets out the methodology for calculating LIS thresholds. The LIS calculation is based on a threshold floor expressed as notional trade value in a given sub-asset class and the trade size which lies below the percentage of transactions corresponding to the trade percentile specified in the RTS for this sub-asset class.</w:t>
      </w:r>
    </w:p>
    <w:p w14:paraId="23A078FA" w14:textId="77777777" w:rsidR="006251B9" w:rsidRPr="006251B9" w:rsidRDefault="006251B9" w:rsidP="006251B9">
      <w:pPr>
        <w:pStyle w:val="CPQuestions"/>
        <w:numPr>
          <w:ilvl w:val="0"/>
          <w:numId w:val="0"/>
        </w:numPr>
        <w:ind w:left="720"/>
        <w:rPr>
          <w:rFonts w:ascii="Calibri" w:hAnsi="Calibri" w:cs="Calibri"/>
          <w:b w:val="0"/>
          <w:color w:val="000000" w:themeColor="text1"/>
          <w:sz w:val="24"/>
          <w:szCs w:val="24"/>
        </w:rPr>
      </w:pPr>
      <w:r w:rsidRPr="006251B9">
        <w:rPr>
          <w:rFonts w:ascii="Calibri" w:hAnsi="Calibri" w:cs="Calibri"/>
          <w:b w:val="0"/>
          <w:color w:val="000000" w:themeColor="text1"/>
          <w:sz w:val="24"/>
          <w:szCs w:val="24"/>
        </w:rPr>
        <w:t>However, this methodology has proven unworkable in practice, particularly with respect to energy commodity derivatives. Calculations based on insufficiently granular sub-asset classes, besides arbitrarily selected and inappropriately calibrated parameters, result in disproportionately low LIS thresholds for highly liquid products and overly high thresholds for developing markets. This could lead market participants to revert to more bilateral trading outside transparent and supervised venues and outside CCP clearing. To avoid this and allow for a more natural move to on venue trading, the current methodology for setting the LIS thresholds should be replaced by a more appropriately tailored and market-based approach.</w:t>
      </w:r>
    </w:p>
    <w:p w14:paraId="5E4DDB8C" w14:textId="77777777" w:rsidR="006251B9" w:rsidRPr="006251B9" w:rsidRDefault="006251B9" w:rsidP="006251B9">
      <w:pPr>
        <w:pStyle w:val="CPQuestions"/>
        <w:numPr>
          <w:ilvl w:val="0"/>
          <w:numId w:val="0"/>
        </w:numPr>
        <w:ind w:left="720"/>
        <w:rPr>
          <w:rFonts w:ascii="Calibri" w:hAnsi="Calibri" w:cs="Calibri"/>
          <w:b w:val="0"/>
          <w:color w:val="000000" w:themeColor="text1"/>
          <w:sz w:val="24"/>
          <w:szCs w:val="24"/>
        </w:rPr>
      </w:pPr>
      <w:r w:rsidRPr="006251B9">
        <w:rPr>
          <w:rFonts w:ascii="Calibri" w:hAnsi="Calibri" w:cs="Calibri"/>
          <w:b w:val="0"/>
          <w:color w:val="000000" w:themeColor="text1"/>
          <w:sz w:val="24"/>
          <w:szCs w:val="24"/>
        </w:rPr>
        <w:t>Trading venues and market participants are also challenged by the fact that the LIS thresholds are set in Euros instead of lots. Using lots has been the market standard for similar threshold calculations pre-</w:t>
      </w:r>
      <w:proofErr w:type="spellStart"/>
      <w:r w:rsidRPr="006251B9">
        <w:rPr>
          <w:rFonts w:ascii="Calibri" w:hAnsi="Calibri" w:cs="Calibri"/>
          <w:b w:val="0"/>
          <w:color w:val="000000" w:themeColor="text1"/>
          <w:sz w:val="24"/>
          <w:szCs w:val="24"/>
        </w:rPr>
        <w:t>MiFIR</w:t>
      </w:r>
      <w:proofErr w:type="spellEnd"/>
      <w:r w:rsidRPr="006251B9">
        <w:rPr>
          <w:rFonts w:ascii="Calibri" w:hAnsi="Calibri" w:cs="Calibri"/>
          <w:b w:val="0"/>
          <w:color w:val="000000" w:themeColor="text1"/>
          <w:sz w:val="24"/>
          <w:szCs w:val="24"/>
        </w:rPr>
        <w:t>. The current LIS thresholds based on historical Euro trade values and not the number of traded lots in a particular sub-asset class can create unintended and disproportionate LIS thresholds that ignore the actual underlying trading behaviour.</w:t>
      </w:r>
    </w:p>
    <w:p w14:paraId="6BEC63B2" w14:textId="77777777" w:rsidR="006251B9" w:rsidRPr="006251B9" w:rsidRDefault="006251B9" w:rsidP="006251B9">
      <w:pPr>
        <w:pStyle w:val="CPQuestions"/>
        <w:numPr>
          <w:ilvl w:val="0"/>
          <w:numId w:val="0"/>
        </w:numPr>
        <w:ind w:left="720"/>
        <w:rPr>
          <w:rFonts w:ascii="Calibri" w:hAnsi="Calibri" w:cs="Calibri"/>
          <w:b w:val="0"/>
          <w:color w:val="000000" w:themeColor="text1"/>
          <w:sz w:val="24"/>
          <w:szCs w:val="24"/>
        </w:rPr>
      </w:pPr>
      <w:r w:rsidRPr="006251B9">
        <w:rPr>
          <w:rFonts w:ascii="Calibri" w:hAnsi="Calibri" w:cs="Calibri"/>
          <w:b w:val="0"/>
          <w:color w:val="000000" w:themeColor="text1"/>
          <w:sz w:val="24"/>
          <w:szCs w:val="24"/>
        </w:rPr>
        <w:t xml:space="preserve">For example, the LIS threshold for highly liquid ICE Futures Europe Gasoil Futures calculated under the current RTS 2 methodology is equal to 10 lots compared to the 100 lots minimum block threshold previously applied before the introduction of </w:t>
      </w:r>
      <w:proofErr w:type="spellStart"/>
      <w:r w:rsidRPr="006251B9">
        <w:rPr>
          <w:rFonts w:ascii="Calibri" w:hAnsi="Calibri" w:cs="Calibri"/>
          <w:b w:val="0"/>
          <w:color w:val="000000" w:themeColor="text1"/>
          <w:sz w:val="24"/>
          <w:szCs w:val="24"/>
        </w:rPr>
        <w:t>MiFIR</w:t>
      </w:r>
      <w:proofErr w:type="spellEnd"/>
      <w:r w:rsidRPr="006251B9">
        <w:rPr>
          <w:rFonts w:ascii="Calibri" w:hAnsi="Calibri" w:cs="Calibri"/>
          <w:b w:val="0"/>
          <w:color w:val="000000" w:themeColor="text1"/>
          <w:sz w:val="24"/>
          <w:szCs w:val="24"/>
        </w:rPr>
        <w:t xml:space="preserve">. In contrast, in far </w:t>
      </w:r>
      <w:proofErr w:type="gramStart"/>
      <w:r w:rsidRPr="006251B9">
        <w:rPr>
          <w:rFonts w:ascii="Calibri" w:hAnsi="Calibri" w:cs="Calibri"/>
          <w:b w:val="0"/>
          <w:color w:val="000000" w:themeColor="text1"/>
          <w:sz w:val="24"/>
          <w:szCs w:val="24"/>
        </w:rPr>
        <w:t>less</w:t>
      </w:r>
      <w:proofErr w:type="gramEnd"/>
      <w:r w:rsidRPr="006251B9">
        <w:rPr>
          <w:rFonts w:ascii="Calibri" w:hAnsi="Calibri" w:cs="Calibri"/>
          <w:b w:val="0"/>
          <w:color w:val="000000" w:themeColor="text1"/>
          <w:sz w:val="24"/>
          <w:szCs w:val="24"/>
        </w:rPr>
        <w:t xml:space="preserve"> liquid products such as Rotterdam Coal Options, only trades above 50 lots would be considered LIS as compared to the 5 lots block threshold pre-</w:t>
      </w:r>
      <w:proofErr w:type="spellStart"/>
      <w:r w:rsidRPr="006251B9">
        <w:rPr>
          <w:rFonts w:ascii="Calibri" w:hAnsi="Calibri" w:cs="Calibri"/>
          <w:b w:val="0"/>
          <w:color w:val="000000" w:themeColor="text1"/>
          <w:sz w:val="24"/>
          <w:szCs w:val="24"/>
        </w:rPr>
        <w:t>MiFIR</w:t>
      </w:r>
      <w:proofErr w:type="spellEnd"/>
      <w:r w:rsidRPr="006251B9">
        <w:rPr>
          <w:rFonts w:ascii="Calibri" w:hAnsi="Calibri" w:cs="Calibri"/>
          <w:b w:val="0"/>
          <w:color w:val="000000" w:themeColor="text1"/>
          <w:sz w:val="24"/>
          <w:szCs w:val="24"/>
        </w:rPr>
        <w:t>.</w:t>
      </w:r>
    </w:p>
    <w:p w14:paraId="66B99BB2" w14:textId="77777777" w:rsidR="006251B9" w:rsidRPr="006251B9" w:rsidRDefault="006251B9" w:rsidP="006251B9">
      <w:pPr>
        <w:spacing w:line="276" w:lineRule="auto"/>
        <w:ind w:firstLine="720"/>
        <w:jc w:val="both"/>
        <w:rPr>
          <w:rFonts w:ascii="Calibri" w:hAnsi="Calibri" w:cs="Calibri"/>
          <w:color w:val="000000" w:themeColor="text1"/>
          <w:sz w:val="24"/>
        </w:rPr>
      </w:pPr>
      <w:r w:rsidRPr="006251B9">
        <w:rPr>
          <w:rFonts w:ascii="Calibri" w:hAnsi="Calibri" w:cs="Calibri"/>
          <w:color w:val="000000" w:themeColor="text1"/>
          <w:sz w:val="24"/>
        </w:rPr>
        <w:t>Europex proposes the following solution:</w:t>
      </w:r>
    </w:p>
    <w:p w14:paraId="7996FB90" w14:textId="77777777" w:rsidR="006251B9" w:rsidRPr="006251B9" w:rsidRDefault="006251B9" w:rsidP="006251B9">
      <w:pPr>
        <w:spacing w:line="276" w:lineRule="auto"/>
        <w:ind w:left="720"/>
        <w:jc w:val="both"/>
        <w:rPr>
          <w:rFonts w:ascii="Calibri" w:hAnsi="Calibri" w:cs="Calibri"/>
          <w:color w:val="000000" w:themeColor="text1"/>
          <w:sz w:val="24"/>
        </w:rPr>
      </w:pPr>
    </w:p>
    <w:p w14:paraId="303DC5D7" w14:textId="77777777" w:rsidR="006251B9" w:rsidRPr="006251B9" w:rsidRDefault="006251B9" w:rsidP="006251B9">
      <w:pPr>
        <w:spacing w:line="276" w:lineRule="auto"/>
        <w:ind w:left="720"/>
        <w:jc w:val="both"/>
        <w:rPr>
          <w:rFonts w:ascii="Calibri" w:hAnsi="Calibri" w:cs="Calibri"/>
          <w:color w:val="000000" w:themeColor="text1"/>
          <w:sz w:val="24"/>
          <w:u w:val="single"/>
        </w:rPr>
      </w:pPr>
      <w:r w:rsidRPr="006251B9">
        <w:rPr>
          <w:rFonts w:ascii="Calibri" w:hAnsi="Calibri" w:cs="Calibri"/>
          <w:b/>
          <w:bCs/>
          <w:color w:val="000000" w:themeColor="text1"/>
          <w:sz w:val="24"/>
          <w:u w:val="single"/>
        </w:rPr>
        <w:t>Replace the current RTS 2 methodology with a product-specific approach for calculating LIS and IL waiver thresholds</w:t>
      </w:r>
    </w:p>
    <w:p w14:paraId="4CDB8CC4" w14:textId="77777777" w:rsidR="006251B9" w:rsidRPr="006251B9" w:rsidRDefault="006251B9" w:rsidP="006251B9">
      <w:pPr>
        <w:spacing w:line="276" w:lineRule="auto"/>
        <w:ind w:left="720"/>
        <w:jc w:val="both"/>
        <w:rPr>
          <w:rFonts w:ascii="Calibri" w:hAnsi="Calibri" w:cs="Calibri"/>
          <w:color w:val="000000" w:themeColor="text1"/>
          <w:sz w:val="24"/>
        </w:rPr>
      </w:pPr>
    </w:p>
    <w:p w14:paraId="1DB415DE"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Europex first proposes replacing the current methodology for calculating LIS and IL waiver thresholds for commodity derivatives with a product-specific approach based on well-established practices of trading venues. Below we emphasize several key principles as a basis for developing a workable method:</w:t>
      </w:r>
    </w:p>
    <w:p w14:paraId="20B7B73F" w14:textId="77777777" w:rsidR="006251B9" w:rsidRPr="006251B9" w:rsidRDefault="006251B9" w:rsidP="006251B9">
      <w:pPr>
        <w:spacing w:line="276" w:lineRule="auto"/>
        <w:ind w:left="720"/>
        <w:jc w:val="both"/>
        <w:rPr>
          <w:rFonts w:ascii="Calibri" w:hAnsi="Calibri" w:cs="Calibri"/>
          <w:color w:val="000000" w:themeColor="text1"/>
          <w:sz w:val="24"/>
        </w:rPr>
      </w:pPr>
    </w:p>
    <w:p w14:paraId="42FDBE4F" w14:textId="77777777" w:rsidR="006251B9" w:rsidRPr="006251B9" w:rsidRDefault="006251B9" w:rsidP="006251B9">
      <w:pPr>
        <w:pStyle w:val="ListParagraph"/>
        <w:numPr>
          <w:ilvl w:val="0"/>
          <w:numId w:val="44"/>
        </w:numPr>
        <w:spacing w:line="276" w:lineRule="auto"/>
        <w:jc w:val="both"/>
        <w:rPr>
          <w:rFonts w:ascii="Calibri" w:hAnsi="Calibri" w:cs="Calibri"/>
          <w:b/>
          <w:bCs/>
          <w:color w:val="000000" w:themeColor="text1"/>
          <w:sz w:val="24"/>
        </w:rPr>
      </w:pPr>
      <w:r w:rsidRPr="006251B9">
        <w:rPr>
          <w:rFonts w:ascii="Calibri" w:hAnsi="Calibri" w:cs="Calibri"/>
          <w:b/>
          <w:bCs/>
          <w:color w:val="000000" w:themeColor="text1"/>
          <w:sz w:val="24"/>
        </w:rPr>
        <w:lastRenderedPageBreak/>
        <w:t>Exclusion of price from the calculation of LIS thresholds</w:t>
      </w:r>
    </w:p>
    <w:p w14:paraId="1B7AAF0C" w14:textId="77777777" w:rsidR="006251B9" w:rsidRPr="006251B9" w:rsidRDefault="006251B9" w:rsidP="006251B9">
      <w:pPr>
        <w:pStyle w:val="NormalWeb"/>
        <w:spacing w:line="276" w:lineRule="auto"/>
        <w:ind w:left="720"/>
        <w:jc w:val="both"/>
        <w:rPr>
          <w:rFonts w:ascii="Calibri" w:hAnsi="Calibri" w:cs="Calibri"/>
          <w:color w:val="000000" w:themeColor="text1"/>
        </w:rPr>
      </w:pPr>
      <w:proofErr w:type="spellStart"/>
      <w:r w:rsidRPr="006251B9">
        <w:rPr>
          <w:rFonts w:ascii="Calibri" w:hAnsi="Calibri" w:cs="Calibri"/>
          <w:color w:val="000000" w:themeColor="text1"/>
        </w:rPr>
        <w:t>Importantly</w:t>
      </w:r>
      <w:proofErr w:type="spellEnd"/>
      <w:r w:rsidRPr="006251B9">
        <w:rPr>
          <w:rFonts w:ascii="Calibri" w:hAnsi="Calibri" w:cs="Calibri"/>
          <w:color w:val="000000" w:themeColor="text1"/>
        </w:rPr>
        <w:t xml:space="preserve">, the inclusion of </w:t>
      </w:r>
      <w:proofErr w:type="spellStart"/>
      <w:r w:rsidRPr="006251B9">
        <w:rPr>
          <w:rFonts w:ascii="Calibri" w:hAnsi="Calibri" w:cs="Calibri"/>
          <w:color w:val="000000" w:themeColor="text1"/>
        </w:rPr>
        <w:t>price</w:t>
      </w:r>
      <w:proofErr w:type="spellEnd"/>
      <w:r w:rsidRPr="006251B9">
        <w:rPr>
          <w:rFonts w:ascii="Calibri" w:hAnsi="Calibri" w:cs="Calibri"/>
          <w:color w:val="000000" w:themeColor="text1"/>
        </w:rPr>
        <w:t xml:space="preserve"> in the </w:t>
      </w:r>
      <w:proofErr w:type="spellStart"/>
      <w:r w:rsidRPr="006251B9">
        <w:rPr>
          <w:rFonts w:ascii="Calibri" w:hAnsi="Calibri" w:cs="Calibri"/>
          <w:color w:val="000000" w:themeColor="text1"/>
        </w:rPr>
        <w:t>calculation</w:t>
      </w:r>
      <w:proofErr w:type="spellEnd"/>
      <w:r w:rsidRPr="006251B9">
        <w:rPr>
          <w:rFonts w:ascii="Calibri" w:hAnsi="Calibri" w:cs="Calibri"/>
          <w:color w:val="000000" w:themeColor="text1"/>
        </w:rPr>
        <w:t xml:space="preserve"> of the ILQ and LIS </w:t>
      </w:r>
      <w:proofErr w:type="spellStart"/>
      <w:r w:rsidRPr="006251B9">
        <w:rPr>
          <w:rFonts w:ascii="Calibri" w:hAnsi="Calibri" w:cs="Calibri"/>
          <w:color w:val="000000" w:themeColor="text1"/>
        </w:rPr>
        <w:t>threshold</w:t>
      </w:r>
      <w:proofErr w:type="spellEnd"/>
      <w:r w:rsidRPr="006251B9">
        <w:rPr>
          <w:rFonts w:ascii="Calibri" w:hAnsi="Calibri" w:cs="Calibri"/>
          <w:color w:val="000000" w:themeColor="text1"/>
        </w:rPr>
        <w:t xml:space="preserve"> values </w:t>
      </w:r>
      <w:proofErr w:type="spellStart"/>
      <w:r w:rsidRPr="006251B9">
        <w:rPr>
          <w:rFonts w:ascii="Calibri" w:hAnsi="Calibri" w:cs="Calibri"/>
          <w:color w:val="000000" w:themeColor="text1"/>
        </w:rPr>
        <w:t>can</w:t>
      </w:r>
      <w:proofErr w:type="spellEnd"/>
      <w:r w:rsidRPr="006251B9">
        <w:rPr>
          <w:rFonts w:ascii="Calibri" w:hAnsi="Calibri" w:cs="Calibri"/>
          <w:color w:val="000000" w:themeColor="text1"/>
        </w:rPr>
        <w:t xml:space="preserve"> lead to </w:t>
      </w:r>
      <w:proofErr w:type="spellStart"/>
      <w:r w:rsidRPr="006251B9">
        <w:rPr>
          <w:rFonts w:ascii="Calibri" w:hAnsi="Calibri" w:cs="Calibri"/>
          <w:color w:val="000000" w:themeColor="text1"/>
        </w:rPr>
        <w:t>misinterpretations</w:t>
      </w:r>
      <w:proofErr w:type="spellEnd"/>
      <w:r w:rsidRPr="006251B9">
        <w:rPr>
          <w:rFonts w:ascii="Calibri" w:hAnsi="Calibri" w:cs="Calibri"/>
          <w:color w:val="000000" w:themeColor="text1"/>
        </w:rPr>
        <w:t xml:space="preserve"> and confusion </w:t>
      </w:r>
      <w:proofErr w:type="spellStart"/>
      <w:r w:rsidRPr="006251B9">
        <w:rPr>
          <w:rFonts w:ascii="Calibri" w:hAnsi="Calibri" w:cs="Calibri"/>
          <w:color w:val="000000" w:themeColor="text1"/>
        </w:rPr>
        <w:t>when</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measuring</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in instruments </w:t>
      </w:r>
      <w:proofErr w:type="spellStart"/>
      <w:r w:rsidRPr="006251B9">
        <w:rPr>
          <w:rFonts w:ascii="Calibri" w:hAnsi="Calibri" w:cs="Calibri"/>
          <w:color w:val="000000" w:themeColor="text1"/>
        </w:rPr>
        <w:t>that</w:t>
      </w:r>
      <w:proofErr w:type="spellEnd"/>
      <w:r w:rsidRPr="006251B9">
        <w:rPr>
          <w:rFonts w:ascii="Calibri" w:hAnsi="Calibri" w:cs="Calibri"/>
          <w:color w:val="000000" w:themeColor="text1"/>
        </w:rPr>
        <w:t xml:space="preserve"> are not </w:t>
      </w:r>
      <w:proofErr w:type="spellStart"/>
      <w:r w:rsidRPr="006251B9">
        <w:rPr>
          <w:rFonts w:ascii="Calibri" w:hAnsi="Calibri" w:cs="Calibri"/>
          <w:color w:val="000000" w:themeColor="text1"/>
        </w:rPr>
        <w:t>natively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defined</w:t>
      </w:r>
      <w:proofErr w:type="spellEnd"/>
      <w:r w:rsidRPr="006251B9">
        <w:rPr>
          <w:rFonts w:ascii="Calibri" w:hAnsi="Calibri" w:cs="Calibri"/>
          <w:color w:val="000000" w:themeColor="text1"/>
        </w:rPr>
        <w:t xml:space="preserve"> in </w:t>
      </w:r>
      <w:proofErr w:type="spellStart"/>
      <w:r w:rsidRPr="006251B9">
        <w:rPr>
          <w:rFonts w:ascii="Calibri" w:hAnsi="Calibri" w:cs="Calibri"/>
          <w:color w:val="000000" w:themeColor="text1"/>
        </w:rPr>
        <w:t>notional</w:t>
      </w:r>
      <w:proofErr w:type="spellEnd"/>
      <w:r w:rsidRPr="006251B9">
        <w:rPr>
          <w:rFonts w:ascii="Calibri" w:hAnsi="Calibri" w:cs="Calibri"/>
          <w:color w:val="000000" w:themeColor="text1"/>
        </w:rPr>
        <w:t xml:space="preserve"> value. This </w:t>
      </w:r>
      <w:proofErr w:type="spellStart"/>
      <w:r w:rsidRPr="006251B9">
        <w:rPr>
          <w:rFonts w:ascii="Calibri" w:hAnsi="Calibri" w:cs="Calibri"/>
          <w:color w:val="000000" w:themeColor="text1"/>
        </w:rPr>
        <w:t>can</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result</w:t>
      </w:r>
      <w:proofErr w:type="spellEnd"/>
      <w:r w:rsidRPr="006251B9">
        <w:rPr>
          <w:rFonts w:ascii="Calibri" w:hAnsi="Calibri" w:cs="Calibri"/>
          <w:color w:val="000000" w:themeColor="text1"/>
        </w:rPr>
        <w:t xml:space="preserve"> in situations </w:t>
      </w:r>
      <w:proofErr w:type="spellStart"/>
      <w:r w:rsidRPr="006251B9">
        <w:rPr>
          <w:rFonts w:ascii="Calibri" w:hAnsi="Calibri" w:cs="Calibri"/>
          <w:color w:val="000000" w:themeColor="text1"/>
        </w:rPr>
        <w:t>like</w:t>
      </w:r>
      <w:proofErr w:type="spellEnd"/>
      <w:r w:rsidRPr="006251B9">
        <w:rPr>
          <w:rFonts w:ascii="Calibri" w:hAnsi="Calibri" w:cs="Calibri"/>
          <w:color w:val="000000" w:themeColor="text1"/>
        </w:rPr>
        <w:t xml:space="preserve"> the </w:t>
      </w:r>
      <w:proofErr w:type="spellStart"/>
      <w:proofErr w:type="gramStart"/>
      <w:r w:rsidRPr="006251B9">
        <w:rPr>
          <w:rFonts w:ascii="Calibri" w:hAnsi="Calibri" w:cs="Calibri"/>
          <w:color w:val="000000" w:themeColor="text1"/>
        </w:rPr>
        <w:t>following</w:t>
      </w:r>
      <w:proofErr w:type="spellEnd"/>
      <w:r w:rsidRPr="006251B9">
        <w:rPr>
          <w:rFonts w:ascii="Calibri" w:hAnsi="Calibri" w:cs="Calibri"/>
          <w:color w:val="000000" w:themeColor="text1"/>
        </w:rPr>
        <w:t>:</w:t>
      </w:r>
      <w:proofErr w:type="gramEnd"/>
      <w:r w:rsidRPr="006251B9">
        <w:rPr>
          <w:rFonts w:ascii="Calibri" w:hAnsi="Calibri" w:cs="Calibri"/>
          <w:color w:val="000000" w:themeColor="text1"/>
        </w:rPr>
        <w:t xml:space="preserve"> </w:t>
      </w:r>
    </w:p>
    <w:p w14:paraId="4C9A2ABD" w14:textId="77777777" w:rsidR="006251B9" w:rsidRPr="006251B9" w:rsidRDefault="006251B9" w:rsidP="006251B9">
      <w:pPr>
        <w:pStyle w:val="NormalWeb"/>
        <w:numPr>
          <w:ilvl w:val="0"/>
          <w:numId w:val="43"/>
        </w:numPr>
        <w:spacing w:before="280" w:after="0" w:line="276" w:lineRule="auto"/>
        <w:jc w:val="both"/>
        <w:rPr>
          <w:rFonts w:ascii="Calibri" w:hAnsi="Calibri" w:cs="Calibri"/>
          <w:color w:val="000000" w:themeColor="text1"/>
        </w:rPr>
      </w:pPr>
      <w:r w:rsidRPr="006251B9">
        <w:rPr>
          <w:rFonts w:ascii="Calibri" w:hAnsi="Calibri" w:cs="Calibri"/>
          <w:color w:val="000000" w:themeColor="text1"/>
        </w:rPr>
        <w:t xml:space="preserve">Price </w:t>
      </w:r>
      <w:proofErr w:type="spellStart"/>
      <w:r w:rsidRPr="006251B9">
        <w:rPr>
          <w:rFonts w:ascii="Calibri" w:hAnsi="Calibri" w:cs="Calibri"/>
          <w:color w:val="000000" w:themeColor="text1"/>
        </w:rPr>
        <w:t>movements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occurring</w:t>
      </w:r>
      <w:proofErr w:type="spellEnd"/>
      <w:r w:rsidRPr="006251B9">
        <w:rPr>
          <w:rFonts w:ascii="Calibri" w:hAnsi="Calibri" w:cs="Calibri"/>
          <w:color w:val="000000" w:themeColor="text1"/>
        </w:rPr>
        <w:t xml:space="preserve"> in the </w:t>
      </w:r>
      <w:proofErr w:type="spellStart"/>
      <w:r w:rsidRPr="006251B9">
        <w:rPr>
          <w:rFonts w:ascii="Calibri" w:hAnsi="Calibri" w:cs="Calibri"/>
          <w:color w:val="000000" w:themeColor="text1"/>
        </w:rPr>
        <w:t>same</w:t>
      </w:r>
      <w:proofErr w:type="spellEnd"/>
      <w:r w:rsidRPr="006251B9">
        <w:rPr>
          <w:rFonts w:ascii="Calibri" w:hAnsi="Calibri" w:cs="Calibri"/>
          <w:color w:val="000000" w:themeColor="text1"/>
        </w:rPr>
        <w:t xml:space="preserve"> direction as changes in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exaggerate</w:t>
      </w:r>
      <w:proofErr w:type="spellEnd"/>
      <w:r w:rsidRPr="006251B9">
        <w:rPr>
          <w:rFonts w:ascii="Calibri" w:hAnsi="Calibri" w:cs="Calibri"/>
          <w:color w:val="000000" w:themeColor="text1"/>
        </w:rPr>
        <w:t xml:space="preserve"> the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roofErr w:type="gramStart"/>
      <w:r w:rsidRPr="006251B9">
        <w:rPr>
          <w:rFonts w:ascii="Calibri" w:hAnsi="Calibri" w:cs="Calibri"/>
          <w:color w:val="000000" w:themeColor="text1"/>
        </w:rPr>
        <w:t>changes;</w:t>
      </w:r>
      <w:proofErr w:type="gramEnd"/>
      <w:r w:rsidRPr="006251B9">
        <w:rPr>
          <w:rFonts w:ascii="Calibri" w:hAnsi="Calibri" w:cs="Calibri"/>
          <w:color w:val="000000" w:themeColor="text1"/>
        </w:rPr>
        <w:t xml:space="preserve"> </w:t>
      </w:r>
    </w:p>
    <w:p w14:paraId="51666429" w14:textId="77777777" w:rsidR="006251B9" w:rsidRPr="006251B9" w:rsidRDefault="006251B9" w:rsidP="006251B9">
      <w:pPr>
        <w:pStyle w:val="NormalWeb"/>
        <w:numPr>
          <w:ilvl w:val="0"/>
          <w:numId w:val="43"/>
        </w:numPr>
        <w:spacing w:before="280" w:after="0" w:line="276" w:lineRule="auto"/>
        <w:jc w:val="both"/>
        <w:rPr>
          <w:rFonts w:ascii="Calibri" w:hAnsi="Calibri" w:cs="Calibri"/>
          <w:color w:val="000000" w:themeColor="text1"/>
        </w:rPr>
      </w:pPr>
      <w:r w:rsidRPr="006251B9">
        <w:rPr>
          <w:rFonts w:ascii="Calibri" w:hAnsi="Calibri" w:cs="Calibri"/>
          <w:color w:val="000000" w:themeColor="text1"/>
        </w:rPr>
        <w:t xml:space="preserve">Price </w:t>
      </w:r>
      <w:proofErr w:type="spellStart"/>
      <w:r w:rsidRPr="006251B9">
        <w:rPr>
          <w:rFonts w:ascii="Calibri" w:hAnsi="Calibri" w:cs="Calibri"/>
          <w:color w:val="000000" w:themeColor="text1"/>
        </w:rPr>
        <w:t>movements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which</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occur</w:t>
      </w:r>
      <w:proofErr w:type="spellEnd"/>
      <w:r w:rsidRPr="006251B9">
        <w:rPr>
          <w:rFonts w:ascii="Calibri" w:hAnsi="Calibri" w:cs="Calibri"/>
          <w:color w:val="000000" w:themeColor="text1"/>
        </w:rPr>
        <w:t xml:space="preserve"> in the opposite direction mute the change in </w:t>
      </w:r>
      <w:proofErr w:type="spellStart"/>
      <w:proofErr w:type="gramStart"/>
      <w:r w:rsidRPr="006251B9">
        <w:rPr>
          <w:rFonts w:ascii="Calibri" w:hAnsi="Calibri" w:cs="Calibri"/>
          <w:color w:val="000000" w:themeColor="text1"/>
        </w:rPr>
        <w:t>liquidity</w:t>
      </w:r>
      <w:proofErr w:type="spellEnd"/>
      <w:r w:rsidRPr="006251B9">
        <w:rPr>
          <w:rFonts w:ascii="Calibri" w:hAnsi="Calibri" w:cs="Calibri"/>
          <w:color w:val="000000" w:themeColor="text1"/>
        </w:rPr>
        <w:t>;</w:t>
      </w:r>
      <w:proofErr w:type="gramEnd"/>
      <w:r w:rsidRPr="006251B9">
        <w:rPr>
          <w:rFonts w:ascii="Calibri" w:hAnsi="Calibri" w:cs="Calibri"/>
          <w:color w:val="000000" w:themeColor="text1"/>
        </w:rPr>
        <w:t xml:space="preserve"> and </w:t>
      </w:r>
    </w:p>
    <w:p w14:paraId="601D4804" w14:textId="77777777" w:rsidR="006251B9" w:rsidRPr="006251B9" w:rsidRDefault="006251B9" w:rsidP="006251B9">
      <w:pPr>
        <w:pStyle w:val="NormalWeb"/>
        <w:numPr>
          <w:ilvl w:val="0"/>
          <w:numId w:val="43"/>
        </w:numPr>
        <w:spacing w:before="0" w:after="0" w:line="276" w:lineRule="auto"/>
        <w:jc w:val="both"/>
        <w:rPr>
          <w:rFonts w:ascii="Calibri" w:hAnsi="Calibri" w:cs="Calibri"/>
          <w:color w:val="000000" w:themeColor="text1"/>
        </w:rPr>
      </w:pPr>
      <w:r w:rsidRPr="006251B9">
        <w:rPr>
          <w:rFonts w:ascii="Calibri" w:hAnsi="Calibri" w:cs="Calibri"/>
          <w:color w:val="000000" w:themeColor="text1"/>
        </w:rPr>
        <w:t xml:space="preserve">Price </w:t>
      </w:r>
      <w:proofErr w:type="spellStart"/>
      <w:r w:rsidRPr="006251B9">
        <w:rPr>
          <w:rFonts w:ascii="Calibri" w:hAnsi="Calibri" w:cs="Calibri"/>
          <w:color w:val="000000" w:themeColor="text1"/>
        </w:rPr>
        <w:t>movements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without</w:t>
      </w:r>
      <w:proofErr w:type="spellEnd"/>
      <w:r w:rsidRPr="006251B9">
        <w:rPr>
          <w:rFonts w:ascii="Calibri" w:hAnsi="Calibri" w:cs="Calibri"/>
          <w:color w:val="000000" w:themeColor="text1"/>
        </w:rPr>
        <w:t xml:space="preserve"> a </w:t>
      </w:r>
      <w:proofErr w:type="spellStart"/>
      <w:r w:rsidRPr="006251B9">
        <w:rPr>
          <w:rFonts w:ascii="Calibri" w:hAnsi="Calibri" w:cs="Calibri"/>
          <w:color w:val="000000" w:themeColor="text1"/>
        </w:rPr>
        <w:t>change</w:t>
      </w:r>
      <w:proofErr w:type="spellEnd"/>
      <w:r w:rsidRPr="006251B9">
        <w:rPr>
          <w:rFonts w:ascii="Calibri" w:hAnsi="Calibri" w:cs="Calibri"/>
          <w:color w:val="000000" w:themeColor="text1"/>
        </w:rPr>
        <w:t xml:space="preserve"> in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make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appear</w:t>
      </w:r>
      <w:proofErr w:type="spellEnd"/>
      <w:r w:rsidRPr="006251B9">
        <w:rPr>
          <w:rFonts w:ascii="Calibri" w:hAnsi="Calibri" w:cs="Calibri"/>
          <w:color w:val="000000" w:themeColor="text1"/>
        </w:rPr>
        <w:t xml:space="preserve"> more volatile </w:t>
      </w:r>
      <w:proofErr w:type="spellStart"/>
      <w:r w:rsidRPr="006251B9">
        <w:rPr>
          <w:rFonts w:ascii="Calibri" w:hAnsi="Calibri" w:cs="Calibri"/>
          <w:color w:val="000000" w:themeColor="text1"/>
        </w:rPr>
        <w:t>than</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it</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actually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is</w:t>
      </w:r>
      <w:proofErr w:type="spellEnd"/>
      <w:r w:rsidRPr="006251B9">
        <w:rPr>
          <w:rFonts w:ascii="Calibri" w:hAnsi="Calibri" w:cs="Calibri"/>
          <w:color w:val="000000" w:themeColor="text1"/>
        </w:rPr>
        <w:t xml:space="preserve">. </w:t>
      </w:r>
    </w:p>
    <w:p w14:paraId="5E60BA76" w14:textId="77777777" w:rsidR="006251B9" w:rsidRPr="006251B9" w:rsidRDefault="006251B9" w:rsidP="006251B9">
      <w:pPr>
        <w:pStyle w:val="NormalWeb"/>
        <w:spacing w:before="0" w:after="0" w:line="276" w:lineRule="auto"/>
        <w:ind w:left="720"/>
        <w:jc w:val="both"/>
        <w:rPr>
          <w:rFonts w:ascii="Calibri" w:hAnsi="Calibri" w:cs="Calibri"/>
          <w:color w:val="000000" w:themeColor="text1"/>
        </w:rPr>
      </w:pPr>
      <w:proofErr w:type="spellStart"/>
      <w:r w:rsidRPr="006251B9">
        <w:rPr>
          <w:rFonts w:ascii="Calibri" w:hAnsi="Calibri" w:cs="Calibri"/>
          <w:b/>
          <w:bCs/>
          <w:color w:val="000000" w:themeColor="text1"/>
        </w:rPr>
        <w:t>Liquidity</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should</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therefore</w:t>
      </w:r>
      <w:proofErr w:type="spellEnd"/>
      <w:r w:rsidRPr="006251B9">
        <w:rPr>
          <w:rFonts w:ascii="Calibri" w:hAnsi="Calibri" w:cs="Calibri"/>
          <w:b/>
          <w:bCs/>
          <w:color w:val="000000" w:themeColor="text1"/>
        </w:rPr>
        <w:t xml:space="preserve"> not </w:t>
      </w:r>
      <w:proofErr w:type="spellStart"/>
      <w:r w:rsidRPr="006251B9">
        <w:rPr>
          <w:rFonts w:ascii="Calibri" w:hAnsi="Calibri" w:cs="Calibri"/>
          <w:b/>
          <w:bCs/>
          <w:color w:val="000000" w:themeColor="text1"/>
        </w:rPr>
        <w:t>be</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measured</w:t>
      </w:r>
      <w:proofErr w:type="spellEnd"/>
      <w:r w:rsidRPr="006251B9">
        <w:rPr>
          <w:rFonts w:ascii="Calibri" w:hAnsi="Calibri" w:cs="Calibri"/>
          <w:b/>
          <w:bCs/>
          <w:color w:val="000000" w:themeColor="text1"/>
        </w:rPr>
        <w:t xml:space="preserve"> by the </w:t>
      </w:r>
      <w:proofErr w:type="spellStart"/>
      <w:r w:rsidRPr="006251B9">
        <w:rPr>
          <w:rFonts w:ascii="Calibri" w:hAnsi="Calibri" w:cs="Calibri"/>
          <w:b/>
          <w:bCs/>
          <w:color w:val="000000" w:themeColor="text1"/>
        </w:rPr>
        <w:t>notional</w:t>
      </w:r>
      <w:proofErr w:type="spellEnd"/>
      <w:r w:rsidRPr="006251B9">
        <w:rPr>
          <w:rFonts w:ascii="Calibri" w:hAnsi="Calibri" w:cs="Calibri"/>
          <w:b/>
          <w:bCs/>
          <w:color w:val="000000" w:themeColor="text1"/>
        </w:rPr>
        <w:t xml:space="preserve"> value of transactions. </w:t>
      </w:r>
      <w:proofErr w:type="spellStart"/>
      <w:r w:rsidRPr="006251B9">
        <w:rPr>
          <w:rFonts w:ascii="Calibri" w:hAnsi="Calibri" w:cs="Calibri"/>
          <w:color w:val="000000" w:themeColor="text1"/>
        </w:rPr>
        <w:t>Applying</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notional</w:t>
      </w:r>
      <w:proofErr w:type="spellEnd"/>
      <w:r w:rsidRPr="006251B9">
        <w:rPr>
          <w:rFonts w:ascii="Calibri" w:hAnsi="Calibri" w:cs="Calibri"/>
          <w:color w:val="000000" w:themeColor="text1"/>
        </w:rPr>
        <w:t xml:space="preserve"> value as per the ADNA (</w:t>
      </w:r>
      <w:proofErr w:type="spellStart"/>
      <w:r w:rsidRPr="006251B9">
        <w:rPr>
          <w:rFonts w:ascii="Calibri" w:hAnsi="Calibri" w:cs="Calibri"/>
          <w:color w:val="000000" w:themeColor="text1"/>
        </w:rPr>
        <w:t>Average</w:t>
      </w:r>
      <w:proofErr w:type="spellEnd"/>
      <w:r w:rsidRPr="006251B9">
        <w:rPr>
          <w:rFonts w:ascii="Calibri" w:hAnsi="Calibri" w:cs="Calibri"/>
          <w:color w:val="000000" w:themeColor="text1"/>
        </w:rPr>
        <w:t xml:space="preserve"> Daily </w:t>
      </w:r>
      <w:proofErr w:type="spellStart"/>
      <w:r w:rsidRPr="006251B9">
        <w:rPr>
          <w:rFonts w:ascii="Calibri" w:hAnsi="Calibri" w:cs="Calibri"/>
          <w:color w:val="000000" w:themeColor="text1"/>
        </w:rPr>
        <w:t>Notional</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Amount</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across</w:t>
      </w:r>
      <w:proofErr w:type="spellEnd"/>
      <w:r w:rsidRPr="006251B9">
        <w:rPr>
          <w:rFonts w:ascii="Calibri" w:hAnsi="Calibri" w:cs="Calibri"/>
          <w:color w:val="000000" w:themeColor="text1"/>
        </w:rPr>
        <w:t xml:space="preserve"> all </w:t>
      </w:r>
      <w:proofErr w:type="spellStart"/>
      <w:r w:rsidRPr="006251B9">
        <w:rPr>
          <w:rFonts w:ascii="Calibri" w:hAnsi="Calibri" w:cs="Calibri"/>
          <w:color w:val="000000" w:themeColor="text1"/>
        </w:rPr>
        <w:t>asset</w:t>
      </w:r>
      <w:proofErr w:type="spellEnd"/>
      <w:r w:rsidRPr="006251B9">
        <w:rPr>
          <w:rFonts w:ascii="Calibri" w:hAnsi="Calibri" w:cs="Calibri"/>
          <w:color w:val="000000" w:themeColor="text1"/>
        </w:rPr>
        <w:t xml:space="preserve"> classes </w:t>
      </w:r>
      <w:proofErr w:type="spellStart"/>
      <w:r w:rsidRPr="006251B9">
        <w:rPr>
          <w:rFonts w:ascii="Calibri" w:hAnsi="Calibri" w:cs="Calibri"/>
          <w:color w:val="000000" w:themeColor="text1"/>
        </w:rPr>
        <w:t>is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likely</w:t>
      </w:r>
      <w:proofErr w:type="spellEnd"/>
      <w:r w:rsidRPr="006251B9">
        <w:rPr>
          <w:rFonts w:ascii="Calibri" w:hAnsi="Calibri" w:cs="Calibri"/>
          <w:color w:val="000000" w:themeColor="text1"/>
        </w:rPr>
        <w:t xml:space="preserve"> to </w:t>
      </w:r>
      <w:proofErr w:type="spellStart"/>
      <w:r w:rsidRPr="006251B9">
        <w:rPr>
          <w:rFonts w:ascii="Calibri" w:hAnsi="Calibri" w:cs="Calibri"/>
          <w:color w:val="000000" w:themeColor="text1"/>
        </w:rPr>
        <w:t>introduce</w:t>
      </w:r>
      <w:proofErr w:type="spellEnd"/>
      <w:r w:rsidRPr="006251B9">
        <w:rPr>
          <w:rFonts w:ascii="Calibri" w:hAnsi="Calibri" w:cs="Calibri"/>
          <w:color w:val="000000" w:themeColor="text1"/>
        </w:rPr>
        <w:t xml:space="preserve"> a </w:t>
      </w:r>
      <w:proofErr w:type="spellStart"/>
      <w:r w:rsidRPr="006251B9">
        <w:rPr>
          <w:rFonts w:ascii="Calibri" w:hAnsi="Calibri" w:cs="Calibri"/>
          <w:color w:val="000000" w:themeColor="text1"/>
        </w:rPr>
        <w:t>significant</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amount</w:t>
      </w:r>
      <w:proofErr w:type="spellEnd"/>
      <w:r w:rsidRPr="006251B9">
        <w:rPr>
          <w:rFonts w:ascii="Calibri" w:hAnsi="Calibri" w:cs="Calibri"/>
          <w:color w:val="000000" w:themeColor="text1"/>
        </w:rPr>
        <w:t xml:space="preserve"> of ‘noise’ to an </w:t>
      </w:r>
      <w:proofErr w:type="spellStart"/>
      <w:r w:rsidRPr="006251B9">
        <w:rPr>
          <w:rFonts w:ascii="Calibri" w:hAnsi="Calibri" w:cs="Calibri"/>
          <w:color w:val="000000" w:themeColor="text1"/>
        </w:rPr>
        <w:t>analysis</w:t>
      </w:r>
      <w:proofErr w:type="spellEnd"/>
      <w:r w:rsidRPr="006251B9">
        <w:rPr>
          <w:rFonts w:ascii="Calibri" w:hAnsi="Calibri" w:cs="Calibri"/>
          <w:color w:val="000000" w:themeColor="text1"/>
        </w:rPr>
        <w:t xml:space="preserve"> of </w:t>
      </w:r>
      <w:proofErr w:type="spellStart"/>
      <w:r w:rsidRPr="006251B9">
        <w:rPr>
          <w:rFonts w:ascii="Calibri" w:hAnsi="Calibri" w:cs="Calibri"/>
          <w:color w:val="000000" w:themeColor="text1"/>
        </w:rPr>
        <w:t>market</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Moreover</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market</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players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typically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hedge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their</w:t>
      </w:r>
      <w:proofErr w:type="spellEnd"/>
      <w:r w:rsidRPr="006251B9">
        <w:rPr>
          <w:rFonts w:ascii="Calibri" w:hAnsi="Calibri" w:cs="Calibri"/>
          <w:color w:val="000000" w:themeColor="text1"/>
        </w:rPr>
        <w:t xml:space="preserve"> production and </w:t>
      </w:r>
      <w:proofErr w:type="spellStart"/>
      <w:r w:rsidRPr="006251B9">
        <w:rPr>
          <w:rFonts w:ascii="Calibri" w:hAnsi="Calibri" w:cs="Calibri"/>
          <w:color w:val="000000" w:themeColor="text1"/>
        </w:rPr>
        <w:t>consumption</w:t>
      </w:r>
      <w:proofErr w:type="spellEnd"/>
      <w:r w:rsidRPr="006251B9">
        <w:rPr>
          <w:rFonts w:ascii="Calibri" w:hAnsi="Calibri" w:cs="Calibri"/>
          <w:color w:val="000000" w:themeColor="text1"/>
        </w:rPr>
        <w:t xml:space="preserve"> in trading in lots and not in </w:t>
      </w:r>
      <w:proofErr w:type="spellStart"/>
      <w:r w:rsidRPr="006251B9">
        <w:rPr>
          <w:rFonts w:ascii="Calibri" w:hAnsi="Calibri" w:cs="Calibri"/>
          <w:color w:val="000000" w:themeColor="text1"/>
        </w:rPr>
        <w:t>notional</w:t>
      </w:r>
      <w:proofErr w:type="spellEnd"/>
      <w:r w:rsidRPr="006251B9">
        <w:rPr>
          <w:rFonts w:ascii="Calibri" w:hAnsi="Calibri" w:cs="Calibri"/>
          <w:color w:val="000000" w:themeColor="text1"/>
        </w:rPr>
        <w:t xml:space="preserve"> value. </w:t>
      </w:r>
    </w:p>
    <w:p w14:paraId="3FDE281E" w14:textId="77777777" w:rsidR="006251B9" w:rsidRPr="006251B9" w:rsidRDefault="006251B9" w:rsidP="006251B9">
      <w:pPr>
        <w:ind w:left="720"/>
        <w:rPr>
          <w:sz w:val="24"/>
        </w:rPr>
      </w:pPr>
      <w:r w:rsidRPr="006251B9">
        <w:rPr>
          <w:sz w:val="24"/>
        </w:rPr>
        <w:t xml:space="preserve">Thus, we recommend that any liquidity analysis is normalised to a base quantity unit that is native to the asset class. For commodities this will typically be a specific unit of measure (e.g. barrels, tons, MW, etc.). </w:t>
      </w:r>
    </w:p>
    <w:p w14:paraId="48B5EC47" w14:textId="77777777" w:rsidR="006251B9" w:rsidRPr="006251B9" w:rsidRDefault="006251B9" w:rsidP="006251B9">
      <w:pPr>
        <w:ind w:left="720"/>
        <w:rPr>
          <w:sz w:val="24"/>
        </w:rPr>
      </w:pPr>
    </w:p>
    <w:p w14:paraId="0636306B" w14:textId="77777777" w:rsidR="006251B9" w:rsidRPr="006251B9" w:rsidRDefault="006251B9" w:rsidP="006251B9">
      <w:pPr>
        <w:pStyle w:val="NormalWeb"/>
        <w:numPr>
          <w:ilvl w:val="0"/>
          <w:numId w:val="44"/>
        </w:numPr>
        <w:spacing w:line="276" w:lineRule="auto"/>
        <w:jc w:val="both"/>
        <w:rPr>
          <w:rFonts w:ascii="Calibri" w:hAnsi="Calibri" w:cs="Calibri"/>
          <w:b/>
          <w:bCs/>
          <w:color w:val="000000" w:themeColor="text1"/>
        </w:rPr>
      </w:pPr>
      <w:proofErr w:type="spellStart"/>
      <w:r w:rsidRPr="006251B9">
        <w:rPr>
          <w:rFonts w:ascii="Calibri" w:hAnsi="Calibri" w:cs="Calibri"/>
          <w:b/>
          <w:bCs/>
          <w:color w:val="000000" w:themeColor="text1"/>
        </w:rPr>
        <w:t>Sufficiently</w:t>
      </w:r>
      <w:proofErr w:type="spellEnd"/>
      <w:r w:rsidRPr="006251B9">
        <w:rPr>
          <w:rFonts w:ascii="Calibri" w:hAnsi="Calibri" w:cs="Calibri"/>
          <w:b/>
          <w:bCs/>
          <w:color w:val="000000" w:themeColor="text1"/>
        </w:rPr>
        <w:t xml:space="preserve"> high </w:t>
      </w:r>
      <w:proofErr w:type="spellStart"/>
      <w:r w:rsidRPr="006251B9">
        <w:rPr>
          <w:rFonts w:ascii="Calibri" w:hAnsi="Calibri" w:cs="Calibri"/>
          <w:b/>
          <w:bCs/>
          <w:color w:val="000000" w:themeColor="text1"/>
        </w:rPr>
        <w:t>daily</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number</w:t>
      </w:r>
      <w:proofErr w:type="spellEnd"/>
      <w:r w:rsidRPr="006251B9">
        <w:rPr>
          <w:rFonts w:ascii="Calibri" w:hAnsi="Calibri" w:cs="Calibri"/>
          <w:b/>
          <w:bCs/>
          <w:color w:val="000000" w:themeColor="text1"/>
        </w:rPr>
        <w:t xml:space="preserve"> of </w:t>
      </w:r>
      <w:proofErr w:type="spellStart"/>
      <w:r w:rsidRPr="006251B9">
        <w:rPr>
          <w:rFonts w:ascii="Calibri" w:hAnsi="Calibri" w:cs="Calibri"/>
          <w:b/>
          <w:bCs/>
          <w:color w:val="000000" w:themeColor="text1"/>
        </w:rPr>
        <w:t>trades</w:t>
      </w:r>
      <w:proofErr w:type="spellEnd"/>
      <w:r w:rsidRPr="006251B9">
        <w:rPr>
          <w:rFonts w:ascii="Calibri" w:hAnsi="Calibri" w:cs="Calibri"/>
          <w:b/>
          <w:bCs/>
          <w:color w:val="000000" w:themeColor="text1"/>
        </w:rPr>
        <w:t xml:space="preserve"> for a </w:t>
      </w:r>
      <w:proofErr w:type="spellStart"/>
      <w:r w:rsidRPr="006251B9">
        <w:rPr>
          <w:rFonts w:ascii="Calibri" w:hAnsi="Calibri" w:cs="Calibri"/>
          <w:b/>
          <w:bCs/>
          <w:color w:val="000000" w:themeColor="text1"/>
        </w:rPr>
        <w:t>market</w:t>
      </w:r>
      <w:proofErr w:type="spellEnd"/>
      <w:r w:rsidRPr="006251B9">
        <w:rPr>
          <w:rFonts w:ascii="Calibri" w:hAnsi="Calibri" w:cs="Calibri"/>
          <w:b/>
          <w:bCs/>
          <w:color w:val="000000" w:themeColor="text1"/>
        </w:rPr>
        <w:t xml:space="preserve"> to </w:t>
      </w:r>
      <w:proofErr w:type="spellStart"/>
      <w:r w:rsidRPr="006251B9">
        <w:rPr>
          <w:rFonts w:ascii="Calibri" w:hAnsi="Calibri" w:cs="Calibri"/>
          <w:b/>
          <w:bCs/>
          <w:color w:val="000000" w:themeColor="text1"/>
        </w:rPr>
        <w:t>be</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liquid</w:t>
      </w:r>
      <w:proofErr w:type="spellEnd"/>
      <w:r w:rsidRPr="006251B9">
        <w:rPr>
          <w:rFonts w:ascii="Calibri" w:hAnsi="Calibri" w:cs="Calibri"/>
          <w:b/>
          <w:bCs/>
          <w:color w:val="000000" w:themeColor="text1"/>
        </w:rPr>
        <w:t xml:space="preserve"> </w:t>
      </w:r>
    </w:p>
    <w:p w14:paraId="67EC3D6E" w14:textId="77777777" w:rsidR="006251B9" w:rsidRPr="006251B9" w:rsidRDefault="006251B9" w:rsidP="006251B9">
      <w:pPr>
        <w:pStyle w:val="NormalWeb"/>
        <w:spacing w:line="276" w:lineRule="auto"/>
        <w:ind w:left="720"/>
        <w:jc w:val="both"/>
        <w:rPr>
          <w:rFonts w:ascii="Calibri" w:hAnsi="Calibri" w:cs="Calibri"/>
          <w:color w:val="000000" w:themeColor="text1"/>
        </w:rPr>
      </w:pPr>
      <w:r w:rsidRPr="006251B9">
        <w:rPr>
          <w:rFonts w:ascii="Calibri" w:hAnsi="Calibri" w:cs="Calibri"/>
          <w:color w:val="000000" w:themeColor="text1"/>
        </w:rPr>
        <w:t xml:space="preserve">In </w:t>
      </w:r>
      <w:proofErr w:type="spellStart"/>
      <w:r w:rsidRPr="006251B9">
        <w:rPr>
          <w:rFonts w:ascii="Calibri" w:hAnsi="Calibri" w:cs="Calibri"/>
          <w:color w:val="000000" w:themeColor="text1"/>
        </w:rPr>
        <w:t>order</w:t>
      </w:r>
      <w:proofErr w:type="spellEnd"/>
      <w:r w:rsidRPr="006251B9">
        <w:rPr>
          <w:rFonts w:ascii="Calibri" w:hAnsi="Calibri" w:cs="Calibri"/>
          <w:color w:val="000000" w:themeColor="text1"/>
        </w:rPr>
        <w:t xml:space="preserve"> for a </w:t>
      </w:r>
      <w:proofErr w:type="spellStart"/>
      <w:r w:rsidRPr="006251B9">
        <w:rPr>
          <w:rFonts w:ascii="Calibri" w:hAnsi="Calibri" w:cs="Calibri"/>
          <w:color w:val="000000" w:themeColor="text1"/>
        </w:rPr>
        <w:t>market</w:t>
      </w:r>
      <w:proofErr w:type="spellEnd"/>
      <w:r w:rsidRPr="006251B9">
        <w:rPr>
          <w:rFonts w:ascii="Calibri" w:hAnsi="Calibri" w:cs="Calibri"/>
          <w:color w:val="000000" w:themeColor="text1"/>
        </w:rPr>
        <w:t xml:space="preserve"> to </w:t>
      </w:r>
      <w:proofErr w:type="spellStart"/>
      <w:r w:rsidRPr="006251B9">
        <w:rPr>
          <w:rFonts w:ascii="Calibri" w:hAnsi="Calibri" w:cs="Calibri"/>
          <w:color w:val="000000" w:themeColor="text1"/>
        </w:rPr>
        <w:t>be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considered</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w:t>
      </w:r>
      <w:proofErr w:type="spellEnd"/>
      <w:r w:rsidRPr="006251B9">
        <w:rPr>
          <w:rFonts w:ascii="Calibri" w:hAnsi="Calibri" w:cs="Calibri"/>
          <w:color w:val="000000" w:themeColor="text1"/>
        </w:rPr>
        <w:t xml:space="preserve">, a </w:t>
      </w:r>
      <w:proofErr w:type="spellStart"/>
      <w:r w:rsidRPr="006251B9">
        <w:rPr>
          <w:rFonts w:ascii="Calibri" w:hAnsi="Calibri" w:cs="Calibri"/>
          <w:color w:val="000000" w:themeColor="text1"/>
        </w:rPr>
        <w:t>sufficiently</w:t>
      </w:r>
      <w:proofErr w:type="spellEnd"/>
      <w:r w:rsidRPr="006251B9">
        <w:rPr>
          <w:rFonts w:ascii="Calibri" w:hAnsi="Calibri" w:cs="Calibri"/>
          <w:color w:val="000000" w:themeColor="text1"/>
        </w:rPr>
        <w:t xml:space="preserve"> high </w:t>
      </w:r>
      <w:proofErr w:type="spellStart"/>
      <w:r w:rsidRPr="006251B9">
        <w:rPr>
          <w:rFonts w:ascii="Calibri" w:hAnsi="Calibri" w:cs="Calibri"/>
          <w:color w:val="000000" w:themeColor="text1"/>
        </w:rPr>
        <w:t>number</w:t>
      </w:r>
      <w:proofErr w:type="spellEnd"/>
      <w:r w:rsidRPr="006251B9">
        <w:rPr>
          <w:rFonts w:ascii="Calibri" w:hAnsi="Calibri" w:cs="Calibri"/>
          <w:color w:val="000000" w:themeColor="text1"/>
        </w:rPr>
        <w:t xml:space="preserve"> of </w:t>
      </w:r>
      <w:proofErr w:type="spellStart"/>
      <w:r w:rsidRPr="006251B9">
        <w:rPr>
          <w:rFonts w:ascii="Calibri" w:hAnsi="Calibri" w:cs="Calibri"/>
          <w:color w:val="000000" w:themeColor="text1"/>
        </w:rPr>
        <w:t>trades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should</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be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executed</w:t>
      </w:r>
      <w:proofErr w:type="spellEnd"/>
      <w:r w:rsidRPr="006251B9">
        <w:rPr>
          <w:rFonts w:ascii="Calibri" w:hAnsi="Calibri" w:cs="Calibri"/>
          <w:color w:val="000000" w:themeColor="text1"/>
        </w:rPr>
        <w:t xml:space="preserve"> on </w:t>
      </w:r>
      <w:proofErr w:type="spellStart"/>
      <w:r w:rsidRPr="006251B9">
        <w:rPr>
          <w:rFonts w:ascii="Calibri" w:hAnsi="Calibri" w:cs="Calibri"/>
          <w:color w:val="000000" w:themeColor="text1"/>
        </w:rPr>
        <w:t>each</w:t>
      </w:r>
      <w:proofErr w:type="spellEnd"/>
      <w:r w:rsidRPr="006251B9">
        <w:rPr>
          <w:rFonts w:ascii="Calibri" w:hAnsi="Calibri" w:cs="Calibri"/>
          <w:color w:val="000000" w:themeColor="text1"/>
        </w:rPr>
        <w:t xml:space="preserve"> trading </w:t>
      </w:r>
      <w:proofErr w:type="spellStart"/>
      <w:r w:rsidRPr="006251B9">
        <w:rPr>
          <w:rFonts w:ascii="Calibri" w:hAnsi="Calibri" w:cs="Calibri"/>
          <w:color w:val="000000" w:themeColor="text1"/>
        </w:rPr>
        <w:t>day</w:t>
      </w:r>
      <w:proofErr w:type="spellEnd"/>
      <w:r w:rsidRPr="006251B9">
        <w:rPr>
          <w:rFonts w:ascii="Calibri" w:hAnsi="Calibri" w:cs="Calibri"/>
          <w:color w:val="000000" w:themeColor="text1"/>
        </w:rPr>
        <w:t xml:space="preserve">. </w:t>
      </w:r>
      <w:proofErr w:type="spellStart"/>
      <w:r w:rsidRPr="006251B9">
        <w:rPr>
          <w:rFonts w:ascii="Calibri" w:hAnsi="Calibri" w:cs="Calibri"/>
          <w:b/>
          <w:bCs/>
          <w:color w:val="000000" w:themeColor="text1"/>
        </w:rPr>
        <w:t>We</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recommend</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that</w:t>
      </w:r>
      <w:proofErr w:type="spellEnd"/>
      <w:r w:rsidRPr="006251B9">
        <w:rPr>
          <w:rFonts w:ascii="Calibri" w:hAnsi="Calibri" w:cs="Calibri"/>
          <w:b/>
          <w:bCs/>
          <w:color w:val="000000" w:themeColor="text1"/>
        </w:rPr>
        <w:t xml:space="preserve"> the </w:t>
      </w:r>
      <w:proofErr w:type="spellStart"/>
      <w:r w:rsidRPr="006251B9">
        <w:rPr>
          <w:rFonts w:ascii="Calibri" w:hAnsi="Calibri" w:cs="Calibri"/>
          <w:b/>
          <w:bCs/>
          <w:color w:val="000000" w:themeColor="text1"/>
        </w:rPr>
        <w:t>threshold</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be</w:t>
      </w:r>
      <w:proofErr w:type="spellEnd"/>
      <w:r w:rsidRPr="006251B9">
        <w:rPr>
          <w:rFonts w:ascii="Calibri" w:hAnsi="Calibri" w:cs="Calibri"/>
          <w:b/>
          <w:bCs/>
          <w:color w:val="000000" w:themeColor="text1"/>
        </w:rPr>
        <w:t xml:space="preserve"> set at the </w:t>
      </w:r>
      <w:proofErr w:type="spellStart"/>
      <w:r w:rsidRPr="006251B9">
        <w:rPr>
          <w:rFonts w:ascii="Calibri" w:hAnsi="Calibri" w:cs="Calibri"/>
          <w:b/>
          <w:bCs/>
          <w:color w:val="000000" w:themeColor="text1"/>
        </w:rPr>
        <w:t>median</w:t>
      </w:r>
      <w:proofErr w:type="spellEnd"/>
      <w:r w:rsidRPr="006251B9">
        <w:rPr>
          <w:rFonts w:ascii="Calibri" w:hAnsi="Calibri" w:cs="Calibri"/>
          <w:b/>
          <w:bCs/>
          <w:color w:val="000000" w:themeColor="text1"/>
        </w:rPr>
        <w:t xml:space="preserve"> of 100 transactions per </w:t>
      </w:r>
      <w:proofErr w:type="spellStart"/>
      <w:r w:rsidRPr="006251B9">
        <w:rPr>
          <w:rFonts w:ascii="Calibri" w:hAnsi="Calibri" w:cs="Calibri"/>
          <w:b/>
          <w:bCs/>
          <w:color w:val="000000" w:themeColor="text1"/>
        </w:rPr>
        <w:t>day</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instead</w:t>
      </w:r>
      <w:proofErr w:type="spellEnd"/>
      <w:r w:rsidRPr="006251B9">
        <w:rPr>
          <w:rFonts w:ascii="Calibri" w:hAnsi="Calibri" w:cs="Calibri"/>
          <w:b/>
          <w:bCs/>
          <w:color w:val="000000" w:themeColor="text1"/>
        </w:rPr>
        <w:t xml:space="preserve"> of the </w:t>
      </w:r>
      <w:proofErr w:type="spellStart"/>
      <w:r w:rsidRPr="006251B9">
        <w:rPr>
          <w:rFonts w:ascii="Calibri" w:hAnsi="Calibri" w:cs="Calibri"/>
          <w:b/>
          <w:bCs/>
          <w:color w:val="000000" w:themeColor="text1"/>
        </w:rPr>
        <w:t>current</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average</w:t>
      </w:r>
      <w:proofErr w:type="spellEnd"/>
      <w:r w:rsidRPr="006251B9">
        <w:rPr>
          <w:rFonts w:ascii="Calibri" w:hAnsi="Calibri" w:cs="Calibri"/>
          <w:b/>
          <w:bCs/>
          <w:color w:val="000000" w:themeColor="text1"/>
        </w:rPr>
        <w:t xml:space="preserve"> of 10. </w:t>
      </w:r>
      <w:proofErr w:type="spellStart"/>
      <w:r w:rsidRPr="006251B9">
        <w:rPr>
          <w:rFonts w:ascii="Calibri" w:hAnsi="Calibri" w:cs="Calibri"/>
          <w:color w:val="000000" w:themeColor="text1"/>
        </w:rPr>
        <w:t>Considering</w:t>
      </w:r>
      <w:proofErr w:type="spellEnd"/>
      <w:r w:rsidRPr="006251B9">
        <w:rPr>
          <w:rFonts w:ascii="Calibri" w:hAnsi="Calibri" w:cs="Calibri"/>
          <w:color w:val="000000" w:themeColor="text1"/>
        </w:rPr>
        <w:t xml:space="preserve"> the </w:t>
      </w:r>
      <w:proofErr w:type="spellStart"/>
      <w:r w:rsidRPr="006251B9">
        <w:rPr>
          <w:rFonts w:ascii="Calibri" w:hAnsi="Calibri" w:cs="Calibri"/>
          <w:color w:val="000000" w:themeColor="text1"/>
        </w:rPr>
        <w:t>fact</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that</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is</w:t>
      </w:r>
      <w:proofErr w:type="spellEnd"/>
      <w:r w:rsidRPr="006251B9">
        <w:rPr>
          <w:rFonts w:ascii="Calibri" w:hAnsi="Calibri" w:cs="Calibri"/>
          <w:color w:val="000000" w:themeColor="text1"/>
        </w:rPr>
        <w:t xml:space="preserve"> the </w:t>
      </w:r>
      <w:proofErr w:type="spellStart"/>
      <w:r w:rsidRPr="006251B9">
        <w:rPr>
          <w:rFonts w:ascii="Calibri" w:hAnsi="Calibri" w:cs="Calibri"/>
          <w:color w:val="000000" w:themeColor="text1"/>
        </w:rPr>
        <w:t>ability</w:t>
      </w:r>
      <w:proofErr w:type="spellEnd"/>
      <w:r w:rsidRPr="006251B9">
        <w:rPr>
          <w:rFonts w:ascii="Calibri" w:hAnsi="Calibri" w:cs="Calibri"/>
          <w:color w:val="000000" w:themeColor="text1"/>
        </w:rPr>
        <w:t xml:space="preserve"> to </w:t>
      </w:r>
      <w:proofErr w:type="spellStart"/>
      <w:r w:rsidRPr="006251B9">
        <w:rPr>
          <w:rFonts w:ascii="Calibri" w:hAnsi="Calibri" w:cs="Calibri"/>
          <w:color w:val="000000" w:themeColor="text1"/>
        </w:rPr>
        <w:t>find</w:t>
      </w:r>
      <w:proofErr w:type="spellEnd"/>
      <w:r w:rsidRPr="006251B9">
        <w:rPr>
          <w:rFonts w:ascii="Calibri" w:hAnsi="Calibri" w:cs="Calibri"/>
          <w:color w:val="000000" w:themeColor="text1"/>
        </w:rPr>
        <w:t xml:space="preserve"> a </w:t>
      </w:r>
      <w:proofErr w:type="spellStart"/>
      <w:r w:rsidRPr="006251B9">
        <w:rPr>
          <w:rFonts w:ascii="Calibri" w:hAnsi="Calibri" w:cs="Calibri"/>
          <w:color w:val="000000" w:themeColor="text1"/>
        </w:rPr>
        <w:t>counterparty</w:t>
      </w:r>
      <w:proofErr w:type="spellEnd"/>
      <w:r w:rsidRPr="006251B9">
        <w:rPr>
          <w:rFonts w:ascii="Calibri" w:hAnsi="Calibri" w:cs="Calibri"/>
          <w:color w:val="000000" w:themeColor="text1"/>
        </w:rPr>
        <w:t xml:space="preserve"> in a </w:t>
      </w:r>
      <w:proofErr w:type="spellStart"/>
      <w:r w:rsidRPr="006251B9">
        <w:rPr>
          <w:rFonts w:ascii="Calibri" w:hAnsi="Calibri" w:cs="Calibri"/>
          <w:color w:val="000000" w:themeColor="text1"/>
        </w:rPr>
        <w:t>relatively</w:t>
      </w:r>
      <w:proofErr w:type="spellEnd"/>
      <w:r w:rsidRPr="006251B9">
        <w:rPr>
          <w:rFonts w:ascii="Calibri" w:hAnsi="Calibri" w:cs="Calibri"/>
          <w:color w:val="000000" w:themeColor="text1"/>
        </w:rPr>
        <w:t xml:space="preserve"> short </w:t>
      </w:r>
      <w:proofErr w:type="spellStart"/>
      <w:r w:rsidRPr="006251B9">
        <w:rPr>
          <w:rFonts w:ascii="Calibri" w:hAnsi="Calibri" w:cs="Calibri"/>
          <w:color w:val="000000" w:themeColor="text1"/>
        </w:rPr>
        <w:t>period</w:t>
      </w:r>
      <w:proofErr w:type="spellEnd"/>
      <w:r w:rsidRPr="006251B9">
        <w:rPr>
          <w:rFonts w:ascii="Calibri" w:hAnsi="Calibri" w:cs="Calibri"/>
          <w:color w:val="000000" w:themeColor="text1"/>
        </w:rPr>
        <w:t xml:space="preserve"> of time </w:t>
      </w:r>
      <w:proofErr w:type="spellStart"/>
      <w:r w:rsidRPr="006251B9">
        <w:rPr>
          <w:rFonts w:ascii="Calibri" w:hAnsi="Calibri" w:cs="Calibri"/>
          <w:color w:val="000000" w:themeColor="text1"/>
        </w:rPr>
        <w:t>within</w:t>
      </w:r>
      <w:proofErr w:type="spellEnd"/>
      <w:r w:rsidRPr="006251B9">
        <w:rPr>
          <w:rFonts w:ascii="Calibri" w:hAnsi="Calibri" w:cs="Calibri"/>
          <w:color w:val="000000" w:themeColor="text1"/>
        </w:rPr>
        <w:t xml:space="preserve"> a </w:t>
      </w:r>
      <w:proofErr w:type="spellStart"/>
      <w:r w:rsidRPr="006251B9">
        <w:rPr>
          <w:rFonts w:ascii="Calibri" w:hAnsi="Calibri" w:cs="Calibri"/>
          <w:color w:val="000000" w:themeColor="text1"/>
        </w:rPr>
        <w:t>given</w:t>
      </w:r>
      <w:proofErr w:type="spellEnd"/>
      <w:r w:rsidRPr="006251B9">
        <w:rPr>
          <w:rFonts w:ascii="Calibri" w:hAnsi="Calibri" w:cs="Calibri"/>
          <w:color w:val="000000" w:themeColor="text1"/>
        </w:rPr>
        <w:t xml:space="preserve"> trading </w:t>
      </w:r>
      <w:proofErr w:type="spellStart"/>
      <w:r w:rsidRPr="006251B9">
        <w:rPr>
          <w:rFonts w:ascii="Calibri" w:hAnsi="Calibri" w:cs="Calibri"/>
          <w:color w:val="000000" w:themeColor="text1"/>
        </w:rPr>
        <w:t>day</w:t>
      </w:r>
      <w:proofErr w:type="spellEnd"/>
      <w:r w:rsidRPr="006251B9">
        <w:rPr>
          <w:rFonts w:ascii="Calibri" w:hAnsi="Calibri" w:cs="Calibri"/>
          <w:color w:val="000000" w:themeColor="text1"/>
        </w:rPr>
        <w:t xml:space="preserve">, a </w:t>
      </w:r>
      <w:proofErr w:type="spellStart"/>
      <w:r w:rsidRPr="006251B9">
        <w:rPr>
          <w:rFonts w:ascii="Calibri" w:hAnsi="Calibri" w:cs="Calibri"/>
          <w:color w:val="000000" w:themeColor="text1"/>
        </w:rPr>
        <w:t>threshold</w:t>
      </w:r>
      <w:proofErr w:type="spellEnd"/>
      <w:r w:rsidRPr="006251B9">
        <w:rPr>
          <w:rFonts w:ascii="Calibri" w:hAnsi="Calibri" w:cs="Calibri"/>
          <w:color w:val="000000" w:themeColor="text1"/>
        </w:rPr>
        <w:t xml:space="preserve"> of 100 </w:t>
      </w:r>
      <w:proofErr w:type="spellStart"/>
      <w:r w:rsidRPr="006251B9">
        <w:rPr>
          <w:rFonts w:ascii="Calibri" w:hAnsi="Calibri" w:cs="Calibri"/>
          <w:color w:val="000000" w:themeColor="text1"/>
        </w:rPr>
        <w:t>trades</w:t>
      </w:r>
      <w:proofErr w:type="spellEnd"/>
      <w:r w:rsidRPr="006251B9">
        <w:rPr>
          <w:rFonts w:ascii="Calibri" w:hAnsi="Calibri" w:cs="Calibri"/>
          <w:color w:val="000000" w:themeColor="text1"/>
        </w:rPr>
        <w:t xml:space="preserve"> per </w:t>
      </w:r>
      <w:proofErr w:type="spellStart"/>
      <w:r w:rsidRPr="006251B9">
        <w:rPr>
          <w:rFonts w:ascii="Calibri" w:hAnsi="Calibri" w:cs="Calibri"/>
          <w:color w:val="000000" w:themeColor="text1"/>
        </w:rPr>
        <w:t>day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implies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that</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it</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represents</w:t>
      </w:r>
      <w:proofErr w:type="spellEnd"/>
      <w:r w:rsidRPr="006251B9">
        <w:rPr>
          <w:rFonts w:ascii="Calibri" w:hAnsi="Calibri" w:cs="Calibri"/>
          <w:color w:val="000000" w:themeColor="text1"/>
        </w:rPr>
        <w:t xml:space="preserve"> an </w:t>
      </w:r>
      <w:proofErr w:type="spellStart"/>
      <w:r w:rsidRPr="006251B9">
        <w:rPr>
          <w:rFonts w:ascii="Calibri" w:hAnsi="Calibri" w:cs="Calibri"/>
          <w:color w:val="000000" w:themeColor="text1"/>
        </w:rPr>
        <w:t>average</w:t>
      </w:r>
      <w:proofErr w:type="spellEnd"/>
      <w:r w:rsidRPr="006251B9">
        <w:rPr>
          <w:rFonts w:ascii="Calibri" w:hAnsi="Calibri" w:cs="Calibri"/>
          <w:color w:val="000000" w:themeColor="text1"/>
        </w:rPr>
        <w:t xml:space="preserve"> of </w:t>
      </w:r>
      <w:proofErr w:type="spellStart"/>
      <w:r w:rsidRPr="006251B9">
        <w:rPr>
          <w:rFonts w:ascii="Calibri" w:hAnsi="Calibri" w:cs="Calibri"/>
          <w:color w:val="000000" w:themeColor="text1"/>
        </w:rPr>
        <w:t>approximately</w:t>
      </w:r>
      <w:proofErr w:type="spellEnd"/>
      <w:r w:rsidRPr="006251B9">
        <w:rPr>
          <w:rFonts w:ascii="Calibri" w:hAnsi="Calibri" w:cs="Calibri"/>
          <w:color w:val="000000" w:themeColor="text1"/>
        </w:rPr>
        <w:t xml:space="preserve"> 1 </w:t>
      </w:r>
      <w:proofErr w:type="spellStart"/>
      <w:r w:rsidRPr="006251B9">
        <w:rPr>
          <w:rFonts w:ascii="Calibri" w:hAnsi="Calibri" w:cs="Calibri"/>
          <w:color w:val="000000" w:themeColor="text1"/>
        </w:rPr>
        <w:t>trade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every</w:t>
      </w:r>
      <w:proofErr w:type="spellEnd"/>
      <w:r w:rsidRPr="006251B9">
        <w:rPr>
          <w:rFonts w:ascii="Calibri" w:hAnsi="Calibri" w:cs="Calibri"/>
          <w:color w:val="000000" w:themeColor="text1"/>
        </w:rPr>
        <w:t xml:space="preserve"> 5 minutes on an 8-hour trading </w:t>
      </w:r>
      <w:proofErr w:type="spellStart"/>
      <w:r w:rsidRPr="006251B9">
        <w:rPr>
          <w:rFonts w:ascii="Calibri" w:hAnsi="Calibri" w:cs="Calibri"/>
          <w:color w:val="000000" w:themeColor="text1"/>
        </w:rPr>
        <w:t>day</w:t>
      </w:r>
      <w:proofErr w:type="spellEnd"/>
      <w:r w:rsidRPr="006251B9">
        <w:rPr>
          <w:rFonts w:ascii="Calibri" w:hAnsi="Calibri" w:cs="Calibri"/>
          <w:color w:val="000000" w:themeColor="text1"/>
        </w:rPr>
        <w:t xml:space="preserve">. In </w:t>
      </w:r>
      <w:proofErr w:type="spellStart"/>
      <w:r w:rsidRPr="006251B9">
        <w:rPr>
          <w:rFonts w:ascii="Calibri" w:hAnsi="Calibri" w:cs="Calibri"/>
          <w:color w:val="000000" w:themeColor="text1"/>
        </w:rPr>
        <w:t>contrast</w:t>
      </w:r>
      <w:proofErr w:type="spellEnd"/>
      <w:r w:rsidRPr="006251B9">
        <w:rPr>
          <w:rFonts w:ascii="Calibri" w:hAnsi="Calibri" w:cs="Calibri"/>
          <w:color w:val="000000" w:themeColor="text1"/>
        </w:rPr>
        <w:t xml:space="preserve">, a </w:t>
      </w:r>
      <w:proofErr w:type="spellStart"/>
      <w:r w:rsidRPr="006251B9">
        <w:rPr>
          <w:rFonts w:ascii="Calibri" w:hAnsi="Calibri" w:cs="Calibri"/>
          <w:color w:val="000000" w:themeColor="text1"/>
        </w:rPr>
        <w:t>threshold</w:t>
      </w:r>
      <w:proofErr w:type="spellEnd"/>
      <w:r w:rsidRPr="006251B9">
        <w:rPr>
          <w:rFonts w:ascii="Calibri" w:hAnsi="Calibri" w:cs="Calibri"/>
          <w:color w:val="000000" w:themeColor="text1"/>
        </w:rPr>
        <w:t xml:space="preserve"> of 10 </w:t>
      </w:r>
      <w:proofErr w:type="spellStart"/>
      <w:r w:rsidRPr="006251B9">
        <w:rPr>
          <w:rFonts w:ascii="Calibri" w:hAnsi="Calibri" w:cs="Calibri"/>
          <w:color w:val="000000" w:themeColor="text1"/>
        </w:rPr>
        <w:t>trades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represents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just</w:t>
      </w:r>
      <w:proofErr w:type="spellEnd"/>
      <w:r w:rsidRPr="006251B9">
        <w:rPr>
          <w:rFonts w:ascii="Calibri" w:hAnsi="Calibri" w:cs="Calibri"/>
          <w:color w:val="000000" w:themeColor="text1"/>
        </w:rPr>
        <w:t xml:space="preserve"> 1.25 </w:t>
      </w:r>
      <w:proofErr w:type="spellStart"/>
      <w:r w:rsidRPr="006251B9">
        <w:rPr>
          <w:rFonts w:ascii="Calibri" w:hAnsi="Calibri" w:cs="Calibri"/>
          <w:color w:val="000000" w:themeColor="text1"/>
        </w:rPr>
        <w:t>trades</w:t>
      </w:r>
      <w:proofErr w:type="spellEnd"/>
      <w:r w:rsidRPr="006251B9">
        <w:rPr>
          <w:rFonts w:ascii="Calibri" w:hAnsi="Calibri" w:cs="Calibri"/>
          <w:color w:val="000000" w:themeColor="text1"/>
        </w:rPr>
        <w:t xml:space="preserve"> per </w:t>
      </w:r>
      <w:proofErr w:type="spellStart"/>
      <w:r w:rsidRPr="006251B9">
        <w:rPr>
          <w:rFonts w:ascii="Calibri" w:hAnsi="Calibri" w:cs="Calibri"/>
          <w:color w:val="000000" w:themeColor="text1"/>
        </w:rPr>
        <w:t>hour</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Given</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that</w:t>
      </w:r>
      <w:proofErr w:type="spellEnd"/>
      <w:r w:rsidRPr="006251B9">
        <w:rPr>
          <w:rFonts w:ascii="Calibri" w:hAnsi="Calibri" w:cs="Calibri"/>
          <w:color w:val="000000" w:themeColor="text1"/>
        </w:rPr>
        <w:t xml:space="preserve"> trading </w:t>
      </w:r>
      <w:proofErr w:type="spellStart"/>
      <w:r w:rsidRPr="006251B9">
        <w:rPr>
          <w:rFonts w:ascii="Calibri" w:hAnsi="Calibri" w:cs="Calibri"/>
          <w:color w:val="000000" w:themeColor="text1"/>
        </w:rPr>
        <w:t>is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rarely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uniformly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distributed</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throughout</w:t>
      </w:r>
      <w:proofErr w:type="spellEnd"/>
      <w:r w:rsidRPr="006251B9">
        <w:rPr>
          <w:rFonts w:ascii="Calibri" w:hAnsi="Calibri" w:cs="Calibri"/>
          <w:color w:val="000000" w:themeColor="text1"/>
        </w:rPr>
        <w:t xml:space="preserve"> the </w:t>
      </w:r>
      <w:proofErr w:type="spellStart"/>
      <w:r w:rsidRPr="006251B9">
        <w:rPr>
          <w:rFonts w:ascii="Calibri" w:hAnsi="Calibri" w:cs="Calibri"/>
          <w:color w:val="000000" w:themeColor="text1"/>
        </w:rPr>
        <w:t>day</w:t>
      </w:r>
      <w:proofErr w:type="spellEnd"/>
      <w:r w:rsidRPr="006251B9">
        <w:rPr>
          <w:rFonts w:ascii="Calibri" w:hAnsi="Calibri" w:cs="Calibri"/>
          <w:color w:val="000000" w:themeColor="text1"/>
        </w:rPr>
        <w:t xml:space="preserve">, the </w:t>
      </w:r>
      <w:proofErr w:type="spellStart"/>
      <w:r w:rsidRPr="006251B9">
        <w:rPr>
          <w:rFonts w:ascii="Calibri" w:hAnsi="Calibri" w:cs="Calibri"/>
          <w:color w:val="000000" w:themeColor="text1"/>
        </w:rPr>
        <w:t>higher</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threshold</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is</w:t>
      </w:r>
      <w:proofErr w:type="spellEnd"/>
      <w:r w:rsidRPr="006251B9">
        <w:rPr>
          <w:rFonts w:ascii="Calibri" w:hAnsi="Calibri" w:cs="Calibri"/>
          <w:color w:val="000000" w:themeColor="text1"/>
        </w:rPr>
        <w:t xml:space="preserve"> a </w:t>
      </w:r>
      <w:proofErr w:type="spellStart"/>
      <w:r w:rsidRPr="006251B9">
        <w:rPr>
          <w:rFonts w:ascii="Calibri" w:hAnsi="Calibri" w:cs="Calibri"/>
          <w:color w:val="000000" w:themeColor="text1"/>
        </w:rPr>
        <w:t>better</w:t>
      </w:r>
      <w:proofErr w:type="spellEnd"/>
      <w:r w:rsidRPr="006251B9">
        <w:rPr>
          <w:rFonts w:ascii="Calibri" w:hAnsi="Calibri" w:cs="Calibri"/>
          <w:color w:val="000000" w:themeColor="text1"/>
        </w:rPr>
        <w:t xml:space="preserve"> basis for </w:t>
      </w:r>
      <w:proofErr w:type="spellStart"/>
      <w:r w:rsidRPr="006251B9">
        <w:rPr>
          <w:rFonts w:ascii="Calibri" w:hAnsi="Calibri" w:cs="Calibri"/>
          <w:color w:val="000000" w:themeColor="text1"/>
        </w:rPr>
        <w:t>determining</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
    <w:p w14:paraId="6CFD8684" w14:textId="77777777" w:rsidR="006251B9" w:rsidRPr="006251B9" w:rsidRDefault="006251B9" w:rsidP="006251B9">
      <w:pPr>
        <w:ind w:left="720"/>
        <w:rPr>
          <w:sz w:val="24"/>
        </w:rPr>
      </w:pPr>
      <w:r w:rsidRPr="006251B9">
        <w:rPr>
          <w:sz w:val="24"/>
        </w:rPr>
        <w:t xml:space="preserve">For the same reason, </w:t>
      </w:r>
      <w:r w:rsidRPr="006251B9">
        <w:rPr>
          <w:b/>
          <w:bCs/>
          <w:sz w:val="24"/>
        </w:rPr>
        <w:t>a median is proposed as the minimum instead of a mean</w:t>
      </w:r>
      <w:r w:rsidRPr="006251B9">
        <w:rPr>
          <w:sz w:val="24"/>
        </w:rPr>
        <w:t>. The mean can simply be an alternate view of the sum count of trades per year.</w:t>
      </w:r>
    </w:p>
    <w:p w14:paraId="551E62D3" w14:textId="77777777" w:rsidR="006251B9" w:rsidRPr="006251B9" w:rsidRDefault="006251B9" w:rsidP="006251B9">
      <w:pPr>
        <w:ind w:left="720"/>
        <w:rPr>
          <w:sz w:val="24"/>
        </w:rPr>
      </w:pPr>
    </w:p>
    <w:p w14:paraId="09C20FA6" w14:textId="77777777" w:rsidR="006251B9" w:rsidRPr="006251B9" w:rsidRDefault="006251B9" w:rsidP="006251B9">
      <w:pPr>
        <w:pStyle w:val="NormalWeb"/>
        <w:numPr>
          <w:ilvl w:val="0"/>
          <w:numId w:val="44"/>
        </w:numPr>
        <w:spacing w:line="276" w:lineRule="auto"/>
        <w:jc w:val="both"/>
        <w:rPr>
          <w:rFonts w:ascii="Calibri" w:hAnsi="Calibri" w:cs="Calibri"/>
          <w:b/>
          <w:bCs/>
          <w:color w:val="000000" w:themeColor="text1"/>
        </w:rPr>
      </w:pPr>
      <w:r w:rsidRPr="006251B9">
        <w:rPr>
          <w:rFonts w:ascii="Calibri" w:hAnsi="Calibri" w:cs="Calibri"/>
          <w:b/>
          <w:bCs/>
          <w:color w:val="000000" w:themeColor="text1"/>
        </w:rPr>
        <w:lastRenderedPageBreak/>
        <w:t xml:space="preserve">Trade </w:t>
      </w:r>
      <w:proofErr w:type="spellStart"/>
      <w:r w:rsidRPr="006251B9">
        <w:rPr>
          <w:rFonts w:ascii="Calibri" w:hAnsi="Calibri" w:cs="Calibri"/>
          <w:b/>
          <w:bCs/>
          <w:color w:val="000000" w:themeColor="text1"/>
        </w:rPr>
        <w:t>frequency</w:t>
      </w:r>
      <w:proofErr w:type="spellEnd"/>
      <w:r w:rsidRPr="006251B9">
        <w:rPr>
          <w:rFonts w:ascii="Calibri" w:hAnsi="Calibri" w:cs="Calibri"/>
          <w:b/>
          <w:bCs/>
          <w:color w:val="000000" w:themeColor="text1"/>
        </w:rPr>
        <w:t xml:space="preserve"> and standard size </w:t>
      </w:r>
      <w:proofErr w:type="spellStart"/>
      <w:r w:rsidRPr="006251B9">
        <w:rPr>
          <w:rFonts w:ascii="Calibri" w:hAnsi="Calibri" w:cs="Calibri"/>
          <w:b/>
          <w:bCs/>
          <w:color w:val="000000" w:themeColor="text1"/>
        </w:rPr>
        <w:t>rather</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than</w:t>
      </w:r>
      <w:proofErr w:type="spellEnd"/>
      <w:r w:rsidRPr="006251B9">
        <w:rPr>
          <w:rFonts w:ascii="Calibri" w:hAnsi="Calibri" w:cs="Calibri"/>
          <w:b/>
          <w:bCs/>
          <w:color w:val="000000" w:themeColor="text1"/>
        </w:rPr>
        <w:t xml:space="preserve"> volume as </w:t>
      </w:r>
      <w:proofErr w:type="spellStart"/>
      <w:r w:rsidRPr="006251B9">
        <w:rPr>
          <w:rFonts w:ascii="Calibri" w:hAnsi="Calibri" w:cs="Calibri"/>
          <w:b/>
          <w:bCs/>
          <w:color w:val="000000" w:themeColor="text1"/>
        </w:rPr>
        <w:t>liquidity</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indicators</w:t>
      </w:r>
      <w:proofErr w:type="spellEnd"/>
      <w:r w:rsidRPr="006251B9">
        <w:rPr>
          <w:rFonts w:ascii="Calibri" w:hAnsi="Calibri" w:cs="Calibri"/>
          <w:b/>
          <w:bCs/>
          <w:color w:val="000000" w:themeColor="text1"/>
        </w:rPr>
        <w:t xml:space="preserve"> </w:t>
      </w:r>
    </w:p>
    <w:p w14:paraId="74DF025B" w14:textId="77777777" w:rsidR="006251B9" w:rsidRPr="006251B9" w:rsidRDefault="006251B9" w:rsidP="006251B9">
      <w:pPr>
        <w:ind w:left="720"/>
        <w:rPr>
          <w:b/>
          <w:bCs/>
          <w:sz w:val="24"/>
        </w:rPr>
      </w:pPr>
      <w:r w:rsidRPr="006251B9">
        <w:rPr>
          <w:sz w:val="24"/>
        </w:rPr>
        <w:t xml:space="preserve">Consider two instruments: Instrument 1 is traded on average once per day for 100,000 units and Instrument 2 is traded on average 10,000 times per day for 10 units. In both cases, the average volume will be 100,000 units per day. However, it would be very difficult to categorise Instrument 1 as liquid, whereas Instrument 2 can be considered very liquid for trade volumes of approximately 10 units. </w:t>
      </w:r>
      <w:r w:rsidRPr="006251B9">
        <w:rPr>
          <w:b/>
          <w:bCs/>
          <w:sz w:val="24"/>
        </w:rPr>
        <w:t xml:space="preserve">We therefore recommend that trade frequency and standard size, excluding unrelated vectors such as price and currency, are both measured in order to determine liquidity. </w:t>
      </w:r>
    </w:p>
    <w:p w14:paraId="2A6A5FF6" w14:textId="77777777" w:rsidR="006251B9" w:rsidRPr="006251B9" w:rsidRDefault="006251B9" w:rsidP="006251B9">
      <w:pPr>
        <w:ind w:left="720"/>
        <w:rPr>
          <w:b/>
          <w:bCs/>
          <w:sz w:val="24"/>
        </w:rPr>
      </w:pPr>
    </w:p>
    <w:p w14:paraId="4DF0206E" w14:textId="77777777" w:rsidR="006251B9" w:rsidRPr="006251B9" w:rsidRDefault="006251B9" w:rsidP="006251B9">
      <w:pPr>
        <w:pStyle w:val="NormalWeb"/>
        <w:numPr>
          <w:ilvl w:val="0"/>
          <w:numId w:val="44"/>
        </w:numPr>
        <w:spacing w:line="276" w:lineRule="auto"/>
        <w:jc w:val="both"/>
        <w:rPr>
          <w:rFonts w:ascii="Calibri" w:hAnsi="Calibri" w:cs="Calibri"/>
          <w:b/>
          <w:bCs/>
          <w:color w:val="000000" w:themeColor="text1"/>
        </w:rPr>
      </w:pPr>
      <w:proofErr w:type="spellStart"/>
      <w:r w:rsidRPr="006251B9">
        <w:rPr>
          <w:rFonts w:ascii="Calibri" w:hAnsi="Calibri" w:cs="Calibri"/>
          <w:b/>
          <w:bCs/>
          <w:color w:val="000000" w:themeColor="text1"/>
        </w:rPr>
        <w:t>Counterintuitive</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effects</w:t>
      </w:r>
      <w:proofErr w:type="spellEnd"/>
      <w:r w:rsidRPr="006251B9">
        <w:rPr>
          <w:rFonts w:ascii="Calibri" w:hAnsi="Calibri" w:cs="Calibri"/>
          <w:b/>
          <w:bCs/>
          <w:color w:val="000000" w:themeColor="text1"/>
        </w:rPr>
        <w:t xml:space="preserve"> of a percentile-</w:t>
      </w:r>
      <w:proofErr w:type="spellStart"/>
      <w:r w:rsidRPr="006251B9">
        <w:rPr>
          <w:rFonts w:ascii="Calibri" w:hAnsi="Calibri" w:cs="Calibri"/>
          <w:b/>
          <w:bCs/>
          <w:color w:val="000000" w:themeColor="text1"/>
        </w:rPr>
        <w:t>based</w:t>
      </w:r>
      <w:proofErr w:type="spellEnd"/>
      <w:r w:rsidRPr="006251B9">
        <w:rPr>
          <w:rFonts w:ascii="Calibri" w:hAnsi="Calibri" w:cs="Calibri"/>
          <w:b/>
          <w:bCs/>
          <w:color w:val="000000" w:themeColor="text1"/>
        </w:rPr>
        <w:t xml:space="preserve"> </w:t>
      </w:r>
      <w:proofErr w:type="spellStart"/>
      <w:r w:rsidRPr="006251B9">
        <w:rPr>
          <w:rFonts w:ascii="Calibri" w:hAnsi="Calibri" w:cs="Calibri"/>
          <w:b/>
          <w:bCs/>
          <w:color w:val="000000" w:themeColor="text1"/>
        </w:rPr>
        <w:t>approach</w:t>
      </w:r>
      <w:proofErr w:type="spellEnd"/>
    </w:p>
    <w:p w14:paraId="1019016B" w14:textId="77777777" w:rsidR="006251B9" w:rsidRPr="006251B9" w:rsidRDefault="006251B9" w:rsidP="006251B9">
      <w:pPr>
        <w:pStyle w:val="NormalWeb"/>
        <w:spacing w:line="276" w:lineRule="auto"/>
        <w:ind w:left="720"/>
        <w:jc w:val="both"/>
        <w:rPr>
          <w:rFonts w:ascii="Calibri" w:hAnsi="Calibri" w:cs="Calibri"/>
          <w:color w:val="000000" w:themeColor="text1"/>
        </w:rPr>
      </w:pPr>
      <w:r w:rsidRPr="006251B9">
        <w:rPr>
          <w:rFonts w:ascii="Calibri" w:hAnsi="Calibri" w:cs="Calibri"/>
          <w:color w:val="000000" w:themeColor="text1"/>
        </w:rPr>
        <w:t>A percentile-</w:t>
      </w:r>
      <w:proofErr w:type="spellStart"/>
      <w:r w:rsidRPr="006251B9">
        <w:rPr>
          <w:rFonts w:ascii="Calibri" w:hAnsi="Calibri" w:cs="Calibri"/>
          <w:color w:val="000000" w:themeColor="text1"/>
        </w:rPr>
        <w:t>based</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approach</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can</w:t>
      </w:r>
      <w:proofErr w:type="spellEnd"/>
      <w:r w:rsidRPr="006251B9">
        <w:rPr>
          <w:rFonts w:ascii="Calibri" w:hAnsi="Calibri" w:cs="Calibri"/>
          <w:color w:val="000000" w:themeColor="text1"/>
        </w:rPr>
        <w:t xml:space="preserve"> lead to </w:t>
      </w:r>
      <w:proofErr w:type="spellStart"/>
      <w:r w:rsidRPr="006251B9">
        <w:rPr>
          <w:rFonts w:ascii="Calibri" w:hAnsi="Calibri" w:cs="Calibri"/>
          <w:color w:val="000000" w:themeColor="text1"/>
        </w:rPr>
        <w:t>significant</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counterintuitive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effects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which</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is</w:t>
      </w:r>
      <w:proofErr w:type="spellEnd"/>
      <w:r w:rsidRPr="006251B9">
        <w:rPr>
          <w:rFonts w:ascii="Calibri" w:hAnsi="Calibri" w:cs="Calibri"/>
          <w:color w:val="000000" w:themeColor="text1"/>
        </w:rPr>
        <w:t xml:space="preserve"> important to </w:t>
      </w:r>
      <w:proofErr w:type="spellStart"/>
      <w:r w:rsidRPr="006251B9">
        <w:rPr>
          <w:rFonts w:ascii="Calibri" w:hAnsi="Calibri" w:cs="Calibri"/>
          <w:color w:val="000000" w:themeColor="text1"/>
        </w:rPr>
        <w:t>keep</w:t>
      </w:r>
      <w:proofErr w:type="spellEnd"/>
      <w:r w:rsidRPr="006251B9">
        <w:rPr>
          <w:rFonts w:ascii="Calibri" w:hAnsi="Calibri" w:cs="Calibri"/>
          <w:color w:val="000000" w:themeColor="text1"/>
        </w:rPr>
        <w:t xml:space="preserve"> in </w:t>
      </w:r>
      <w:proofErr w:type="spellStart"/>
      <w:r w:rsidRPr="006251B9">
        <w:rPr>
          <w:rFonts w:ascii="Calibri" w:hAnsi="Calibri" w:cs="Calibri"/>
          <w:color w:val="000000" w:themeColor="text1"/>
        </w:rPr>
        <w:t>mind</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when</w:t>
      </w:r>
      <w:proofErr w:type="spellEnd"/>
      <w:r w:rsidRPr="006251B9">
        <w:rPr>
          <w:rFonts w:ascii="Calibri" w:hAnsi="Calibri" w:cs="Calibri"/>
          <w:color w:val="000000" w:themeColor="text1"/>
        </w:rPr>
        <w:t xml:space="preserve"> setting LIS </w:t>
      </w:r>
      <w:proofErr w:type="spellStart"/>
      <w:r w:rsidRPr="006251B9">
        <w:rPr>
          <w:rFonts w:ascii="Calibri" w:hAnsi="Calibri" w:cs="Calibri"/>
          <w:color w:val="000000" w:themeColor="text1"/>
        </w:rPr>
        <w:t>thresholds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We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would</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like</w:t>
      </w:r>
      <w:proofErr w:type="spellEnd"/>
      <w:r w:rsidRPr="006251B9">
        <w:rPr>
          <w:rFonts w:ascii="Calibri" w:hAnsi="Calibri" w:cs="Calibri"/>
          <w:color w:val="000000" w:themeColor="text1"/>
        </w:rPr>
        <w:t xml:space="preserve"> to </w:t>
      </w:r>
      <w:proofErr w:type="spellStart"/>
      <w:r w:rsidRPr="006251B9">
        <w:rPr>
          <w:rFonts w:ascii="Calibri" w:hAnsi="Calibri" w:cs="Calibri"/>
          <w:color w:val="000000" w:themeColor="text1"/>
        </w:rPr>
        <w:t>illustrate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this</w:t>
      </w:r>
      <w:proofErr w:type="spellEnd"/>
      <w:r w:rsidRPr="006251B9">
        <w:rPr>
          <w:rFonts w:ascii="Calibri" w:hAnsi="Calibri" w:cs="Calibri"/>
          <w:color w:val="000000" w:themeColor="text1"/>
        </w:rPr>
        <w:t xml:space="preserve"> in the </w:t>
      </w:r>
      <w:proofErr w:type="spellStart"/>
      <w:proofErr w:type="gramStart"/>
      <w:r w:rsidRPr="006251B9">
        <w:rPr>
          <w:rFonts w:ascii="Calibri" w:hAnsi="Calibri" w:cs="Calibri"/>
          <w:color w:val="000000" w:themeColor="text1"/>
        </w:rPr>
        <w:t>following</w:t>
      </w:r>
      <w:proofErr w:type="spellEnd"/>
      <w:r w:rsidRPr="006251B9">
        <w:rPr>
          <w:rFonts w:ascii="Calibri" w:hAnsi="Calibri" w:cs="Calibri"/>
          <w:color w:val="000000" w:themeColor="text1"/>
        </w:rPr>
        <w:t>:</w:t>
      </w:r>
      <w:proofErr w:type="gramEnd"/>
    </w:p>
    <w:p w14:paraId="2A58171A" w14:textId="77777777" w:rsidR="006251B9" w:rsidRPr="006251B9" w:rsidRDefault="006251B9" w:rsidP="006251B9">
      <w:pPr>
        <w:pStyle w:val="NormalWeb"/>
        <w:spacing w:line="276" w:lineRule="auto"/>
        <w:ind w:firstLine="720"/>
        <w:jc w:val="both"/>
        <w:rPr>
          <w:rFonts w:ascii="Calibri" w:hAnsi="Calibri" w:cs="Calibri"/>
          <w:color w:val="000000" w:themeColor="text1"/>
        </w:rPr>
      </w:pPr>
      <w:r w:rsidRPr="006251B9">
        <w:rPr>
          <w:rFonts w:ascii="Calibri" w:hAnsi="Calibri" w:cs="Calibri"/>
          <w:color w:val="000000" w:themeColor="text1"/>
        </w:rPr>
        <w:t xml:space="preserve">Figure 1 </w:t>
      </w:r>
      <w:proofErr w:type="spellStart"/>
      <w:r w:rsidRPr="006251B9">
        <w:rPr>
          <w:rFonts w:ascii="Calibri" w:hAnsi="Calibri" w:cs="Calibri"/>
          <w:color w:val="000000" w:themeColor="text1"/>
        </w:rPr>
        <w:t>represents</w:t>
      </w:r>
      <w:proofErr w:type="spellEnd"/>
      <w:r w:rsidRPr="006251B9">
        <w:rPr>
          <w:rFonts w:ascii="Calibri" w:hAnsi="Calibri" w:cs="Calibri"/>
          <w:color w:val="000000" w:themeColor="text1"/>
        </w:rPr>
        <w:t xml:space="preserve"> the distribution of </w:t>
      </w:r>
      <w:proofErr w:type="spellStart"/>
      <w:r w:rsidRPr="006251B9">
        <w:rPr>
          <w:rFonts w:ascii="Calibri" w:hAnsi="Calibri" w:cs="Calibri"/>
          <w:color w:val="000000" w:themeColor="text1"/>
        </w:rPr>
        <w:t>trade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quantities</w:t>
      </w:r>
      <w:proofErr w:type="spellEnd"/>
      <w:r w:rsidRPr="006251B9">
        <w:rPr>
          <w:rFonts w:ascii="Calibri" w:hAnsi="Calibri" w:cs="Calibri"/>
          <w:color w:val="000000" w:themeColor="text1"/>
        </w:rPr>
        <w:t xml:space="preserve"> in a </w:t>
      </w:r>
      <w:proofErr w:type="spellStart"/>
      <w:r w:rsidRPr="006251B9">
        <w:rPr>
          <w:rFonts w:ascii="Calibri" w:hAnsi="Calibri" w:cs="Calibri"/>
          <w:color w:val="000000" w:themeColor="text1"/>
        </w:rPr>
        <w:t>highly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w:t>
      </w:r>
      <w:proofErr w:type="spellEnd"/>
      <w:r w:rsidRPr="006251B9">
        <w:rPr>
          <w:rFonts w:ascii="Calibri" w:hAnsi="Calibri" w:cs="Calibri"/>
          <w:color w:val="000000" w:themeColor="text1"/>
        </w:rPr>
        <w:t xml:space="preserve"> instrument.</w:t>
      </w:r>
    </w:p>
    <w:p w14:paraId="26E087CC" w14:textId="65050F69" w:rsidR="006251B9" w:rsidRPr="006251B9" w:rsidRDefault="006251B9" w:rsidP="006251B9">
      <w:pPr>
        <w:spacing w:beforeAutospacing="1" w:afterAutospacing="1" w:line="276" w:lineRule="auto"/>
        <w:ind w:left="1080"/>
        <w:jc w:val="both"/>
        <w:rPr>
          <w:rFonts w:ascii="Calibri" w:hAnsi="Calibri" w:cs="Calibri"/>
          <w:color w:val="000000" w:themeColor="text1"/>
          <w:sz w:val="24"/>
        </w:rPr>
      </w:pPr>
      <w:r w:rsidRPr="006251B9">
        <w:rPr>
          <w:rFonts w:ascii="Calibri" w:hAnsi="Calibri" w:cs="Calibri"/>
          <w:noProof/>
          <w:color w:val="000000" w:themeColor="text1"/>
          <w:sz w:val="24"/>
          <w:lang w:val="en-US"/>
        </w:rPr>
        <w:drawing>
          <wp:inline distT="0" distB="0" distL="0" distR="0" wp14:anchorId="0593AEFB" wp14:editId="0DAC87C9">
            <wp:extent cx="3954145" cy="3081655"/>
            <wp:effectExtent l="0" t="0" r="0" b="0"/>
            <wp:docPr id="5" name="Picture 5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A screenshot of a cell phone&#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4145" cy="3081655"/>
                    </a:xfrm>
                    <a:prstGeom prst="rect">
                      <a:avLst/>
                    </a:prstGeom>
                    <a:noFill/>
                    <a:ln>
                      <a:noFill/>
                    </a:ln>
                  </pic:spPr>
                </pic:pic>
              </a:graphicData>
            </a:graphic>
          </wp:inline>
        </w:drawing>
      </w:r>
    </w:p>
    <w:p w14:paraId="77774C5A" w14:textId="77777777" w:rsidR="006251B9" w:rsidRDefault="006251B9" w:rsidP="006251B9">
      <w:pPr>
        <w:spacing w:beforeAutospacing="1" w:afterAutospacing="1" w:line="276" w:lineRule="auto"/>
        <w:ind w:left="720"/>
        <w:jc w:val="both"/>
        <w:rPr>
          <w:rFonts w:ascii="Calibri" w:hAnsi="Calibri" w:cs="Calibri"/>
          <w:color w:val="000000" w:themeColor="text1"/>
          <w:sz w:val="24"/>
        </w:rPr>
      </w:pPr>
    </w:p>
    <w:p w14:paraId="758CE644" w14:textId="77777777" w:rsidR="006251B9" w:rsidRDefault="006251B9" w:rsidP="006251B9">
      <w:pPr>
        <w:spacing w:beforeAutospacing="1" w:afterAutospacing="1" w:line="276" w:lineRule="auto"/>
        <w:ind w:left="720"/>
        <w:jc w:val="both"/>
        <w:rPr>
          <w:rFonts w:ascii="Calibri" w:hAnsi="Calibri" w:cs="Calibri"/>
          <w:color w:val="000000" w:themeColor="text1"/>
          <w:sz w:val="24"/>
        </w:rPr>
      </w:pPr>
    </w:p>
    <w:p w14:paraId="50303055" w14:textId="77777777" w:rsidR="006251B9" w:rsidRDefault="006251B9" w:rsidP="006251B9">
      <w:pPr>
        <w:spacing w:beforeAutospacing="1" w:afterAutospacing="1" w:line="276" w:lineRule="auto"/>
        <w:ind w:left="720"/>
        <w:jc w:val="both"/>
        <w:rPr>
          <w:rFonts w:ascii="Calibri" w:hAnsi="Calibri" w:cs="Calibri"/>
          <w:color w:val="000000" w:themeColor="text1"/>
          <w:sz w:val="24"/>
        </w:rPr>
      </w:pPr>
    </w:p>
    <w:p w14:paraId="59DDC008" w14:textId="396AC5BA" w:rsidR="006251B9" w:rsidRPr="006251B9" w:rsidRDefault="006251B9" w:rsidP="006251B9">
      <w:pPr>
        <w:spacing w:beforeAutospacing="1" w:afterAutospacing="1"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lastRenderedPageBreak/>
        <w:t>Figure 2 is a similar chart for an instrument that exceeds 100 trades per day but has significantly lower liquidity.</w:t>
      </w:r>
    </w:p>
    <w:p w14:paraId="2B1CDC42" w14:textId="7067F7F2" w:rsidR="006251B9" w:rsidRPr="006251B9" w:rsidRDefault="006251B9" w:rsidP="006251B9">
      <w:pPr>
        <w:pStyle w:val="NormalWeb"/>
        <w:spacing w:line="276" w:lineRule="auto"/>
        <w:ind w:left="1080"/>
        <w:jc w:val="both"/>
        <w:rPr>
          <w:rFonts w:ascii="Calibri" w:hAnsi="Calibri" w:cs="Calibri"/>
          <w:color w:val="000000" w:themeColor="text1"/>
        </w:rPr>
      </w:pPr>
      <w:r w:rsidRPr="006251B9">
        <w:rPr>
          <w:rFonts w:ascii="Calibri" w:hAnsi="Calibri" w:cs="Calibri"/>
          <w:noProof/>
          <w:color w:val="000000" w:themeColor="text1"/>
          <w:lang w:val="en-US" w:eastAsia="en-US"/>
        </w:rPr>
        <w:drawing>
          <wp:inline distT="0" distB="0" distL="0" distR="0" wp14:anchorId="5F9FE890" wp14:editId="14A9BAA6">
            <wp:extent cx="5494655" cy="3149600"/>
            <wp:effectExtent l="0" t="0" r="0" b="0"/>
            <wp:docPr id="7" name="Picture 54"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A screenshot of a cell phone&#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4655" cy="3149600"/>
                    </a:xfrm>
                    <a:prstGeom prst="rect">
                      <a:avLst/>
                    </a:prstGeom>
                    <a:noFill/>
                    <a:ln>
                      <a:noFill/>
                    </a:ln>
                  </pic:spPr>
                </pic:pic>
              </a:graphicData>
            </a:graphic>
          </wp:inline>
        </w:drawing>
      </w:r>
    </w:p>
    <w:p w14:paraId="67D62627" w14:textId="77777777" w:rsidR="006251B9" w:rsidRPr="006251B9" w:rsidRDefault="006251B9" w:rsidP="006251B9">
      <w:pPr>
        <w:pStyle w:val="NormalWeb"/>
        <w:spacing w:line="276" w:lineRule="auto"/>
        <w:ind w:left="720"/>
        <w:jc w:val="both"/>
        <w:rPr>
          <w:rFonts w:ascii="Calibri" w:hAnsi="Calibri" w:cs="Calibri"/>
          <w:noProof/>
          <w:color w:val="000000" w:themeColor="text1"/>
          <w:lang w:val="en-US" w:eastAsia="en-US"/>
        </w:rPr>
      </w:pPr>
      <w:proofErr w:type="spellStart"/>
      <w:proofErr w:type="gramStart"/>
      <w:r w:rsidRPr="006251B9">
        <w:rPr>
          <w:rFonts w:ascii="Calibri" w:hAnsi="Calibri" w:cs="Calibri"/>
          <w:color w:val="000000" w:themeColor="text1"/>
        </w:rPr>
        <w:t>Explanation</w:t>
      </w:r>
      <w:proofErr w:type="spellEnd"/>
      <w:r w:rsidRPr="006251B9">
        <w:rPr>
          <w:rFonts w:ascii="Calibri" w:hAnsi="Calibri" w:cs="Calibri"/>
          <w:color w:val="000000" w:themeColor="text1"/>
        </w:rPr>
        <w:t>:</w:t>
      </w:r>
      <w:proofErr w:type="gramEnd"/>
      <w:r w:rsidRPr="006251B9">
        <w:rPr>
          <w:rFonts w:ascii="Calibri" w:hAnsi="Calibri" w:cs="Calibri"/>
          <w:color w:val="000000" w:themeColor="text1"/>
        </w:rPr>
        <w:t xml:space="preserve"> The </w:t>
      </w:r>
      <w:proofErr w:type="spellStart"/>
      <w:r w:rsidRPr="006251B9">
        <w:rPr>
          <w:rFonts w:ascii="Calibri" w:hAnsi="Calibri" w:cs="Calibri"/>
          <w:color w:val="000000" w:themeColor="text1"/>
        </w:rPr>
        <w:t>low-liquidity</w:t>
      </w:r>
      <w:proofErr w:type="spellEnd"/>
      <w:r w:rsidRPr="006251B9">
        <w:rPr>
          <w:rFonts w:ascii="Calibri" w:hAnsi="Calibri" w:cs="Calibri"/>
          <w:color w:val="000000" w:themeColor="text1"/>
        </w:rPr>
        <w:t xml:space="preserve"> instrument in Figure 2 </w:t>
      </w:r>
      <w:proofErr w:type="spellStart"/>
      <w:r w:rsidRPr="006251B9">
        <w:rPr>
          <w:rFonts w:ascii="Calibri" w:hAnsi="Calibri" w:cs="Calibri"/>
          <w:color w:val="000000" w:themeColor="text1"/>
        </w:rPr>
        <w:t>is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beginning</w:t>
      </w:r>
      <w:proofErr w:type="spellEnd"/>
      <w:r w:rsidRPr="006251B9">
        <w:rPr>
          <w:rFonts w:ascii="Calibri" w:hAnsi="Calibri" w:cs="Calibri"/>
          <w:color w:val="000000" w:themeColor="text1"/>
        </w:rPr>
        <w:t xml:space="preserve"> to </w:t>
      </w:r>
      <w:proofErr w:type="spellStart"/>
      <w:r w:rsidRPr="006251B9">
        <w:rPr>
          <w:rFonts w:ascii="Calibri" w:hAnsi="Calibri" w:cs="Calibri"/>
          <w:color w:val="000000" w:themeColor="text1"/>
        </w:rPr>
        <w:t>develop</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in </w:t>
      </w:r>
      <w:proofErr w:type="spellStart"/>
      <w:r w:rsidRPr="006251B9">
        <w:rPr>
          <w:rFonts w:ascii="Calibri" w:hAnsi="Calibri" w:cs="Calibri"/>
          <w:color w:val="000000" w:themeColor="text1"/>
        </w:rPr>
        <w:t>lower</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trade</w:t>
      </w:r>
      <w:proofErr w:type="spellEnd"/>
      <w:r w:rsidRPr="006251B9">
        <w:rPr>
          <w:rFonts w:ascii="Calibri" w:hAnsi="Calibri" w:cs="Calibri"/>
          <w:color w:val="000000" w:themeColor="text1"/>
        </w:rPr>
        <w:t xml:space="preserve"> sizes as </w:t>
      </w:r>
      <w:proofErr w:type="spellStart"/>
      <w:r w:rsidRPr="006251B9">
        <w:rPr>
          <w:rFonts w:ascii="Calibri" w:hAnsi="Calibri" w:cs="Calibri"/>
          <w:color w:val="000000" w:themeColor="text1"/>
        </w:rPr>
        <w:t>evidenced</w:t>
      </w:r>
      <w:proofErr w:type="spellEnd"/>
      <w:r w:rsidRPr="006251B9">
        <w:rPr>
          <w:rFonts w:ascii="Calibri" w:hAnsi="Calibri" w:cs="Calibri"/>
          <w:color w:val="000000" w:themeColor="text1"/>
        </w:rPr>
        <w:t xml:space="preserve"> by the local </w:t>
      </w:r>
      <w:proofErr w:type="spellStart"/>
      <w:r w:rsidRPr="006251B9">
        <w:rPr>
          <w:rFonts w:ascii="Calibri" w:hAnsi="Calibri" w:cs="Calibri"/>
          <w:color w:val="000000" w:themeColor="text1"/>
        </w:rPr>
        <w:t>spike</w:t>
      </w:r>
      <w:proofErr w:type="spellEnd"/>
      <w:r w:rsidRPr="006251B9">
        <w:rPr>
          <w:rFonts w:ascii="Calibri" w:hAnsi="Calibri" w:cs="Calibri"/>
          <w:color w:val="000000" w:themeColor="text1"/>
        </w:rPr>
        <w:t xml:space="preserve"> at a </w:t>
      </w:r>
      <w:proofErr w:type="spellStart"/>
      <w:r w:rsidRPr="006251B9">
        <w:rPr>
          <w:rFonts w:ascii="Calibri" w:hAnsi="Calibri" w:cs="Calibri"/>
          <w:color w:val="000000" w:themeColor="text1"/>
        </w:rPr>
        <w:t>quantity</w:t>
      </w:r>
      <w:proofErr w:type="spellEnd"/>
      <w:r w:rsidRPr="006251B9">
        <w:rPr>
          <w:rFonts w:ascii="Calibri" w:hAnsi="Calibri" w:cs="Calibri"/>
          <w:color w:val="000000" w:themeColor="text1"/>
        </w:rPr>
        <w:t xml:space="preserve"> of 1. </w:t>
      </w:r>
      <w:proofErr w:type="spellStart"/>
      <w:r w:rsidRPr="006251B9">
        <w:rPr>
          <w:rFonts w:ascii="Calibri" w:hAnsi="Calibri" w:cs="Calibri"/>
          <w:color w:val="000000" w:themeColor="text1"/>
        </w:rPr>
        <w:t>However</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some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metric</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specific</w:t>
      </w:r>
      <w:proofErr w:type="spellEnd"/>
      <w:r w:rsidRPr="006251B9">
        <w:rPr>
          <w:rFonts w:ascii="Calibri" w:hAnsi="Calibri" w:cs="Calibri"/>
          <w:color w:val="000000" w:themeColor="text1"/>
        </w:rPr>
        <w:t xml:space="preserve"> to </w:t>
      </w:r>
      <w:proofErr w:type="spellStart"/>
      <w:r w:rsidRPr="006251B9">
        <w:rPr>
          <w:rFonts w:ascii="Calibri" w:hAnsi="Calibri" w:cs="Calibri"/>
          <w:color w:val="000000" w:themeColor="text1"/>
        </w:rPr>
        <w:t>this</w:t>
      </w:r>
      <w:proofErr w:type="spellEnd"/>
      <w:r w:rsidRPr="006251B9">
        <w:rPr>
          <w:rFonts w:ascii="Calibri" w:hAnsi="Calibri" w:cs="Calibri"/>
          <w:color w:val="000000" w:themeColor="text1"/>
        </w:rPr>
        <w:t xml:space="preserve"> instrument </w:t>
      </w:r>
      <w:proofErr w:type="spellStart"/>
      <w:r w:rsidRPr="006251B9">
        <w:rPr>
          <w:rFonts w:ascii="Calibri" w:hAnsi="Calibri" w:cs="Calibri"/>
          <w:color w:val="000000" w:themeColor="text1"/>
        </w:rPr>
        <w:t>is</w:t>
      </w:r>
      <w:proofErr w:type="spellEnd"/>
      <w:r w:rsidRPr="006251B9">
        <w:rPr>
          <w:rFonts w:ascii="Calibri" w:hAnsi="Calibri" w:cs="Calibri"/>
          <w:color w:val="000000" w:themeColor="text1"/>
        </w:rPr>
        <w:t xml:space="preserve"> st</w:t>
      </w:r>
    </w:p>
    <w:p w14:paraId="0D3A924B" w14:textId="1DD5E4DB" w:rsidR="006251B9" w:rsidRPr="006251B9" w:rsidRDefault="006251B9" w:rsidP="006251B9">
      <w:pPr>
        <w:pStyle w:val="NormalWeb"/>
        <w:spacing w:line="276" w:lineRule="auto"/>
        <w:ind w:left="720"/>
        <w:jc w:val="both"/>
        <w:rPr>
          <w:rFonts w:ascii="Calibri" w:hAnsi="Calibri" w:cs="Calibri"/>
          <w:color w:val="000000" w:themeColor="text1"/>
        </w:rPr>
      </w:pPr>
      <w:proofErr w:type="spellStart"/>
      <w:proofErr w:type="gramStart"/>
      <w:r w:rsidRPr="006251B9">
        <w:rPr>
          <w:rFonts w:ascii="Calibri" w:hAnsi="Calibri" w:cs="Calibri"/>
          <w:color w:val="000000" w:themeColor="text1"/>
        </w:rPr>
        <w:t>ill</w:t>
      </w:r>
      <w:proofErr w:type="spellEnd"/>
      <w:proofErr w:type="gram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driving</w:t>
      </w:r>
      <w:proofErr w:type="spellEnd"/>
      <w:r w:rsidRPr="006251B9">
        <w:rPr>
          <w:rFonts w:ascii="Calibri" w:hAnsi="Calibri" w:cs="Calibri"/>
          <w:color w:val="000000" w:themeColor="text1"/>
        </w:rPr>
        <w:t xml:space="preserve"> the </w:t>
      </w:r>
      <w:proofErr w:type="spellStart"/>
      <w:r w:rsidRPr="006251B9">
        <w:rPr>
          <w:rFonts w:ascii="Calibri" w:hAnsi="Calibri" w:cs="Calibri"/>
          <w:color w:val="000000" w:themeColor="text1"/>
        </w:rPr>
        <w:t>trade</w:t>
      </w:r>
      <w:proofErr w:type="spellEnd"/>
      <w:r w:rsidRPr="006251B9">
        <w:rPr>
          <w:rFonts w:ascii="Calibri" w:hAnsi="Calibri" w:cs="Calibri"/>
          <w:color w:val="000000" w:themeColor="text1"/>
        </w:rPr>
        <w:t xml:space="preserve"> sizes in </w:t>
      </w:r>
      <w:proofErr w:type="spellStart"/>
      <w:r w:rsidRPr="006251B9">
        <w:rPr>
          <w:rFonts w:ascii="Calibri" w:hAnsi="Calibri" w:cs="Calibri"/>
          <w:color w:val="000000" w:themeColor="text1"/>
        </w:rPr>
        <w:t>increments</w:t>
      </w:r>
      <w:proofErr w:type="spellEnd"/>
      <w:r w:rsidRPr="006251B9">
        <w:rPr>
          <w:rFonts w:ascii="Calibri" w:hAnsi="Calibri" w:cs="Calibri"/>
          <w:color w:val="000000" w:themeColor="text1"/>
        </w:rPr>
        <w:t xml:space="preserve"> of 5 unit multiples </w:t>
      </w:r>
      <w:proofErr w:type="spellStart"/>
      <w:r w:rsidRPr="006251B9">
        <w:rPr>
          <w:rFonts w:ascii="Calibri" w:hAnsi="Calibri" w:cs="Calibri"/>
          <w:color w:val="000000" w:themeColor="text1"/>
        </w:rPr>
        <w:t>with</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specific</w:t>
      </w:r>
      <w:proofErr w:type="spellEnd"/>
      <w:r w:rsidRPr="006251B9">
        <w:rPr>
          <w:rFonts w:ascii="Calibri" w:hAnsi="Calibri" w:cs="Calibri"/>
          <w:color w:val="000000" w:themeColor="text1"/>
        </w:rPr>
        <w:t xml:space="preserve"> drivers </w:t>
      </w:r>
      <w:proofErr w:type="spellStart"/>
      <w:r w:rsidRPr="006251B9">
        <w:rPr>
          <w:rFonts w:ascii="Calibri" w:hAnsi="Calibri" w:cs="Calibri"/>
          <w:color w:val="000000" w:themeColor="text1"/>
        </w:rPr>
        <w:t>around</w:t>
      </w:r>
      <w:proofErr w:type="spellEnd"/>
      <w:r w:rsidRPr="006251B9">
        <w:rPr>
          <w:rFonts w:ascii="Calibri" w:hAnsi="Calibri" w:cs="Calibri"/>
          <w:color w:val="000000" w:themeColor="text1"/>
        </w:rPr>
        <w:t xml:space="preserve"> the 50 </w:t>
      </w:r>
      <w:proofErr w:type="spellStart"/>
      <w:r w:rsidRPr="006251B9">
        <w:rPr>
          <w:rFonts w:ascii="Calibri" w:hAnsi="Calibri" w:cs="Calibri"/>
          <w:color w:val="000000" w:themeColor="text1"/>
        </w:rPr>
        <w:t>level</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Such</w:t>
      </w:r>
      <w:proofErr w:type="spellEnd"/>
      <w:r w:rsidRPr="006251B9">
        <w:rPr>
          <w:rFonts w:ascii="Calibri" w:hAnsi="Calibri" w:cs="Calibri"/>
          <w:color w:val="000000" w:themeColor="text1"/>
        </w:rPr>
        <w:t xml:space="preserve"> drivers are no longer the main </w:t>
      </w:r>
      <w:proofErr w:type="spellStart"/>
      <w:r w:rsidRPr="006251B9">
        <w:rPr>
          <w:rFonts w:ascii="Calibri" w:hAnsi="Calibri" w:cs="Calibri"/>
          <w:color w:val="000000" w:themeColor="text1"/>
        </w:rPr>
        <w:t>determinant</w:t>
      </w:r>
      <w:proofErr w:type="spellEnd"/>
      <w:r w:rsidRPr="006251B9">
        <w:rPr>
          <w:rFonts w:ascii="Calibri" w:hAnsi="Calibri" w:cs="Calibri"/>
          <w:color w:val="000000" w:themeColor="text1"/>
        </w:rPr>
        <w:t xml:space="preserve"> of </w:t>
      </w:r>
      <w:proofErr w:type="spellStart"/>
      <w:r w:rsidRPr="006251B9">
        <w:rPr>
          <w:rFonts w:ascii="Calibri" w:hAnsi="Calibri" w:cs="Calibri"/>
          <w:color w:val="000000" w:themeColor="text1"/>
        </w:rPr>
        <w:t>trade</w:t>
      </w:r>
      <w:proofErr w:type="spellEnd"/>
      <w:r w:rsidRPr="006251B9">
        <w:rPr>
          <w:rFonts w:ascii="Calibri" w:hAnsi="Calibri" w:cs="Calibri"/>
          <w:color w:val="000000" w:themeColor="text1"/>
        </w:rPr>
        <w:t xml:space="preserve"> size in the high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market</w:t>
      </w:r>
      <w:proofErr w:type="spellEnd"/>
      <w:r w:rsidRPr="006251B9">
        <w:rPr>
          <w:rFonts w:ascii="Calibri" w:hAnsi="Calibri" w:cs="Calibri"/>
          <w:color w:val="000000" w:themeColor="text1"/>
        </w:rPr>
        <w:t xml:space="preserve"> in Figure 1.</w:t>
      </w:r>
    </w:p>
    <w:p w14:paraId="1B0AF135" w14:textId="77777777" w:rsidR="006251B9" w:rsidRPr="006251B9" w:rsidRDefault="006251B9" w:rsidP="006251B9">
      <w:pPr>
        <w:spacing w:beforeAutospacing="1" w:afterAutospacing="1"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Table 1 shows the basic statistics of the two instruments described above: </w:t>
      </w:r>
    </w:p>
    <w:p w14:paraId="0DD44D4F" w14:textId="77777777" w:rsidR="006251B9" w:rsidRPr="006251B9" w:rsidRDefault="006251B9" w:rsidP="006251B9">
      <w:pPr>
        <w:pStyle w:val="NoSpacing"/>
        <w:rPr>
          <w:i/>
          <w:iCs/>
          <w:u w:val="single"/>
          <w:lang w:val="en-GB"/>
        </w:rPr>
      </w:pPr>
      <w:r w:rsidRPr="006251B9">
        <w:rPr>
          <w:i/>
          <w:iCs/>
          <w:lang w:val="en-GB"/>
        </w:rPr>
        <w:t xml:space="preserve">  </w:t>
      </w:r>
      <w:r w:rsidRPr="006251B9">
        <w:rPr>
          <w:i/>
          <w:iCs/>
          <w:lang w:val="en-GB"/>
        </w:rPr>
        <w:tab/>
      </w:r>
      <w:r w:rsidRPr="006251B9">
        <w:rPr>
          <w:i/>
          <w:iCs/>
          <w:u w:val="single"/>
          <w:lang w:val="en-GB"/>
        </w:rPr>
        <w:t>Table 1: Basic statistics of a high liquidity instrument and a low liquidity instrument</w:t>
      </w:r>
    </w:p>
    <w:tbl>
      <w:tblPr>
        <w:tblStyle w:val="GridTable4-Accent3"/>
        <w:tblpPr w:leftFromText="180" w:rightFromText="180" w:vertAnchor="text" w:horzAnchor="margin" w:tblpXSpec="center" w:tblpY="102"/>
        <w:tblW w:w="8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33"/>
        <w:gridCol w:w="880"/>
        <w:gridCol w:w="1387"/>
        <w:gridCol w:w="1260"/>
        <w:gridCol w:w="2219"/>
      </w:tblGrid>
      <w:tr w:rsidR="006251B9" w:rsidRPr="006251B9" w14:paraId="2ACBB742" w14:textId="77777777" w:rsidTr="006251B9">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12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1766F20" w14:textId="77777777" w:rsidR="006251B9" w:rsidRPr="006251B9" w:rsidRDefault="006251B9" w:rsidP="006251B9">
            <w:pPr>
              <w:spacing w:beforeAutospacing="1" w:afterAutospacing="1" w:line="276" w:lineRule="auto"/>
              <w:jc w:val="center"/>
              <w:rPr>
                <w:rFonts w:ascii="Calibri" w:hAnsi="Calibri" w:cs="Calibri"/>
                <w:color w:val="000000" w:themeColor="text1"/>
                <w:lang w:val="en-GB"/>
              </w:rPr>
            </w:pPr>
            <w:r w:rsidRPr="006251B9">
              <w:rPr>
                <w:rFonts w:ascii="Calibri" w:hAnsi="Calibri" w:cs="Calibri"/>
                <w:color w:val="000000" w:themeColor="text1"/>
                <w:lang w:val="en-GB"/>
              </w:rPr>
              <w:t>Liquidity</w:t>
            </w:r>
          </w:p>
        </w:tc>
        <w:tc>
          <w:tcPr>
            <w:tcW w:w="113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791E3A3" w14:textId="77777777" w:rsidR="006251B9" w:rsidRPr="006251B9" w:rsidRDefault="006251B9" w:rsidP="006251B9">
            <w:pPr>
              <w:spacing w:beforeAutospacing="1"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Mean</w:t>
            </w:r>
          </w:p>
        </w:tc>
        <w:tc>
          <w:tcPr>
            <w:tcW w:w="88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2D6A2DB" w14:textId="77777777" w:rsidR="006251B9" w:rsidRPr="006251B9" w:rsidRDefault="006251B9" w:rsidP="006251B9">
            <w:pPr>
              <w:spacing w:beforeAutospacing="1"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Median</w:t>
            </w:r>
          </w:p>
        </w:tc>
        <w:tc>
          <w:tcPr>
            <w:tcW w:w="138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F327FB5" w14:textId="77777777" w:rsidR="006251B9" w:rsidRPr="006251B9" w:rsidRDefault="006251B9" w:rsidP="006251B9">
            <w:pPr>
              <w:spacing w:beforeAutospacing="1"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Mode</w:t>
            </w:r>
          </w:p>
        </w:tc>
        <w:tc>
          <w:tcPr>
            <w:tcW w:w="126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F59F58D" w14:textId="77777777" w:rsidR="006251B9" w:rsidRPr="006251B9" w:rsidRDefault="006251B9" w:rsidP="006251B9">
            <w:pPr>
              <w:spacing w:beforeAutospacing="1"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Standard Deviation</w:t>
            </w:r>
          </w:p>
        </w:tc>
        <w:tc>
          <w:tcPr>
            <w:tcW w:w="221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92E2844" w14:textId="77777777" w:rsidR="006251B9" w:rsidRPr="006251B9" w:rsidRDefault="006251B9" w:rsidP="006251B9">
            <w:pPr>
              <w:spacing w:beforeAutospacing="1"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Mode Trade Size as a percentage of Total Trades</w:t>
            </w:r>
          </w:p>
        </w:tc>
      </w:tr>
      <w:tr w:rsidR="006251B9" w:rsidRPr="006251B9" w14:paraId="635D1434" w14:textId="77777777" w:rsidTr="006251B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27" w:type="dxa"/>
            <w:tcBorders>
              <w:top w:val="single" w:sz="4" w:space="0" w:color="auto"/>
            </w:tcBorders>
            <w:shd w:val="clear" w:color="auto" w:fill="FFFFFF" w:themeFill="background1"/>
          </w:tcPr>
          <w:p w14:paraId="644230CC" w14:textId="77777777" w:rsidR="006251B9" w:rsidRPr="006251B9" w:rsidRDefault="006251B9" w:rsidP="006251B9">
            <w:pPr>
              <w:spacing w:beforeAutospacing="1" w:afterAutospacing="1" w:line="276" w:lineRule="auto"/>
              <w:jc w:val="center"/>
              <w:rPr>
                <w:rFonts w:ascii="Calibri" w:hAnsi="Calibri" w:cs="Calibri"/>
                <w:b w:val="0"/>
                <w:bCs w:val="0"/>
                <w:color w:val="000000" w:themeColor="text1"/>
                <w:lang w:val="en-GB"/>
              </w:rPr>
            </w:pPr>
            <w:r w:rsidRPr="006251B9">
              <w:rPr>
                <w:rFonts w:ascii="Calibri" w:hAnsi="Calibri" w:cs="Calibri"/>
                <w:b w:val="0"/>
                <w:bCs w:val="0"/>
                <w:color w:val="000000" w:themeColor="text1"/>
                <w:lang w:val="en-GB"/>
              </w:rPr>
              <w:t>High</w:t>
            </w:r>
          </w:p>
        </w:tc>
        <w:tc>
          <w:tcPr>
            <w:tcW w:w="1133" w:type="dxa"/>
            <w:tcBorders>
              <w:top w:val="single" w:sz="4" w:space="0" w:color="auto"/>
            </w:tcBorders>
            <w:shd w:val="clear" w:color="auto" w:fill="FFFFFF" w:themeFill="background1"/>
          </w:tcPr>
          <w:p w14:paraId="5A56E96F" w14:textId="77777777" w:rsidR="006251B9" w:rsidRPr="006251B9" w:rsidRDefault="006251B9" w:rsidP="006251B9">
            <w:pPr>
              <w:spacing w:beforeAutospacing="1"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2.59</w:t>
            </w:r>
          </w:p>
        </w:tc>
        <w:tc>
          <w:tcPr>
            <w:tcW w:w="880" w:type="dxa"/>
            <w:tcBorders>
              <w:top w:val="single" w:sz="4" w:space="0" w:color="auto"/>
            </w:tcBorders>
            <w:shd w:val="clear" w:color="auto" w:fill="FFFFFF" w:themeFill="background1"/>
          </w:tcPr>
          <w:p w14:paraId="534633AB" w14:textId="77777777" w:rsidR="006251B9" w:rsidRPr="006251B9" w:rsidRDefault="006251B9" w:rsidP="006251B9">
            <w:pPr>
              <w:spacing w:beforeAutospacing="1"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1</w:t>
            </w:r>
          </w:p>
        </w:tc>
        <w:tc>
          <w:tcPr>
            <w:tcW w:w="1387" w:type="dxa"/>
            <w:tcBorders>
              <w:top w:val="single" w:sz="4" w:space="0" w:color="auto"/>
            </w:tcBorders>
            <w:shd w:val="clear" w:color="auto" w:fill="FFFFFF" w:themeFill="background1"/>
          </w:tcPr>
          <w:p w14:paraId="473919FC" w14:textId="77777777" w:rsidR="006251B9" w:rsidRPr="006251B9" w:rsidRDefault="006251B9" w:rsidP="006251B9">
            <w:pPr>
              <w:spacing w:beforeAutospacing="1"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1</w:t>
            </w:r>
          </w:p>
        </w:tc>
        <w:tc>
          <w:tcPr>
            <w:tcW w:w="1260" w:type="dxa"/>
            <w:tcBorders>
              <w:top w:val="single" w:sz="4" w:space="0" w:color="auto"/>
            </w:tcBorders>
            <w:shd w:val="clear" w:color="auto" w:fill="FFFFFF" w:themeFill="background1"/>
          </w:tcPr>
          <w:p w14:paraId="74A6C3D7" w14:textId="77777777" w:rsidR="006251B9" w:rsidRPr="006251B9" w:rsidRDefault="006251B9" w:rsidP="006251B9">
            <w:pPr>
              <w:spacing w:beforeAutospacing="1"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12.01</w:t>
            </w:r>
          </w:p>
        </w:tc>
        <w:tc>
          <w:tcPr>
            <w:tcW w:w="2219" w:type="dxa"/>
            <w:tcBorders>
              <w:top w:val="single" w:sz="4" w:space="0" w:color="auto"/>
            </w:tcBorders>
            <w:shd w:val="clear" w:color="auto" w:fill="FFFFFF" w:themeFill="background1"/>
          </w:tcPr>
          <w:p w14:paraId="3CB41381" w14:textId="77777777" w:rsidR="006251B9" w:rsidRPr="006251B9" w:rsidRDefault="006251B9" w:rsidP="006251B9">
            <w:pPr>
              <w:spacing w:beforeAutospacing="1"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77.66%</w:t>
            </w:r>
          </w:p>
        </w:tc>
      </w:tr>
      <w:tr w:rsidR="006251B9" w:rsidRPr="006251B9" w14:paraId="0B0BFEB7" w14:textId="77777777" w:rsidTr="006251B9">
        <w:trPr>
          <w:trHeight w:val="342"/>
        </w:trPr>
        <w:tc>
          <w:tcPr>
            <w:cnfStyle w:val="001000000000" w:firstRow="0" w:lastRow="0" w:firstColumn="1" w:lastColumn="0" w:oddVBand="0" w:evenVBand="0" w:oddHBand="0" w:evenHBand="0" w:firstRowFirstColumn="0" w:firstRowLastColumn="0" w:lastRowFirstColumn="0" w:lastRowLastColumn="0"/>
            <w:tcW w:w="1127" w:type="dxa"/>
          </w:tcPr>
          <w:p w14:paraId="04DCEEA7" w14:textId="77777777" w:rsidR="006251B9" w:rsidRPr="006251B9" w:rsidRDefault="006251B9" w:rsidP="006251B9">
            <w:pPr>
              <w:spacing w:beforeAutospacing="1" w:afterAutospacing="1" w:line="276" w:lineRule="auto"/>
              <w:jc w:val="center"/>
              <w:rPr>
                <w:rFonts w:ascii="Calibri" w:hAnsi="Calibri" w:cs="Calibri"/>
                <w:b w:val="0"/>
                <w:bCs w:val="0"/>
                <w:color w:val="000000" w:themeColor="text1"/>
                <w:lang w:val="en-GB"/>
              </w:rPr>
            </w:pPr>
            <w:r w:rsidRPr="006251B9">
              <w:rPr>
                <w:rFonts w:ascii="Calibri" w:hAnsi="Calibri" w:cs="Calibri"/>
                <w:b w:val="0"/>
                <w:bCs w:val="0"/>
                <w:color w:val="000000" w:themeColor="text1"/>
                <w:lang w:val="en-GB"/>
              </w:rPr>
              <w:t>Low</w:t>
            </w:r>
          </w:p>
        </w:tc>
        <w:tc>
          <w:tcPr>
            <w:tcW w:w="1133" w:type="dxa"/>
          </w:tcPr>
          <w:p w14:paraId="2ABC3564" w14:textId="77777777" w:rsidR="006251B9" w:rsidRPr="006251B9" w:rsidRDefault="006251B9" w:rsidP="006251B9">
            <w:pPr>
              <w:spacing w:beforeAutospacing="1"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39.61</w:t>
            </w:r>
          </w:p>
        </w:tc>
        <w:tc>
          <w:tcPr>
            <w:tcW w:w="880" w:type="dxa"/>
          </w:tcPr>
          <w:p w14:paraId="11590410" w14:textId="77777777" w:rsidR="006251B9" w:rsidRPr="006251B9" w:rsidRDefault="006251B9" w:rsidP="006251B9">
            <w:pPr>
              <w:spacing w:beforeAutospacing="1"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40</w:t>
            </w:r>
          </w:p>
        </w:tc>
        <w:tc>
          <w:tcPr>
            <w:tcW w:w="1387" w:type="dxa"/>
          </w:tcPr>
          <w:p w14:paraId="1EFD9F46" w14:textId="77777777" w:rsidR="006251B9" w:rsidRPr="006251B9" w:rsidRDefault="006251B9" w:rsidP="006251B9">
            <w:pPr>
              <w:spacing w:beforeAutospacing="1"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50</w:t>
            </w:r>
          </w:p>
        </w:tc>
        <w:tc>
          <w:tcPr>
            <w:tcW w:w="1260" w:type="dxa"/>
          </w:tcPr>
          <w:p w14:paraId="02D40285" w14:textId="77777777" w:rsidR="006251B9" w:rsidRPr="006251B9" w:rsidRDefault="006251B9" w:rsidP="006251B9">
            <w:pPr>
              <w:spacing w:beforeAutospacing="1"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36.12</w:t>
            </w:r>
          </w:p>
        </w:tc>
        <w:tc>
          <w:tcPr>
            <w:tcW w:w="2219" w:type="dxa"/>
          </w:tcPr>
          <w:p w14:paraId="1A7163BD" w14:textId="77777777" w:rsidR="006251B9" w:rsidRPr="006251B9" w:rsidRDefault="006251B9" w:rsidP="006251B9">
            <w:pPr>
              <w:spacing w:beforeAutospacing="1"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6251B9">
              <w:rPr>
                <w:rFonts w:ascii="Calibri" w:hAnsi="Calibri" w:cs="Calibri"/>
                <w:color w:val="000000" w:themeColor="text1"/>
                <w:lang w:val="en-GB"/>
              </w:rPr>
              <w:t>36.02%</w:t>
            </w:r>
          </w:p>
        </w:tc>
      </w:tr>
    </w:tbl>
    <w:p w14:paraId="24A67504" w14:textId="77777777" w:rsidR="006251B9" w:rsidRPr="006251B9" w:rsidRDefault="006251B9" w:rsidP="006251B9">
      <w:pPr>
        <w:pStyle w:val="NoSpacing"/>
        <w:rPr>
          <w:i/>
          <w:iCs/>
          <w:u w:val="single"/>
          <w:lang w:val="en-GB"/>
        </w:rPr>
      </w:pPr>
    </w:p>
    <w:p w14:paraId="1A5F3DD8" w14:textId="3C0A0201" w:rsidR="006251B9" w:rsidRPr="006251B9" w:rsidRDefault="006251B9" w:rsidP="006251B9">
      <w:pPr>
        <w:ind w:left="720"/>
        <w:rPr>
          <w:rFonts w:ascii="Calibri" w:hAnsi="Calibri" w:cs="Calibri"/>
          <w:color w:val="000000"/>
          <w:sz w:val="24"/>
        </w:rPr>
      </w:pPr>
    </w:p>
    <w:p w14:paraId="317DA606" w14:textId="77777777" w:rsidR="006251B9" w:rsidRPr="006251B9" w:rsidRDefault="006251B9" w:rsidP="006251B9">
      <w:pPr>
        <w:rPr>
          <w:rFonts w:ascii="Calibri" w:hAnsi="Calibri" w:cs="Calibri"/>
          <w:color w:val="000000"/>
          <w:sz w:val="24"/>
        </w:rPr>
      </w:pPr>
    </w:p>
    <w:p w14:paraId="706BC263" w14:textId="77777777" w:rsidR="006251B9" w:rsidRPr="006251B9" w:rsidRDefault="006251B9" w:rsidP="006251B9">
      <w:pPr>
        <w:ind w:left="720"/>
        <w:rPr>
          <w:rFonts w:ascii="Calibri" w:hAnsi="Calibri" w:cs="Calibri"/>
          <w:color w:val="000000"/>
          <w:sz w:val="24"/>
        </w:rPr>
      </w:pPr>
    </w:p>
    <w:p w14:paraId="22F23F99" w14:textId="77777777" w:rsidR="006251B9" w:rsidRPr="006251B9" w:rsidRDefault="006251B9" w:rsidP="006251B9">
      <w:pPr>
        <w:ind w:left="720"/>
        <w:rPr>
          <w:rFonts w:ascii="Calibri" w:hAnsi="Calibri" w:cs="Calibri"/>
          <w:color w:val="000000"/>
          <w:sz w:val="24"/>
        </w:rPr>
      </w:pPr>
    </w:p>
    <w:p w14:paraId="0FD888DC" w14:textId="77777777" w:rsidR="006251B9" w:rsidRPr="006251B9" w:rsidRDefault="006251B9" w:rsidP="006251B9">
      <w:pPr>
        <w:ind w:left="720"/>
        <w:rPr>
          <w:rFonts w:ascii="Calibri" w:hAnsi="Calibri" w:cs="Calibri"/>
          <w:color w:val="000000"/>
          <w:sz w:val="24"/>
        </w:rPr>
      </w:pPr>
    </w:p>
    <w:p w14:paraId="07188663" w14:textId="77777777" w:rsidR="006251B9" w:rsidRPr="006251B9" w:rsidRDefault="006251B9" w:rsidP="006251B9">
      <w:pPr>
        <w:ind w:left="720"/>
        <w:rPr>
          <w:rFonts w:ascii="Calibri" w:hAnsi="Calibri" w:cs="Calibri"/>
          <w:color w:val="000000"/>
          <w:sz w:val="24"/>
        </w:rPr>
      </w:pPr>
    </w:p>
    <w:p w14:paraId="52D43819" w14:textId="010710B4" w:rsidR="006251B9" w:rsidRPr="006251B9" w:rsidRDefault="006251B9" w:rsidP="006251B9">
      <w:pPr>
        <w:ind w:left="720"/>
        <w:rPr>
          <w:sz w:val="24"/>
        </w:rPr>
      </w:pPr>
      <w:r w:rsidRPr="006251B9">
        <w:rPr>
          <w:rFonts w:ascii="Calibri" w:hAnsi="Calibri" w:cs="Calibri"/>
          <w:color w:val="000000"/>
          <w:sz w:val="24"/>
        </w:rPr>
        <w:t>Any approach similar to the existing one using a central or percentile-based measure</w:t>
      </w:r>
      <w:r w:rsidRPr="006251B9">
        <w:rPr>
          <w:sz w:val="24"/>
        </w:rPr>
        <w:t xml:space="preserve"> applied equally to these two examples will result in: </w:t>
      </w:r>
    </w:p>
    <w:p w14:paraId="3278EC80" w14:textId="77777777" w:rsidR="006251B9" w:rsidRPr="006251B9" w:rsidRDefault="006251B9" w:rsidP="006251B9">
      <w:pPr>
        <w:pStyle w:val="NormalWeb"/>
        <w:spacing w:line="276" w:lineRule="auto"/>
        <w:ind w:left="1440"/>
        <w:jc w:val="both"/>
        <w:rPr>
          <w:rFonts w:ascii="Calibri" w:hAnsi="Calibri" w:cs="Calibri"/>
          <w:color w:val="000000"/>
        </w:rPr>
      </w:pPr>
      <w:r w:rsidRPr="006251B9">
        <w:rPr>
          <w:rFonts w:ascii="Calibri" w:hAnsi="Calibri" w:cs="Calibri"/>
          <w:color w:val="000000"/>
        </w:rPr>
        <w:t xml:space="preserve">a)  A </w:t>
      </w:r>
      <w:proofErr w:type="spellStart"/>
      <w:r w:rsidRPr="006251B9">
        <w:rPr>
          <w:rFonts w:ascii="Calibri" w:hAnsi="Calibri" w:cs="Calibri"/>
          <w:color w:val="000000"/>
        </w:rPr>
        <w:t>low</w:t>
      </w:r>
      <w:proofErr w:type="spellEnd"/>
      <w:r w:rsidRPr="006251B9">
        <w:rPr>
          <w:rFonts w:ascii="Calibri" w:hAnsi="Calibri" w:cs="Calibri"/>
          <w:color w:val="000000"/>
        </w:rPr>
        <w:t xml:space="preserve"> standard size for the high </w:t>
      </w:r>
      <w:proofErr w:type="spellStart"/>
      <w:r w:rsidRPr="006251B9">
        <w:rPr>
          <w:rFonts w:ascii="Calibri" w:hAnsi="Calibri" w:cs="Calibri"/>
          <w:color w:val="000000"/>
        </w:rPr>
        <w:t>liquidity</w:t>
      </w:r>
      <w:proofErr w:type="spellEnd"/>
      <w:r w:rsidRPr="006251B9">
        <w:rPr>
          <w:rFonts w:ascii="Calibri" w:hAnsi="Calibri" w:cs="Calibri"/>
          <w:color w:val="000000"/>
        </w:rPr>
        <w:t xml:space="preserve"> </w:t>
      </w:r>
      <w:proofErr w:type="gramStart"/>
      <w:r w:rsidRPr="006251B9">
        <w:rPr>
          <w:rFonts w:ascii="Calibri" w:hAnsi="Calibri" w:cs="Calibri"/>
          <w:color w:val="000000"/>
        </w:rPr>
        <w:t>instrument;</w:t>
      </w:r>
      <w:proofErr w:type="gramEnd"/>
      <w:r w:rsidRPr="006251B9">
        <w:rPr>
          <w:rFonts w:ascii="Calibri" w:hAnsi="Calibri" w:cs="Calibri"/>
          <w:color w:val="000000"/>
        </w:rPr>
        <w:t xml:space="preserve"> </w:t>
      </w:r>
    </w:p>
    <w:p w14:paraId="6415C709" w14:textId="77777777" w:rsidR="006251B9" w:rsidRPr="006251B9" w:rsidRDefault="006251B9" w:rsidP="006251B9">
      <w:pPr>
        <w:pStyle w:val="NormalWeb"/>
        <w:spacing w:line="276" w:lineRule="auto"/>
        <w:ind w:left="1440"/>
        <w:jc w:val="both"/>
        <w:rPr>
          <w:rFonts w:ascii="Calibri" w:hAnsi="Calibri" w:cs="Calibri"/>
          <w:color w:val="000000"/>
        </w:rPr>
      </w:pPr>
      <w:r w:rsidRPr="006251B9">
        <w:rPr>
          <w:rFonts w:ascii="Calibri" w:hAnsi="Calibri" w:cs="Calibri"/>
          <w:color w:val="000000"/>
        </w:rPr>
        <w:lastRenderedPageBreak/>
        <w:t xml:space="preserve">b)  A high standard size for the </w:t>
      </w:r>
      <w:proofErr w:type="spellStart"/>
      <w:r w:rsidRPr="006251B9">
        <w:rPr>
          <w:rFonts w:ascii="Calibri" w:hAnsi="Calibri" w:cs="Calibri"/>
          <w:color w:val="000000"/>
        </w:rPr>
        <w:t>low</w:t>
      </w:r>
      <w:proofErr w:type="spellEnd"/>
      <w:r w:rsidRPr="006251B9">
        <w:rPr>
          <w:rFonts w:ascii="Calibri" w:hAnsi="Calibri" w:cs="Calibri"/>
          <w:color w:val="000000"/>
        </w:rPr>
        <w:t xml:space="preserve"> </w:t>
      </w:r>
      <w:proofErr w:type="spellStart"/>
      <w:r w:rsidRPr="006251B9">
        <w:rPr>
          <w:rFonts w:ascii="Calibri" w:hAnsi="Calibri" w:cs="Calibri"/>
          <w:color w:val="000000"/>
        </w:rPr>
        <w:t>liquidity</w:t>
      </w:r>
      <w:proofErr w:type="spellEnd"/>
      <w:r w:rsidRPr="006251B9">
        <w:rPr>
          <w:rFonts w:ascii="Calibri" w:hAnsi="Calibri" w:cs="Calibri"/>
          <w:color w:val="000000"/>
        </w:rPr>
        <w:t xml:space="preserve"> </w:t>
      </w:r>
      <w:proofErr w:type="gramStart"/>
      <w:r w:rsidRPr="006251B9">
        <w:rPr>
          <w:rFonts w:ascii="Calibri" w:hAnsi="Calibri" w:cs="Calibri"/>
          <w:color w:val="000000"/>
        </w:rPr>
        <w:t>instrument;</w:t>
      </w:r>
      <w:proofErr w:type="gramEnd"/>
      <w:r w:rsidRPr="006251B9">
        <w:rPr>
          <w:rFonts w:ascii="Calibri" w:hAnsi="Calibri" w:cs="Calibri"/>
          <w:color w:val="000000"/>
        </w:rPr>
        <w:t xml:space="preserve"> </w:t>
      </w:r>
    </w:p>
    <w:p w14:paraId="32818A9F" w14:textId="77777777" w:rsidR="006251B9" w:rsidRPr="006251B9" w:rsidRDefault="006251B9" w:rsidP="006251B9">
      <w:pPr>
        <w:pStyle w:val="NormalWeb"/>
        <w:spacing w:line="276" w:lineRule="auto"/>
        <w:ind w:left="1440"/>
        <w:jc w:val="both"/>
        <w:rPr>
          <w:rFonts w:ascii="Calibri" w:hAnsi="Calibri" w:cs="Calibri"/>
          <w:color w:val="000000"/>
        </w:rPr>
      </w:pPr>
      <w:r w:rsidRPr="006251B9">
        <w:rPr>
          <w:rFonts w:ascii="Calibri" w:hAnsi="Calibri" w:cs="Calibri"/>
          <w:color w:val="000000"/>
        </w:rPr>
        <w:t xml:space="preserve">c)  A </w:t>
      </w:r>
      <w:proofErr w:type="spellStart"/>
      <w:r w:rsidRPr="006251B9">
        <w:rPr>
          <w:rFonts w:ascii="Calibri" w:hAnsi="Calibri" w:cs="Calibri"/>
          <w:color w:val="000000"/>
        </w:rPr>
        <w:t>low</w:t>
      </w:r>
      <w:proofErr w:type="spellEnd"/>
      <w:r w:rsidRPr="006251B9">
        <w:rPr>
          <w:rFonts w:ascii="Calibri" w:hAnsi="Calibri" w:cs="Calibri"/>
          <w:color w:val="000000"/>
        </w:rPr>
        <w:t xml:space="preserve"> LIS for the high </w:t>
      </w:r>
      <w:proofErr w:type="spellStart"/>
      <w:r w:rsidRPr="006251B9">
        <w:rPr>
          <w:rFonts w:ascii="Calibri" w:hAnsi="Calibri" w:cs="Calibri"/>
          <w:color w:val="000000"/>
        </w:rPr>
        <w:t>liquidity</w:t>
      </w:r>
      <w:proofErr w:type="spellEnd"/>
      <w:r w:rsidRPr="006251B9">
        <w:rPr>
          <w:rFonts w:ascii="Calibri" w:hAnsi="Calibri" w:cs="Calibri"/>
          <w:color w:val="000000"/>
        </w:rPr>
        <w:t xml:space="preserve"> instrument (the 70</w:t>
      </w:r>
      <w:r w:rsidRPr="006251B9">
        <w:rPr>
          <w:rFonts w:ascii="Calibri" w:hAnsi="Calibri" w:cs="Calibri"/>
          <w:color w:val="000000"/>
          <w:position w:val="8"/>
          <w:vertAlign w:val="superscript"/>
        </w:rPr>
        <w:t>th</w:t>
      </w:r>
      <w:r w:rsidRPr="006251B9">
        <w:rPr>
          <w:rFonts w:ascii="Calibri" w:hAnsi="Calibri" w:cs="Calibri"/>
          <w:color w:val="000000"/>
          <w:position w:val="8"/>
        </w:rPr>
        <w:t xml:space="preserve"> </w:t>
      </w:r>
      <w:r w:rsidRPr="006251B9">
        <w:rPr>
          <w:rFonts w:ascii="Calibri" w:hAnsi="Calibri" w:cs="Calibri"/>
          <w:color w:val="000000"/>
        </w:rPr>
        <w:t xml:space="preserve">percentile </w:t>
      </w:r>
      <w:proofErr w:type="spellStart"/>
      <w:r w:rsidRPr="006251B9">
        <w:rPr>
          <w:rFonts w:ascii="Calibri" w:hAnsi="Calibri" w:cs="Calibri"/>
          <w:color w:val="000000"/>
        </w:rPr>
        <w:t>is</w:t>
      </w:r>
      <w:proofErr w:type="spellEnd"/>
      <w:r w:rsidRPr="006251B9">
        <w:rPr>
          <w:rFonts w:ascii="Calibri" w:hAnsi="Calibri" w:cs="Calibri"/>
          <w:color w:val="000000"/>
        </w:rPr>
        <w:t xml:space="preserve"> </w:t>
      </w:r>
      <w:proofErr w:type="spellStart"/>
      <w:r w:rsidRPr="006251B9">
        <w:rPr>
          <w:rFonts w:ascii="Calibri" w:hAnsi="Calibri" w:cs="Calibri"/>
          <w:color w:val="000000"/>
        </w:rPr>
        <w:t>still</w:t>
      </w:r>
      <w:proofErr w:type="spellEnd"/>
      <w:r w:rsidRPr="006251B9">
        <w:rPr>
          <w:rFonts w:ascii="Calibri" w:hAnsi="Calibri" w:cs="Calibri"/>
          <w:color w:val="000000"/>
        </w:rPr>
        <w:t xml:space="preserve"> 1 unit</w:t>
      </w:r>
      <w:proofErr w:type="gramStart"/>
      <w:r w:rsidRPr="006251B9">
        <w:rPr>
          <w:rFonts w:ascii="Calibri" w:hAnsi="Calibri" w:cs="Calibri"/>
          <w:color w:val="000000"/>
        </w:rPr>
        <w:t>);</w:t>
      </w:r>
      <w:proofErr w:type="gramEnd"/>
      <w:r w:rsidRPr="006251B9">
        <w:rPr>
          <w:rFonts w:ascii="Calibri" w:hAnsi="Calibri" w:cs="Calibri"/>
          <w:color w:val="000000"/>
        </w:rPr>
        <w:t xml:space="preserve"> </w:t>
      </w:r>
    </w:p>
    <w:p w14:paraId="2EAFD43F" w14:textId="77777777" w:rsidR="006251B9" w:rsidRPr="006251B9" w:rsidRDefault="006251B9" w:rsidP="006251B9">
      <w:pPr>
        <w:pStyle w:val="NormalWeb"/>
        <w:spacing w:line="276" w:lineRule="auto"/>
        <w:ind w:left="1440"/>
        <w:jc w:val="both"/>
        <w:rPr>
          <w:rFonts w:ascii="Calibri" w:hAnsi="Calibri" w:cs="Calibri"/>
          <w:color w:val="000000"/>
        </w:rPr>
      </w:pPr>
      <w:r w:rsidRPr="006251B9">
        <w:rPr>
          <w:rFonts w:ascii="Calibri" w:hAnsi="Calibri" w:cs="Calibri"/>
          <w:color w:val="000000"/>
        </w:rPr>
        <w:t xml:space="preserve">d)  A high LIS for the </w:t>
      </w:r>
      <w:proofErr w:type="spellStart"/>
      <w:r w:rsidRPr="006251B9">
        <w:rPr>
          <w:rFonts w:ascii="Calibri" w:hAnsi="Calibri" w:cs="Calibri"/>
          <w:color w:val="000000"/>
        </w:rPr>
        <w:t>low</w:t>
      </w:r>
      <w:proofErr w:type="spellEnd"/>
      <w:r w:rsidRPr="006251B9">
        <w:rPr>
          <w:rFonts w:ascii="Calibri" w:hAnsi="Calibri" w:cs="Calibri"/>
          <w:color w:val="000000"/>
        </w:rPr>
        <w:t xml:space="preserve"> </w:t>
      </w:r>
      <w:proofErr w:type="spellStart"/>
      <w:r w:rsidRPr="006251B9">
        <w:rPr>
          <w:rFonts w:ascii="Calibri" w:hAnsi="Calibri" w:cs="Calibri"/>
          <w:color w:val="000000"/>
        </w:rPr>
        <w:t>liquidity</w:t>
      </w:r>
      <w:proofErr w:type="spellEnd"/>
      <w:r w:rsidRPr="006251B9">
        <w:rPr>
          <w:rFonts w:ascii="Calibri" w:hAnsi="Calibri" w:cs="Calibri"/>
          <w:color w:val="000000"/>
        </w:rPr>
        <w:t xml:space="preserve"> instrument (the 70</w:t>
      </w:r>
      <w:r w:rsidRPr="006251B9">
        <w:rPr>
          <w:rFonts w:ascii="Calibri" w:hAnsi="Calibri" w:cs="Calibri"/>
          <w:color w:val="000000"/>
          <w:position w:val="8"/>
          <w:vertAlign w:val="superscript"/>
        </w:rPr>
        <w:t>th</w:t>
      </w:r>
      <w:r w:rsidRPr="006251B9">
        <w:rPr>
          <w:rFonts w:ascii="Calibri" w:hAnsi="Calibri" w:cs="Calibri"/>
          <w:color w:val="000000"/>
          <w:position w:val="8"/>
        </w:rPr>
        <w:t xml:space="preserve"> </w:t>
      </w:r>
      <w:r w:rsidRPr="006251B9">
        <w:rPr>
          <w:rFonts w:ascii="Calibri" w:hAnsi="Calibri" w:cs="Calibri"/>
          <w:color w:val="000000"/>
        </w:rPr>
        <w:t xml:space="preserve">percentile </w:t>
      </w:r>
      <w:proofErr w:type="spellStart"/>
      <w:r w:rsidRPr="006251B9">
        <w:rPr>
          <w:rFonts w:ascii="Calibri" w:hAnsi="Calibri" w:cs="Calibri"/>
          <w:color w:val="000000"/>
        </w:rPr>
        <w:t>is</w:t>
      </w:r>
      <w:proofErr w:type="spellEnd"/>
      <w:r w:rsidRPr="006251B9">
        <w:rPr>
          <w:rFonts w:ascii="Calibri" w:hAnsi="Calibri" w:cs="Calibri"/>
          <w:color w:val="000000"/>
        </w:rPr>
        <w:t xml:space="preserve"> 50 </w:t>
      </w:r>
      <w:proofErr w:type="spellStart"/>
      <w:r w:rsidRPr="006251B9">
        <w:rPr>
          <w:rFonts w:ascii="Calibri" w:hAnsi="Calibri" w:cs="Calibri"/>
          <w:color w:val="000000"/>
        </w:rPr>
        <w:t>units</w:t>
      </w:r>
      <w:proofErr w:type="spellEnd"/>
      <w:r w:rsidRPr="006251B9">
        <w:rPr>
          <w:rFonts w:ascii="Calibri" w:hAnsi="Calibri" w:cs="Calibri"/>
          <w:color w:val="000000"/>
        </w:rPr>
        <w:t xml:space="preserve"> by </w:t>
      </w:r>
      <w:proofErr w:type="spellStart"/>
      <w:r w:rsidRPr="006251B9">
        <w:rPr>
          <w:rFonts w:ascii="Calibri" w:hAnsi="Calibri" w:cs="Calibri"/>
          <w:color w:val="000000"/>
        </w:rPr>
        <w:t>trade</w:t>
      </w:r>
      <w:proofErr w:type="spellEnd"/>
      <w:r w:rsidRPr="006251B9">
        <w:rPr>
          <w:rFonts w:ascii="Calibri" w:hAnsi="Calibri" w:cs="Calibri"/>
          <w:color w:val="000000"/>
        </w:rPr>
        <w:t xml:space="preserve"> and 72 </w:t>
      </w:r>
      <w:proofErr w:type="spellStart"/>
      <w:r w:rsidRPr="006251B9">
        <w:rPr>
          <w:rFonts w:ascii="Calibri" w:hAnsi="Calibri" w:cs="Calibri"/>
          <w:color w:val="000000"/>
        </w:rPr>
        <w:t>units</w:t>
      </w:r>
      <w:proofErr w:type="spellEnd"/>
      <w:r w:rsidRPr="006251B9">
        <w:rPr>
          <w:rFonts w:ascii="Calibri" w:hAnsi="Calibri" w:cs="Calibri"/>
          <w:color w:val="000000"/>
        </w:rPr>
        <w:t xml:space="preserve"> by volume). </w:t>
      </w:r>
    </w:p>
    <w:p w14:paraId="2A6E509A" w14:textId="77777777" w:rsidR="006251B9" w:rsidRPr="006251B9" w:rsidRDefault="006251B9" w:rsidP="006251B9">
      <w:pPr>
        <w:pStyle w:val="NormalWeb"/>
        <w:spacing w:line="276" w:lineRule="auto"/>
        <w:ind w:left="720"/>
        <w:jc w:val="both"/>
        <w:rPr>
          <w:rFonts w:ascii="Calibri" w:hAnsi="Calibri" w:cs="Calibri"/>
          <w:color w:val="000000" w:themeColor="text1"/>
        </w:rPr>
      </w:pPr>
      <w:r w:rsidRPr="006251B9">
        <w:rPr>
          <w:rFonts w:ascii="Calibri" w:hAnsi="Calibri" w:cs="Calibri"/>
          <w:color w:val="000000" w:themeColor="text1"/>
        </w:rPr>
        <w:t xml:space="preserve">The </w:t>
      </w:r>
      <w:proofErr w:type="spellStart"/>
      <w:r w:rsidRPr="006251B9">
        <w:rPr>
          <w:rFonts w:ascii="Calibri" w:hAnsi="Calibri" w:cs="Calibri"/>
          <w:color w:val="000000" w:themeColor="text1"/>
        </w:rPr>
        <w:t>above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results</w:t>
      </w:r>
      <w:proofErr w:type="spellEnd"/>
      <w:r w:rsidRPr="006251B9">
        <w:rPr>
          <w:rFonts w:ascii="Calibri" w:hAnsi="Calibri" w:cs="Calibri"/>
          <w:color w:val="000000" w:themeColor="text1"/>
        </w:rPr>
        <w:t xml:space="preserve"> are </w:t>
      </w:r>
      <w:proofErr w:type="spellStart"/>
      <w:r w:rsidRPr="006251B9">
        <w:rPr>
          <w:rFonts w:ascii="Calibri" w:hAnsi="Calibri" w:cs="Calibri"/>
          <w:color w:val="000000" w:themeColor="text1"/>
        </w:rPr>
        <w:t>counterintuitive</w:t>
      </w:r>
      <w:proofErr w:type="spellEnd"/>
      <w:r w:rsidRPr="006251B9">
        <w:rPr>
          <w:rFonts w:ascii="Calibri" w:hAnsi="Calibri" w:cs="Calibri"/>
          <w:color w:val="000000" w:themeColor="text1"/>
        </w:rPr>
        <w:t xml:space="preserve"> and </w:t>
      </w:r>
      <w:proofErr w:type="spellStart"/>
      <w:r w:rsidRPr="006251B9">
        <w:rPr>
          <w:rFonts w:ascii="Calibri" w:hAnsi="Calibri" w:cs="Calibri"/>
          <w:color w:val="000000" w:themeColor="text1"/>
        </w:rPr>
        <w:t>imply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that</w:t>
      </w:r>
      <w:proofErr w:type="spellEnd"/>
      <w:r w:rsidRPr="006251B9">
        <w:rPr>
          <w:rFonts w:ascii="Calibri" w:hAnsi="Calibri" w:cs="Calibri"/>
          <w:color w:val="000000" w:themeColor="text1"/>
        </w:rPr>
        <w:t xml:space="preserve"> the instrument </w:t>
      </w:r>
      <w:proofErr w:type="spellStart"/>
      <w:r w:rsidRPr="006251B9">
        <w:rPr>
          <w:rFonts w:ascii="Calibri" w:hAnsi="Calibri" w:cs="Calibri"/>
          <w:color w:val="000000" w:themeColor="text1"/>
        </w:rPr>
        <w:t>with</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lower</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can</w:t>
      </w:r>
      <w:proofErr w:type="spellEnd"/>
      <w:r w:rsidRPr="006251B9">
        <w:rPr>
          <w:rFonts w:ascii="Calibri" w:hAnsi="Calibri" w:cs="Calibri"/>
          <w:color w:val="000000" w:themeColor="text1"/>
        </w:rPr>
        <w:t xml:space="preserve"> support </w:t>
      </w:r>
      <w:proofErr w:type="spellStart"/>
      <w:r w:rsidRPr="006251B9">
        <w:rPr>
          <w:rFonts w:ascii="Calibri" w:hAnsi="Calibri" w:cs="Calibri"/>
          <w:color w:val="000000" w:themeColor="text1"/>
        </w:rPr>
        <w:t>higher</w:t>
      </w:r>
      <w:proofErr w:type="spellEnd"/>
      <w:r w:rsidRPr="006251B9">
        <w:rPr>
          <w:rFonts w:ascii="Calibri" w:hAnsi="Calibri" w:cs="Calibri"/>
          <w:color w:val="000000" w:themeColor="text1"/>
        </w:rPr>
        <w:t xml:space="preserve"> LIS </w:t>
      </w:r>
      <w:proofErr w:type="spellStart"/>
      <w:r w:rsidRPr="006251B9">
        <w:rPr>
          <w:rFonts w:ascii="Calibri" w:hAnsi="Calibri" w:cs="Calibri"/>
          <w:color w:val="000000" w:themeColor="text1"/>
        </w:rPr>
        <w:t>levels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than</w:t>
      </w:r>
      <w:proofErr w:type="spellEnd"/>
      <w:r w:rsidRPr="006251B9">
        <w:rPr>
          <w:rFonts w:ascii="Calibri" w:hAnsi="Calibri" w:cs="Calibri"/>
          <w:color w:val="000000" w:themeColor="text1"/>
        </w:rPr>
        <w:t xml:space="preserve"> the high-</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instrument – </w:t>
      </w:r>
      <w:proofErr w:type="spellStart"/>
      <w:r w:rsidRPr="006251B9">
        <w:rPr>
          <w:rFonts w:ascii="Calibri" w:hAnsi="Calibri" w:cs="Calibri"/>
          <w:color w:val="000000" w:themeColor="text1"/>
        </w:rPr>
        <w:t>when</w:t>
      </w:r>
      <w:proofErr w:type="spellEnd"/>
      <w:r w:rsidRPr="006251B9">
        <w:rPr>
          <w:rFonts w:ascii="Calibri" w:hAnsi="Calibri" w:cs="Calibri"/>
          <w:color w:val="000000" w:themeColor="text1"/>
        </w:rPr>
        <w:t xml:space="preserve"> in </w:t>
      </w:r>
      <w:proofErr w:type="spellStart"/>
      <w:r w:rsidRPr="006251B9">
        <w:rPr>
          <w:rFonts w:ascii="Calibri" w:hAnsi="Calibri" w:cs="Calibri"/>
          <w:color w:val="000000" w:themeColor="text1"/>
        </w:rPr>
        <w:t>fact</w:t>
      </w:r>
      <w:proofErr w:type="spellEnd"/>
      <w:r w:rsidRPr="006251B9">
        <w:rPr>
          <w:rFonts w:ascii="Calibri" w:hAnsi="Calibri" w:cs="Calibri"/>
          <w:color w:val="000000" w:themeColor="text1"/>
        </w:rPr>
        <w:t xml:space="preserve"> the opposite </w:t>
      </w:r>
      <w:proofErr w:type="spellStart"/>
      <w:r w:rsidRPr="006251B9">
        <w:rPr>
          <w:rFonts w:ascii="Calibri" w:hAnsi="Calibri" w:cs="Calibri"/>
          <w:color w:val="000000" w:themeColor="text1"/>
        </w:rPr>
        <w:t>is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true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While</w:t>
      </w:r>
      <w:proofErr w:type="spellEnd"/>
      <w:r w:rsidRPr="006251B9">
        <w:rPr>
          <w:rFonts w:ascii="Calibri" w:hAnsi="Calibri" w:cs="Calibri"/>
          <w:color w:val="000000" w:themeColor="text1"/>
        </w:rPr>
        <w:t xml:space="preserve"> the </w:t>
      </w:r>
      <w:proofErr w:type="spellStart"/>
      <w:r w:rsidRPr="006251B9">
        <w:rPr>
          <w:rFonts w:ascii="Calibri" w:hAnsi="Calibri" w:cs="Calibri"/>
          <w:color w:val="000000" w:themeColor="text1"/>
        </w:rPr>
        <w:t>low</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instrument </w:t>
      </w:r>
      <w:proofErr w:type="spellStart"/>
      <w:r w:rsidRPr="006251B9">
        <w:rPr>
          <w:rFonts w:ascii="Calibri" w:hAnsi="Calibri" w:cs="Calibri"/>
          <w:color w:val="000000" w:themeColor="text1"/>
        </w:rPr>
        <w:t>does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typically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trade</w:t>
      </w:r>
      <w:proofErr w:type="spellEnd"/>
      <w:r w:rsidRPr="006251B9">
        <w:rPr>
          <w:rFonts w:ascii="Calibri" w:hAnsi="Calibri" w:cs="Calibri"/>
          <w:color w:val="000000" w:themeColor="text1"/>
        </w:rPr>
        <w:t xml:space="preserve"> in a </w:t>
      </w:r>
      <w:proofErr w:type="spellStart"/>
      <w:r w:rsidRPr="006251B9">
        <w:rPr>
          <w:rFonts w:ascii="Calibri" w:hAnsi="Calibri" w:cs="Calibri"/>
          <w:color w:val="000000" w:themeColor="text1"/>
        </w:rPr>
        <w:t>higher</w:t>
      </w:r>
      <w:proofErr w:type="spellEnd"/>
      <w:r w:rsidRPr="006251B9">
        <w:rPr>
          <w:rFonts w:ascii="Calibri" w:hAnsi="Calibri" w:cs="Calibri"/>
          <w:color w:val="000000" w:themeColor="text1"/>
        </w:rPr>
        <w:t xml:space="preserve"> size, the </w:t>
      </w:r>
      <w:proofErr w:type="spellStart"/>
      <w:r w:rsidRPr="006251B9">
        <w:rPr>
          <w:rFonts w:ascii="Calibri" w:hAnsi="Calibri" w:cs="Calibri"/>
          <w:color w:val="000000" w:themeColor="text1"/>
        </w:rPr>
        <w:t>overall</w:t>
      </w:r>
      <w:proofErr w:type="spellEnd"/>
      <w:r w:rsidRPr="006251B9">
        <w:rPr>
          <w:rFonts w:ascii="Calibri" w:hAnsi="Calibri" w:cs="Calibri"/>
          <w:color w:val="000000" w:themeColor="text1"/>
        </w:rPr>
        <w:t xml:space="preserve"> size of </w:t>
      </w:r>
      <w:proofErr w:type="spellStart"/>
      <w:r w:rsidRPr="006251B9">
        <w:rPr>
          <w:rFonts w:ascii="Calibri" w:hAnsi="Calibri" w:cs="Calibri"/>
          <w:color w:val="000000" w:themeColor="text1"/>
        </w:rPr>
        <w:t>this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market</w:t>
      </w:r>
      <w:proofErr w:type="spellEnd"/>
      <w:r w:rsidRPr="006251B9">
        <w:rPr>
          <w:rFonts w:ascii="Calibri" w:hAnsi="Calibri" w:cs="Calibri"/>
          <w:color w:val="000000" w:themeColor="text1"/>
        </w:rPr>
        <w:t xml:space="preserve"> and </w:t>
      </w:r>
      <w:proofErr w:type="spellStart"/>
      <w:r w:rsidRPr="006251B9">
        <w:rPr>
          <w:rFonts w:ascii="Calibri" w:hAnsi="Calibri" w:cs="Calibri"/>
          <w:color w:val="000000" w:themeColor="text1"/>
        </w:rPr>
        <w:t>trade</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frequency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is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dwarfed</w:t>
      </w:r>
      <w:proofErr w:type="spellEnd"/>
      <w:r w:rsidRPr="006251B9">
        <w:rPr>
          <w:rFonts w:ascii="Calibri" w:hAnsi="Calibri" w:cs="Calibri"/>
          <w:color w:val="000000" w:themeColor="text1"/>
        </w:rPr>
        <w:t xml:space="preserve"> by the </w:t>
      </w:r>
      <w:proofErr w:type="spellStart"/>
      <w:r w:rsidRPr="006251B9">
        <w:rPr>
          <w:rFonts w:ascii="Calibri" w:hAnsi="Calibri" w:cs="Calibri"/>
          <w:color w:val="000000" w:themeColor="text1"/>
        </w:rPr>
        <w:t>higher</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of the </w:t>
      </w:r>
      <w:proofErr w:type="spellStart"/>
      <w:r w:rsidRPr="006251B9">
        <w:rPr>
          <w:rFonts w:ascii="Calibri" w:hAnsi="Calibri" w:cs="Calibri"/>
          <w:color w:val="000000" w:themeColor="text1"/>
        </w:rPr>
        <w:t>market</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Therefore</w:t>
      </w:r>
      <w:proofErr w:type="spellEnd"/>
      <w:r w:rsidRPr="006251B9">
        <w:rPr>
          <w:rFonts w:ascii="Calibri" w:hAnsi="Calibri" w:cs="Calibri"/>
          <w:color w:val="000000" w:themeColor="text1"/>
        </w:rPr>
        <w:t xml:space="preserve">, setting a </w:t>
      </w:r>
      <w:proofErr w:type="spellStart"/>
      <w:r w:rsidRPr="006251B9">
        <w:rPr>
          <w:rFonts w:ascii="Calibri" w:hAnsi="Calibri" w:cs="Calibri"/>
          <w:color w:val="000000" w:themeColor="text1"/>
        </w:rPr>
        <w:t>low</w:t>
      </w:r>
      <w:proofErr w:type="spellEnd"/>
      <w:r w:rsidRPr="006251B9">
        <w:rPr>
          <w:rFonts w:ascii="Calibri" w:hAnsi="Calibri" w:cs="Calibri"/>
          <w:color w:val="000000" w:themeColor="text1"/>
        </w:rPr>
        <w:t xml:space="preserve"> LIS for high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markets</w:t>
      </w:r>
      <w:proofErr w:type="spellEnd"/>
      <w:r w:rsidRPr="006251B9">
        <w:rPr>
          <w:rFonts w:ascii="Calibri" w:hAnsi="Calibri" w:cs="Calibri"/>
          <w:color w:val="000000" w:themeColor="text1"/>
        </w:rPr>
        <w:t xml:space="preserve"> and a high LIS for </w:t>
      </w:r>
      <w:proofErr w:type="spellStart"/>
      <w:r w:rsidRPr="006251B9">
        <w:rPr>
          <w:rFonts w:ascii="Calibri" w:hAnsi="Calibri" w:cs="Calibri"/>
          <w:color w:val="000000" w:themeColor="text1"/>
        </w:rPr>
        <w:t>low</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markets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based</w:t>
      </w:r>
      <w:proofErr w:type="spellEnd"/>
      <w:r w:rsidRPr="006251B9">
        <w:rPr>
          <w:rFonts w:ascii="Calibri" w:hAnsi="Calibri" w:cs="Calibri"/>
          <w:color w:val="000000" w:themeColor="text1"/>
        </w:rPr>
        <w:t xml:space="preserve"> on the standard </w:t>
      </w:r>
      <w:proofErr w:type="spellStart"/>
      <w:r w:rsidRPr="006251B9">
        <w:rPr>
          <w:rFonts w:ascii="Calibri" w:hAnsi="Calibri" w:cs="Calibri"/>
          <w:color w:val="000000" w:themeColor="text1"/>
        </w:rPr>
        <w:t>trade</w:t>
      </w:r>
      <w:proofErr w:type="spellEnd"/>
      <w:r w:rsidRPr="006251B9">
        <w:rPr>
          <w:rFonts w:ascii="Calibri" w:hAnsi="Calibri" w:cs="Calibri"/>
          <w:color w:val="000000" w:themeColor="text1"/>
        </w:rPr>
        <w:t xml:space="preserve"> size in </w:t>
      </w:r>
      <w:proofErr w:type="spellStart"/>
      <w:r w:rsidRPr="006251B9">
        <w:rPr>
          <w:rFonts w:ascii="Calibri" w:hAnsi="Calibri" w:cs="Calibri"/>
          <w:color w:val="000000" w:themeColor="text1"/>
        </w:rPr>
        <w:t>either</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mean</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median</w:t>
      </w:r>
      <w:proofErr w:type="spellEnd"/>
      <w:r w:rsidRPr="006251B9">
        <w:rPr>
          <w:rFonts w:ascii="Calibri" w:hAnsi="Calibri" w:cs="Calibri"/>
          <w:color w:val="000000" w:themeColor="text1"/>
        </w:rPr>
        <w:t xml:space="preserve"> or mode </w:t>
      </w:r>
      <w:proofErr w:type="spellStart"/>
      <w:r w:rsidRPr="006251B9">
        <w:rPr>
          <w:rFonts w:ascii="Calibri" w:hAnsi="Calibri" w:cs="Calibri"/>
          <w:color w:val="000000" w:themeColor="text1"/>
        </w:rPr>
        <w:t>terms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is</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detrimental</w:t>
      </w:r>
      <w:proofErr w:type="spellEnd"/>
      <w:r w:rsidRPr="006251B9">
        <w:rPr>
          <w:rFonts w:ascii="Calibri" w:hAnsi="Calibri" w:cs="Calibri"/>
          <w:color w:val="000000" w:themeColor="text1"/>
        </w:rPr>
        <w:t xml:space="preserve"> for the </w:t>
      </w:r>
      <w:proofErr w:type="spellStart"/>
      <w:r w:rsidRPr="006251B9">
        <w:rPr>
          <w:rFonts w:ascii="Calibri" w:hAnsi="Calibri" w:cs="Calibri"/>
          <w:color w:val="000000" w:themeColor="text1"/>
        </w:rPr>
        <w:t>development</w:t>
      </w:r>
      <w:proofErr w:type="spellEnd"/>
      <w:r w:rsidRPr="006251B9">
        <w:rPr>
          <w:rFonts w:ascii="Calibri" w:hAnsi="Calibri" w:cs="Calibri"/>
          <w:color w:val="000000" w:themeColor="text1"/>
        </w:rPr>
        <w:t xml:space="preserve"> of </w:t>
      </w:r>
      <w:proofErr w:type="spellStart"/>
      <w:r w:rsidRPr="006251B9">
        <w:rPr>
          <w:rFonts w:ascii="Calibri" w:hAnsi="Calibri" w:cs="Calibri"/>
          <w:color w:val="000000" w:themeColor="text1"/>
        </w:rPr>
        <w:t>low</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liquidity</w:t>
      </w:r>
      <w:proofErr w:type="spellEnd"/>
      <w:r w:rsidRPr="006251B9">
        <w:rPr>
          <w:rFonts w:ascii="Calibri" w:hAnsi="Calibri" w:cs="Calibri"/>
          <w:color w:val="000000" w:themeColor="text1"/>
        </w:rPr>
        <w:t xml:space="preserve"> </w:t>
      </w:r>
      <w:proofErr w:type="spellStart"/>
      <w:r w:rsidRPr="006251B9">
        <w:rPr>
          <w:rFonts w:ascii="Calibri" w:hAnsi="Calibri" w:cs="Calibri"/>
          <w:color w:val="000000" w:themeColor="text1"/>
        </w:rPr>
        <w:t>markets</w:t>
      </w:r>
      <w:proofErr w:type="spellEnd"/>
      <w:r w:rsidRPr="006251B9">
        <w:rPr>
          <w:rFonts w:ascii="Calibri" w:hAnsi="Calibri" w:cs="Calibri"/>
          <w:color w:val="000000" w:themeColor="text1"/>
        </w:rPr>
        <w:t xml:space="preserve">. </w:t>
      </w:r>
    </w:p>
    <w:p w14:paraId="6516E402" w14:textId="77777777" w:rsidR="006251B9" w:rsidRPr="006251B9" w:rsidRDefault="006251B9" w:rsidP="006251B9">
      <w:pPr>
        <w:ind w:left="720"/>
        <w:rPr>
          <w:sz w:val="24"/>
        </w:rPr>
      </w:pPr>
      <w:r w:rsidRPr="006251B9">
        <w:rPr>
          <w:sz w:val="24"/>
        </w:rPr>
        <w:t xml:space="preserve">There is a clear need for multiple </w:t>
      </w:r>
      <w:proofErr w:type="gramStart"/>
      <w:r w:rsidRPr="006251B9">
        <w:rPr>
          <w:sz w:val="24"/>
        </w:rPr>
        <w:t>approaches</w:t>
      </w:r>
      <w:proofErr w:type="gramEnd"/>
      <w:r w:rsidRPr="006251B9">
        <w:rPr>
          <w:sz w:val="24"/>
        </w:rPr>
        <w:t xml:space="preserve"> or a scaled approach based on variations in distribution.</w:t>
      </w:r>
    </w:p>
    <w:p w14:paraId="3A36062E" w14:textId="77777777" w:rsidR="006251B9" w:rsidRPr="006251B9" w:rsidRDefault="006251B9" w:rsidP="006251B9">
      <w:pPr>
        <w:ind w:left="720"/>
        <w:rPr>
          <w:sz w:val="24"/>
        </w:rPr>
      </w:pPr>
    </w:p>
    <w:p w14:paraId="4597EA4D" w14:textId="77777777" w:rsidR="006251B9" w:rsidRPr="006251B9" w:rsidRDefault="006251B9" w:rsidP="006251B9">
      <w:pPr>
        <w:ind w:left="720"/>
        <w:rPr>
          <w:sz w:val="24"/>
        </w:rPr>
      </w:pPr>
    </w:p>
    <w:p w14:paraId="700472C6" w14:textId="77777777" w:rsidR="006251B9" w:rsidRPr="006251B9" w:rsidRDefault="006251B9" w:rsidP="006251B9">
      <w:pPr>
        <w:pStyle w:val="ListParagraph"/>
        <w:numPr>
          <w:ilvl w:val="0"/>
          <w:numId w:val="44"/>
        </w:numPr>
        <w:spacing w:line="276" w:lineRule="auto"/>
        <w:jc w:val="both"/>
        <w:rPr>
          <w:rFonts w:ascii="Calibri" w:hAnsi="Calibri" w:cs="Calibri"/>
          <w:b/>
          <w:bCs/>
          <w:color w:val="000000" w:themeColor="text1"/>
          <w:sz w:val="24"/>
        </w:rPr>
      </w:pPr>
      <w:r w:rsidRPr="006251B9">
        <w:rPr>
          <w:rFonts w:ascii="Calibri" w:hAnsi="Calibri" w:cs="Calibri"/>
          <w:b/>
          <w:bCs/>
          <w:color w:val="000000" w:themeColor="text1"/>
          <w:sz w:val="24"/>
        </w:rPr>
        <w:t>Decreased LIS threshold floor</w:t>
      </w:r>
    </w:p>
    <w:p w14:paraId="75B3F7DC" w14:textId="77777777" w:rsidR="006251B9" w:rsidRPr="006251B9" w:rsidRDefault="006251B9" w:rsidP="006251B9">
      <w:pPr>
        <w:spacing w:line="276" w:lineRule="auto"/>
        <w:rPr>
          <w:rFonts w:ascii="Calibri" w:hAnsi="Calibri" w:cs="Calibri"/>
          <w:sz w:val="24"/>
        </w:rPr>
      </w:pPr>
    </w:p>
    <w:p w14:paraId="14389C59"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For many commodity markets in Europe, the minimum threshold of 500,000 EUR is too high and should be decreased significantly.</w:t>
      </w:r>
    </w:p>
    <w:p w14:paraId="5AD2CBAF" w14:textId="77777777" w:rsidR="006251B9" w:rsidRPr="006251B9" w:rsidRDefault="006251B9" w:rsidP="006251B9">
      <w:pPr>
        <w:spacing w:line="276" w:lineRule="auto"/>
        <w:jc w:val="both"/>
        <w:rPr>
          <w:rFonts w:ascii="Calibri" w:hAnsi="Calibri" w:cs="Calibri"/>
          <w:color w:val="000000" w:themeColor="text1"/>
          <w:sz w:val="24"/>
        </w:rPr>
      </w:pPr>
    </w:p>
    <w:p w14:paraId="63DCF21B"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As an example, in the Nordic electricity derivatives space, the off-order book volumes are essential to the generation of on-order book volumes. In the off-order book volume the market consists of a substantial </w:t>
      </w:r>
      <w:proofErr w:type="gramStart"/>
      <w:r w:rsidRPr="006251B9">
        <w:rPr>
          <w:rFonts w:ascii="Calibri" w:hAnsi="Calibri" w:cs="Calibri"/>
          <w:color w:val="000000" w:themeColor="text1"/>
          <w:sz w:val="24"/>
        </w:rPr>
        <w:t>amount</w:t>
      </w:r>
      <w:proofErr w:type="gramEnd"/>
      <w:r w:rsidRPr="006251B9">
        <w:rPr>
          <w:rFonts w:ascii="Calibri" w:hAnsi="Calibri" w:cs="Calibri"/>
          <w:color w:val="000000" w:themeColor="text1"/>
          <w:sz w:val="24"/>
        </w:rPr>
        <w:t xml:space="preserve"> of stakeholders that are non-financial counterparties, such as utilities, generators of electricity and wholesale distributors. The market is supplemented with financial counterparties, essential for the efficiency of the market. The market is, for this reason, heavily dependent on the </w:t>
      </w:r>
    </w:p>
    <w:p w14:paraId="2E40E77A"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broker community to bring off-order book volumes to the exchange. Off-order book </w:t>
      </w:r>
    </w:p>
    <w:p w14:paraId="0AFCFBDB"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participants often have larger volumes to hedge in one go, across various maturities, which would (with high likelihood) skew the market price if placed in the regular order book of the exchange.</w:t>
      </w:r>
    </w:p>
    <w:p w14:paraId="2656AD71" w14:textId="77777777" w:rsidR="006251B9" w:rsidRPr="006251B9" w:rsidRDefault="006251B9" w:rsidP="006251B9">
      <w:pPr>
        <w:spacing w:line="276" w:lineRule="auto"/>
        <w:ind w:left="720"/>
        <w:jc w:val="both"/>
        <w:rPr>
          <w:rFonts w:ascii="Calibri" w:hAnsi="Calibri" w:cs="Calibri"/>
          <w:color w:val="000000" w:themeColor="text1"/>
          <w:sz w:val="24"/>
        </w:rPr>
      </w:pPr>
    </w:p>
    <w:p w14:paraId="66489A52"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We support the introduction of LIS thresholds that have been in place at exchanges for decades to promote transparent order book trading versus less transparent off-order book trading. The problem with the current regime is that the LIS thresholds become dis</w:t>
      </w:r>
      <w:r w:rsidRPr="006251B9">
        <w:rPr>
          <w:rFonts w:ascii="Calibri" w:hAnsi="Calibri" w:cs="Calibri"/>
          <w:color w:val="000000" w:themeColor="text1"/>
          <w:sz w:val="24"/>
        </w:rPr>
        <w:lastRenderedPageBreak/>
        <w:t>proportionate and restrict the market from functioning in an efficient manner. The disproportionate LIS thresholds are due to a number of factors such as the ill-calibrated parameters for ADNA and ADNT.</w:t>
      </w:r>
    </w:p>
    <w:p w14:paraId="0A552691" w14:textId="77777777" w:rsidR="006251B9" w:rsidRPr="006251B9" w:rsidRDefault="006251B9" w:rsidP="006251B9">
      <w:pPr>
        <w:spacing w:line="276" w:lineRule="auto"/>
        <w:jc w:val="both"/>
        <w:rPr>
          <w:rFonts w:ascii="Calibri" w:hAnsi="Calibri" w:cs="Calibri"/>
          <w:color w:val="000000" w:themeColor="text1"/>
          <w:sz w:val="24"/>
        </w:rPr>
      </w:pPr>
    </w:p>
    <w:p w14:paraId="7FB535EE"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The biggest problem, however, is the pre-trade LIS threshold floor, currently set at 500,000 EUR, and the ill-calibrated trade percentile of 70%.</w:t>
      </w:r>
    </w:p>
    <w:p w14:paraId="65E2E092" w14:textId="77777777" w:rsidR="006251B9" w:rsidRPr="006251B9" w:rsidRDefault="006251B9" w:rsidP="006251B9">
      <w:pPr>
        <w:spacing w:line="276" w:lineRule="auto"/>
        <w:jc w:val="both"/>
        <w:rPr>
          <w:rFonts w:ascii="Calibri" w:hAnsi="Calibri" w:cs="Calibri"/>
          <w:color w:val="000000" w:themeColor="text1"/>
          <w:sz w:val="24"/>
        </w:rPr>
      </w:pPr>
    </w:p>
    <w:p w14:paraId="4BCE3DA5"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In addition, the use of a euro-denominated minimum floor value is inefficient when applying this to commodity derivatives as the nominal value is of little importance for commodity traders. The price of the given commodity fluctuates constantly, and the underlying quantity/volume is the actual concern when concluding a trade or placing a bid in the order book.</w:t>
      </w:r>
    </w:p>
    <w:p w14:paraId="421FBF67" w14:textId="77777777" w:rsidR="006251B9" w:rsidRPr="006251B9" w:rsidRDefault="006251B9" w:rsidP="006251B9">
      <w:pPr>
        <w:spacing w:line="276" w:lineRule="auto"/>
        <w:jc w:val="both"/>
        <w:rPr>
          <w:rFonts w:ascii="Calibri" w:hAnsi="Calibri" w:cs="Calibri"/>
          <w:color w:val="000000" w:themeColor="text1"/>
          <w:sz w:val="24"/>
        </w:rPr>
      </w:pPr>
    </w:p>
    <w:p w14:paraId="56FEB1CD"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When looking at the size of each trade, disregarding the notional value of the trade itself, our analysis showed the following when comparing the LIS threshold in lots vs the mode (most frequently traded size):</w:t>
      </w:r>
    </w:p>
    <w:p w14:paraId="03F7E815" w14:textId="77777777" w:rsidR="006251B9" w:rsidRPr="006251B9" w:rsidRDefault="006251B9" w:rsidP="006251B9">
      <w:pPr>
        <w:spacing w:line="276" w:lineRule="auto"/>
        <w:jc w:val="both"/>
        <w:rPr>
          <w:rFonts w:ascii="Calibri" w:hAnsi="Calibri" w:cs="Calibri"/>
          <w:color w:val="000000" w:themeColor="text1"/>
          <w:sz w:val="24"/>
        </w:rPr>
      </w:pPr>
    </w:p>
    <w:p w14:paraId="588F229A" w14:textId="77777777" w:rsidR="006251B9" w:rsidRPr="006251B9" w:rsidRDefault="006251B9" w:rsidP="006251B9">
      <w:pPr>
        <w:spacing w:line="276" w:lineRule="auto"/>
        <w:ind w:firstLine="720"/>
        <w:jc w:val="both"/>
        <w:rPr>
          <w:rFonts w:ascii="Calibri" w:hAnsi="Calibri" w:cs="Calibri"/>
          <w:i/>
          <w:iCs/>
          <w:color w:val="000000" w:themeColor="text1"/>
          <w:sz w:val="24"/>
          <w:u w:val="single"/>
        </w:rPr>
      </w:pPr>
      <w:r w:rsidRPr="006251B9">
        <w:rPr>
          <w:rFonts w:ascii="Calibri" w:hAnsi="Calibri" w:cs="Calibri"/>
          <w:i/>
          <w:iCs/>
          <w:color w:val="000000" w:themeColor="text1"/>
          <w:sz w:val="24"/>
          <w:u w:val="single"/>
        </w:rPr>
        <w:t>Table 2: LIS threshold in lots vs the mode</w:t>
      </w:r>
    </w:p>
    <w:p w14:paraId="062F57E6" w14:textId="77777777" w:rsidR="006251B9" w:rsidRPr="006251B9" w:rsidRDefault="006251B9" w:rsidP="006251B9">
      <w:pPr>
        <w:spacing w:line="276" w:lineRule="auto"/>
        <w:jc w:val="both"/>
        <w:rPr>
          <w:rFonts w:ascii="Calibri" w:hAnsi="Calibri" w:cs="Calibri"/>
          <w:i/>
          <w:iCs/>
          <w:color w:val="000000" w:themeColor="text1"/>
          <w:sz w:val="24"/>
        </w:rPr>
      </w:pPr>
    </w:p>
    <w:tbl>
      <w:tblPr>
        <w:tblStyle w:val="TableGrid"/>
        <w:tblW w:w="0" w:type="auto"/>
        <w:jc w:val="right"/>
        <w:tblLook w:val="04A0" w:firstRow="1" w:lastRow="0" w:firstColumn="1" w:lastColumn="0" w:noHBand="0" w:noVBand="1"/>
      </w:tblPr>
      <w:tblGrid>
        <w:gridCol w:w="2065"/>
        <w:gridCol w:w="2065"/>
        <w:gridCol w:w="2066"/>
        <w:gridCol w:w="2066"/>
      </w:tblGrid>
      <w:tr w:rsidR="006251B9" w:rsidRPr="006251B9" w14:paraId="715936F8" w14:textId="77777777" w:rsidTr="00131DEB">
        <w:trPr>
          <w:trHeight w:val="325"/>
          <w:jc w:val="right"/>
        </w:trPr>
        <w:tc>
          <w:tcPr>
            <w:tcW w:w="2065" w:type="dxa"/>
            <w:shd w:val="clear" w:color="auto" w:fill="DDD9C3" w:themeFill="background2" w:themeFillShade="E6"/>
          </w:tcPr>
          <w:p w14:paraId="614BBFE2" w14:textId="77777777" w:rsidR="006251B9" w:rsidRPr="006251B9" w:rsidRDefault="006251B9" w:rsidP="00131DEB">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Contract Type</w:t>
            </w:r>
          </w:p>
        </w:tc>
        <w:tc>
          <w:tcPr>
            <w:tcW w:w="2065" w:type="dxa"/>
            <w:shd w:val="clear" w:color="auto" w:fill="DDD9C3" w:themeFill="background2" w:themeFillShade="E6"/>
          </w:tcPr>
          <w:p w14:paraId="320D3D2F" w14:textId="77777777" w:rsidR="006251B9" w:rsidRPr="006251B9" w:rsidRDefault="006251B9" w:rsidP="00131DEB">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LIS in Lots</w:t>
            </w:r>
          </w:p>
        </w:tc>
        <w:tc>
          <w:tcPr>
            <w:tcW w:w="2066" w:type="dxa"/>
            <w:shd w:val="clear" w:color="auto" w:fill="DDD9C3" w:themeFill="background2" w:themeFillShade="E6"/>
          </w:tcPr>
          <w:p w14:paraId="40F1061F" w14:textId="77777777" w:rsidR="006251B9" w:rsidRPr="006251B9" w:rsidRDefault="006251B9" w:rsidP="00131DEB">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Mode</w:t>
            </w:r>
          </w:p>
        </w:tc>
        <w:tc>
          <w:tcPr>
            <w:tcW w:w="2066" w:type="dxa"/>
            <w:shd w:val="clear" w:color="auto" w:fill="DDD9C3" w:themeFill="background2" w:themeFillShade="E6"/>
          </w:tcPr>
          <w:p w14:paraId="7984A920" w14:textId="77777777" w:rsidR="006251B9" w:rsidRPr="006251B9" w:rsidRDefault="006251B9" w:rsidP="00131DEB">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Average</w:t>
            </w:r>
          </w:p>
        </w:tc>
      </w:tr>
      <w:tr w:rsidR="006251B9" w:rsidRPr="006251B9" w14:paraId="0B906F2C" w14:textId="77777777" w:rsidTr="00131DEB">
        <w:trPr>
          <w:trHeight w:val="325"/>
          <w:jc w:val="right"/>
        </w:trPr>
        <w:tc>
          <w:tcPr>
            <w:tcW w:w="2065" w:type="dxa"/>
          </w:tcPr>
          <w:p w14:paraId="069EBC29"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Day</w:t>
            </w:r>
          </w:p>
        </w:tc>
        <w:tc>
          <w:tcPr>
            <w:tcW w:w="2065" w:type="dxa"/>
          </w:tcPr>
          <w:p w14:paraId="12A5324F"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726</w:t>
            </w:r>
          </w:p>
        </w:tc>
        <w:tc>
          <w:tcPr>
            <w:tcW w:w="2066" w:type="dxa"/>
          </w:tcPr>
          <w:p w14:paraId="6687CA20"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50</w:t>
            </w:r>
          </w:p>
        </w:tc>
        <w:tc>
          <w:tcPr>
            <w:tcW w:w="2066" w:type="dxa"/>
          </w:tcPr>
          <w:p w14:paraId="02622E22"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60</w:t>
            </w:r>
          </w:p>
        </w:tc>
      </w:tr>
      <w:tr w:rsidR="006251B9" w:rsidRPr="006251B9" w14:paraId="52DCFF15" w14:textId="77777777" w:rsidTr="00131DEB">
        <w:trPr>
          <w:trHeight w:val="343"/>
          <w:jc w:val="right"/>
        </w:trPr>
        <w:tc>
          <w:tcPr>
            <w:tcW w:w="2065" w:type="dxa"/>
          </w:tcPr>
          <w:p w14:paraId="3F05B3E4"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Week</w:t>
            </w:r>
          </w:p>
        </w:tc>
        <w:tc>
          <w:tcPr>
            <w:tcW w:w="2065" w:type="dxa"/>
          </w:tcPr>
          <w:p w14:paraId="58D3188B"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104</w:t>
            </w:r>
          </w:p>
        </w:tc>
        <w:tc>
          <w:tcPr>
            <w:tcW w:w="2066" w:type="dxa"/>
          </w:tcPr>
          <w:p w14:paraId="35617E8A"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25</w:t>
            </w:r>
          </w:p>
        </w:tc>
        <w:tc>
          <w:tcPr>
            <w:tcW w:w="2066" w:type="dxa"/>
          </w:tcPr>
          <w:p w14:paraId="78403923"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24</w:t>
            </w:r>
          </w:p>
        </w:tc>
      </w:tr>
      <w:tr w:rsidR="006251B9" w:rsidRPr="006251B9" w14:paraId="72BBC2EB" w14:textId="77777777" w:rsidTr="00131DEB">
        <w:trPr>
          <w:trHeight w:val="325"/>
          <w:jc w:val="right"/>
        </w:trPr>
        <w:tc>
          <w:tcPr>
            <w:tcW w:w="2065" w:type="dxa"/>
          </w:tcPr>
          <w:p w14:paraId="03329CC7"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Month</w:t>
            </w:r>
          </w:p>
        </w:tc>
        <w:tc>
          <w:tcPr>
            <w:tcW w:w="2065" w:type="dxa"/>
          </w:tcPr>
          <w:p w14:paraId="47B53118"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24</w:t>
            </w:r>
          </w:p>
        </w:tc>
        <w:tc>
          <w:tcPr>
            <w:tcW w:w="2066" w:type="dxa"/>
          </w:tcPr>
          <w:p w14:paraId="0D294568"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5</w:t>
            </w:r>
          </w:p>
        </w:tc>
        <w:tc>
          <w:tcPr>
            <w:tcW w:w="2066" w:type="dxa"/>
          </w:tcPr>
          <w:p w14:paraId="03586F8A"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10</w:t>
            </w:r>
          </w:p>
        </w:tc>
      </w:tr>
      <w:tr w:rsidR="006251B9" w:rsidRPr="006251B9" w14:paraId="5364F4C2" w14:textId="77777777" w:rsidTr="00131DEB">
        <w:trPr>
          <w:trHeight w:val="325"/>
          <w:jc w:val="right"/>
        </w:trPr>
        <w:tc>
          <w:tcPr>
            <w:tcW w:w="2065" w:type="dxa"/>
          </w:tcPr>
          <w:p w14:paraId="28319DA5"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Quarter</w:t>
            </w:r>
          </w:p>
        </w:tc>
        <w:tc>
          <w:tcPr>
            <w:tcW w:w="2065" w:type="dxa"/>
          </w:tcPr>
          <w:p w14:paraId="1279888E"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8</w:t>
            </w:r>
          </w:p>
        </w:tc>
        <w:tc>
          <w:tcPr>
            <w:tcW w:w="2066" w:type="dxa"/>
          </w:tcPr>
          <w:p w14:paraId="5B78593F"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3</w:t>
            </w:r>
          </w:p>
        </w:tc>
        <w:tc>
          <w:tcPr>
            <w:tcW w:w="2066" w:type="dxa"/>
          </w:tcPr>
          <w:p w14:paraId="33049F6D"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5</w:t>
            </w:r>
          </w:p>
        </w:tc>
      </w:tr>
      <w:tr w:rsidR="006251B9" w:rsidRPr="006251B9" w14:paraId="305CC0CB" w14:textId="77777777" w:rsidTr="00131DEB">
        <w:trPr>
          <w:trHeight w:val="325"/>
          <w:jc w:val="right"/>
        </w:trPr>
        <w:tc>
          <w:tcPr>
            <w:tcW w:w="2065" w:type="dxa"/>
          </w:tcPr>
          <w:p w14:paraId="630EA059"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Year</w:t>
            </w:r>
          </w:p>
        </w:tc>
        <w:tc>
          <w:tcPr>
            <w:tcW w:w="2065" w:type="dxa"/>
          </w:tcPr>
          <w:p w14:paraId="432A696C"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2</w:t>
            </w:r>
          </w:p>
        </w:tc>
        <w:tc>
          <w:tcPr>
            <w:tcW w:w="2066" w:type="dxa"/>
          </w:tcPr>
          <w:p w14:paraId="4D1B2E13"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1</w:t>
            </w:r>
          </w:p>
        </w:tc>
        <w:tc>
          <w:tcPr>
            <w:tcW w:w="2066" w:type="dxa"/>
          </w:tcPr>
          <w:p w14:paraId="26C36093" w14:textId="77777777" w:rsidR="006251B9" w:rsidRPr="006251B9" w:rsidRDefault="006251B9" w:rsidP="00131DEB">
            <w:pPr>
              <w:spacing w:line="276" w:lineRule="auto"/>
              <w:jc w:val="center"/>
              <w:rPr>
                <w:rFonts w:ascii="Calibri" w:hAnsi="Calibri" w:cs="Calibri"/>
                <w:color w:val="000000" w:themeColor="text1"/>
                <w:sz w:val="24"/>
              </w:rPr>
            </w:pPr>
            <w:r w:rsidRPr="006251B9">
              <w:rPr>
                <w:rFonts w:ascii="Calibri" w:hAnsi="Calibri" w:cs="Calibri"/>
                <w:color w:val="000000" w:themeColor="text1"/>
                <w:sz w:val="24"/>
              </w:rPr>
              <w:t>2</w:t>
            </w:r>
          </w:p>
        </w:tc>
      </w:tr>
    </w:tbl>
    <w:p w14:paraId="715CF9F8" w14:textId="77777777" w:rsidR="006251B9" w:rsidRPr="006251B9" w:rsidRDefault="006251B9" w:rsidP="006251B9">
      <w:pPr>
        <w:spacing w:line="276" w:lineRule="auto"/>
        <w:rPr>
          <w:rFonts w:ascii="Calibri" w:hAnsi="Calibri" w:cs="Calibri"/>
          <w:color w:val="000000" w:themeColor="text1"/>
          <w:sz w:val="24"/>
        </w:rPr>
      </w:pPr>
    </w:p>
    <w:p w14:paraId="16EE9136"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This shows that the LIS thresholds are largely disproportionate, especially when the inherent size (number of MWh) is low in the given contract (i.e. a day contract covers 24 hours, while a year contract typically covers 8760 hours). The LIS thresholds in this case eliminates more or less all off-order book trading and, when eliminating the majority, the rest will follow the vicious circle.</w:t>
      </w:r>
    </w:p>
    <w:p w14:paraId="594590AB"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Moreover, the methodology has considered a number of segmentation criteria, but is lacking a clear segmentation of inherent volume of a contract. As an example, a week contract can fall within the same liquid time to maturity bucket as a monthly or a quarterly contract. When applying a minimum LIS floor in euros (e.g. for month 1-12), the effect on a weekly contract and a quarterly contract is extremely disproportionate.</w:t>
      </w:r>
    </w:p>
    <w:p w14:paraId="5CCBD7F8" w14:textId="77777777" w:rsidR="006251B9" w:rsidRPr="006251B9" w:rsidRDefault="006251B9" w:rsidP="006251B9">
      <w:pPr>
        <w:spacing w:line="276" w:lineRule="auto"/>
        <w:jc w:val="both"/>
        <w:rPr>
          <w:rFonts w:ascii="Calibri" w:hAnsi="Calibri" w:cs="Calibri"/>
          <w:color w:val="000000" w:themeColor="text1"/>
          <w:sz w:val="24"/>
        </w:rPr>
      </w:pPr>
    </w:p>
    <w:p w14:paraId="1C4D8C5E" w14:textId="77777777" w:rsidR="006251B9" w:rsidRDefault="006251B9" w:rsidP="006251B9">
      <w:pPr>
        <w:spacing w:line="276" w:lineRule="auto"/>
        <w:ind w:left="720"/>
        <w:jc w:val="both"/>
        <w:rPr>
          <w:rFonts w:ascii="Calibri" w:hAnsi="Calibri" w:cs="Calibri"/>
          <w:b/>
          <w:bCs/>
          <w:color w:val="000000" w:themeColor="text1"/>
          <w:sz w:val="24"/>
          <w:u w:val="single"/>
        </w:rPr>
      </w:pPr>
    </w:p>
    <w:p w14:paraId="13293BDC" w14:textId="63BB1CD2"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b/>
          <w:bCs/>
          <w:color w:val="000000" w:themeColor="text1"/>
          <w:sz w:val="24"/>
          <w:u w:val="single"/>
        </w:rPr>
        <w:lastRenderedPageBreak/>
        <w:t xml:space="preserve">Recalibrating the LIS and IL waiver thresholds for energy derivatives </w:t>
      </w:r>
    </w:p>
    <w:p w14:paraId="2FEA1694" w14:textId="77777777" w:rsidR="006251B9" w:rsidRPr="006251B9" w:rsidRDefault="006251B9" w:rsidP="006251B9">
      <w:pPr>
        <w:spacing w:line="276" w:lineRule="auto"/>
        <w:jc w:val="both"/>
        <w:rPr>
          <w:rFonts w:ascii="Calibri" w:hAnsi="Calibri" w:cs="Calibri"/>
          <w:color w:val="000000" w:themeColor="text1"/>
          <w:sz w:val="24"/>
        </w:rPr>
      </w:pPr>
    </w:p>
    <w:p w14:paraId="4270F353"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Europex appreciates that while working on a revised methodology for calculating pre-trade transparency thresholds in line with the key principles set out above, ESMA may choose to introduce an interim ‘quick-fix’ solution. Such a solution would allow exchanges to implement RTS 2 requirements as soon as possible. In this context, we would like to propose the below revised thresholds that should reduce the detrimental impact of RTS 2 on the ability of energy market participants to use regulated platforms to hedge their risk exposures.</w:t>
      </w:r>
    </w:p>
    <w:p w14:paraId="02337C8A" w14:textId="77777777" w:rsidR="006251B9" w:rsidRPr="006251B9" w:rsidRDefault="006251B9" w:rsidP="006251B9">
      <w:pPr>
        <w:spacing w:line="276" w:lineRule="auto"/>
        <w:jc w:val="both"/>
        <w:rPr>
          <w:rFonts w:ascii="Calibri" w:hAnsi="Calibri" w:cs="Calibri"/>
          <w:color w:val="000000" w:themeColor="text1"/>
          <w:sz w:val="24"/>
        </w:rPr>
      </w:pPr>
    </w:p>
    <w:p w14:paraId="0C3D7541"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Please note that the below proposals for the revised thresholds are based on the assumption that, for the bucket grouping according to time to delivery, each financial instrument (e.g. Phelix Monthly Futures) is considered individually for the purpose of the calculation. For example, the July 18 expiry in the Phelix Monthly Futures would not be placed in one maturity bucket with other futures products with the same underlying, e.g. the Second Week July 18 Phelix Weekly Futures. Any other way of conducting these calculations would inevitably produce inaccurate outcomes in terms of liquidity profiles of the instruments in question. </w:t>
      </w:r>
    </w:p>
    <w:p w14:paraId="2CC7FE28" w14:textId="77777777" w:rsidR="006251B9" w:rsidRPr="006251B9" w:rsidRDefault="006251B9" w:rsidP="006251B9">
      <w:pPr>
        <w:spacing w:line="276" w:lineRule="auto"/>
        <w:ind w:left="720"/>
        <w:jc w:val="both"/>
        <w:rPr>
          <w:rFonts w:ascii="Calibri" w:hAnsi="Calibri" w:cs="Calibri"/>
          <w:color w:val="000000" w:themeColor="text1"/>
          <w:sz w:val="24"/>
        </w:rPr>
      </w:pPr>
    </w:p>
    <w:p w14:paraId="0C7050A8" w14:textId="121259A0"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 xml:space="preserve">Furthermore, </w:t>
      </w:r>
      <w:r w:rsidRPr="006251B9">
        <w:rPr>
          <w:rFonts w:ascii="Calibri" w:hAnsi="Calibri" w:cs="Calibri"/>
          <w:b/>
          <w:bCs/>
          <w:color w:val="000000" w:themeColor="text1"/>
          <w:sz w:val="24"/>
        </w:rPr>
        <w:t>the proposal should be adopted in its entirety</w:t>
      </w:r>
      <w:r w:rsidRPr="006251B9">
        <w:rPr>
          <w:rFonts w:ascii="Calibri" w:hAnsi="Calibri" w:cs="Calibri"/>
          <w:color w:val="000000" w:themeColor="text1"/>
          <w:sz w:val="24"/>
        </w:rPr>
        <w:t>. It should be understood as a combination of thresholds that cannot be detached from one another</w:t>
      </w:r>
      <w:r w:rsidRPr="006251B9">
        <w:rPr>
          <w:rFonts w:ascii="Calibri" w:hAnsi="Calibri" w:cs="Calibri"/>
          <w:color w:val="000000" w:themeColor="text1"/>
          <w:sz w:val="24"/>
        </w:rPr>
        <w:t>.</w:t>
      </w:r>
    </w:p>
    <w:p w14:paraId="4BD2E9E0" w14:textId="77777777" w:rsidR="006251B9" w:rsidRPr="006251B9" w:rsidRDefault="006251B9" w:rsidP="006251B9">
      <w:pPr>
        <w:spacing w:line="276" w:lineRule="auto"/>
        <w:ind w:firstLine="720"/>
        <w:jc w:val="both"/>
        <w:rPr>
          <w:rFonts w:ascii="Calibri" w:hAnsi="Calibri" w:cs="Calibri"/>
          <w:i/>
          <w:iCs/>
          <w:color w:val="000000" w:themeColor="text1"/>
          <w:sz w:val="24"/>
          <w:u w:val="single"/>
        </w:rPr>
      </w:pPr>
      <w:r w:rsidRPr="006251B9">
        <w:rPr>
          <w:rFonts w:ascii="Calibri" w:hAnsi="Calibri" w:cs="Calibri"/>
          <w:i/>
          <w:iCs/>
          <w:color w:val="000000" w:themeColor="text1"/>
          <w:sz w:val="24"/>
          <w:u w:val="single"/>
        </w:rPr>
        <w:t>Table 3: Proposed revised threshold values for energy commodity derivatives</w:t>
      </w:r>
    </w:p>
    <w:p w14:paraId="5215362E" w14:textId="77777777" w:rsidR="006251B9" w:rsidRPr="006251B9" w:rsidRDefault="006251B9" w:rsidP="006251B9">
      <w:pPr>
        <w:spacing w:line="276" w:lineRule="auto"/>
        <w:jc w:val="both"/>
        <w:rPr>
          <w:rFonts w:ascii="Calibri" w:hAnsi="Calibri" w:cs="Calibri"/>
          <w:color w:val="000000" w:themeColor="text1"/>
          <w:sz w:val="24"/>
        </w:rPr>
      </w:pPr>
    </w:p>
    <w:tbl>
      <w:tblPr>
        <w:tblStyle w:val="TableGrid"/>
        <w:tblW w:w="0" w:type="auto"/>
        <w:jc w:val="center"/>
        <w:tblLook w:val="04A0" w:firstRow="1" w:lastRow="0" w:firstColumn="1" w:lastColumn="0" w:noHBand="0" w:noVBand="1"/>
      </w:tblPr>
      <w:tblGrid>
        <w:gridCol w:w="1413"/>
        <w:gridCol w:w="1701"/>
        <w:gridCol w:w="1701"/>
        <w:gridCol w:w="1774"/>
        <w:gridCol w:w="1648"/>
      </w:tblGrid>
      <w:tr w:rsidR="006251B9" w:rsidRPr="006251B9" w14:paraId="0A46E286" w14:textId="77777777" w:rsidTr="006251B9">
        <w:trPr>
          <w:trHeight w:val="333"/>
          <w:jc w:val="center"/>
        </w:trPr>
        <w:tc>
          <w:tcPr>
            <w:tcW w:w="1413" w:type="dxa"/>
            <w:vMerge w:val="restart"/>
            <w:shd w:val="clear" w:color="auto" w:fill="DDD9C3" w:themeFill="background2" w:themeFillShade="E6"/>
          </w:tcPr>
          <w:p w14:paraId="09B1EB7C" w14:textId="77777777" w:rsidR="006251B9" w:rsidRPr="006251B9" w:rsidRDefault="006251B9" w:rsidP="006251B9">
            <w:pPr>
              <w:spacing w:line="276" w:lineRule="auto"/>
              <w:jc w:val="both"/>
              <w:rPr>
                <w:rFonts w:ascii="Calibri" w:hAnsi="Calibri" w:cs="Calibri"/>
                <w:color w:val="000000" w:themeColor="text1"/>
                <w:sz w:val="24"/>
              </w:rPr>
            </w:pPr>
          </w:p>
        </w:tc>
        <w:tc>
          <w:tcPr>
            <w:tcW w:w="3402" w:type="dxa"/>
            <w:gridSpan w:val="2"/>
            <w:shd w:val="clear" w:color="auto" w:fill="DDD9C3" w:themeFill="background2" w:themeFillShade="E6"/>
          </w:tcPr>
          <w:p w14:paraId="09A3A26E" w14:textId="77777777" w:rsidR="006251B9" w:rsidRPr="006251B9" w:rsidRDefault="006251B9" w:rsidP="006251B9">
            <w:pPr>
              <w:jc w:val="center"/>
              <w:rPr>
                <w:rFonts w:ascii="Calibri" w:hAnsi="Calibri" w:cs="Calibri"/>
                <w:b/>
                <w:bCs/>
                <w:color w:val="000000" w:themeColor="text1"/>
                <w:sz w:val="24"/>
                <w:lang w:val="fr-FR"/>
              </w:rPr>
            </w:pPr>
            <w:r w:rsidRPr="006251B9">
              <w:rPr>
                <w:rFonts w:ascii="Calibri" w:hAnsi="Calibri" w:cs="Calibri"/>
                <w:b/>
                <w:bCs/>
                <w:color w:val="000000" w:themeColor="text1"/>
                <w:sz w:val="24"/>
                <w:lang w:val="fr-FR"/>
              </w:rPr>
              <w:t xml:space="preserve">IL </w:t>
            </w:r>
            <w:proofErr w:type="spellStart"/>
            <w:r w:rsidRPr="006251B9">
              <w:rPr>
                <w:rFonts w:ascii="Calibri" w:hAnsi="Calibri" w:cs="Calibri"/>
                <w:b/>
                <w:bCs/>
                <w:color w:val="000000" w:themeColor="text1"/>
                <w:sz w:val="24"/>
                <w:lang w:val="fr-FR"/>
              </w:rPr>
              <w:t>waiver</w:t>
            </w:r>
            <w:proofErr w:type="spellEnd"/>
            <w:r w:rsidRPr="006251B9">
              <w:rPr>
                <w:rFonts w:ascii="Calibri" w:hAnsi="Calibri" w:cs="Calibri"/>
                <w:b/>
                <w:bCs/>
                <w:color w:val="000000" w:themeColor="text1"/>
                <w:sz w:val="24"/>
                <w:lang w:val="fr-FR"/>
              </w:rPr>
              <w:t xml:space="preserve"> (Table 7.1, </w:t>
            </w:r>
            <w:proofErr w:type="spellStart"/>
            <w:r w:rsidRPr="006251B9">
              <w:rPr>
                <w:rFonts w:ascii="Calibri" w:hAnsi="Calibri" w:cs="Calibri"/>
                <w:b/>
                <w:bCs/>
                <w:color w:val="000000" w:themeColor="text1"/>
                <w:sz w:val="24"/>
                <w:lang w:val="fr-FR"/>
              </w:rPr>
              <w:t>Annex</w:t>
            </w:r>
            <w:proofErr w:type="spellEnd"/>
            <w:r w:rsidRPr="006251B9">
              <w:rPr>
                <w:rFonts w:ascii="Calibri" w:hAnsi="Calibri" w:cs="Calibri"/>
                <w:b/>
                <w:bCs/>
                <w:color w:val="000000" w:themeColor="text1"/>
                <w:sz w:val="24"/>
                <w:lang w:val="fr-FR"/>
              </w:rPr>
              <w:t xml:space="preserve"> III, RTS 2)</w:t>
            </w:r>
          </w:p>
        </w:tc>
        <w:tc>
          <w:tcPr>
            <w:tcW w:w="3422" w:type="dxa"/>
            <w:gridSpan w:val="2"/>
            <w:shd w:val="clear" w:color="auto" w:fill="DDD9C3" w:themeFill="background2" w:themeFillShade="E6"/>
          </w:tcPr>
          <w:p w14:paraId="659B1A25"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LIS waiver (Table 7.2, Annex III RTS 2)</w:t>
            </w:r>
          </w:p>
        </w:tc>
      </w:tr>
      <w:tr w:rsidR="006251B9" w:rsidRPr="006251B9" w14:paraId="12392573" w14:textId="77777777" w:rsidTr="006251B9">
        <w:trPr>
          <w:trHeight w:val="826"/>
          <w:jc w:val="center"/>
        </w:trPr>
        <w:tc>
          <w:tcPr>
            <w:tcW w:w="1413" w:type="dxa"/>
            <w:vMerge/>
            <w:shd w:val="clear" w:color="auto" w:fill="DDD9C3" w:themeFill="background2" w:themeFillShade="E6"/>
          </w:tcPr>
          <w:p w14:paraId="5C6CE36E" w14:textId="77777777" w:rsidR="006251B9" w:rsidRPr="006251B9" w:rsidRDefault="006251B9" w:rsidP="006251B9">
            <w:pPr>
              <w:spacing w:line="276" w:lineRule="auto"/>
              <w:jc w:val="both"/>
              <w:rPr>
                <w:rFonts w:ascii="Calibri" w:hAnsi="Calibri" w:cs="Calibri"/>
                <w:color w:val="000000" w:themeColor="text1"/>
                <w:sz w:val="24"/>
              </w:rPr>
            </w:pPr>
          </w:p>
        </w:tc>
        <w:tc>
          <w:tcPr>
            <w:tcW w:w="1701" w:type="dxa"/>
            <w:shd w:val="clear" w:color="auto" w:fill="DDD9C3" w:themeFill="background2" w:themeFillShade="E6"/>
          </w:tcPr>
          <w:p w14:paraId="585DC801"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Average daily number of trades</w:t>
            </w:r>
          </w:p>
        </w:tc>
        <w:tc>
          <w:tcPr>
            <w:tcW w:w="1701" w:type="dxa"/>
            <w:shd w:val="clear" w:color="auto" w:fill="DDD9C3" w:themeFill="background2" w:themeFillShade="E6"/>
          </w:tcPr>
          <w:p w14:paraId="20CEAE6C"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Average daily notional amount (ADNA)</w:t>
            </w:r>
          </w:p>
        </w:tc>
        <w:tc>
          <w:tcPr>
            <w:tcW w:w="1774" w:type="dxa"/>
            <w:shd w:val="clear" w:color="auto" w:fill="DDD9C3" w:themeFill="background2" w:themeFillShade="E6"/>
          </w:tcPr>
          <w:p w14:paraId="340639D4"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LIS percentile</w:t>
            </w:r>
          </w:p>
        </w:tc>
        <w:tc>
          <w:tcPr>
            <w:tcW w:w="1648" w:type="dxa"/>
            <w:shd w:val="clear" w:color="auto" w:fill="DDD9C3" w:themeFill="background2" w:themeFillShade="E6"/>
          </w:tcPr>
          <w:p w14:paraId="6DE556A0"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LIS, notional value of a trade</w:t>
            </w:r>
          </w:p>
        </w:tc>
      </w:tr>
      <w:tr w:rsidR="006251B9" w:rsidRPr="006251B9" w14:paraId="46859084" w14:textId="77777777" w:rsidTr="006251B9">
        <w:trPr>
          <w:trHeight w:val="351"/>
          <w:jc w:val="center"/>
        </w:trPr>
        <w:tc>
          <w:tcPr>
            <w:tcW w:w="1413" w:type="dxa"/>
            <w:shd w:val="clear" w:color="auto" w:fill="DDD9C3" w:themeFill="background2" w:themeFillShade="E6"/>
          </w:tcPr>
          <w:p w14:paraId="355E60DA" w14:textId="77777777" w:rsidR="006251B9" w:rsidRPr="006251B9" w:rsidRDefault="006251B9" w:rsidP="006251B9">
            <w:pPr>
              <w:spacing w:line="276" w:lineRule="auto"/>
              <w:jc w:val="both"/>
              <w:rPr>
                <w:rFonts w:ascii="Calibri" w:hAnsi="Calibri" w:cs="Calibri"/>
                <w:b/>
                <w:bCs/>
                <w:color w:val="000000" w:themeColor="text1"/>
                <w:sz w:val="24"/>
              </w:rPr>
            </w:pPr>
            <w:r w:rsidRPr="006251B9">
              <w:rPr>
                <w:rFonts w:ascii="Calibri" w:hAnsi="Calibri" w:cs="Calibri"/>
                <w:b/>
                <w:bCs/>
                <w:color w:val="000000" w:themeColor="text1"/>
                <w:sz w:val="24"/>
              </w:rPr>
              <w:t>Current value</w:t>
            </w:r>
          </w:p>
        </w:tc>
        <w:tc>
          <w:tcPr>
            <w:tcW w:w="1701" w:type="dxa"/>
          </w:tcPr>
          <w:p w14:paraId="00B66E41" w14:textId="77777777" w:rsidR="006251B9" w:rsidRPr="006251B9" w:rsidRDefault="006251B9" w:rsidP="006251B9">
            <w:pPr>
              <w:spacing w:line="276" w:lineRule="auto"/>
              <w:jc w:val="center"/>
              <w:rPr>
                <w:rFonts w:ascii="Calibri" w:hAnsi="Calibri" w:cs="Calibri"/>
                <w:color w:val="808080" w:themeColor="background1" w:themeShade="80"/>
                <w:sz w:val="24"/>
              </w:rPr>
            </w:pPr>
            <w:r w:rsidRPr="006251B9">
              <w:rPr>
                <w:rFonts w:ascii="Calibri" w:hAnsi="Calibri" w:cs="Calibri"/>
                <w:color w:val="808080" w:themeColor="background1" w:themeShade="80"/>
                <w:sz w:val="24"/>
              </w:rPr>
              <w:t>10</w:t>
            </w:r>
          </w:p>
        </w:tc>
        <w:tc>
          <w:tcPr>
            <w:tcW w:w="1701" w:type="dxa"/>
          </w:tcPr>
          <w:p w14:paraId="71B06C08" w14:textId="77777777" w:rsidR="006251B9" w:rsidRPr="006251B9" w:rsidRDefault="006251B9" w:rsidP="006251B9">
            <w:pPr>
              <w:spacing w:line="276" w:lineRule="auto"/>
              <w:jc w:val="center"/>
              <w:rPr>
                <w:rFonts w:ascii="Calibri" w:hAnsi="Calibri" w:cs="Calibri"/>
                <w:color w:val="808080" w:themeColor="background1" w:themeShade="80"/>
                <w:sz w:val="24"/>
              </w:rPr>
            </w:pPr>
            <w:r w:rsidRPr="006251B9">
              <w:rPr>
                <w:rFonts w:ascii="Calibri" w:hAnsi="Calibri" w:cs="Calibri"/>
                <w:color w:val="808080" w:themeColor="background1" w:themeShade="80"/>
                <w:sz w:val="24"/>
              </w:rPr>
              <w:t>10,000,000</w:t>
            </w:r>
          </w:p>
        </w:tc>
        <w:tc>
          <w:tcPr>
            <w:tcW w:w="1774" w:type="dxa"/>
          </w:tcPr>
          <w:p w14:paraId="182D667F" w14:textId="77777777" w:rsidR="006251B9" w:rsidRPr="006251B9" w:rsidRDefault="006251B9" w:rsidP="006251B9">
            <w:pPr>
              <w:spacing w:line="276" w:lineRule="auto"/>
              <w:jc w:val="center"/>
              <w:rPr>
                <w:rFonts w:ascii="Calibri" w:hAnsi="Calibri" w:cs="Calibri"/>
                <w:color w:val="808080" w:themeColor="background1" w:themeShade="80"/>
                <w:sz w:val="24"/>
              </w:rPr>
            </w:pPr>
            <w:r w:rsidRPr="006251B9">
              <w:rPr>
                <w:rFonts w:ascii="Calibri" w:hAnsi="Calibri" w:cs="Calibri"/>
                <w:color w:val="808080" w:themeColor="background1" w:themeShade="80"/>
                <w:sz w:val="24"/>
              </w:rPr>
              <w:t>70</w:t>
            </w:r>
          </w:p>
        </w:tc>
        <w:tc>
          <w:tcPr>
            <w:tcW w:w="1648" w:type="dxa"/>
          </w:tcPr>
          <w:p w14:paraId="20C1D142" w14:textId="77777777" w:rsidR="006251B9" w:rsidRPr="006251B9" w:rsidRDefault="006251B9" w:rsidP="006251B9">
            <w:pPr>
              <w:spacing w:line="276" w:lineRule="auto"/>
              <w:jc w:val="center"/>
              <w:rPr>
                <w:rFonts w:ascii="Calibri" w:hAnsi="Calibri" w:cs="Calibri"/>
                <w:color w:val="808080" w:themeColor="background1" w:themeShade="80"/>
                <w:sz w:val="24"/>
              </w:rPr>
            </w:pPr>
            <w:r w:rsidRPr="006251B9">
              <w:rPr>
                <w:rFonts w:ascii="Calibri" w:hAnsi="Calibri" w:cs="Calibri"/>
                <w:color w:val="808080" w:themeColor="background1" w:themeShade="80"/>
                <w:sz w:val="24"/>
              </w:rPr>
              <w:t>500,000</w:t>
            </w:r>
          </w:p>
        </w:tc>
      </w:tr>
      <w:tr w:rsidR="006251B9" w:rsidRPr="006251B9" w14:paraId="32CC1071" w14:textId="77777777" w:rsidTr="006251B9">
        <w:trPr>
          <w:trHeight w:val="315"/>
          <w:jc w:val="center"/>
        </w:trPr>
        <w:tc>
          <w:tcPr>
            <w:tcW w:w="1413" w:type="dxa"/>
            <w:shd w:val="clear" w:color="auto" w:fill="DDD9C3" w:themeFill="background2" w:themeFillShade="E6"/>
          </w:tcPr>
          <w:p w14:paraId="0D05F2FF" w14:textId="77777777" w:rsidR="006251B9" w:rsidRPr="006251B9" w:rsidRDefault="006251B9" w:rsidP="006251B9">
            <w:pPr>
              <w:spacing w:line="276" w:lineRule="auto"/>
              <w:jc w:val="both"/>
              <w:rPr>
                <w:rFonts w:ascii="Calibri" w:hAnsi="Calibri" w:cs="Calibri"/>
                <w:b/>
                <w:bCs/>
                <w:color w:val="000000" w:themeColor="text1"/>
                <w:sz w:val="24"/>
              </w:rPr>
            </w:pPr>
            <w:r w:rsidRPr="006251B9">
              <w:rPr>
                <w:rFonts w:ascii="Calibri" w:hAnsi="Calibri" w:cs="Calibri"/>
                <w:b/>
                <w:bCs/>
                <w:color w:val="000000" w:themeColor="text1"/>
                <w:sz w:val="24"/>
              </w:rPr>
              <w:t>Proposal</w:t>
            </w:r>
          </w:p>
        </w:tc>
        <w:tc>
          <w:tcPr>
            <w:tcW w:w="1701" w:type="dxa"/>
          </w:tcPr>
          <w:p w14:paraId="3847C859"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100</w:t>
            </w:r>
          </w:p>
        </w:tc>
        <w:tc>
          <w:tcPr>
            <w:tcW w:w="1701" w:type="dxa"/>
          </w:tcPr>
          <w:p w14:paraId="34DDE283"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100,000,000</w:t>
            </w:r>
          </w:p>
        </w:tc>
        <w:tc>
          <w:tcPr>
            <w:tcW w:w="1774" w:type="dxa"/>
          </w:tcPr>
          <w:p w14:paraId="3F478FCF"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30</w:t>
            </w:r>
          </w:p>
        </w:tc>
        <w:tc>
          <w:tcPr>
            <w:tcW w:w="1648" w:type="dxa"/>
          </w:tcPr>
          <w:p w14:paraId="3764D855"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50,000</w:t>
            </w:r>
          </w:p>
        </w:tc>
      </w:tr>
    </w:tbl>
    <w:p w14:paraId="20A04C27" w14:textId="660EB116" w:rsidR="006251B9" w:rsidRDefault="006251B9" w:rsidP="006251B9">
      <w:pPr>
        <w:spacing w:line="276" w:lineRule="auto"/>
        <w:jc w:val="both"/>
        <w:rPr>
          <w:rFonts w:ascii="Calibri" w:hAnsi="Calibri" w:cs="Calibri"/>
          <w:color w:val="000000" w:themeColor="text1"/>
          <w:sz w:val="24"/>
        </w:rPr>
      </w:pPr>
    </w:p>
    <w:p w14:paraId="5CAC8902" w14:textId="621100C5" w:rsidR="006251B9" w:rsidRDefault="006251B9" w:rsidP="006251B9">
      <w:pPr>
        <w:spacing w:line="276" w:lineRule="auto"/>
        <w:jc w:val="both"/>
        <w:rPr>
          <w:rFonts w:ascii="Calibri" w:hAnsi="Calibri" w:cs="Calibri"/>
          <w:color w:val="000000" w:themeColor="text1"/>
          <w:sz w:val="24"/>
        </w:rPr>
      </w:pPr>
    </w:p>
    <w:p w14:paraId="415766C0" w14:textId="510D9DC7" w:rsidR="006251B9" w:rsidRDefault="006251B9" w:rsidP="006251B9">
      <w:pPr>
        <w:spacing w:line="276" w:lineRule="auto"/>
        <w:jc w:val="both"/>
        <w:rPr>
          <w:rFonts w:ascii="Calibri" w:hAnsi="Calibri" w:cs="Calibri"/>
          <w:color w:val="000000" w:themeColor="text1"/>
          <w:sz w:val="24"/>
        </w:rPr>
      </w:pPr>
    </w:p>
    <w:p w14:paraId="126AC6D1" w14:textId="77777777" w:rsidR="006251B9" w:rsidRPr="006251B9" w:rsidRDefault="006251B9" w:rsidP="006251B9">
      <w:pPr>
        <w:spacing w:line="276" w:lineRule="auto"/>
        <w:jc w:val="both"/>
        <w:rPr>
          <w:rFonts w:ascii="Calibri" w:hAnsi="Calibri" w:cs="Calibri"/>
          <w:color w:val="000000" w:themeColor="text1"/>
          <w:sz w:val="24"/>
        </w:rPr>
      </w:pPr>
    </w:p>
    <w:p w14:paraId="40962F23" w14:textId="77777777" w:rsidR="006251B9" w:rsidRPr="006251B9" w:rsidRDefault="006251B9" w:rsidP="006251B9">
      <w:pPr>
        <w:spacing w:line="276" w:lineRule="auto"/>
        <w:ind w:left="720"/>
        <w:jc w:val="both"/>
        <w:rPr>
          <w:rFonts w:ascii="Calibri" w:hAnsi="Calibri" w:cs="Calibri"/>
          <w:color w:val="000000" w:themeColor="text1"/>
          <w:sz w:val="24"/>
        </w:rPr>
      </w:pPr>
    </w:p>
    <w:tbl>
      <w:tblPr>
        <w:tblStyle w:val="TableGrid"/>
        <w:tblW w:w="0" w:type="auto"/>
        <w:jc w:val="center"/>
        <w:tblLook w:val="04A0" w:firstRow="1" w:lastRow="0" w:firstColumn="1" w:lastColumn="0" w:noHBand="0" w:noVBand="1"/>
      </w:tblPr>
      <w:tblGrid>
        <w:gridCol w:w="1410"/>
        <w:gridCol w:w="1487"/>
        <w:gridCol w:w="1918"/>
        <w:gridCol w:w="1328"/>
        <w:gridCol w:w="2110"/>
      </w:tblGrid>
      <w:tr w:rsidR="006251B9" w:rsidRPr="006251B9" w14:paraId="0DB0D08A" w14:textId="77777777" w:rsidTr="006251B9">
        <w:trPr>
          <w:trHeight w:val="300"/>
          <w:jc w:val="center"/>
        </w:trPr>
        <w:tc>
          <w:tcPr>
            <w:tcW w:w="1410" w:type="dxa"/>
            <w:vMerge w:val="restart"/>
            <w:shd w:val="clear" w:color="auto" w:fill="DDD9C3" w:themeFill="background2" w:themeFillShade="E6"/>
          </w:tcPr>
          <w:p w14:paraId="0CC3A0BE" w14:textId="77777777" w:rsidR="006251B9" w:rsidRPr="006251B9" w:rsidRDefault="006251B9" w:rsidP="006251B9">
            <w:pPr>
              <w:spacing w:line="276" w:lineRule="auto"/>
              <w:jc w:val="both"/>
              <w:rPr>
                <w:rFonts w:ascii="Calibri" w:hAnsi="Calibri" w:cs="Calibri"/>
                <w:color w:val="000000" w:themeColor="text1"/>
                <w:sz w:val="24"/>
              </w:rPr>
            </w:pPr>
          </w:p>
        </w:tc>
        <w:tc>
          <w:tcPr>
            <w:tcW w:w="3405" w:type="dxa"/>
            <w:gridSpan w:val="2"/>
            <w:shd w:val="clear" w:color="auto" w:fill="DDD9C3" w:themeFill="background2" w:themeFillShade="E6"/>
          </w:tcPr>
          <w:p w14:paraId="47FA580A" w14:textId="77777777" w:rsidR="006251B9" w:rsidRPr="006251B9" w:rsidRDefault="006251B9" w:rsidP="006251B9">
            <w:pPr>
              <w:jc w:val="center"/>
              <w:rPr>
                <w:rFonts w:ascii="Calibri" w:hAnsi="Calibri" w:cs="Calibri"/>
                <w:b/>
                <w:bCs/>
                <w:color w:val="000000" w:themeColor="text1"/>
                <w:sz w:val="24"/>
                <w:lang w:val="fr-FR"/>
              </w:rPr>
            </w:pPr>
            <w:r w:rsidRPr="006251B9">
              <w:rPr>
                <w:rFonts w:ascii="Calibri" w:hAnsi="Calibri" w:cs="Calibri"/>
                <w:b/>
                <w:bCs/>
                <w:color w:val="000000" w:themeColor="text1"/>
                <w:sz w:val="24"/>
                <w:lang w:val="fr-FR"/>
              </w:rPr>
              <w:t xml:space="preserve">IL </w:t>
            </w:r>
            <w:proofErr w:type="spellStart"/>
            <w:r w:rsidRPr="006251B9">
              <w:rPr>
                <w:rFonts w:ascii="Calibri" w:hAnsi="Calibri" w:cs="Calibri"/>
                <w:b/>
                <w:bCs/>
                <w:color w:val="000000" w:themeColor="text1"/>
                <w:sz w:val="24"/>
                <w:lang w:val="fr-FR"/>
              </w:rPr>
              <w:t>waiver</w:t>
            </w:r>
            <w:proofErr w:type="spellEnd"/>
            <w:r w:rsidRPr="006251B9">
              <w:rPr>
                <w:rFonts w:ascii="Calibri" w:hAnsi="Calibri" w:cs="Calibri"/>
                <w:b/>
                <w:bCs/>
                <w:color w:val="000000" w:themeColor="text1"/>
                <w:sz w:val="24"/>
                <w:lang w:val="fr-FR"/>
              </w:rPr>
              <w:t xml:space="preserve"> (Table 13.1, </w:t>
            </w:r>
            <w:proofErr w:type="spellStart"/>
            <w:r w:rsidRPr="006251B9">
              <w:rPr>
                <w:rFonts w:ascii="Calibri" w:hAnsi="Calibri" w:cs="Calibri"/>
                <w:b/>
                <w:bCs/>
                <w:color w:val="000000" w:themeColor="text1"/>
                <w:sz w:val="24"/>
                <w:lang w:val="fr-FR"/>
              </w:rPr>
              <w:t>Annex</w:t>
            </w:r>
            <w:proofErr w:type="spellEnd"/>
            <w:r w:rsidRPr="006251B9">
              <w:rPr>
                <w:rFonts w:ascii="Calibri" w:hAnsi="Calibri" w:cs="Calibri"/>
                <w:b/>
                <w:bCs/>
                <w:color w:val="000000" w:themeColor="text1"/>
                <w:sz w:val="24"/>
                <w:lang w:val="fr-FR"/>
              </w:rPr>
              <w:t xml:space="preserve"> III, RTS 2)</w:t>
            </w:r>
          </w:p>
        </w:tc>
        <w:tc>
          <w:tcPr>
            <w:tcW w:w="3438" w:type="dxa"/>
            <w:gridSpan w:val="2"/>
            <w:shd w:val="clear" w:color="auto" w:fill="DDD9C3" w:themeFill="background2" w:themeFillShade="E6"/>
          </w:tcPr>
          <w:p w14:paraId="6A104841"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LIS (Table 13.2, Annex III RTS 2)</w:t>
            </w:r>
          </w:p>
        </w:tc>
      </w:tr>
      <w:tr w:rsidR="006251B9" w:rsidRPr="006251B9" w14:paraId="23631DCB" w14:textId="77777777" w:rsidTr="006251B9">
        <w:trPr>
          <w:trHeight w:val="936"/>
          <w:jc w:val="center"/>
        </w:trPr>
        <w:tc>
          <w:tcPr>
            <w:tcW w:w="1410" w:type="dxa"/>
            <w:vMerge/>
            <w:shd w:val="clear" w:color="auto" w:fill="DDD9C3" w:themeFill="background2" w:themeFillShade="E6"/>
          </w:tcPr>
          <w:p w14:paraId="533CF953" w14:textId="77777777" w:rsidR="006251B9" w:rsidRPr="006251B9" w:rsidRDefault="006251B9" w:rsidP="006251B9">
            <w:pPr>
              <w:spacing w:line="276" w:lineRule="auto"/>
              <w:jc w:val="both"/>
              <w:rPr>
                <w:rFonts w:ascii="Calibri" w:hAnsi="Calibri" w:cs="Calibri"/>
                <w:color w:val="000000" w:themeColor="text1"/>
                <w:sz w:val="24"/>
              </w:rPr>
            </w:pPr>
          </w:p>
        </w:tc>
        <w:tc>
          <w:tcPr>
            <w:tcW w:w="1487" w:type="dxa"/>
            <w:shd w:val="clear" w:color="auto" w:fill="DDD9C3" w:themeFill="background2" w:themeFillShade="E6"/>
          </w:tcPr>
          <w:p w14:paraId="6535D205"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Average daily number of trades</w:t>
            </w:r>
          </w:p>
        </w:tc>
        <w:tc>
          <w:tcPr>
            <w:tcW w:w="1918" w:type="dxa"/>
            <w:shd w:val="clear" w:color="auto" w:fill="DDD9C3" w:themeFill="background2" w:themeFillShade="E6"/>
          </w:tcPr>
          <w:p w14:paraId="5CC70718"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Average daily notional amount (ADNA)</w:t>
            </w:r>
          </w:p>
        </w:tc>
        <w:tc>
          <w:tcPr>
            <w:tcW w:w="1328" w:type="dxa"/>
            <w:shd w:val="clear" w:color="auto" w:fill="DDD9C3" w:themeFill="background2" w:themeFillShade="E6"/>
          </w:tcPr>
          <w:p w14:paraId="5A681888"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LIS percentile</w:t>
            </w:r>
          </w:p>
        </w:tc>
        <w:tc>
          <w:tcPr>
            <w:tcW w:w="2110" w:type="dxa"/>
            <w:shd w:val="clear" w:color="auto" w:fill="DDD9C3" w:themeFill="background2" w:themeFillShade="E6"/>
          </w:tcPr>
          <w:p w14:paraId="6681FA10"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LIS, notional value of a trade</w:t>
            </w:r>
          </w:p>
        </w:tc>
      </w:tr>
      <w:tr w:rsidR="006251B9" w:rsidRPr="006251B9" w14:paraId="1E48DE5C" w14:textId="77777777" w:rsidTr="006251B9">
        <w:trPr>
          <w:trHeight w:val="936"/>
          <w:jc w:val="center"/>
        </w:trPr>
        <w:tc>
          <w:tcPr>
            <w:tcW w:w="1410" w:type="dxa"/>
            <w:shd w:val="clear" w:color="auto" w:fill="DDD9C3" w:themeFill="background2" w:themeFillShade="E6"/>
          </w:tcPr>
          <w:p w14:paraId="2C7AB064"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Current value</w:t>
            </w:r>
          </w:p>
        </w:tc>
        <w:tc>
          <w:tcPr>
            <w:tcW w:w="1487" w:type="dxa"/>
          </w:tcPr>
          <w:p w14:paraId="79CDB647" w14:textId="77777777" w:rsidR="006251B9" w:rsidRPr="006251B9" w:rsidRDefault="006251B9" w:rsidP="006251B9">
            <w:pPr>
              <w:spacing w:line="276" w:lineRule="auto"/>
              <w:jc w:val="center"/>
              <w:rPr>
                <w:rFonts w:ascii="Calibri" w:hAnsi="Calibri" w:cs="Calibri"/>
                <w:color w:val="808080" w:themeColor="background1" w:themeShade="80"/>
                <w:sz w:val="24"/>
              </w:rPr>
            </w:pPr>
            <w:r w:rsidRPr="006251B9">
              <w:rPr>
                <w:rFonts w:ascii="Calibri" w:hAnsi="Calibri" w:cs="Calibri"/>
                <w:color w:val="808080" w:themeColor="background1" w:themeShade="80"/>
                <w:sz w:val="24"/>
              </w:rPr>
              <w:t>5</w:t>
            </w:r>
          </w:p>
        </w:tc>
        <w:tc>
          <w:tcPr>
            <w:tcW w:w="1918" w:type="dxa"/>
          </w:tcPr>
          <w:p w14:paraId="63D6CCB5" w14:textId="77777777" w:rsidR="006251B9" w:rsidRPr="006251B9" w:rsidRDefault="006251B9" w:rsidP="006251B9">
            <w:pPr>
              <w:spacing w:line="276" w:lineRule="auto"/>
              <w:jc w:val="center"/>
              <w:rPr>
                <w:rFonts w:ascii="Calibri" w:hAnsi="Calibri" w:cs="Calibri"/>
                <w:color w:val="808080" w:themeColor="background1" w:themeShade="80"/>
                <w:sz w:val="24"/>
              </w:rPr>
            </w:pPr>
            <w:r w:rsidRPr="006251B9">
              <w:rPr>
                <w:rFonts w:ascii="Calibri" w:hAnsi="Calibri" w:cs="Calibri"/>
                <w:b/>
                <w:bCs/>
                <w:color w:val="808080" w:themeColor="background1" w:themeShade="80"/>
                <w:sz w:val="24"/>
              </w:rPr>
              <w:t>150,000</w:t>
            </w:r>
            <w:r w:rsidRPr="006251B9">
              <w:rPr>
                <w:rFonts w:ascii="Calibri" w:hAnsi="Calibri" w:cs="Calibri"/>
                <w:color w:val="808080" w:themeColor="background1" w:themeShade="80"/>
                <w:sz w:val="24"/>
              </w:rPr>
              <w:t xml:space="preserve"> tons of </w:t>
            </w:r>
            <m:oMath>
              <m:sSub>
                <m:sSubPr>
                  <m:ctrlPr>
                    <w:rPr>
                      <w:rFonts w:ascii="Cambria Math" w:hAnsi="Cambria Math" w:cs="Calibri (Body)"/>
                      <w:iCs/>
                      <w:color w:val="808080" w:themeColor="background1" w:themeShade="80"/>
                      <w:sz w:val="24"/>
                    </w:rPr>
                  </m:ctrlPr>
                </m:sSubPr>
                <m:e>
                  <m:r>
                    <m:rPr>
                      <m:sty m:val="p"/>
                    </m:rPr>
                    <w:rPr>
                      <w:rFonts w:ascii="Cambria Math" w:hAnsi="Cambria Math" w:cs="Calibri (Body)"/>
                      <w:color w:val="808080" w:themeColor="background1" w:themeShade="80"/>
                      <w:sz w:val="24"/>
                    </w:rPr>
                    <m:t>CO</m:t>
                  </m:r>
                </m:e>
                <m:sub>
                  <m:r>
                    <m:rPr>
                      <m:sty m:val="p"/>
                    </m:rPr>
                    <w:rPr>
                      <w:rFonts w:ascii="Cambria Math" w:hAnsi="Cambria Math" w:cs="Calibri (Body)"/>
                      <w:color w:val="808080" w:themeColor="background1" w:themeShade="80"/>
                      <w:sz w:val="24"/>
                    </w:rPr>
                    <m:t>2</m:t>
                  </m:r>
                </m:sub>
              </m:sSub>
              <m:r>
                <w:rPr>
                  <w:rFonts w:ascii="Cambria Math" w:hAnsi="Cambria Math" w:cs="Calibri (Body)"/>
                  <w:color w:val="808080" w:themeColor="background1" w:themeShade="80"/>
                  <w:sz w:val="24"/>
                </w:rPr>
                <m:t xml:space="preserve"> </m:t>
              </m:r>
            </m:oMath>
            <w:r w:rsidRPr="006251B9">
              <w:rPr>
                <w:rFonts w:ascii="Calibri" w:hAnsi="Calibri" w:cs="Calibri"/>
                <w:color w:val="808080" w:themeColor="background1" w:themeShade="80"/>
                <w:sz w:val="24"/>
              </w:rPr>
              <w:t>equivalent</w:t>
            </w:r>
          </w:p>
        </w:tc>
        <w:tc>
          <w:tcPr>
            <w:tcW w:w="1328" w:type="dxa"/>
          </w:tcPr>
          <w:p w14:paraId="427832F7" w14:textId="77777777" w:rsidR="006251B9" w:rsidRPr="006251B9" w:rsidRDefault="006251B9" w:rsidP="006251B9">
            <w:pPr>
              <w:spacing w:line="276" w:lineRule="auto"/>
              <w:jc w:val="center"/>
              <w:rPr>
                <w:rFonts w:ascii="Calibri" w:hAnsi="Calibri" w:cs="Calibri"/>
                <w:color w:val="808080" w:themeColor="background1" w:themeShade="80"/>
                <w:sz w:val="24"/>
              </w:rPr>
            </w:pPr>
            <w:r w:rsidRPr="006251B9">
              <w:rPr>
                <w:rFonts w:ascii="Calibri" w:hAnsi="Calibri" w:cs="Calibri"/>
                <w:color w:val="808080" w:themeColor="background1" w:themeShade="80"/>
                <w:sz w:val="24"/>
              </w:rPr>
              <w:t>70</w:t>
            </w:r>
          </w:p>
        </w:tc>
        <w:tc>
          <w:tcPr>
            <w:tcW w:w="2110" w:type="dxa"/>
          </w:tcPr>
          <w:p w14:paraId="18480733" w14:textId="77777777" w:rsidR="006251B9" w:rsidRPr="006251B9" w:rsidRDefault="006251B9" w:rsidP="006251B9">
            <w:pPr>
              <w:spacing w:line="276" w:lineRule="auto"/>
              <w:jc w:val="center"/>
              <w:rPr>
                <w:rFonts w:ascii="Calibri" w:hAnsi="Calibri" w:cs="Calibri"/>
                <w:color w:val="808080" w:themeColor="background1" w:themeShade="80"/>
                <w:sz w:val="24"/>
              </w:rPr>
            </w:pPr>
            <w:r w:rsidRPr="006251B9">
              <w:rPr>
                <w:rFonts w:ascii="Calibri" w:hAnsi="Calibri" w:cs="Calibri"/>
                <w:color w:val="808080" w:themeColor="background1" w:themeShade="80"/>
                <w:sz w:val="24"/>
              </w:rPr>
              <w:t xml:space="preserve">EUA as underlying </w:t>
            </w:r>
            <w:r w:rsidRPr="006251B9">
              <w:rPr>
                <w:rFonts w:ascii="Calibri" w:hAnsi="Calibri" w:cs="Calibri"/>
                <w:b/>
                <w:bCs/>
                <w:color w:val="808080" w:themeColor="background1" w:themeShade="80"/>
                <w:sz w:val="24"/>
              </w:rPr>
              <w:t>50,000</w:t>
            </w:r>
            <w:r w:rsidRPr="006251B9">
              <w:rPr>
                <w:rFonts w:ascii="Calibri" w:hAnsi="Calibri" w:cs="Calibri"/>
                <w:color w:val="808080" w:themeColor="background1" w:themeShade="80"/>
                <w:sz w:val="24"/>
              </w:rPr>
              <w:t xml:space="preserve"> tons / other underlying: </w:t>
            </w:r>
            <w:r w:rsidRPr="006251B9">
              <w:rPr>
                <w:rFonts w:ascii="Calibri" w:hAnsi="Calibri" w:cs="Calibri"/>
                <w:b/>
                <w:bCs/>
                <w:color w:val="808080" w:themeColor="background1" w:themeShade="80"/>
                <w:sz w:val="24"/>
              </w:rPr>
              <w:t>25,000</w:t>
            </w:r>
            <w:r w:rsidRPr="006251B9">
              <w:rPr>
                <w:rFonts w:ascii="Calibri" w:hAnsi="Calibri" w:cs="Calibri"/>
                <w:color w:val="808080" w:themeColor="background1" w:themeShade="80"/>
                <w:sz w:val="24"/>
              </w:rPr>
              <w:t xml:space="preserve"> tons</w:t>
            </w:r>
          </w:p>
        </w:tc>
      </w:tr>
      <w:tr w:rsidR="006251B9" w:rsidRPr="006251B9" w14:paraId="492CC9F8" w14:textId="77777777" w:rsidTr="006251B9">
        <w:trPr>
          <w:trHeight w:val="284"/>
          <w:jc w:val="center"/>
        </w:trPr>
        <w:tc>
          <w:tcPr>
            <w:tcW w:w="1410" w:type="dxa"/>
            <w:shd w:val="clear" w:color="auto" w:fill="DDD9C3" w:themeFill="background2" w:themeFillShade="E6"/>
          </w:tcPr>
          <w:p w14:paraId="6C87370D"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Proposal</w:t>
            </w:r>
          </w:p>
        </w:tc>
        <w:tc>
          <w:tcPr>
            <w:tcW w:w="1487" w:type="dxa"/>
          </w:tcPr>
          <w:p w14:paraId="1A57E071"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100</w:t>
            </w:r>
          </w:p>
        </w:tc>
        <w:tc>
          <w:tcPr>
            <w:tcW w:w="1918" w:type="dxa"/>
          </w:tcPr>
          <w:p w14:paraId="384A0620"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150,000</w:t>
            </w:r>
          </w:p>
        </w:tc>
        <w:tc>
          <w:tcPr>
            <w:tcW w:w="1328" w:type="dxa"/>
          </w:tcPr>
          <w:p w14:paraId="0AD9C083"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30</w:t>
            </w:r>
          </w:p>
        </w:tc>
        <w:tc>
          <w:tcPr>
            <w:tcW w:w="2110" w:type="dxa"/>
          </w:tcPr>
          <w:p w14:paraId="5EBB0E9F" w14:textId="77777777" w:rsidR="006251B9" w:rsidRPr="006251B9" w:rsidRDefault="006251B9" w:rsidP="006251B9">
            <w:pPr>
              <w:spacing w:line="276" w:lineRule="auto"/>
              <w:jc w:val="center"/>
              <w:rPr>
                <w:rFonts w:ascii="Calibri" w:hAnsi="Calibri" w:cs="Calibri"/>
                <w:b/>
                <w:bCs/>
                <w:color w:val="000000" w:themeColor="text1"/>
                <w:sz w:val="24"/>
              </w:rPr>
            </w:pPr>
            <w:r w:rsidRPr="006251B9">
              <w:rPr>
                <w:rFonts w:ascii="Calibri" w:hAnsi="Calibri" w:cs="Calibri"/>
                <w:b/>
                <w:bCs/>
                <w:color w:val="000000" w:themeColor="text1"/>
                <w:sz w:val="24"/>
              </w:rPr>
              <w:t>50,000/25,000</w:t>
            </w:r>
          </w:p>
        </w:tc>
      </w:tr>
    </w:tbl>
    <w:p w14:paraId="65A9FB7E" w14:textId="77777777" w:rsidR="006251B9" w:rsidRPr="006251B9" w:rsidRDefault="006251B9" w:rsidP="006251B9">
      <w:pPr>
        <w:spacing w:line="276" w:lineRule="auto"/>
        <w:ind w:left="720"/>
        <w:jc w:val="both"/>
        <w:rPr>
          <w:rFonts w:ascii="Calibri" w:hAnsi="Calibri" w:cs="Calibri"/>
          <w:color w:val="000000" w:themeColor="text1"/>
          <w:sz w:val="24"/>
        </w:rPr>
      </w:pPr>
    </w:p>
    <w:p w14:paraId="5C9B29AE" w14:textId="564D11A0"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For example, the Nasdaq Nordic Electricity Monthly Futures Bucket 2 would be deemed liquid under both the current threshold of 10 trades and 10,000,000 EUR as well as the proposed threshold of 100 trades and 100,000,000 EUR depending on the development of prices. A threshold floor of 500,000 EUR would fall at the 97</w:t>
      </w:r>
      <w:proofErr w:type="gramStart"/>
      <w:r w:rsidRPr="006251B9">
        <w:rPr>
          <w:rFonts w:ascii="Calibri" w:hAnsi="Calibri" w:cs="Calibri"/>
          <w:color w:val="000000" w:themeColor="text1"/>
          <w:sz w:val="24"/>
          <w:vertAlign w:val="superscript"/>
        </w:rPr>
        <w:t>th</w:t>
      </w:r>
      <w:r w:rsidRPr="006251B9">
        <w:rPr>
          <w:rFonts w:ascii="Calibri" w:hAnsi="Calibri" w:cs="Calibri"/>
          <w:color w:val="000000" w:themeColor="text1"/>
          <w:sz w:val="24"/>
        </w:rPr>
        <w:t xml:space="preserve">  percentile</w:t>
      </w:r>
      <w:proofErr w:type="gramEnd"/>
      <w:r w:rsidRPr="006251B9">
        <w:rPr>
          <w:rFonts w:ascii="Calibri" w:hAnsi="Calibri" w:cs="Calibri"/>
          <w:color w:val="000000" w:themeColor="text1"/>
          <w:sz w:val="24"/>
        </w:rPr>
        <w:t>, thereby jeopardising the ability of market participants to hedge their exposures. This clearly indicates that the LIS threshold floor is set far too high when a product becomes liquid.</w:t>
      </w:r>
    </w:p>
    <w:p w14:paraId="479ADB7E" w14:textId="77777777" w:rsidR="006251B9" w:rsidRPr="006251B9" w:rsidRDefault="006251B9" w:rsidP="006251B9">
      <w:pPr>
        <w:spacing w:line="276" w:lineRule="auto"/>
        <w:ind w:left="720"/>
        <w:jc w:val="both"/>
        <w:rPr>
          <w:rFonts w:ascii="Calibri" w:hAnsi="Calibri" w:cs="Calibri"/>
          <w:color w:val="000000" w:themeColor="text1"/>
          <w:sz w:val="24"/>
        </w:rPr>
      </w:pPr>
    </w:p>
    <w:p w14:paraId="1AE33E1A" w14:textId="77777777" w:rsidR="006251B9" w:rsidRPr="006251B9" w:rsidRDefault="006251B9" w:rsidP="006251B9">
      <w:pPr>
        <w:spacing w:line="276" w:lineRule="auto"/>
        <w:ind w:left="720"/>
        <w:jc w:val="both"/>
        <w:rPr>
          <w:rFonts w:ascii="Calibri" w:hAnsi="Calibri" w:cs="Calibri"/>
          <w:color w:val="000000" w:themeColor="text1"/>
          <w:sz w:val="24"/>
        </w:rPr>
      </w:pPr>
      <w:r w:rsidRPr="006251B9">
        <w:rPr>
          <w:rFonts w:ascii="Calibri" w:hAnsi="Calibri" w:cs="Calibri"/>
          <w:color w:val="000000" w:themeColor="text1"/>
          <w:sz w:val="24"/>
        </w:rPr>
        <w:t>To illustrate this, please see the chart below where the green line marks the current LIS floor:</w:t>
      </w:r>
    </w:p>
    <w:p w14:paraId="1AD2304F" w14:textId="77777777" w:rsidR="006251B9" w:rsidRPr="006251B9" w:rsidRDefault="006251B9" w:rsidP="006251B9">
      <w:pPr>
        <w:spacing w:line="276" w:lineRule="auto"/>
        <w:ind w:left="720"/>
        <w:jc w:val="both"/>
        <w:rPr>
          <w:rFonts w:ascii="Calibri" w:hAnsi="Calibri" w:cs="Calibri"/>
          <w:color w:val="000000" w:themeColor="text1"/>
          <w:sz w:val="24"/>
        </w:rPr>
      </w:pPr>
    </w:p>
    <w:p w14:paraId="0C93F768" w14:textId="77777777" w:rsidR="006251B9" w:rsidRPr="006251B9" w:rsidRDefault="006251B9" w:rsidP="006251B9">
      <w:pPr>
        <w:spacing w:line="276" w:lineRule="auto"/>
        <w:ind w:firstLine="720"/>
        <w:jc w:val="both"/>
        <w:rPr>
          <w:rFonts w:ascii="Calibri" w:hAnsi="Calibri" w:cs="Calibri"/>
          <w:i/>
          <w:iCs/>
          <w:color w:val="000000" w:themeColor="text1"/>
          <w:sz w:val="24"/>
          <w:u w:val="single"/>
        </w:rPr>
      </w:pPr>
      <w:r w:rsidRPr="006251B9">
        <w:rPr>
          <w:rFonts w:ascii="Calibri" w:hAnsi="Calibri" w:cs="Calibri"/>
          <w:i/>
          <w:iCs/>
          <w:color w:val="000000" w:themeColor="text1"/>
          <w:sz w:val="24"/>
          <w:u w:val="single"/>
        </w:rPr>
        <w:t>Figure 3: Determining the LIS floor</w:t>
      </w:r>
      <w:r w:rsidRPr="006251B9">
        <w:rPr>
          <w:rStyle w:val="FootnoteReference"/>
          <w:rFonts w:ascii="Calibri" w:hAnsi="Calibri" w:cs="Calibri"/>
          <w:i/>
          <w:iCs/>
          <w:color w:val="000000" w:themeColor="text1"/>
          <w:sz w:val="24"/>
          <w:u w:val="single"/>
        </w:rPr>
        <w:footnoteReference w:id="2"/>
      </w:r>
    </w:p>
    <w:p w14:paraId="238706CE" w14:textId="77777777" w:rsidR="006251B9" w:rsidRPr="006251B9" w:rsidRDefault="006251B9" w:rsidP="006251B9">
      <w:pPr>
        <w:spacing w:line="276" w:lineRule="auto"/>
        <w:ind w:left="360"/>
        <w:jc w:val="center"/>
        <w:rPr>
          <w:rFonts w:ascii="Calibri" w:hAnsi="Calibri" w:cs="Calibri"/>
          <w:color w:val="000000" w:themeColor="text1"/>
          <w:sz w:val="24"/>
        </w:rPr>
      </w:pPr>
      <w:r w:rsidRPr="006251B9">
        <w:rPr>
          <w:rFonts w:ascii="Calibri" w:hAnsi="Calibri" w:cs="Calibri"/>
          <w:noProof/>
          <w:color w:val="000000" w:themeColor="text1"/>
          <w:sz w:val="24"/>
          <w:lang w:val="en-US"/>
        </w:rPr>
        <w:drawing>
          <wp:inline distT="0" distB="0" distL="0" distR="0" wp14:anchorId="7E8397F0" wp14:editId="1968DC35">
            <wp:extent cx="5226518" cy="2488917"/>
            <wp:effectExtent l="0" t="0" r="0" b="635"/>
            <wp:docPr id="8" name="Picture 3" descr="page7image2786304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age7image278630457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3801" cy="2497147"/>
                    </a:xfrm>
                    <a:prstGeom prst="rect">
                      <a:avLst/>
                    </a:prstGeom>
                    <a:noFill/>
                    <a:ln>
                      <a:noFill/>
                    </a:ln>
                  </pic:spPr>
                </pic:pic>
              </a:graphicData>
            </a:graphic>
          </wp:inline>
        </w:drawing>
      </w:r>
    </w:p>
    <w:p w14:paraId="0E1CE541" w14:textId="77777777" w:rsidR="006251B9" w:rsidRPr="006251B9" w:rsidRDefault="006251B9" w:rsidP="006251B9">
      <w:pPr>
        <w:spacing w:line="276" w:lineRule="auto"/>
        <w:ind w:left="360"/>
        <w:jc w:val="both"/>
        <w:rPr>
          <w:rFonts w:ascii="Calibri" w:hAnsi="Calibri" w:cs="Calibri"/>
          <w:color w:val="000000" w:themeColor="text1"/>
          <w:sz w:val="24"/>
        </w:rPr>
      </w:pPr>
      <w:r w:rsidRPr="006251B9">
        <w:rPr>
          <w:rFonts w:ascii="Calibri" w:hAnsi="Calibri" w:cs="Calibri"/>
          <w:color w:val="000000" w:themeColor="text1"/>
          <w:sz w:val="24"/>
        </w:rPr>
        <w:t xml:space="preserve">Explanation: the red columns show the number of trades (left Y-axis) at each percentile. The blue line shows the trade value in thousands (right Y-axis) at each percentile. The green line </w:t>
      </w:r>
      <w:r w:rsidRPr="006251B9">
        <w:rPr>
          <w:rFonts w:ascii="Calibri" w:hAnsi="Calibri" w:cs="Calibri"/>
          <w:color w:val="000000" w:themeColor="text1"/>
          <w:sz w:val="24"/>
        </w:rPr>
        <w:lastRenderedPageBreak/>
        <w:t>marks the current LIS floor of 500,000 EUR (right Y-axis) and marks the current LIS floor percentile. This value stipulates 97.5% on the X-axis. The percentile is measured by sorting all trades in the period by trade value.</w:t>
      </w:r>
    </w:p>
    <w:permEnd w:id="1615734835"/>
    <w:p w14:paraId="593E91E6" w14:textId="3ABD515F" w:rsidR="00B27E7B" w:rsidRDefault="00B27E7B" w:rsidP="00B27E7B"/>
    <w:p w14:paraId="50700390" w14:textId="10BA10CC" w:rsidR="00B27E7B" w:rsidRDefault="00B27E7B" w:rsidP="00B27E7B">
      <w:r>
        <w:t>&lt;ESMA_QUESTION_CP_MIFID_NQT_31&gt;</w:t>
      </w:r>
    </w:p>
    <w:p w14:paraId="6841324D" w14:textId="77777777" w:rsidR="00B27E7B" w:rsidRDefault="00B27E7B" w:rsidP="00646C30"/>
    <w:sectPr w:rsidR="00B27E7B" w:rsidSect="00A8728B">
      <w:headerReference w:type="even" r:id="rId22"/>
      <w:headerReference w:type="first" r:id="rId23"/>
      <w:footerReference w:type="first" r:id="rId24"/>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DBBCB" w14:textId="77777777" w:rsidR="00F733E5" w:rsidRDefault="00F733E5">
      <w:r>
        <w:separator/>
      </w:r>
    </w:p>
    <w:p w14:paraId="171A3BC8" w14:textId="77777777" w:rsidR="00F733E5" w:rsidRDefault="00F733E5"/>
  </w:endnote>
  <w:endnote w:type="continuationSeparator" w:id="0">
    <w:p w14:paraId="568F2A05" w14:textId="77777777" w:rsidR="00F733E5" w:rsidRDefault="00F733E5">
      <w:r>
        <w:continuationSeparator/>
      </w:r>
    </w:p>
    <w:p w14:paraId="4D4BEFE3" w14:textId="77777777" w:rsidR="00F733E5" w:rsidRDefault="00F733E5"/>
  </w:endnote>
  <w:endnote w:type="continuationNotice" w:id="1">
    <w:p w14:paraId="002ABA43" w14:textId="77777777" w:rsidR="00F733E5" w:rsidRDefault="00F733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EUAlbertina">
    <w:altName w:val="EU Albertina"/>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20B060402020202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panose1 w:val="020B0604020202020204"/>
    <w:charset w:val="00"/>
    <w:family w:val="roman"/>
    <w:pitch w:val="variable"/>
  </w:font>
  <w:font w:name="Myriad Pro Light">
    <w:altName w:val="Corbe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7EF" w:rsidRPr="00616B9B" w14:paraId="313FAE1A" w14:textId="77777777" w:rsidTr="00315E96">
      <w:trPr>
        <w:trHeight w:val="284"/>
      </w:trPr>
      <w:tc>
        <w:tcPr>
          <w:tcW w:w="8460" w:type="dxa"/>
        </w:tcPr>
        <w:p w14:paraId="0BEF8BC6" w14:textId="77777777" w:rsidR="00F107EF" w:rsidRPr="00315E96" w:rsidRDefault="00F107EF" w:rsidP="00315E96">
          <w:pPr>
            <w:pStyle w:val="00Footer"/>
            <w:rPr>
              <w:lang w:val="fr-FR"/>
            </w:rPr>
          </w:pPr>
        </w:p>
      </w:tc>
      <w:tc>
        <w:tcPr>
          <w:tcW w:w="952" w:type="dxa"/>
        </w:tcPr>
        <w:p w14:paraId="7FD1DE07" w14:textId="77777777" w:rsidR="00F107EF" w:rsidRPr="00616B9B" w:rsidRDefault="00F107EF"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Pr>
              <w:rFonts w:cs="Arial"/>
              <w:noProof/>
              <w:sz w:val="22"/>
              <w:szCs w:val="22"/>
            </w:rPr>
            <w:t>8</w:t>
          </w:r>
          <w:r w:rsidRPr="00616B9B">
            <w:rPr>
              <w:rFonts w:cs="Arial"/>
              <w:noProof/>
              <w:sz w:val="22"/>
              <w:szCs w:val="22"/>
            </w:rPr>
            <w:fldChar w:fldCharType="end"/>
          </w:r>
        </w:p>
      </w:tc>
    </w:tr>
  </w:tbl>
  <w:p w14:paraId="7306E326" w14:textId="77777777" w:rsidR="00F107EF" w:rsidRDefault="00F10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75726" w14:textId="77777777" w:rsidR="00B61CD3" w:rsidRDefault="00B61CD3" w:rsidP="00B61CD3">
    <w:pPr>
      <w:pStyle w:val="Footer"/>
      <w:tabs>
        <w:tab w:val="clear" w:pos="4536"/>
        <w:tab w:val="clear" w:pos="9072"/>
        <w:tab w:val="left" w:pos="822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822F5" w14:textId="77777777" w:rsidR="00F107EF" w:rsidRDefault="00F10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D6A22" w14:textId="77777777" w:rsidR="00F733E5" w:rsidRDefault="00F733E5">
      <w:r>
        <w:separator/>
      </w:r>
    </w:p>
    <w:p w14:paraId="081D460A" w14:textId="77777777" w:rsidR="00F733E5" w:rsidRDefault="00F733E5"/>
  </w:footnote>
  <w:footnote w:type="continuationSeparator" w:id="0">
    <w:p w14:paraId="3FDD27B3" w14:textId="77777777" w:rsidR="00F733E5" w:rsidRDefault="00F733E5">
      <w:r>
        <w:continuationSeparator/>
      </w:r>
    </w:p>
    <w:p w14:paraId="2248CBA8" w14:textId="77777777" w:rsidR="00F733E5" w:rsidRDefault="00F733E5"/>
  </w:footnote>
  <w:footnote w:type="continuationNotice" w:id="1">
    <w:p w14:paraId="36318400" w14:textId="77777777" w:rsidR="00F733E5" w:rsidRDefault="00F733E5"/>
  </w:footnote>
  <w:footnote w:id="2">
    <w:p w14:paraId="66D4A735" w14:textId="77777777" w:rsidR="006251B9" w:rsidRPr="00400A98" w:rsidRDefault="006251B9" w:rsidP="006251B9">
      <w:pPr>
        <w:pStyle w:val="FootnoteText"/>
      </w:pPr>
      <w:r>
        <w:rPr>
          <w:rStyle w:val="FootnoteReference"/>
        </w:rPr>
        <w:footnoteRef/>
      </w:r>
      <w:r>
        <w:t xml:space="preserve"> </w:t>
      </w:r>
      <w:r w:rsidRPr="00400A98">
        <w:t>*Note: the number of trades and the notional values are measured over a defined interval, in this case from 1.1.2017 to 31.12.2017. The monthly contracts are compiled in maturity bucket 2, representing 1 month &lt; time to maturity ≤ 1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47985" w14:textId="77777777" w:rsidR="00F107EF" w:rsidRDefault="00F107EF">
    <w:pPr>
      <w:pStyle w:val="Header"/>
    </w:pPr>
    <w:r>
      <w:rPr>
        <w:noProof/>
        <w:lang w:eastAsia="en-GB"/>
      </w:rPr>
      <w:drawing>
        <wp:anchor distT="0" distB="0" distL="114300" distR="114300" simplePos="0" relativeHeight="251658240" behindDoc="0" locked="0" layoutInCell="1" allowOverlap="1" wp14:anchorId="3805F143" wp14:editId="57057423">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14:anchorId="07454E51" wp14:editId="08DA269C">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69162"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8EEA6" w14:textId="77777777" w:rsidR="00F107EF" w:rsidRDefault="00F107EF" w:rsidP="00013CCE">
    <w:pPr>
      <w:pStyle w:val="Header"/>
      <w:jc w:val="right"/>
    </w:pPr>
    <w:r>
      <w:rPr>
        <w:noProof/>
        <w:lang w:eastAsia="en-GB"/>
      </w:rPr>
      <w:drawing>
        <wp:anchor distT="0" distB="0" distL="114300" distR="114300" simplePos="0" relativeHeight="251657216" behindDoc="0" locked="0" layoutInCell="1" allowOverlap="1" wp14:anchorId="3407F674" wp14:editId="30869A6E">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36DF4315" wp14:editId="2E1D3D4B">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EA3DA" w14:textId="77777777" w:rsidR="00F107EF" w:rsidRDefault="00F107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7EF" w:rsidRPr="002F4496" w14:paraId="60C7474C" w14:textId="77777777" w:rsidTr="000C06C9">
      <w:trPr>
        <w:trHeight w:val="284"/>
      </w:trPr>
      <w:tc>
        <w:tcPr>
          <w:tcW w:w="8460" w:type="dxa"/>
        </w:tcPr>
        <w:p w14:paraId="54B7E7F0" w14:textId="77777777" w:rsidR="00F107EF" w:rsidRPr="000C3B6D" w:rsidRDefault="00F107EF" w:rsidP="000C06C9">
          <w:pPr>
            <w:pStyle w:val="00Footer"/>
            <w:rPr>
              <w:lang w:val="fr-FR"/>
            </w:rPr>
          </w:pPr>
        </w:p>
      </w:tc>
      <w:tc>
        <w:tcPr>
          <w:tcW w:w="952" w:type="dxa"/>
        </w:tcPr>
        <w:p w14:paraId="2E49D042" w14:textId="77777777" w:rsidR="00F107EF" w:rsidRPr="00146B34" w:rsidRDefault="00F107EF" w:rsidP="000C06C9">
          <w:pPr>
            <w:pStyle w:val="00aPagenumber"/>
            <w:rPr>
              <w:lang w:val="fr-FR"/>
            </w:rPr>
          </w:pPr>
        </w:p>
      </w:tc>
    </w:tr>
  </w:tbl>
  <w:p w14:paraId="580707D9" w14:textId="77777777" w:rsidR="00F107EF" w:rsidRPr="00DB46C3" w:rsidRDefault="00F107EF">
    <w:pPr>
      <w:rPr>
        <w:lang w:val="fr-FR"/>
      </w:rPr>
    </w:pPr>
  </w:p>
  <w:p w14:paraId="20C4F67C" w14:textId="77777777" w:rsidR="00F107EF" w:rsidRPr="002F4496" w:rsidRDefault="00F107EF">
    <w:pPr>
      <w:pStyle w:val="Header"/>
      <w:rPr>
        <w:lang w:val="fr-FR"/>
      </w:rPr>
    </w:pPr>
  </w:p>
  <w:p w14:paraId="3F30C70B" w14:textId="77777777" w:rsidR="00F107EF" w:rsidRPr="002F4496" w:rsidRDefault="00F107EF" w:rsidP="000C06C9">
    <w:pPr>
      <w:pStyle w:val="Header"/>
      <w:tabs>
        <w:tab w:val="clear" w:pos="4536"/>
        <w:tab w:val="clear" w:pos="9072"/>
        <w:tab w:val="left" w:pos="8227"/>
      </w:tabs>
      <w:rPr>
        <w:lang w:val="fr-FR"/>
      </w:rPr>
    </w:pPr>
  </w:p>
  <w:p w14:paraId="4D50BC39" w14:textId="77777777" w:rsidR="00F107EF" w:rsidRPr="002F4496" w:rsidRDefault="00F107EF" w:rsidP="00583885">
    <w:pPr>
      <w:pStyle w:val="Header"/>
      <w:jc w:val="right"/>
      <w:rPr>
        <w:lang w:val="fr-FR"/>
      </w:rPr>
    </w:pPr>
  </w:p>
  <w:p w14:paraId="2D51BEA2" w14:textId="77777777" w:rsidR="00F107EF" w:rsidRPr="002F4496" w:rsidRDefault="00F107EF">
    <w:pPr>
      <w:pStyle w:val="Header"/>
      <w:rPr>
        <w:lang w:val="fr-FR"/>
      </w:rPr>
    </w:pPr>
  </w:p>
  <w:p w14:paraId="340B2438" w14:textId="77777777" w:rsidR="00F107EF" w:rsidRPr="002F4496" w:rsidRDefault="00F107EF">
    <w:pPr>
      <w:pStyle w:val="Header"/>
      <w:rPr>
        <w:lang w:val="fr-FR"/>
      </w:rPr>
    </w:pPr>
  </w:p>
  <w:p w14:paraId="2A794A3E" w14:textId="77777777" w:rsidR="00F107EF" w:rsidRPr="002F4496" w:rsidRDefault="00F107EF">
    <w:pPr>
      <w:pStyle w:val="Header"/>
      <w:rPr>
        <w:lang w:val="fr-FR"/>
      </w:rPr>
    </w:pPr>
  </w:p>
  <w:p w14:paraId="0A21F475" w14:textId="77777777" w:rsidR="00F107EF" w:rsidRPr="002F4496" w:rsidRDefault="00F107EF">
    <w:pPr>
      <w:pStyle w:val="Header"/>
      <w:rPr>
        <w:highlight w:val="yellow"/>
        <w:lang w:val="fr-FR"/>
      </w:rPr>
    </w:pPr>
  </w:p>
  <w:p w14:paraId="53ABEE5D" w14:textId="77777777" w:rsidR="00F107EF" w:rsidRDefault="00F107EF">
    <w:pPr>
      <w:pStyle w:val="Header"/>
    </w:pPr>
    <w:r>
      <w:rPr>
        <w:noProof/>
        <w:lang w:eastAsia="en-GB"/>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E968B"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4" w15:restartNumberingAfterBreak="0">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AB80F59"/>
    <w:multiLevelType w:val="hybridMultilevel"/>
    <w:tmpl w:val="1840BDC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3"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5"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7"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8"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9" w15:restartNumberingAfterBreak="0">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4"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6"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B3A7E11"/>
    <w:multiLevelType w:val="hybridMultilevel"/>
    <w:tmpl w:val="614898A2"/>
    <w:lvl w:ilvl="0" w:tplc="08090011">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0"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2" w15:restartNumberingAfterBreak="0">
    <w:nsid w:val="64820BA0"/>
    <w:multiLevelType w:val="hybridMultilevel"/>
    <w:tmpl w:val="7D269DF0"/>
    <w:lvl w:ilvl="0" w:tplc="4188804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5"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9"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5"/>
  </w:num>
  <w:num w:numId="2">
    <w:abstractNumId w:val="17"/>
  </w:num>
  <w:num w:numId="3">
    <w:abstractNumId w:val="11"/>
  </w:num>
  <w:num w:numId="4">
    <w:abstractNumId w:val="22"/>
  </w:num>
  <w:num w:numId="5">
    <w:abstractNumId w:val="24"/>
  </w:num>
  <w:num w:numId="6">
    <w:abstractNumId w:val="0"/>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0"/>
  </w:num>
  <w:num w:numId="14">
    <w:abstractNumId w:val="21"/>
  </w:num>
  <w:num w:numId="15">
    <w:abstractNumId w:val="10"/>
  </w:num>
  <w:num w:numId="16">
    <w:abstractNumId w:val="1"/>
  </w:num>
  <w:num w:numId="17">
    <w:abstractNumId w:val="13"/>
  </w:num>
  <w:num w:numId="18">
    <w:abstractNumId w:val="14"/>
  </w:num>
  <w:num w:numId="19">
    <w:abstractNumId w:val="16"/>
  </w:num>
  <w:num w:numId="20">
    <w:abstractNumId w:val="25"/>
  </w:num>
  <w:num w:numId="21">
    <w:abstractNumId w:val="37"/>
  </w:num>
  <w:num w:numId="22">
    <w:abstractNumId w:val="23"/>
  </w:num>
  <w:num w:numId="23">
    <w:abstractNumId w:val="9"/>
  </w:num>
  <w:num w:numId="24">
    <w:abstractNumId w:val="29"/>
  </w:num>
  <w:num w:numId="25">
    <w:abstractNumId w:val="28"/>
  </w:num>
  <w:num w:numId="26">
    <w:abstractNumId w:val="18"/>
  </w:num>
  <w:num w:numId="27">
    <w:abstractNumId w:val="33"/>
  </w:num>
  <w:num w:numId="28">
    <w:abstractNumId w:val="39"/>
  </w:num>
  <w:num w:numId="29">
    <w:abstractNumId w:val="6"/>
  </w:num>
  <w:num w:numId="30">
    <w:abstractNumId w:val="2"/>
  </w:num>
  <w:num w:numId="31">
    <w:abstractNumId w:val="20"/>
  </w:num>
  <w:num w:numId="32">
    <w:abstractNumId w:val="19"/>
  </w:num>
  <w:num w:numId="33">
    <w:abstractNumId w:val="35"/>
  </w:num>
  <w:num w:numId="34">
    <w:abstractNumId w:val="34"/>
  </w:num>
  <w:num w:numId="35">
    <w:abstractNumId w:val="4"/>
  </w:num>
  <w:num w:numId="36">
    <w:abstractNumId w:val="36"/>
  </w:num>
  <w:num w:numId="37">
    <w:abstractNumId w:val="19"/>
    <w:lvlOverride w:ilvl="0">
      <w:startOverride w:val="1"/>
    </w:lvlOverride>
  </w:num>
  <w:num w:numId="38">
    <w:abstractNumId w:val="19"/>
  </w:num>
  <w:num w:numId="39">
    <w:abstractNumId w:val="19"/>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8"/>
  </w:num>
  <w:num w:numId="43">
    <w:abstractNumId w:val="32"/>
  </w:num>
  <w:num w:numId="44">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2Lgx40o0Uhp5wsRzMTxIke0OjJoVruNyahcyx0E87CxFvMT1xt0Ass1m86SRwjfA74HFUokCGJg7JKl0Sxmaig==" w:salt="NENOzH7pfTpZXs2MZdg8ww=="/>
  <w:defaultTabStop w:val="709"/>
  <w:autoHyphenation/>
  <w:hyphenationZone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44D6"/>
    <w:rsid w:val="00034960"/>
    <w:rsid w:val="00036FAE"/>
    <w:rsid w:val="00041858"/>
    <w:rsid w:val="0004389E"/>
    <w:rsid w:val="00045CA6"/>
    <w:rsid w:val="000463A6"/>
    <w:rsid w:val="00046CC9"/>
    <w:rsid w:val="00046E91"/>
    <w:rsid w:val="00047350"/>
    <w:rsid w:val="000502FE"/>
    <w:rsid w:val="0005126D"/>
    <w:rsid w:val="00051992"/>
    <w:rsid w:val="00051E9A"/>
    <w:rsid w:val="000521A7"/>
    <w:rsid w:val="00052F47"/>
    <w:rsid w:val="000537BB"/>
    <w:rsid w:val="0005399B"/>
    <w:rsid w:val="00054DE6"/>
    <w:rsid w:val="000569D7"/>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463D"/>
    <w:rsid w:val="00074979"/>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853"/>
    <w:rsid w:val="00094C4C"/>
    <w:rsid w:val="00096762"/>
    <w:rsid w:val="000969C8"/>
    <w:rsid w:val="0009752D"/>
    <w:rsid w:val="00097AEE"/>
    <w:rsid w:val="000A014A"/>
    <w:rsid w:val="000A0396"/>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1F1"/>
    <w:rsid w:val="000D7EB9"/>
    <w:rsid w:val="000E0223"/>
    <w:rsid w:val="000E0CF3"/>
    <w:rsid w:val="000E18A8"/>
    <w:rsid w:val="000E1AEC"/>
    <w:rsid w:val="000E3937"/>
    <w:rsid w:val="000E4926"/>
    <w:rsid w:val="000E49B7"/>
    <w:rsid w:val="000E5F7F"/>
    <w:rsid w:val="000E7086"/>
    <w:rsid w:val="000E7C65"/>
    <w:rsid w:val="000F04D2"/>
    <w:rsid w:val="000F55B7"/>
    <w:rsid w:val="000F604F"/>
    <w:rsid w:val="000F7399"/>
    <w:rsid w:val="00101BF1"/>
    <w:rsid w:val="001027F1"/>
    <w:rsid w:val="00104F2E"/>
    <w:rsid w:val="001072DD"/>
    <w:rsid w:val="00110D7A"/>
    <w:rsid w:val="00111464"/>
    <w:rsid w:val="0011167D"/>
    <w:rsid w:val="00112892"/>
    <w:rsid w:val="001129F9"/>
    <w:rsid w:val="00112E48"/>
    <w:rsid w:val="001130EA"/>
    <w:rsid w:val="001138E8"/>
    <w:rsid w:val="00114259"/>
    <w:rsid w:val="001168B2"/>
    <w:rsid w:val="00117C20"/>
    <w:rsid w:val="00120F0E"/>
    <w:rsid w:val="00121A5D"/>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2FC9"/>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27C1A"/>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0E70"/>
    <w:rsid w:val="00251EA9"/>
    <w:rsid w:val="00252843"/>
    <w:rsid w:val="002543F8"/>
    <w:rsid w:val="002551A4"/>
    <w:rsid w:val="002559F3"/>
    <w:rsid w:val="00256DFE"/>
    <w:rsid w:val="00261D56"/>
    <w:rsid w:val="00261FD3"/>
    <w:rsid w:val="00263505"/>
    <w:rsid w:val="00264077"/>
    <w:rsid w:val="00266B9A"/>
    <w:rsid w:val="00270E54"/>
    <w:rsid w:val="00273633"/>
    <w:rsid w:val="00273681"/>
    <w:rsid w:val="002754B5"/>
    <w:rsid w:val="002764C5"/>
    <w:rsid w:val="00276A5A"/>
    <w:rsid w:val="002772AE"/>
    <w:rsid w:val="00280613"/>
    <w:rsid w:val="002819C4"/>
    <w:rsid w:val="0028274D"/>
    <w:rsid w:val="00282B96"/>
    <w:rsid w:val="002833D6"/>
    <w:rsid w:val="00283F51"/>
    <w:rsid w:val="00286064"/>
    <w:rsid w:val="002867B1"/>
    <w:rsid w:val="002868FC"/>
    <w:rsid w:val="00287BBB"/>
    <w:rsid w:val="00287E3B"/>
    <w:rsid w:val="00290638"/>
    <w:rsid w:val="00291763"/>
    <w:rsid w:val="00291D80"/>
    <w:rsid w:val="00292E82"/>
    <w:rsid w:val="00293156"/>
    <w:rsid w:val="00293BE7"/>
    <w:rsid w:val="00293D78"/>
    <w:rsid w:val="002946DC"/>
    <w:rsid w:val="002A0C82"/>
    <w:rsid w:val="002A0CD8"/>
    <w:rsid w:val="002A13EB"/>
    <w:rsid w:val="002A35EF"/>
    <w:rsid w:val="002A3DE0"/>
    <w:rsid w:val="002A40EA"/>
    <w:rsid w:val="002A46E8"/>
    <w:rsid w:val="002A491C"/>
    <w:rsid w:val="002A4C8E"/>
    <w:rsid w:val="002B1FEF"/>
    <w:rsid w:val="002B2DF8"/>
    <w:rsid w:val="002B354F"/>
    <w:rsid w:val="002B3614"/>
    <w:rsid w:val="002B45D1"/>
    <w:rsid w:val="002B4ED8"/>
    <w:rsid w:val="002B4FAA"/>
    <w:rsid w:val="002B52C2"/>
    <w:rsid w:val="002B7656"/>
    <w:rsid w:val="002C0642"/>
    <w:rsid w:val="002C1492"/>
    <w:rsid w:val="002C1E8B"/>
    <w:rsid w:val="002C2EFE"/>
    <w:rsid w:val="002C53AA"/>
    <w:rsid w:val="002C5B2D"/>
    <w:rsid w:val="002C6AF9"/>
    <w:rsid w:val="002C7DFC"/>
    <w:rsid w:val="002D08B8"/>
    <w:rsid w:val="002D14F3"/>
    <w:rsid w:val="002D16E4"/>
    <w:rsid w:val="002D2FEF"/>
    <w:rsid w:val="002D36C2"/>
    <w:rsid w:val="002D3FCB"/>
    <w:rsid w:val="002D4FEF"/>
    <w:rsid w:val="002D502D"/>
    <w:rsid w:val="002D63F5"/>
    <w:rsid w:val="002D6E1A"/>
    <w:rsid w:val="002E036D"/>
    <w:rsid w:val="002E1517"/>
    <w:rsid w:val="002E1760"/>
    <w:rsid w:val="002E1B22"/>
    <w:rsid w:val="002E387F"/>
    <w:rsid w:val="002E76FC"/>
    <w:rsid w:val="002E7F4B"/>
    <w:rsid w:val="002F0C91"/>
    <w:rsid w:val="002F0E3E"/>
    <w:rsid w:val="002F1683"/>
    <w:rsid w:val="002F1B19"/>
    <w:rsid w:val="002F1FBF"/>
    <w:rsid w:val="002F4139"/>
    <w:rsid w:val="00300624"/>
    <w:rsid w:val="00300F56"/>
    <w:rsid w:val="00301006"/>
    <w:rsid w:val="00301C2B"/>
    <w:rsid w:val="00304A71"/>
    <w:rsid w:val="003066C8"/>
    <w:rsid w:val="0030739D"/>
    <w:rsid w:val="00307AFB"/>
    <w:rsid w:val="00311184"/>
    <w:rsid w:val="00311E05"/>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66E20"/>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1C5"/>
    <w:rsid w:val="003A5DAC"/>
    <w:rsid w:val="003A6591"/>
    <w:rsid w:val="003A6E9A"/>
    <w:rsid w:val="003B08C8"/>
    <w:rsid w:val="003B2567"/>
    <w:rsid w:val="003B381A"/>
    <w:rsid w:val="003B4976"/>
    <w:rsid w:val="003B4B3F"/>
    <w:rsid w:val="003B6258"/>
    <w:rsid w:val="003B7A99"/>
    <w:rsid w:val="003C0343"/>
    <w:rsid w:val="003C1C32"/>
    <w:rsid w:val="003C2760"/>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076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7929"/>
    <w:rsid w:val="00437A4A"/>
    <w:rsid w:val="00440541"/>
    <w:rsid w:val="0044162D"/>
    <w:rsid w:val="0044277A"/>
    <w:rsid w:val="004434EF"/>
    <w:rsid w:val="004454C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A69"/>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6F8F"/>
    <w:rsid w:val="004B71C7"/>
    <w:rsid w:val="004C03AA"/>
    <w:rsid w:val="004C0B9A"/>
    <w:rsid w:val="004C14E7"/>
    <w:rsid w:val="004C1D89"/>
    <w:rsid w:val="004C2A94"/>
    <w:rsid w:val="004C2CD0"/>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28D"/>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3885"/>
    <w:rsid w:val="005860AF"/>
    <w:rsid w:val="00587F1D"/>
    <w:rsid w:val="00590348"/>
    <w:rsid w:val="00591161"/>
    <w:rsid w:val="00592318"/>
    <w:rsid w:val="00593133"/>
    <w:rsid w:val="0059575D"/>
    <w:rsid w:val="00596825"/>
    <w:rsid w:val="005A06A0"/>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0750"/>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4C33"/>
    <w:rsid w:val="005F5ACF"/>
    <w:rsid w:val="005F60DC"/>
    <w:rsid w:val="006000DD"/>
    <w:rsid w:val="00600F63"/>
    <w:rsid w:val="006012E1"/>
    <w:rsid w:val="00602253"/>
    <w:rsid w:val="006023E1"/>
    <w:rsid w:val="00605531"/>
    <w:rsid w:val="00605748"/>
    <w:rsid w:val="00606240"/>
    <w:rsid w:val="0060674A"/>
    <w:rsid w:val="00606F77"/>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22D"/>
    <w:rsid w:val="00620D7C"/>
    <w:rsid w:val="00621089"/>
    <w:rsid w:val="00621E1F"/>
    <w:rsid w:val="006228B2"/>
    <w:rsid w:val="006228E1"/>
    <w:rsid w:val="00622E32"/>
    <w:rsid w:val="00623688"/>
    <w:rsid w:val="006247E0"/>
    <w:rsid w:val="006251B9"/>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6C30"/>
    <w:rsid w:val="006476F7"/>
    <w:rsid w:val="0064779E"/>
    <w:rsid w:val="006501FA"/>
    <w:rsid w:val="0065058B"/>
    <w:rsid w:val="006509B0"/>
    <w:rsid w:val="006521F3"/>
    <w:rsid w:val="006524D5"/>
    <w:rsid w:val="00652BBD"/>
    <w:rsid w:val="00653633"/>
    <w:rsid w:val="00653F69"/>
    <w:rsid w:val="00654936"/>
    <w:rsid w:val="00655485"/>
    <w:rsid w:val="006558B3"/>
    <w:rsid w:val="00660BF0"/>
    <w:rsid w:val="0066189C"/>
    <w:rsid w:val="006630CF"/>
    <w:rsid w:val="00663EFF"/>
    <w:rsid w:val="00664FFB"/>
    <w:rsid w:val="00666F74"/>
    <w:rsid w:val="00667FEA"/>
    <w:rsid w:val="006710D2"/>
    <w:rsid w:val="00671A8B"/>
    <w:rsid w:val="00671F53"/>
    <w:rsid w:val="006725A0"/>
    <w:rsid w:val="00674628"/>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1FA"/>
    <w:rsid w:val="00700247"/>
    <w:rsid w:val="00701051"/>
    <w:rsid w:val="00701E69"/>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1740A"/>
    <w:rsid w:val="007209DD"/>
    <w:rsid w:val="00722E49"/>
    <w:rsid w:val="00723A08"/>
    <w:rsid w:val="00723B5C"/>
    <w:rsid w:val="00724391"/>
    <w:rsid w:val="00724C18"/>
    <w:rsid w:val="007254DD"/>
    <w:rsid w:val="00725FB1"/>
    <w:rsid w:val="00726630"/>
    <w:rsid w:val="00727F73"/>
    <w:rsid w:val="00730705"/>
    <w:rsid w:val="00730944"/>
    <w:rsid w:val="0073248E"/>
    <w:rsid w:val="00733EE9"/>
    <w:rsid w:val="00735B8E"/>
    <w:rsid w:val="00736651"/>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5D3F"/>
    <w:rsid w:val="00777046"/>
    <w:rsid w:val="007770DA"/>
    <w:rsid w:val="007805B9"/>
    <w:rsid w:val="00780C3A"/>
    <w:rsid w:val="007834A1"/>
    <w:rsid w:val="00791EB4"/>
    <w:rsid w:val="007928F1"/>
    <w:rsid w:val="0079357D"/>
    <w:rsid w:val="007937CC"/>
    <w:rsid w:val="00793A31"/>
    <w:rsid w:val="0079485D"/>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077"/>
    <w:rsid w:val="007E3514"/>
    <w:rsid w:val="007E4AAA"/>
    <w:rsid w:val="007E4BD2"/>
    <w:rsid w:val="007E4C29"/>
    <w:rsid w:val="007E5E44"/>
    <w:rsid w:val="007F0DDA"/>
    <w:rsid w:val="007F1939"/>
    <w:rsid w:val="007F365C"/>
    <w:rsid w:val="007F5066"/>
    <w:rsid w:val="007F621C"/>
    <w:rsid w:val="007F7155"/>
    <w:rsid w:val="00800C28"/>
    <w:rsid w:val="0080245E"/>
    <w:rsid w:val="00802E10"/>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24B3"/>
    <w:rsid w:val="0083497C"/>
    <w:rsid w:val="008352A6"/>
    <w:rsid w:val="00835B5B"/>
    <w:rsid w:val="008367AE"/>
    <w:rsid w:val="00836E50"/>
    <w:rsid w:val="00840477"/>
    <w:rsid w:val="0084121D"/>
    <w:rsid w:val="008418E3"/>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3B6B"/>
    <w:rsid w:val="008C4BDC"/>
    <w:rsid w:val="008C50FF"/>
    <w:rsid w:val="008C5435"/>
    <w:rsid w:val="008C6BD1"/>
    <w:rsid w:val="008D0B90"/>
    <w:rsid w:val="008D2DB5"/>
    <w:rsid w:val="008D37D4"/>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3B8"/>
    <w:rsid w:val="00900E7A"/>
    <w:rsid w:val="00903E11"/>
    <w:rsid w:val="00903EBE"/>
    <w:rsid w:val="009041DE"/>
    <w:rsid w:val="00905D59"/>
    <w:rsid w:val="009062CA"/>
    <w:rsid w:val="00907631"/>
    <w:rsid w:val="00907776"/>
    <w:rsid w:val="00907865"/>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2478"/>
    <w:rsid w:val="009360F6"/>
    <w:rsid w:val="009371DC"/>
    <w:rsid w:val="0093759D"/>
    <w:rsid w:val="00940239"/>
    <w:rsid w:val="00942BD6"/>
    <w:rsid w:val="00942DED"/>
    <w:rsid w:val="00944404"/>
    <w:rsid w:val="009452D7"/>
    <w:rsid w:val="00945BCF"/>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87F7A"/>
    <w:rsid w:val="00991276"/>
    <w:rsid w:val="009923E7"/>
    <w:rsid w:val="00992697"/>
    <w:rsid w:val="00992D4E"/>
    <w:rsid w:val="009934BB"/>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392"/>
    <w:rsid w:val="00A25ED4"/>
    <w:rsid w:val="00A263DF"/>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2EBB"/>
    <w:rsid w:val="00A54BFF"/>
    <w:rsid w:val="00A54C63"/>
    <w:rsid w:val="00A54FBB"/>
    <w:rsid w:val="00A55BB1"/>
    <w:rsid w:val="00A55D7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17C"/>
    <w:rsid w:val="00A824A7"/>
    <w:rsid w:val="00A83644"/>
    <w:rsid w:val="00A83C07"/>
    <w:rsid w:val="00A83F40"/>
    <w:rsid w:val="00A84945"/>
    <w:rsid w:val="00A85543"/>
    <w:rsid w:val="00A8728B"/>
    <w:rsid w:val="00A91682"/>
    <w:rsid w:val="00A92125"/>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824"/>
    <w:rsid w:val="00AB4B1D"/>
    <w:rsid w:val="00AB60CE"/>
    <w:rsid w:val="00AB6B5E"/>
    <w:rsid w:val="00AC047F"/>
    <w:rsid w:val="00AC3934"/>
    <w:rsid w:val="00AC4B91"/>
    <w:rsid w:val="00AC50C8"/>
    <w:rsid w:val="00AC5581"/>
    <w:rsid w:val="00AC56AD"/>
    <w:rsid w:val="00AC61BE"/>
    <w:rsid w:val="00AD0C8A"/>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467D"/>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27E7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CD3"/>
    <w:rsid w:val="00B61D0B"/>
    <w:rsid w:val="00B6351C"/>
    <w:rsid w:val="00B6439A"/>
    <w:rsid w:val="00B6443B"/>
    <w:rsid w:val="00B6517B"/>
    <w:rsid w:val="00B65E71"/>
    <w:rsid w:val="00B66C26"/>
    <w:rsid w:val="00B67829"/>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6E28"/>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6A9F"/>
    <w:rsid w:val="00BC7897"/>
    <w:rsid w:val="00BD06D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409D"/>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8C1"/>
    <w:rsid w:val="00C2294E"/>
    <w:rsid w:val="00C22A5B"/>
    <w:rsid w:val="00C23412"/>
    <w:rsid w:val="00C264C7"/>
    <w:rsid w:val="00C2682A"/>
    <w:rsid w:val="00C271C4"/>
    <w:rsid w:val="00C274F3"/>
    <w:rsid w:val="00C30A54"/>
    <w:rsid w:val="00C316F7"/>
    <w:rsid w:val="00C31DF0"/>
    <w:rsid w:val="00C33916"/>
    <w:rsid w:val="00C33BCF"/>
    <w:rsid w:val="00C353A0"/>
    <w:rsid w:val="00C368D7"/>
    <w:rsid w:val="00C36FD1"/>
    <w:rsid w:val="00C371A5"/>
    <w:rsid w:val="00C400B0"/>
    <w:rsid w:val="00C413FC"/>
    <w:rsid w:val="00C42424"/>
    <w:rsid w:val="00C43D33"/>
    <w:rsid w:val="00C44407"/>
    <w:rsid w:val="00C456E8"/>
    <w:rsid w:val="00C46630"/>
    <w:rsid w:val="00C47A2F"/>
    <w:rsid w:val="00C50D18"/>
    <w:rsid w:val="00C51179"/>
    <w:rsid w:val="00C5282C"/>
    <w:rsid w:val="00C52FBE"/>
    <w:rsid w:val="00C5355E"/>
    <w:rsid w:val="00C535E2"/>
    <w:rsid w:val="00C53FC1"/>
    <w:rsid w:val="00C551D2"/>
    <w:rsid w:val="00C56438"/>
    <w:rsid w:val="00C570B3"/>
    <w:rsid w:val="00C6009F"/>
    <w:rsid w:val="00C60417"/>
    <w:rsid w:val="00C6046F"/>
    <w:rsid w:val="00C638C2"/>
    <w:rsid w:val="00C651D4"/>
    <w:rsid w:val="00C6669E"/>
    <w:rsid w:val="00C672B0"/>
    <w:rsid w:val="00C729C7"/>
    <w:rsid w:val="00C777AD"/>
    <w:rsid w:val="00C80C53"/>
    <w:rsid w:val="00C81195"/>
    <w:rsid w:val="00C81798"/>
    <w:rsid w:val="00C85387"/>
    <w:rsid w:val="00C85E52"/>
    <w:rsid w:val="00C86471"/>
    <w:rsid w:val="00C8677B"/>
    <w:rsid w:val="00C86F96"/>
    <w:rsid w:val="00C909C6"/>
    <w:rsid w:val="00C923B7"/>
    <w:rsid w:val="00C94D4C"/>
    <w:rsid w:val="00C96C1E"/>
    <w:rsid w:val="00C96CA4"/>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213"/>
    <w:rsid w:val="00CB3332"/>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1749"/>
    <w:rsid w:val="00D12A7D"/>
    <w:rsid w:val="00D13AB0"/>
    <w:rsid w:val="00D14128"/>
    <w:rsid w:val="00D1519E"/>
    <w:rsid w:val="00D152B7"/>
    <w:rsid w:val="00D16EDC"/>
    <w:rsid w:val="00D17FDE"/>
    <w:rsid w:val="00D201CB"/>
    <w:rsid w:val="00D22786"/>
    <w:rsid w:val="00D228B4"/>
    <w:rsid w:val="00D25AC4"/>
    <w:rsid w:val="00D305F6"/>
    <w:rsid w:val="00D30B25"/>
    <w:rsid w:val="00D3175A"/>
    <w:rsid w:val="00D31A00"/>
    <w:rsid w:val="00D320F7"/>
    <w:rsid w:val="00D323E4"/>
    <w:rsid w:val="00D32871"/>
    <w:rsid w:val="00D329F6"/>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3941"/>
    <w:rsid w:val="00D54050"/>
    <w:rsid w:val="00D56AC0"/>
    <w:rsid w:val="00D6081B"/>
    <w:rsid w:val="00D60960"/>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9143D"/>
    <w:rsid w:val="00D920D1"/>
    <w:rsid w:val="00DA0FA7"/>
    <w:rsid w:val="00DA12B0"/>
    <w:rsid w:val="00DA2BA0"/>
    <w:rsid w:val="00DA39AD"/>
    <w:rsid w:val="00DA5B13"/>
    <w:rsid w:val="00DA6917"/>
    <w:rsid w:val="00DA6926"/>
    <w:rsid w:val="00DB0965"/>
    <w:rsid w:val="00DB0E47"/>
    <w:rsid w:val="00DB2BDD"/>
    <w:rsid w:val="00DB3381"/>
    <w:rsid w:val="00DB4121"/>
    <w:rsid w:val="00DB46C3"/>
    <w:rsid w:val="00DB5742"/>
    <w:rsid w:val="00DB5EDF"/>
    <w:rsid w:val="00DB6C46"/>
    <w:rsid w:val="00DB72B8"/>
    <w:rsid w:val="00DC16AF"/>
    <w:rsid w:val="00DC2A9A"/>
    <w:rsid w:val="00DC2E2E"/>
    <w:rsid w:val="00DC4D68"/>
    <w:rsid w:val="00DC6463"/>
    <w:rsid w:val="00DC7822"/>
    <w:rsid w:val="00DC7AF1"/>
    <w:rsid w:val="00DD2CDA"/>
    <w:rsid w:val="00DD2D92"/>
    <w:rsid w:val="00DD3026"/>
    <w:rsid w:val="00DD33DC"/>
    <w:rsid w:val="00DD3BB0"/>
    <w:rsid w:val="00DD61F5"/>
    <w:rsid w:val="00DD7418"/>
    <w:rsid w:val="00DE64A6"/>
    <w:rsid w:val="00DE66EB"/>
    <w:rsid w:val="00DE7035"/>
    <w:rsid w:val="00DF12E3"/>
    <w:rsid w:val="00DF2A20"/>
    <w:rsid w:val="00DF3F1D"/>
    <w:rsid w:val="00DF595C"/>
    <w:rsid w:val="00DF7EA7"/>
    <w:rsid w:val="00E04548"/>
    <w:rsid w:val="00E0484E"/>
    <w:rsid w:val="00E063F8"/>
    <w:rsid w:val="00E113B5"/>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5938"/>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774"/>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6848"/>
    <w:rsid w:val="00EC6C6E"/>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314C"/>
    <w:rsid w:val="00EF383B"/>
    <w:rsid w:val="00EF40E2"/>
    <w:rsid w:val="00EF61C1"/>
    <w:rsid w:val="00EF6E68"/>
    <w:rsid w:val="00EF76DB"/>
    <w:rsid w:val="00F005FD"/>
    <w:rsid w:val="00F016BE"/>
    <w:rsid w:val="00F02C04"/>
    <w:rsid w:val="00F03AF1"/>
    <w:rsid w:val="00F04BCD"/>
    <w:rsid w:val="00F05A8C"/>
    <w:rsid w:val="00F06211"/>
    <w:rsid w:val="00F107EF"/>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69F8"/>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3E5"/>
    <w:rsid w:val="00F739D4"/>
    <w:rsid w:val="00F77D43"/>
    <w:rsid w:val="00F80953"/>
    <w:rsid w:val="00F80B5C"/>
    <w:rsid w:val="00F81312"/>
    <w:rsid w:val="00F81B90"/>
    <w:rsid w:val="00F81E6F"/>
    <w:rsid w:val="00F82FF3"/>
    <w:rsid w:val="00F8453C"/>
    <w:rsid w:val="00F84D4C"/>
    <w:rsid w:val="00F8657D"/>
    <w:rsid w:val="00F8730F"/>
    <w:rsid w:val="00F87897"/>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24"/>
    <w:rsid w:val="00FA5535"/>
    <w:rsid w:val="00FA7206"/>
    <w:rsid w:val="00FA7EFB"/>
    <w:rsid w:val="00FB0816"/>
    <w:rsid w:val="00FB08C2"/>
    <w:rsid w:val="00FB3DD1"/>
    <w:rsid w:val="00FB51FD"/>
    <w:rsid w:val="00FB5667"/>
    <w:rsid w:val="00FB7A97"/>
    <w:rsid w:val="00FC1601"/>
    <w:rsid w:val="00FC1B9B"/>
    <w:rsid w:val="00FC318D"/>
    <w:rsid w:val="00FC36CF"/>
    <w:rsid w:val="00FC40BC"/>
    <w:rsid w:val="00FC41FC"/>
    <w:rsid w:val="00FC4F6E"/>
    <w:rsid w:val="00FC506C"/>
    <w:rsid w:val="00FC578C"/>
    <w:rsid w:val="00FC5A37"/>
    <w:rsid w:val="00FC7836"/>
    <w:rsid w:val="00FD13EA"/>
    <w:rsid w:val="00FD5EC4"/>
    <w:rsid w:val="00FD7858"/>
    <w:rsid w:val="00FD7A8D"/>
    <w:rsid w:val="00FE1330"/>
    <w:rsid w:val="00FE1CE5"/>
    <w:rsid w:val="00FE2832"/>
    <w:rsid w:val="00FE2D38"/>
    <w:rsid w:val="00FE3929"/>
    <w:rsid w:val="00FE3E32"/>
    <w:rsid w:val="00FF097B"/>
    <w:rsid w:val="00FF0B6E"/>
    <w:rsid w:val="00FF1C1B"/>
    <w:rsid w:val="00FF2067"/>
    <w:rsid w:val="00FF3BC4"/>
    <w:rsid w:val="00FF4B66"/>
    <w:rsid w:val="00FF5939"/>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C3B7DE"/>
  <w15:docId w15:val="{8635646D-F3FD-4B53-9199-E1F8DE93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uiPriority="9"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99" w:unhideWhenUsed="1" w:qFormat="1"/>
    <w:lsdException w:name="annotation text" w:locked="0" w:semiHidden="1" w:unhideWhenUsed="1"/>
    <w:lsdException w:name="header" w:locked="0" w:semiHidden="1" w:unhideWhenUsed="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locked="0" w:semiHidden="1"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646C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Normal Nivel 1,List Paragraph Main,List first level,List Paragraph_Sections"/>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uiPriority w:val="99"/>
    <w:qFormat/>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qFormat/>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table" w:styleId="GridTable4-Accent3">
    <w:name w:val="Grid Table 4 Accent 3"/>
    <w:basedOn w:val="TableNormal"/>
    <w:uiPriority w:val="49"/>
    <w:locked/>
    <w:rsid w:val="006251B9"/>
    <w:rPr>
      <w:rFonts w:asciiTheme="minorHAnsi" w:eastAsiaTheme="minorHAnsi" w:hAnsiTheme="minorHAnsi" w:cstheme="minorBidi"/>
      <w:sz w:val="24"/>
      <w:szCs w:val="24"/>
      <w:lang w:val="en-BE"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Spacing">
    <w:name w:val="No Spacing"/>
    <w:uiPriority w:val="1"/>
    <w:qFormat/>
    <w:locked/>
    <w:rsid w:val="006251B9"/>
    <w:rPr>
      <w:rFonts w:asciiTheme="minorHAnsi" w:eastAsiaTheme="minorHAnsi" w:hAnsiTheme="minorHAnsi" w:cstheme="minorBidi"/>
      <w:sz w:val="24"/>
      <w:szCs w:val="24"/>
      <w:lang w:val="en-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esma.europa.e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sma.europa.e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MeetingDate xmlns="20fbe147-bbda-4e53-b6b1-7e8bbff3fe19" xsi:nil="true"/>
    <Year xmlns="20fbe147-bbda-4e53-b6b1-7e8bbff3fe19">2020</Year>
    <TaxCatchAll xmlns="20fbe147-bbda-4e53-b6b1-7e8bbff3fe19">
      <Value>1</Value>
      <Value>14</Value>
      <Value>478</Value>
      <Value>484</Value>
      <Value>434</Value>
    </TaxCatchAll>
    <_dlc_DocId xmlns="20fbe147-bbda-4e53-b6b1-7e8bbff3fe19">ESMA70-156-2410</_dlc_DocId>
    <_dlc_DocIdUrl xmlns="20fbe147-bbda-4e53-b6b1-7e8bbff3fe19">
      <Url>https://sherpa.esma.europa.eu/sites/MKT/SMK/_layouts/15/DocIdRedir.aspx?ID=ESMA70-156-2410</Url>
      <Description>ESMA70-156-2410</Description>
    </_dlc_DocIdUrl>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MiFID reports</TermName>
          <TermId xmlns="http://schemas.microsoft.com/office/infopath/2007/PartnerControls">3c5cc422-10d2-4956-abed-da9583ea216a</TermId>
        </TermInfo>
      </Terms>
    </caa5aeb1a6644849b60fbe2335e12657>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Trading Unit</TermName>
          <TermId xmlns="http://schemas.microsoft.com/office/infopath/2007/PartnerControls">0cda11c1-7d91-4d51-b3a1-339122a07b73</TermId>
        </TermInfo>
      </Terms>
    </bce29119141747ccb9ac7d87218ed4af>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MiFID reports - MiFIR 52(1)(6) - Transparency and DVC and TOD</TermName>
          <TermId xmlns="http://schemas.microsoft.com/office/infopath/2007/PartnerControls">af5d7a71-37b0-44f8-9596-7b2aead30867</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Note</TermName>
          <TermId xmlns="http://schemas.microsoft.com/office/infopath/2007/PartnerControls">b9e1c92e-303a-4555-86f0-5c711c65937e</TermId>
        </TermInfo>
      </Terms>
    </eed0a0b2ea6941718a34434e243f3d8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37C169-B082-42D7-95A8-39DCDC7C43D3}">
  <ds:schemaRefs>
    <ds:schemaRef ds:uri="http://schemas.microsoft.com/office/2006/metadata/properties"/>
    <ds:schemaRef ds:uri="http://schemas.microsoft.com/office/infopath/2007/PartnerControls"/>
    <ds:schemaRef ds:uri="20fbe147-bbda-4e53-b6b1-7e8bbff3fe19"/>
    <ds:schemaRef ds:uri="http://schemas.microsoft.com/sharepoint/v4"/>
  </ds:schemaRefs>
</ds:datastoreItem>
</file>

<file path=customXml/itemProps2.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3.xml><?xml version="1.0" encoding="utf-8"?>
<ds:datastoreItem xmlns:ds="http://schemas.openxmlformats.org/officeDocument/2006/customXml" ds:itemID="{4E9B853E-B024-4650-BB8A-865A310655ED}">
  <ds:schemaRefs>
    <ds:schemaRef ds:uri="http://schemas.openxmlformats.org/officeDocument/2006/bibliography"/>
  </ds:schemaRefs>
</ds:datastoreItem>
</file>

<file path=customXml/itemProps4.xml><?xml version="1.0" encoding="utf-8"?>
<ds:datastoreItem xmlns:ds="http://schemas.openxmlformats.org/officeDocument/2006/customXml" ds:itemID="{19D60E44-1D21-4BF8-B7BD-E5B5F064B683}">
  <ds:schemaRefs>
    <ds:schemaRef ds:uri="http://schemas.openxmlformats.org/officeDocument/2006/bibliography"/>
  </ds:schemaRefs>
</ds:datastoreItem>
</file>

<file path=customXml/itemProps5.xml><?xml version="1.0" encoding="utf-8"?>
<ds:datastoreItem xmlns:ds="http://schemas.openxmlformats.org/officeDocument/2006/customXml" ds:itemID="{1C96BF86-3724-44E7-9F6D-9B5016056B8E}">
  <ds:schemaRefs>
    <ds:schemaRef ds:uri="http://schemas.microsoft.com/sharepoint/events"/>
  </ds:schemaRefs>
</ds:datastoreItem>
</file>

<file path=customXml/itemProps6.xml><?xml version="1.0" encoding="utf-8"?>
<ds:datastoreItem xmlns:ds="http://schemas.openxmlformats.org/officeDocument/2006/customXml" ds:itemID="{9767B63E-DF16-4980-AA38-0B9BBAEB3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6382</Words>
  <Characters>36383</Characters>
  <Application>Microsoft Office Word</Application>
  <DocSecurity>8</DocSecurity>
  <Lines>303</Lines>
  <Paragraphs>85</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42680</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Victoria Cummings</cp:lastModifiedBy>
  <cp:revision>3</cp:revision>
  <cp:lastPrinted>2015-02-18T11:01:00Z</cp:lastPrinted>
  <dcterms:created xsi:type="dcterms:W3CDTF">2020-06-15T11:27:00Z</dcterms:created>
  <dcterms:modified xsi:type="dcterms:W3CDTF">2020-06-15T11:30:00Z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0x01010001BD15C3986B91498E0AE644B715B9EE010D00757D222C6B0DA241B5F74437644107D4</vt:lpwstr>
  </property>
  <property fmtid="{D5CDD505-2E9C-101B-9397-08002B2CF9AE}" pid="3" name="_dlc_DocIdItemGuid">
    <vt:lpwstr>1e9343ef-4172-4dae-8e17-5a879c7dfc56</vt:lpwstr>
  </property>
  <property fmtid="{D5CDD505-2E9C-101B-9397-08002B2CF9AE}" pid="4" name="EsmaAudience">
    <vt:lpwstr/>
  </property>
  <property fmtid="{D5CDD505-2E9C-101B-9397-08002B2CF9AE}" pid="5" name="TeamName">
    <vt:lpwstr>484;#Trading Unit|0cda11c1-7d91-4d51-b3a1-339122a07b73</vt:lpwstr>
  </property>
  <property fmtid="{D5CDD505-2E9C-101B-9397-08002B2CF9AE}" pid="6" name="Topic">
    <vt:lpwstr>434;#MiFID reports|3c5cc422-10d2-4956-abed-da9583ea216a</vt:lpwstr>
  </property>
  <property fmtid="{D5CDD505-2E9C-101B-9397-08002B2CF9AE}" pid="7" name="ConfidentialityLevel">
    <vt:lpwstr>14;#Regular|07f1e362-856b-423d-bea6-a14079762141</vt:lpwstr>
  </property>
  <property fmtid="{D5CDD505-2E9C-101B-9397-08002B2CF9AE}" pid="8" name="DocumentType">
    <vt:lpwstr>1;#Note|b9e1c92e-303a-4555-86f0-5c711c65937e</vt:lpwstr>
  </property>
  <property fmtid="{D5CDD505-2E9C-101B-9397-08002B2CF9AE}" pid="9" name="SubTopic">
    <vt:lpwstr>478;#MiFID reports - MiFIR 52(1)(6) - Transparency and DVC and TOD|af5d7a71-37b0-44f8-9596-7b2aead30867</vt:lpwstr>
  </property>
</Properties>
</file>