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1D503E" w:rsidRPr="00013D66" w14:paraId="3855267F" w14:textId="77777777" w:rsidTr="00B80C0E">
        <w:trPr>
          <w:trHeight w:val="284"/>
        </w:trPr>
        <w:tc>
          <w:tcPr>
            <w:tcW w:w="9412" w:type="dxa"/>
          </w:tcPr>
          <w:p w14:paraId="386290AE" w14:textId="77777777" w:rsidR="001D503E" w:rsidRPr="00013D66" w:rsidRDefault="001D503E" w:rsidP="001D503E">
            <w:pPr>
              <w:tabs>
                <w:tab w:val="center" w:pos="4536"/>
                <w:tab w:val="right" w:pos="9072"/>
              </w:tabs>
              <w:spacing w:after="0" w:line="240" w:lineRule="auto"/>
              <w:rPr>
                <w:rFonts w:ascii="Arial" w:eastAsia="Times New Roman" w:hAnsi="Arial" w:cs="Arial"/>
                <w:lang w:val="en-GB" w:eastAsia="de-DE"/>
              </w:rPr>
            </w:pPr>
            <w:r w:rsidRPr="00013D66">
              <w:rPr>
                <w:rFonts w:ascii="Arial" w:eastAsia="Times New Roman" w:hAnsi="Arial" w:cs="Arial"/>
                <w:color w:val="FFFFFF"/>
                <w:lang w:val="en-GB" w:eastAsia="de-DE"/>
              </w:rPr>
              <w:ptab w:relativeTo="margin" w:alignment="center" w:leader="none"/>
            </w:r>
            <w:r w:rsidRPr="00013D66">
              <w:rPr>
                <w:rFonts w:ascii="Arial" w:eastAsia="Times New Roman" w:hAnsi="Arial" w:cs="Arial"/>
                <w:color w:val="FFFFFF"/>
                <w:lang w:val="en-GB" w:eastAsia="de-DE"/>
              </w:rPr>
              <w:ptab w:relativeTo="margin" w:alignment="right" w:leader="none"/>
            </w:r>
            <w:r w:rsidRPr="00013D66">
              <w:rPr>
                <w:rFonts w:ascii="Arial" w:eastAsia="Times New Roman" w:hAnsi="Arial" w:cs="Arial"/>
                <w:color w:val="FFFFFF"/>
                <w:lang w:val="en-GB" w:eastAsia="de-DE"/>
              </w:rPr>
              <w:t>10 March 2020</w:t>
            </w:r>
          </w:p>
        </w:tc>
      </w:tr>
    </w:tbl>
    <w:p w14:paraId="35B2B453" w14:textId="77777777" w:rsidR="001D503E" w:rsidRPr="00013D66" w:rsidRDefault="001D503E" w:rsidP="001D503E">
      <w:pPr>
        <w:spacing w:after="0" w:line="240" w:lineRule="auto"/>
        <w:rPr>
          <w:rFonts w:ascii="Arial" w:eastAsia="Times New Roman" w:hAnsi="Arial" w:cs="Arial"/>
          <w:vanish/>
          <w:sz w:val="20"/>
          <w:szCs w:val="24"/>
          <w:lang w:val="en-GB" w:eastAsia="de-DE"/>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1D503E" w:rsidRPr="00E57690" w14:paraId="7E7E273D" w14:textId="77777777" w:rsidTr="00B80C0E">
        <w:trPr>
          <w:trHeight w:hRule="exact" w:val="1985"/>
        </w:trPr>
        <w:tc>
          <w:tcPr>
            <w:tcW w:w="9397" w:type="dxa"/>
            <w:vAlign w:val="bottom"/>
          </w:tcPr>
          <w:p w14:paraId="23BC93FE" w14:textId="77777777" w:rsidR="001D503E" w:rsidRPr="00013D66" w:rsidRDefault="001D503E" w:rsidP="001D503E">
            <w:pPr>
              <w:spacing w:after="0" w:line="400" w:lineRule="exact"/>
              <w:rPr>
                <w:rFonts w:ascii="Arial" w:eastAsia="Times New Roman" w:hAnsi="Arial" w:cs="Arial"/>
                <w:b/>
                <w:color w:val="2D4190"/>
                <w:sz w:val="40"/>
                <w:szCs w:val="24"/>
                <w:lang w:val="en-GB" w:eastAsia="de-DE"/>
              </w:rPr>
            </w:pPr>
            <w:r w:rsidRPr="00013D66">
              <w:rPr>
                <w:rFonts w:ascii="Arial" w:eastAsia="Times New Roman" w:hAnsi="Arial" w:cs="Arial"/>
                <w:b/>
                <w:color w:val="2D4190"/>
                <w:sz w:val="40"/>
                <w:szCs w:val="24"/>
                <w:lang w:val="en-GB" w:eastAsia="de-DE"/>
              </w:rPr>
              <w:t>Reply form for the Consultation Paper on MiFID II/ MiFIR review report on the transparency regime for non-equity and the trading obligations for derivatives</w:t>
            </w:r>
          </w:p>
          <w:p w14:paraId="148647D3" w14:textId="77777777" w:rsidR="001D503E" w:rsidRPr="00013D66" w:rsidRDefault="001D503E" w:rsidP="001D503E">
            <w:pPr>
              <w:spacing w:after="0" w:line="400" w:lineRule="exact"/>
              <w:rPr>
                <w:rFonts w:ascii="Arial" w:eastAsia="Times New Roman" w:hAnsi="Arial" w:cs="Arial"/>
                <w:b/>
                <w:color w:val="2D4190"/>
                <w:sz w:val="40"/>
                <w:szCs w:val="24"/>
                <w:lang w:val="en-GB" w:eastAsia="de-DE"/>
              </w:rPr>
            </w:pPr>
          </w:p>
        </w:tc>
      </w:tr>
      <w:tr w:rsidR="001D503E" w:rsidRPr="00E57690" w14:paraId="4A1BA019" w14:textId="77777777" w:rsidTr="00B80C0E">
        <w:trPr>
          <w:trHeight w:hRule="exact" w:val="605"/>
        </w:trPr>
        <w:tc>
          <w:tcPr>
            <w:tcW w:w="9397" w:type="dxa"/>
            <w:tcMar>
              <w:top w:w="142" w:type="dxa"/>
            </w:tcMar>
          </w:tcPr>
          <w:p w14:paraId="48B45B33" w14:textId="77777777" w:rsidR="001D503E" w:rsidRPr="00013D66" w:rsidRDefault="001D503E" w:rsidP="001D503E">
            <w:pPr>
              <w:spacing w:after="0" w:line="240" w:lineRule="auto"/>
              <w:jc w:val="right"/>
              <w:rPr>
                <w:rFonts w:ascii="Arial" w:eastAsia="Times New Roman" w:hAnsi="Arial" w:cs="Arial"/>
                <w:color w:val="000000"/>
                <w:sz w:val="24"/>
                <w:szCs w:val="24"/>
                <w:lang w:val="en-GB" w:eastAsia="de-DE"/>
              </w:rPr>
            </w:pPr>
            <w:r w:rsidRPr="00013D66">
              <w:rPr>
                <w:rFonts w:ascii="Arial" w:eastAsia="Times New Roman" w:hAnsi="Arial" w:cs="Arial"/>
                <w:color w:val="000000"/>
                <w:sz w:val="24"/>
                <w:szCs w:val="24"/>
                <w:lang w:val="en-GB" w:eastAsia="de-DE"/>
              </w:rPr>
              <w:t xml:space="preserve"> </w:t>
            </w:r>
          </w:p>
        </w:tc>
      </w:tr>
    </w:tbl>
    <w:p w14:paraId="20D9C07E" w14:textId="77777777" w:rsidR="001D503E" w:rsidRPr="00013D66" w:rsidRDefault="001D503E" w:rsidP="001D503E">
      <w:pPr>
        <w:spacing w:after="250" w:line="300" w:lineRule="exact"/>
        <w:jc w:val="both"/>
        <w:rPr>
          <w:rFonts w:ascii="Arial" w:eastAsia="Times New Roman" w:hAnsi="Arial" w:cs="Arial"/>
          <w:b/>
          <w:sz w:val="24"/>
          <w:szCs w:val="24"/>
          <w:lang w:val="en-GB" w:eastAsia="de-DE"/>
        </w:rPr>
        <w:sectPr w:rsidR="001D503E" w:rsidRPr="00013D66" w:rsidSect="00B80C0E">
          <w:headerReference w:type="default" r:id="rId13"/>
          <w:footerReference w:type="default" r:id="rId14"/>
          <w:headerReference w:type="first" r:id="rId15"/>
          <w:footerReference w:type="first" r:id="rId16"/>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1D503E" w:rsidRPr="00013D66" w14:paraId="7428C120" w14:textId="77777777" w:rsidTr="00B80C0E">
        <w:trPr>
          <w:trHeight w:hRule="exact" w:val="964"/>
        </w:trPr>
        <w:tc>
          <w:tcPr>
            <w:tcW w:w="2325" w:type="dxa"/>
          </w:tcPr>
          <w:p w14:paraId="5CBA5A58" w14:textId="77777777" w:rsidR="001D503E" w:rsidRPr="00013D66" w:rsidRDefault="001D503E" w:rsidP="001D503E">
            <w:pPr>
              <w:spacing w:after="0" w:line="220" w:lineRule="exact"/>
              <w:rPr>
                <w:rFonts w:ascii="Arial" w:eastAsia="Times New Roman" w:hAnsi="Arial" w:cs="Arial"/>
                <w:sz w:val="17"/>
                <w:szCs w:val="24"/>
                <w:lang w:val="en-GB" w:eastAsia="de-DE"/>
              </w:rPr>
            </w:pPr>
            <w:r w:rsidRPr="00013D66">
              <w:rPr>
                <w:rFonts w:ascii="Arial" w:eastAsia="Times New Roman" w:hAnsi="Arial" w:cs="Arial"/>
                <w:sz w:val="17"/>
                <w:szCs w:val="24"/>
                <w:lang w:val="en-GB" w:eastAsia="de-DE"/>
              </w:rPr>
              <w:lastRenderedPageBreak/>
              <w:t>Date: 10 March 2020</w:t>
            </w:r>
          </w:p>
        </w:tc>
      </w:tr>
    </w:tbl>
    <w:p w14:paraId="5A85DCB0" w14:textId="77777777" w:rsidR="001D503E" w:rsidRPr="00013D66" w:rsidRDefault="001D503E" w:rsidP="001D503E">
      <w:pPr>
        <w:spacing w:after="250" w:line="300" w:lineRule="exact"/>
        <w:jc w:val="both"/>
        <w:rPr>
          <w:rFonts w:ascii="Arial" w:eastAsia="Times New Roman" w:hAnsi="Arial" w:cs="Arial"/>
          <w:b/>
          <w:sz w:val="24"/>
          <w:szCs w:val="24"/>
          <w:lang w:val="en-GB" w:eastAsia="de-DE"/>
        </w:rPr>
      </w:pPr>
      <w:bookmarkStart w:id="0" w:name="_Toc280628648"/>
      <w:r w:rsidRPr="00013D66">
        <w:rPr>
          <w:rFonts w:ascii="Arial" w:eastAsia="Times New Roman" w:hAnsi="Arial" w:cs="Arial"/>
          <w:b/>
          <w:sz w:val="24"/>
          <w:szCs w:val="24"/>
          <w:lang w:val="en-GB" w:eastAsia="de-DE"/>
        </w:rPr>
        <w:t xml:space="preserve">Responding to this paper </w:t>
      </w:r>
    </w:p>
    <w:p w14:paraId="5C7033B6" w14:textId="77777777" w:rsidR="001D503E" w:rsidRPr="00013D66" w:rsidRDefault="001D503E" w:rsidP="001D503E">
      <w:pPr>
        <w:spacing w:before="120" w:after="120" w:line="276" w:lineRule="auto"/>
        <w:jc w:val="both"/>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The European Securities and Markets Authority (ESMA) invites responses to the specific questions listed in the Consultation Paper on the transparency regime for non-equity instruments and the trading obligations for derivatives MiFID II/ MiFIR review report published on the ESMA website.</w:t>
      </w:r>
    </w:p>
    <w:p w14:paraId="577CBCE9" w14:textId="77777777" w:rsidR="001D503E" w:rsidRPr="00013D66" w:rsidRDefault="001D503E" w:rsidP="001D503E">
      <w:pPr>
        <w:autoSpaceDE w:val="0"/>
        <w:autoSpaceDN w:val="0"/>
        <w:adjustRightInd w:val="0"/>
        <w:spacing w:before="120" w:after="120" w:line="276" w:lineRule="auto"/>
        <w:jc w:val="both"/>
        <w:rPr>
          <w:rFonts w:ascii="Arial" w:eastAsia="Times New Roman" w:hAnsi="Arial" w:cs="Arial"/>
          <w:b/>
          <w:bCs/>
          <w:i/>
          <w:sz w:val="20"/>
          <w:szCs w:val="24"/>
          <w:lang w:val="en-GB" w:eastAsia="de-DE"/>
        </w:rPr>
      </w:pPr>
    </w:p>
    <w:p w14:paraId="676810C8" w14:textId="77777777" w:rsidR="001D503E" w:rsidRPr="00013D66" w:rsidRDefault="001D503E" w:rsidP="001D503E">
      <w:pPr>
        <w:autoSpaceDE w:val="0"/>
        <w:autoSpaceDN w:val="0"/>
        <w:adjustRightInd w:val="0"/>
        <w:spacing w:before="120" w:after="120" w:line="276" w:lineRule="auto"/>
        <w:jc w:val="both"/>
        <w:rPr>
          <w:rFonts w:ascii="Arial" w:eastAsia="Times New Roman" w:hAnsi="Arial" w:cs="Arial"/>
          <w:b/>
          <w:bCs/>
          <w:i/>
          <w:sz w:val="20"/>
          <w:szCs w:val="24"/>
          <w:lang w:val="en-GB" w:eastAsia="de-DE"/>
        </w:rPr>
      </w:pPr>
      <w:r w:rsidRPr="00013D66">
        <w:rPr>
          <w:rFonts w:ascii="Arial" w:eastAsia="Times New Roman" w:hAnsi="Arial" w:cs="Arial"/>
          <w:b/>
          <w:bCs/>
          <w:i/>
          <w:sz w:val="20"/>
          <w:szCs w:val="24"/>
          <w:lang w:val="en-GB" w:eastAsia="de-DE"/>
        </w:rPr>
        <w:t>Instructions</w:t>
      </w:r>
    </w:p>
    <w:p w14:paraId="1E58B634" w14:textId="77777777" w:rsidR="001D503E" w:rsidRPr="00013D66" w:rsidRDefault="001D503E" w:rsidP="001D503E">
      <w:pPr>
        <w:spacing w:before="120" w:after="120" w:line="276" w:lineRule="auto"/>
        <w:jc w:val="both"/>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 xml:space="preserve">Please note that, in order to facilitate the analysis of the large number of responses expected, you are requested to use this file to send your response to ESMA </w:t>
      </w:r>
      <w:proofErr w:type="gramStart"/>
      <w:r w:rsidRPr="00013D66">
        <w:rPr>
          <w:rFonts w:ascii="Arial" w:eastAsia="Times New Roman" w:hAnsi="Arial" w:cs="Arial"/>
          <w:sz w:val="20"/>
          <w:szCs w:val="24"/>
          <w:lang w:val="en-GB" w:eastAsia="de-DE"/>
        </w:rPr>
        <w:t>so as to</w:t>
      </w:r>
      <w:proofErr w:type="gramEnd"/>
      <w:r w:rsidRPr="00013D66">
        <w:rPr>
          <w:rFonts w:ascii="Arial" w:eastAsia="Times New Roman" w:hAnsi="Arial" w:cs="Arial"/>
          <w:sz w:val="20"/>
          <w:szCs w:val="24"/>
          <w:lang w:val="en-GB" w:eastAsia="de-DE"/>
        </w:rPr>
        <w:t xml:space="preserve"> allow us to process it properly. Therefore, ESMA will only be able to consider responses which follow the instructions described below:</w:t>
      </w:r>
    </w:p>
    <w:p w14:paraId="4C52B1CC" w14:textId="77777777" w:rsidR="001D503E" w:rsidRPr="00013D66" w:rsidRDefault="001D503E" w:rsidP="001D503E">
      <w:pPr>
        <w:numPr>
          <w:ilvl w:val="0"/>
          <w:numId w:val="1"/>
        </w:numPr>
        <w:spacing w:before="120" w:after="120" w:line="276" w:lineRule="auto"/>
        <w:jc w:val="both"/>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use this form and send your responses in Word format (pdf documents will not be considered except for annexes);</w:t>
      </w:r>
    </w:p>
    <w:p w14:paraId="1B7BAED6" w14:textId="77777777" w:rsidR="001D503E" w:rsidRPr="00013D66" w:rsidRDefault="001D503E" w:rsidP="001D503E">
      <w:pPr>
        <w:numPr>
          <w:ilvl w:val="0"/>
          <w:numId w:val="1"/>
        </w:numPr>
        <w:spacing w:before="120" w:after="120" w:line="276" w:lineRule="auto"/>
        <w:jc w:val="both"/>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 xml:space="preserve">do not remove the tags of type &lt;ESMA_QUESTION_CP_MIFID_NQT_1&gt; - i.e. the response to one question </w:t>
      </w:r>
      <w:proofErr w:type="gramStart"/>
      <w:r w:rsidRPr="00013D66">
        <w:rPr>
          <w:rFonts w:ascii="Arial" w:eastAsia="Times New Roman" w:hAnsi="Arial" w:cs="Arial"/>
          <w:sz w:val="20"/>
          <w:szCs w:val="24"/>
          <w:lang w:val="en-GB" w:eastAsia="de-DE"/>
        </w:rPr>
        <w:t>has to</w:t>
      </w:r>
      <w:proofErr w:type="gramEnd"/>
      <w:r w:rsidRPr="00013D66">
        <w:rPr>
          <w:rFonts w:ascii="Arial" w:eastAsia="Times New Roman" w:hAnsi="Arial" w:cs="Arial"/>
          <w:sz w:val="20"/>
          <w:szCs w:val="24"/>
          <w:lang w:val="en-GB" w:eastAsia="de-DE"/>
        </w:rPr>
        <w:t xml:space="preserve"> be framed by the 2 tags corresponding to the question; and</w:t>
      </w:r>
    </w:p>
    <w:p w14:paraId="72EF0568" w14:textId="77777777" w:rsidR="001D503E" w:rsidRPr="00013D66" w:rsidRDefault="001D503E" w:rsidP="001D503E">
      <w:pPr>
        <w:numPr>
          <w:ilvl w:val="0"/>
          <w:numId w:val="1"/>
        </w:numPr>
        <w:spacing w:before="120" w:after="120" w:line="276" w:lineRule="auto"/>
        <w:jc w:val="both"/>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if you do not have a response to a question, do not delete it and leave the text “TYPE YOUR TEXT HERE” between the tags.</w:t>
      </w:r>
    </w:p>
    <w:p w14:paraId="56AF536D" w14:textId="77777777" w:rsidR="001D503E" w:rsidRPr="00013D66" w:rsidRDefault="001D503E" w:rsidP="001D503E">
      <w:pPr>
        <w:spacing w:before="120" w:after="120" w:line="276" w:lineRule="auto"/>
        <w:jc w:val="both"/>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Responses are most helpful:</w:t>
      </w:r>
    </w:p>
    <w:p w14:paraId="1F206520" w14:textId="77777777" w:rsidR="001D503E" w:rsidRPr="00013D66" w:rsidRDefault="001D503E" w:rsidP="001D503E">
      <w:pPr>
        <w:numPr>
          <w:ilvl w:val="0"/>
          <w:numId w:val="2"/>
        </w:numPr>
        <w:spacing w:before="120" w:after="120" w:line="276" w:lineRule="auto"/>
        <w:jc w:val="both"/>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if they respond to the question stated;</w:t>
      </w:r>
    </w:p>
    <w:p w14:paraId="38D43F03" w14:textId="77777777" w:rsidR="001D503E" w:rsidRPr="00013D66" w:rsidRDefault="001D503E" w:rsidP="001D503E">
      <w:pPr>
        <w:numPr>
          <w:ilvl w:val="0"/>
          <w:numId w:val="2"/>
        </w:numPr>
        <w:spacing w:before="120" w:after="120" w:line="276" w:lineRule="auto"/>
        <w:jc w:val="both"/>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indicate the specific question to which the comment relates;</w:t>
      </w:r>
    </w:p>
    <w:p w14:paraId="41822D62" w14:textId="77777777" w:rsidR="001D503E" w:rsidRPr="00013D66" w:rsidRDefault="001D503E" w:rsidP="001D503E">
      <w:pPr>
        <w:numPr>
          <w:ilvl w:val="0"/>
          <w:numId w:val="2"/>
        </w:numPr>
        <w:spacing w:before="120" w:after="120" w:line="276" w:lineRule="auto"/>
        <w:jc w:val="both"/>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contain a clear rationale; and</w:t>
      </w:r>
    </w:p>
    <w:p w14:paraId="3A13D388" w14:textId="77777777" w:rsidR="001D503E" w:rsidRPr="00013D66" w:rsidRDefault="001D503E" w:rsidP="001D503E">
      <w:pPr>
        <w:numPr>
          <w:ilvl w:val="0"/>
          <w:numId w:val="2"/>
        </w:numPr>
        <w:spacing w:before="120" w:after="120" w:line="276" w:lineRule="auto"/>
        <w:jc w:val="both"/>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describe any alternatives ESMA should consider.</w:t>
      </w:r>
    </w:p>
    <w:p w14:paraId="25A6D476" w14:textId="77777777" w:rsidR="001D503E" w:rsidRPr="00013D66" w:rsidRDefault="001D503E" w:rsidP="001D503E">
      <w:pPr>
        <w:spacing w:before="120" w:after="120" w:line="276" w:lineRule="auto"/>
        <w:rPr>
          <w:rFonts w:ascii="Arial" w:eastAsia="Times New Roman" w:hAnsi="Arial" w:cs="Arial"/>
          <w:b/>
          <w:sz w:val="20"/>
          <w:szCs w:val="24"/>
          <w:lang w:val="en-GB" w:eastAsia="de-DE"/>
        </w:rPr>
      </w:pPr>
    </w:p>
    <w:p w14:paraId="0C31745C" w14:textId="77777777" w:rsidR="001D503E" w:rsidRPr="00013D66" w:rsidRDefault="001D503E" w:rsidP="001D503E">
      <w:pPr>
        <w:spacing w:before="120" w:after="120" w:line="276" w:lineRule="auto"/>
        <w:rPr>
          <w:rFonts w:ascii="Arial" w:eastAsia="Times New Roman" w:hAnsi="Arial" w:cs="Arial"/>
          <w:b/>
          <w:sz w:val="20"/>
          <w:szCs w:val="24"/>
          <w:lang w:val="en-GB" w:eastAsia="de-DE"/>
        </w:rPr>
      </w:pPr>
      <w:r w:rsidRPr="00013D66">
        <w:rPr>
          <w:rFonts w:ascii="Arial" w:eastAsia="Times New Roman" w:hAnsi="Arial" w:cs="Arial"/>
          <w:b/>
          <w:sz w:val="20"/>
          <w:szCs w:val="24"/>
          <w:lang w:val="en-GB" w:eastAsia="de-DE"/>
        </w:rPr>
        <w:t>Naming protocol</w:t>
      </w:r>
    </w:p>
    <w:p w14:paraId="60499774" w14:textId="77777777" w:rsidR="001D503E" w:rsidRPr="00013D66" w:rsidRDefault="001D503E" w:rsidP="001D503E">
      <w:pPr>
        <w:spacing w:before="120" w:after="120" w:line="276"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In order to facilitate the handling of stakeholders’ responses please save your document using the following format:</w:t>
      </w:r>
    </w:p>
    <w:p w14:paraId="02443987" w14:textId="77777777" w:rsidR="001D503E" w:rsidRPr="00013D66" w:rsidRDefault="001D503E" w:rsidP="001D503E">
      <w:pPr>
        <w:spacing w:before="120" w:after="120" w:line="276"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ESMA_CP_MIFID_NQT_NAMEOFCOMPANY_NAMEOFDOCUMENT.</w:t>
      </w:r>
    </w:p>
    <w:p w14:paraId="0E5F913D" w14:textId="77777777" w:rsidR="001D503E" w:rsidRPr="00013D66" w:rsidRDefault="001D503E" w:rsidP="001D503E">
      <w:pPr>
        <w:spacing w:before="120" w:after="120" w:line="276"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e.g. if the respondent were ESMA, the name of the reply form would be:</w:t>
      </w:r>
    </w:p>
    <w:p w14:paraId="0353968D" w14:textId="77777777" w:rsidR="001D503E" w:rsidRPr="00013D66" w:rsidRDefault="001D503E" w:rsidP="001D503E">
      <w:pPr>
        <w:spacing w:before="120" w:after="120" w:line="276"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 xml:space="preserve">ESMA_CP_MIFID_NQT_ESMA_REPLYFORM or </w:t>
      </w:r>
    </w:p>
    <w:p w14:paraId="38C34AFB" w14:textId="77777777" w:rsidR="001D503E" w:rsidRPr="00013D66" w:rsidRDefault="001D503E" w:rsidP="001D503E">
      <w:pPr>
        <w:spacing w:before="120" w:after="120" w:line="276"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ESMA_CP_MIFID_NQT_ANNEX1</w:t>
      </w:r>
    </w:p>
    <w:p w14:paraId="37205C06" w14:textId="77777777" w:rsidR="001D503E" w:rsidRPr="00013D66" w:rsidRDefault="001D503E" w:rsidP="001D503E">
      <w:pPr>
        <w:autoSpaceDE w:val="0"/>
        <w:autoSpaceDN w:val="0"/>
        <w:adjustRightInd w:val="0"/>
        <w:spacing w:before="120" w:after="120" w:line="276" w:lineRule="auto"/>
        <w:jc w:val="both"/>
        <w:rPr>
          <w:rFonts w:ascii="Arial" w:eastAsia="Times New Roman" w:hAnsi="Arial" w:cs="Arial"/>
          <w:b/>
          <w:bCs/>
          <w:i/>
          <w:color w:val="000000"/>
          <w:sz w:val="20"/>
          <w:szCs w:val="20"/>
          <w:lang w:val="en-GB" w:eastAsia="en-GB"/>
        </w:rPr>
      </w:pPr>
    </w:p>
    <w:p w14:paraId="6F771EAE" w14:textId="77777777" w:rsidR="001D503E" w:rsidRPr="00013D66" w:rsidRDefault="001D503E" w:rsidP="001D503E">
      <w:pPr>
        <w:autoSpaceDE w:val="0"/>
        <w:autoSpaceDN w:val="0"/>
        <w:adjustRightInd w:val="0"/>
        <w:spacing w:before="120" w:after="120" w:line="276" w:lineRule="auto"/>
        <w:jc w:val="both"/>
        <w:rPr>
          <w:rFonts w:ascii="Arial" w:eastAsia="Times New Roman" w:hAnsi="Arial" w:cs="Arial"/>
          <w:b/>
          <w:bCs/>
          <w:i/>
          <w:color w:val="000000"/>
          <w:sz w:val="20"/>
          <w:szCs w:val="20"/>
          <w:lang w:val="en-GB" w:eastAsia="en-GB"/>
        </w:rPr>
      </w:pPr>
      <w:r w:rsidRPr="00013D66">
        <w:rPr>
          <w:rFonts w:ascii="Arial" w:eastAsia="Times New Roman" w:hAnsi="Arial" w:cs="Arial"/>
          <w:b/>
          <w:bCs/>
          <w:i/>
          <w:color w:val="000000"/>
          <w:sz w:val="20"/>
          <w:szCs w:val="20"/>
          <w:lang w:val="en-GB" w:eastAsia="en-GB"/>
        </w:rPr>
        <w:t>Deadline</w:t>
      </w:r>
    </w:p>
    <w:p w14:paraId="47E0E482" w14:textId="77777777" w:rsidR="001D503E" w:rsidRPr="00013D66" w:rsidRDefault="001D503E" w:rsidP="001D503E">
      <w:pPr>
        <w:spacing w:before="120" w:after="120" w:line="276" w:lineRule="auto"/>
        <w:jc w:val="both"/>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 xml:space="preserve">Responses must reach us by </w:t>
      </w:r>
      <w:r w:rsidRPr="00013D66">
        <w:rPr>
          <w:rFonts w:ascii="Arial" w:eastAsia="Times New Roman" w:hAnsi="Arial" w:cs="Arial"/>
          <w:b/>
          <w:sz w:val="20"/>
          <w:szCs w:val="24"/>
          <w:lang w:val="en-GB" w:eastAsia="de-DE"/>
        </w:rPr>
        <w:t>19 April 2020.</w:t>
      </w:r>
    </w:p>
    <w:p w14:paraId="19AB2D44" w14:textId="77777777" w:rsidR="001D503E" w:rsidRPr="00013D66" w:rsidRDefault="001D503E" w:rsidP="001D503E">
      <w:pPr>
        <w:autoSpaceDE w:val="0"/>
        <w:autoSpaceDN w:val="0"/>
        <w:adjustRightInd w:val="0"/>
        <w:spacing w:before="120" w:after="120" w:line="276" w:lineRule="auto"/>
        <w:jc w:val="both"/>
        <w:rPr>
          <w:rFonts w:ascii="Arial" w:eastAsia="Times New Roman" w:hAnsi="Arial" w:cs="Arial"/>
          <w:b/>
          <w:bCs/>
          <w:i/>
          <w:color w:val="000000"/>
          <w:sz w:val="20"/>
          <w:szCs w:val="20"/>
          <w:lang w:val="en-GB" w:eastAsia="en-GB"/>
        </w:rPr>
      </w:pPr>
      <w:bookmarkStart w:id="1" w:name="_Toc335141334"/>
      <w:r w:rsidRPr="00013D66">
        <w:rPr>
          <w:rFonts w:ascii="Arial" w:eastAsia="Times New Roman" w:hAnsi="Arial" w:cs="Arial"/>
          <w:sz w:val="20"/>
          <w:szCs w:val="24"/>
          <w:lang w:val="en-GB" w:eastAsia="de-DE"/>
        </w:rPr>
        <w:t xml:space="preserve">All contributions should be submitted online at </w:t>
      </w:r>
      <w:hyperlink r:id="rId17" w:history="1">
        <w:r w:rsidRPr="00013D66">
          <w:rPr>
            <w:rFonts w:ascii="Arial" w:eastAsia="Times New Roman" w:hAnsi="Arial" w:cs="Arial"/>
            <w:color w:val="0000FF"/>
            <w:sz w:val="20"/>
            <w:szCs w:val="24"/>
            <w:u w:val="single"/>
            <w:lang w:val="en-GB" w:eastAsia="de-DE"/>
          </w:rPr>
          <w:t>www.esma.europa.eu</w:t>
        </w:r>
      </w:hyperlink>
      <w:r w:rsidRPr="00013D66">
        <w:rPr>
          <w:rFonts w:ascii="Arial" w:eastAsia="Times New Roman" w:hAnsi="Arial" w:cs="Arial"/>
          <w:sz w:val="20"/>
          <w:szCs w:val="24"/>
          <w:lang w:val="en-GB" w:eastAsia="de-DE"/>
        </w:rPr>
        <w:t xml:space="preserve"> under the heading ‘Your input - Consultations’.</w:t>
      </w:r>
    </w:p>
    <w:p w14:paraId="56F43B9B" w14:textId="77777777" w:rsidR="001D503E" w:rsidRPr="00013D66" w:rsidRDefault="001D503E" w:rsidP="001D503E">
      <w:pPr>
        <w:autoSpaceDE w:val="0"/>
        <w:autoSpaceDN w:val="0"/>
        <w:adjustRightInd w:val="0"/>
        <w:spacing w:before="120" w:after="120" w:line="276" w:lineRule="auto"/>
        <w:jc w:val="both"/>
        <w:rPr>
          <w:rFonts w:ascii="Arial" w:eastAsia="Times New Roman" w:hAnsi="Arial" w:cs="Arial"/>
          <w:b/>
          <w:bCs/>
          <w:i/>
          <w:color w:val="000000"/>
          <w:sz w:val="20"/>
          <w:szCs w:val="20"/>
          <w:lang w:val="en-GB" w:eastAsia="en-GB"/>
        </w:rPr>
      </w:pPr>
    </w:p>
    <w:p w14:paraId="729F8219" w14:textId="77777777" w:rsidR="001D503E" w:rsidRPr="00013D66" w:rsidRDefault="001D503E" w:rsidP="001D503E">
      <w:pPr>
        <w:autoSpaceDE w:val="0"/>
        <w:autoSpaceDN w:val="0"/>
        <w:adjustRightInd w:val="0"/>
        <w:spacing w:before="120" w:after="120" w:line="276" w:lineRule="auto"/>
        <w:jc w:val="both"/>
        <w:rPr>
          <w:rFonts w:ascii="Arial" w:eastAsia="Times New Roman" w:hAnsi="Arial" w:cs="Arial"/>
          <w:b/>
          <w:bCs/>
          <w:i/>
          <w:color w:val="000000"/>
          <w:sz w:val="20"/>
          <w:szCs w:val="20"/>
          <w:lang w:val="en-GB" w:eastAsia="en-GB"/>
        </w:rPr>
      </w:pPr>
      <w:r w:rsidRPr="00013D66">
        <w:rPr>
          <w:rFonts w:ascii="Arial" w:eastAsia="Times New Roman" w:hAnsi="Arial" w:cs="Arial"/>
          <w:b/>
          <w:bCs/>
          <w:i/>
          <w:color w:val="000000"/>
          <w:sz w:val="20"/>
          <w:szCs w:val="20"/>
          <w:lang w:val="en-GB" w:eastAsia="en-GB"/>
        </w:rPr>
        <w:lastRenderedPageBreak/>
        <w:t>Publication of responses</w:t>
      </w:r>
      <w:bookmarkEnd w:id="1"/>
    </w:p>
    <w:p w14:paraId="6C4EDC49" w14:textId="77777777" w:rsidR="001D503E" w:rsidRPr="00013D66" w:rsidRDefault="001D503E" w:rsidP="001D503E">
      <w:pPr>
        <w:spacing w:before="120" w:after="120" w:line="276" w:lineRule="auto"/>
        <w:jc w:val="both"/>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 xml:space="preserve">All contributions received will be published following the end of the consultation period, unless otherwise requested. </w:t>
      </w:r>
      <w:r w:rsidRPr="00013D66">
        <w:rPr>
          <w:rFonts w:ascii="Arial" w:eastAsia="Times New Roman" w:hAnsi="Arial" w:cs="Arial"/>
          <w:b/>
          <w:sz w:val="20"/>
          <w:szCs w:val="24"/>
          <w:lang w:val="en-GB" w:eastAsia="de-DE"/>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013D66">
        <w:rPr>
          <w:rFonts w:ascii="Arial" w:eastAsia="Times New Roman" w:hAnsi="Arial" w:cs="Arial"/>
          <w:sz w:val="20"/>
          <w:szCs w:val="24"/>
          <w:lang w:val="en-GB" w:eastAsia="de-DE"/>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14:paraId="2865C93E" w14:textId="77777777" w:rsidR="001D503E" w:rsidRPr="00013D66" w:rsidRDefault="001D503E" w:rsidP="001D503E">
      <w:pPr>
        <w:autoSpaceDE w:val="0"/>
        <w:autoSpaceDN w:val="0"/>
        <w:adjustRightInd w:val="0"/>
        <w:spacing w:before="120" w:after="120" w:line="276" w:lineRule="auto"/>
        <w:jc w:val="both"/>
        <w:rPr>
          <w:rFonts w:ascii="Arial" w:eastAsia="Times New Roman" w:hAnsi="Arial" w:cs="Arial"/>
          <w:b/>
          <w:bCs/>
          <w:i/>
          <w:color w:val="000000"/>
          <w:sz w:val="20"/>
          <w:szCs w:val="20"/>
          <w:lang w:val="en-GB" w:eastAsia="en-GB"/>
        </w:rPr>
      </w:pPr>
      <w:bookmarkStart w:id="2" w:name="_Toc335141335"/>
    </w:p>
    <w:p w14:paraId="63E61894" w14:textId="77777777" w:rsidR="001D503E" w:rsidRPr="00013D66" w:rsidRDefault="001D503E" w:rsidP="001D503E">
      <w:pPr>
        <w:autoSpaceDE w:val="0"/>
        <w:autoSpaceDN w:val="0"/>
        <w:adjustRightInd w:val="0"/>
        <w:spacing w:before="120" w:after="120" w:line="276" w:lineRule="auto"/>
        <w:jc w:val="both"/>
        <w:rPr>
          <w:rFonts w:ascii="Arial" w:eastAsia="Times New Roman" w:hAnsi="Arial" w:cs="Arial"/>
          <w:b/>
          <w:bCs/>
          <w:i/>
          <w:color w:val="000000"/>
          <w:sz w:val="20"/>
          <w:szCs w:val="20"/>
          <w:lang w:val="en-GB" w:eastAsia="en-GB"/>
        </w:rPr>
      </w:pPr>
      <w:r w:rsidRPr="00013D66">
        <w:rPr>
          <w:rFonts w:ascii="Arial" w:eastAsia="Times New Roman" w:hAnsi="Arial" w:cs="Arial"/>
          <w:b/>
          <w:bCs/>
          <w:i/>
          <w:color w:val="000000"/>
          <w:sz w:val="20"/>
          <w:szCs w:val="20"/>
          <w:lang w:val="en-GB" w:eastAsia="en-GB"/>
        </w:rPr>
        <w:t>Data protection</w:t>
      </w:r>
      <w:bookmarkEnd w:id="2"/>
    </w:p>
    <w:p w14:paraId="0D49C36E" w14:textId="77777777" w:rsidR="001D503E" w:rsidRPr="00013D66" w:rsidRDefault="001D503E" w:rsidP="001D503E">
      <w:pPr>
        <w:autoSpaceDE w:val="0"/>
        <w:autoSpaceDN w:val="0"/>
        <w:adjustRightInd w:val="0"/>
        <w:spacing w:before="120" w:after="120" w:line="276" w:lineRule="auto"/>
        <w:jc w:val="both"/>
        <w:rPr>
          <w:rFonts w:ascii="Arial" w:eastAsia="Times New Roman" w:hAnsi="Arial" w:cs="Arial"/>
          <w:sz w:val="20"/>
          <w:szCs w:val="20"/>
          <w:lang w:val="en-GB" w:eastAsia="de-DE"/>
        </w:rPr>
      </w:pPr>
      <w:r w:rsidRPr="00013D66">
        <w:rPr>
          <w:rFonts w:ascii="Arial" w:eastAsia="Times New Roman" w:hAnsi="Arial" w:cs="Arial"/>
          <w:sz w:val="20"/>
          <w:szCs w:val="20"/>
          <w:lang w:val="en-GB" w:eastAsia="de-DE"/>
        </w:rPr>
        <w:t xml:space="preserve">Information on data protection can be found at </w:t>
      </w:r>
      <w:hyperlink r:id="rId18" w:history="1">
        <w:r w:rsidRPr="00013D66">
          <w:rPr>
            <w:rFonts w:ascii="Arial" w:eastAsia="Times New Roman" w:hAnsi="Arial" w:cs="Arial"/>
            <w:color w:val="0000FF"/>
            <w:sz w:val="20"/>
            <w:szCs w:val="20"/>
            <w:u w:val="single"/>
            <w:lang w:val="en-GB" w:eastAsia="de-DE"/>
          </w:rPr>
          <w:t>www.esma.europa.eu</w:t>
        </w:r>
      </w:hyperlink>
      <w:r w:rsidRPr="00013D66">
        <w:rPr>
          <w:rFonts w:ascii="Arial" w:eastAsia="Times New Roman" w:hAnsi="Arial" w:cs="Arial"/>
          <w:sz w:val="20"/>
          <w:szCs w:val="20"/>
          <w:lang w:val="en-GB" w:eastAsia="de-DE"/>
        </w:rPr>
        <w:t xml:space="preserve"> under the </w:t>
      </w:r>
      <w:r w:rsidRPr="00013D66">
        <w:rPr>
          <w:rFonts w:ascii="Arial" w:eastAsia="Times New Roman" w:hAnsi="Arial" w:cs="Arial"/>
          <w:sz w:val="20"/>
          <w:lang w:val="en-GB" w:eastAsia="en-GB"/>
        </w:rPr>
        <w:t>headings ‘Legal notice’ and ‘Data protection’.</w:t>
      </w:r>
    </w:p>
    <w:p w14:paraId="61DB0862" w14:textId="77777777" w:rsidR="001D503E" w:rsidRPr="00013D66" w:rsidRDefault="001D503E" w:rsidP="001D503E">
      <w:pPr>
        <w:autoSpaceDE w:val="0"/>
        <w:autoSpaceDN w:val="0"/>
        <w:adjustRightInd w:val="0"/>
        <w:spacing w:before="120" w:after="120" w:line="276" w:lineRule="auto"/>
        <w:jc w:val="both"/>
        <w:rPr>
          <w:rFonts w:ascii="Arial" w:eastAsia="Times New Roman" w:hAnsi="Arial" w:cs="Arial"/>
          <w:sz w:val="20"/>
          <w:szCs w:val="20"/>
          <w:lang w:val="en-GB" w:eastAsia="de-DE"/>
        </w:rPr>
      </w:pPr>
    </w:p>
    <w:bookmarkEnd w:id="0"/>
    <w:p w14:paraId="2ADD8500" w14:textId="77777777" w:rsidR="001D503E" w:rsidRPr="00013D66" w:rsidRDefault="001D503E" w:rsidP="001D503E">
      <w:pPr>
        <w:spacing w:after="0" w:line="240" w:lineRule="auto"/>
        <w:rPr>
          <w:rFonts w:ascii="Arial" w:eastAsia="Times New Roman" w:hAnsi="Arial" w:cs="Arial"/>
          <w:b/>
          <w:bCs/>
          <w:kern w:val="32"/>
          <w:sz w:val="24"/>
          <w:szCs w:val="32"/>
          <w:lang w:val="en-GB" w:eastAsia="de-DE"/>
        </w:rPr>
      </w:pPr>
      <w:r w:rsidRPr="00013D66">
        <w:rPr>
          <w:rFonts w:ascii="Arial" w:eastAsia="Times New Roman" w:hAnsi="Arial" w:cs="Arial"/>
          <w:sz w:val="20"/>
          <w:szCs w:val="24"/>
          <w:lang w:val="en-GB" w:eastAsia="de-DE"/>
        </w:rPr>
        <w:br w:type="page"/>
      </w:r>
    </w:p>
    <w:p w14:paraId="0F440BF9" w14:textId="77777777" w:rsidR="001D503E" w:rsidRPr="00013D66" w:rsidRDefault="001D503E" w:rsidP="001D503E">
      <w:pPr>
        <w:keepNext/>
        <w:spacing w:before="240" w:after="60" w:line="240" w:lineRule="auto"/>
        <w:outlineLvl w:val="0"/>
        <w:rPr>
          <w:rFonts w:ascii="Arial" w:eastAsia="Times New Roman" w:hAnsi="Arial" w:cs="Arial"/>
          <w:b/>
          <w:bCs/>
          <w:kern w:val="32"/>
          <w:sz w:val="24"/>
          <w:szCs w:val="32"/>
          <w:lang w:val="en-GB" w:eastAsia="de-DE"/>
        </w:rPr>
      </w:pPr>
      <w:r w:rsidRPr="00013D66">
        <w:rPr>
          <w:rFonts w:ascii="Arial" w:eastAsia="Times New Roman" w:hAnsi="Arial" w:cs="Arial"/>
          <w:b/>
          <w:bCs/>
          <w:kern w:val="32"/>
          <w:sz w:val="24"/>
          <w:szCs w:val="32"/>
          <w:lang w:val="en-GB" w:eastAsia="de-DE"/>
        </w:rPr>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1D503E" w:rsidRPr="00FA5816" w14:paraId="785DF642" w14:textId="77777777" w:rsidTr="00B80C0E">
        <w:tc>
          <w:tcPr>
            <w:tcW w:w="3929" w:type="dxa"/>
            <w:shd w:val="clear" w:color="auto" w:fill="auto"/>
          </w:tcPr>
          <w:p w14:paraId="408C010F" w14:textId="77777777" w:rsidR="001D503E" w:rsidRPr="00013D66" w:rsidRDefault="001D503E" w:rsidP="001D503E">
            <w:pPr>
              <w:spacing w:after="0" w:line="240" w:lineRule="auto"/>
              <w:rPr>
                <w:rFonts w:ascii="Arial" w:eastAsia="Times New Roman" w:hAnsi="Arial" w:cs="Arial"/>
                <w:szCs w:val="24"/>
                <w:lang w:val="en-GB" w:eastAsia="de-DE"/>
              </w:rPr>
            </w:pPr>
            <w:r w:rsidRPr="00013D66">
              <w:rPr>
                <w:rFonts w:ascii="Arial" w:eastAsia="Times New Roman" w:hAnsi="Arial" w:cs="Arial"/>
                <w:szCs w:val="24"/>
                <w:lang w:val="en-GB" w:eastAsia="de-DE"/>
              </w:rPr>
              <w:t>Name of the company / organisation</w:t>
            </w:r>
          </w:p>
        </w:tc>
        <w:sdt>
          <w:sdtPr>
            <w:rPr>
              <w:rFonts w:ascii="Arial" w:eastAsia="Times New Roman" w:hAnsi="Arial" w:cs="Arial"/>
              <w:sz w:val="20"/>
              <w:szCs w:val="24"/>
              <w:lang w:val="en-GB" w:eastAsia="de-DE"/>
            </w:rPr>
            <w:id w:val="651570699"/>
            <w:text/>
          </w:sdtPr>
          <w:sdtEndPr/>
          <w:sdtContent>
            <w:tc>
              <w:tcPr>
                <w:tcW w:w="5595" w:type="dxa"/>
                <w:shd w:val="clear" w:color="auto" w:fill="auto"/>
              </w:tcPr>
              <w:p w14:paraId="56117FBA" w14:textId="7D5F3875" w:rsidR="001D503E" w:rsidRPr="00013D66" w:rsidRDefault="00E9702E" w:rsidP="000D0FB5">
                <w:pPr>
                  <w:spacing w:after="0" w:line="240" w:lineRule="auto"/>
                  <w:rPr>
                    <w:rFonts w:ascii="Arial" w:eastAsia="Times New Roman" w:hAnsi="Arial" w:cs="Arial"/>
                    <w:color w:val="808080"/>
                    <w:sz w:val="20"/>
                    <w:szCs w:val="24"/>
                    <w:lang w:val="en-GB" w:eastAsia="de-DE"/>
                  </w:rPr>
                </w:pPr>
                <w:r w:rsidRPr="000D0FB5">
                  <w:rPr>
                    <w:rFonts w:ascii="Arial" w:eastAsia="Times New Roman" w:hAnsi="Arial" w:cs="Arial"/>
                    <w:sz w:val="20"/>
                    <w:szCs w:val="24"/>
                    <w:lang w:val="en-GB" w:eastAsia="de-DE"/>
                  </w:rPr>
                  <w:t xml:space="preserve">European Energy Exchange </w:t>
                </w:r>
                <w:r>
                  <w:rPr>
                    <w:rFonts w:ascii="Arial" w:eastAsia="Times New Roman" w:hAnsi="Arial" w:cs="Arial"/>
                    <w:sz w:val="20"/>
                    <w:szCs w:val="24"/>
                    <w:lang w:val="en-GB" w:eastAsia="de-DE"/>
                  </w:rPr>
                  <w:t>Group</w:t>
                </w:r>
              </w:p>
            </w:tc>
          </w:sdtContent>
        </w:sdt>
      </w:tr>
      <w:tr w:rsidR="001D503E" w:rsidRPr="00E57690" w14:paraId="0C9A877B" w14:textId="77777777" w:rsidTr="00B80C0E">
        <w:tc>
          <w:tcPr>
            <w:tcW w:w="3929" w:type="dxa"/>
            <w:shd w:val="clear" w:color="auto" w:fill="auto"/>
          </w:tcPr>
          <w:p w14:paraId="47BD2D33" w14:textId="77777777" w:rsidR="001D503E" w:rsidRPr="00013D66" w:rsidRDefault="001D503E" w:rsidP="001D503E">
            <w:pPr>
              <w:spacing w:after="0" w:line="240" w:lineRule="auto"/>
              <w:rPr>
                <w:rFonts w:ascii="Arial" w:eastAsia="Times New Roman" w:hAnsi="Arial" w:cs="Arial"/>
                <w:szCs w:val="24"/>
                <w:lang w:val="en-GB" w:eastAsia="de-DE"/>
              </w:rPr>
            </w:pPr>
            <w:r w:rsidRPr="00013D66">
              <w:rPr>
                <w:rFonts w:ascii="Arial" w:eastAsia="Times New Roman" w:hAnsi="Arial" w:cs="Arial"/>
                <w:szCs w:val="24"/>
                <w:lang w:val="en-GB" w:eastAsia="de-DE"/>
              </w:rPr>
              <w:t>Activity</w:t>
            </w:r>
          </w:p>
        </w:tc>
        <w:tc>
          <w:tcPr>
            <w:tcW w:w="5595" w:type="dxa"/>
            <w:shd w:val="clear" w:color="auto" w:fill="auto"/>
          </w:tcPr>
          <w:p w14:paraId="3F7BD4AB" w14:textId="50E0B9B7" w:rsidR="001D503E" w:rsidRPr="00013D66" w:rsidRDefault="000A5A8F" w:rsidP="000D0FB5">
            <w:pPr>
              <w:spacing w:after="0" w:line="240" w:lineRule="auto"/>
              <w:rPr>
                <w:rFonts w:ascii="Arial" w:eastAsia="Times New Roman" w:hAnsi="Arial" w:cs="Arial"/>
                <w:sz w:val="20"/>
                <w:szCs w:val="24"/>
                <w:lang w:val="en-GB" w:eastAsia="de-DE"/>
              </w:rPr>
            </w:pPr>
            <w:sdt>
              <w:sdtPr>
                <w:rPr>
                  <w:rFonts w:ascii="Arial" w:eastAsia="Times New Roman" w:hAnsi="Arial" w:cs="Arial"/>
                  <w:sz w:val="20"/>
                  <w:szCs w:val="24"/>
                  <w:lang w:val="en-GB" w:eastAsia="de-DE"/>
                </w:rPr>
                <w:alias w:val="Activity"/>
                <w:tag w:val="Activity"/>
                <w:id w:val="-1255357665"/>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0D0FB5">
                  <w:rPr>
                    <w:rFonts w:ascii="Arial" w:eastAsia="Times New Roman" w:hAnsi="Arial" w:cs="Arial"/>
                    <w:sz w:val="20"/>
                    <w:szCs w:val="24"/>
                    <w:lang w:val="en-GB" w:eastAsia="de-DE"/>
                  </w:rPr>
                  <w:t>Regulated markets/Exchanges/Trading Systems</w:t>
                </w:r>
              </w:sdtContent>
            </w:sdt>
          </w:p>
        </w:tc>
      </w:tr>
      <w:tr w:rsidR="001D503E" w:rsidRPr="00013D66" w14:paraId="4437AB28" w14:textId="77777777" w:rsidTr="00B80C0E">
        <w:tc>
          <w:tcPr>
            <w:tcW w:w="3929" w:type="dxa"/>
            <w:shd w:val="clear" w:color="auto" w:fill="auto"/>
          </w:tcPr>
          <w:p w14:paraId="1F4C279E" w14:textId="77777777" w:rsidR="001D503E" w:rsidRPr="00013D66" w:rsidRDefault="001D503E" w:rsidP="001D503E">
            <w:pPr>
              <w:spacing w:after="0" w:line="240" w:lineRule="auto"/>
              <w:rPr>
                <w:rFonts w:ascii="Arial" w:eastAsia="Times New Roman" w:hAnsi="Arial" w:cs="Arial"/>
                <w:szCs w:val="24"/>
                <w:lang w:val="en-GB" w:eastAsia="de-DE"/>
              </w:rPr>
            </w:pPr>
            <w:r w:rsidRPr="00013D66">
              <w:rPr>
                <w:rFonts w:ascii="Arial" w:eastAsia="Times New Roman" w:hAnsi="Arial" w:cs="Arial"/>
                <w:szCs w:val="24"/>
                <w:lang w:val="en-GB" w:eastAsia="de-DE"/>
              </w:rPr>
              <w:t>Are you representing an association?</w:t>
            </w:r>
          </w:p>
        </w:tc>
        <w:sdt>
          <w:sdtPr>
            <w:rPr>
              <w:rFonts w:ascii="Arial" w:eastAsia="Times New Roman" w:hAnsi="Arial" w:cs="Arial"/>
              <w:sz w:val="20"/>
              <w:szCs w:val="24"/>
              <w:lang w:val="en-GB" w:eastAsia="de-DE"/>
            </w:rPr>
            <w:id w:val="-226150188"/>
            <w14:checkbox>
              <w14:checked w14:val="0"/>
              <w14:checkedState w14:val="2612" w14:font="MS Gothic"/>
              <w14:uncheckedState w14:val="2610" w14:font="MS Gothic"/>
            </w14:checkbox>
          </w:sdtPr>
          <w:sdtEndPr/>
          <w:sdtContent>
            <w:tc>
              <w:tcPr>
                <w:tcW w:w="5595" w:type="dxa"/>
                <w:shd w:val="clear" w:color="auto" w:fill="auto"/>
              </w:tcPr>
              <w:p w14:paraId="47989923" w14:textId="77777777"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Segoe UI Symbol" w:eastAsia="Times New Roman" w:hAnsi="Segoe UI Symbol" w:cs="Segoe UI Symbol"/>
                    <w:sz w:val="20"/>
                    <w:szCs w:val="24"/>
                    <w:lang w:val="en-GB" w:eastAsia="de-DE"/>
                  </w:rPr>
                  <w:t>☐</w:t>
                </w:r>
              </w:p>
            </w:tc>
          </w:sdtContent>
        </w:sdt>
      </w:tr>
      <w:tr w:rsidR="001D503E" w:rsidRPr="00013D66" w14:paraId="755A88E2" w14:textId="77777777" w:rsidTr="00B80C0E">
        <w:tc>
          <w:tcPr>
            <w:tcW w:w="3929" w:type="dxa"/>
            <w:shd w:val="clear" w:color="auto" w:fill="auto"/>
          </w:tcPr>
          <w:p w14:paraId="26ADF666" w14:textId="77777777" w:rsidR="001D503E" w:rsidRPr="00013D66" w:rsidRDefault="001D503E" w:rsidP="001D503E">
            <w:pPr>
              <w:spacing w:after="0" w:line="240" w:lineRule="auto"/>
              <w:rPr>
                <w:rFonts w:ascii="Arial" w:eastAsia="Times New Roman" w:hAnsi="Arial" w:cs="Arial"/>
                <w:szCs w:val="24"/>
                <w:lang w:val="en-GB" w:eastAsia="de-DE"/>
              </w:rPr>
            </w:pPr>
            <w:r w:rsidRPr="00013D66">
              <w:rPr>
                <w:rFonts w:ascii="Arial" w:eastAsia="Times New Roman" w:hAnsi="Arial" w:cs="Arial"/>
                <w:szCs w:val="24"/>
                <w:lang w:val="en-GB" w:eastAsia="de-DE"/>
              </w:rPr>
              <w:t>Country/Region</w:t>
            </w:r>
          </w:p>
        </w:tc>
        <w:sdt>
          <w:sdtPr>
            <w:rPr>
              <w:rFonts w:ascii="Arial" w:eastAsia="Times New Roman" w:hAnsi="Arial" w:cs="Arial"/>
              <w:sz w:val="20"/>
              <w:szCs w:val="24"/>
              <w:lang w:val="en-GB" w:eastAsia="de-DE"/>
            </w:rPr>
            <w:alias w:val="Country"/>
            <w:tag w:val="Country"/>
            <w:id w:val="1761644368"/>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7AD26ADD" w14:textId="090DBFBB" w:rsidR="001D503E" w:rsidRPr="00013D66" w:rsidRDefault="00E1491A" w:rsidP="001D503E">
                <w:pPr>
                  <w:spacing w:after="0" w:line="240" w:lineRule="auto"/>
                  <w:rPr>
                    <w:rFonts w:ascii="Arial" w:eastAsia="Times New Roman" w:hAnsi="Arial" w:cs="Arial"/>
                    <w:sz w:val="20"/>
                    <w:szCs w:val="24"/>
                    <w:lang w:val="en-GB" w:eastAsia="de-DE"/>
                  </w:rPr>
                </w:pPr>
                <w:r>
                  <w:rPr>
                    <w:rFonts w:ascii="Arial" w:eastAsia="Times New Roman" w:hAnsi="Arial" w:cs="Arial"/>
                    <w:sz w:val="20"/>
                    <w:szCs w:val="24"/>
                    <w:lang w:val="en-GB" w:eastAsia="de-DE"/>
                  </w:rPr>
                  <w:t>Germany</w:t>
                </w:r>
              </w:p>
            </w:tc>
          </w:sdtContent>
        </w:sdt>
      </w:tr>
    </w:tbl>
    <w:p w14:paraId="2D4235D2" w14:textId="77777777" w:rsidR="001D503E" w:rsidRPr="00013D66" w:rsidRDefault="001D503E" w:rsidP="001D503E">
      <w:pPr>
        <w:spacing w:after="120" w:line="264" w:lineRule="auto"/>
        <w:rPr>
          <w:rFonts w:ascii="Arial" w:eastAsia="Times New Roman" w:hAnsi="Arial" w:cs="Arial"/>
          <w:sz w:val="20"/>
          <w:szCs w:val="24"/>
          <w:lang w:val="en-GB" w:eastAsia="de-DE"/>
        </w:rPr>
      </w:pPr>
    </w:p>
    <w:p w14:paraId="60178C88" w14:textId="77777777" w:rsidR="001D503E" w:rsidRPr="00013D66" w:rsidRDefault="001D503E" w:rsidP="001D503E">
      <w:pPr>
        <w:spacing w:after="120" w:line="264" w:lineRule="auto"/>
        <w:rPr>
          <w:rFonts w:ascii="Arial" w:eastAsia="Times New Roman" w:hAnsi="Arial" w:cs="Arial"/>
          <w:sz w:val="20"/>
          <w:szCs w:val="24"/>
          <w:lang w:val="en-GB" w:eastAsia="de-DE"/>
        </w:rPr>
      </w:pPr>
    </w:p>
    <w:p w14:paraId="0277360B" w14:textId="77777777" w:rsidR="001D503E" w:rsidRPr="00013D66" w:rsidRDefault="001D503E" w:rsidP="001D503E">
      <w:pPr>
        <w:keepNext/>
        <w:spacing w:before="240" w:after="60" w:line="240" w:lineRule="auto"/>
        <w:ind w:left="431" w:hanging="431"/>
        <w:outlineLvl w:val="0"/>
        <w:rPr>
          <w:rFonts w:ascii="Arial" w:eastAsia="Times New Roman" w:hAnsi="Arial" w:cs="Arial"/>
          <w:b/>
          <w:bCs/>
          <w:kern w:val="32"/>
          <w:sz w:val="24"/>
          <w:szCs w:val="32"/>
          <w:lang w:val="en-GB" w:eastAsia="de-DE"/>
        </w:rPr>
      </w:pPr>
      <w:r w:rsidRPr="00013D66">
        <w:rPr>
          <w:rFonts w:ascii="Arial" w:eastAsia="Times New Roman" w:hAnsi="Arial" w:cs="Arial"/>
          <w:b/>
          <w:bCs/>
          <w:kern w:val="32"/>
          <w:sz w:val="24"/>
          <w:szCs w:val="32"/>
          <w:lang w:val="en-GB" w:eastAsia="de-DE"/>
        </w:rPr>
        <w:t>Introduction</w:t>
      </w:r>
    </w:p>
    <w:p w14:paraId="32610868" w14:textId="77777777" w:rsidR="001D503E" w:rsidRPr="00013D66" w:rsidRDefault="001D503E" w:rsidP="001D503E">
      <w:pPr>
        <w:spacing w:after="0" w:line="240" w:lineRule="auto"/>
        <w:rPr>
          <w:rFonts w:ascii="Arial" w:eastAsia="Times New Roman" w:hAnsi="Arial" w:cs="Arial"/>
          <w:b/>
          <w:bCs/>
          <w:i/>
          <w:iCs/>
          <w:sz w:val="20"/>
          <w:szCs w:val="24"/>
          <w:lang w:val="en-GB" w:eastAsia="de-DE"/>
        </w:rPr>
      </w:pPr>
      <w:r w:rsidRPr="00013D66">
        <w:rPr>
          <w:rFonts w:ascii="Arial" w:eastAsia="Times New Roman" w:hAnsi="Arial" w:cs="Arial"/>
          <w:b/>
          <w:bCs/>
          <w:i/>
          <w:iCs/>
          <w:sz w:val="20"/>
          <w:szCs w:val="24"/>
          <w:lang w:val="en-GB" w:eastAsia="de-DE"/>
        </w:rPr>
        <w:t>Please make your introductory comments below, if any:</w:t>
      </w:r>
    </w:p>
    <w:p w14:paraId="4F8C5167" w14:textId="77777777" w:rsidR="001D503E" w:rsidRPr="00013D66" w:rsidRDefault="001D503E" w:rsidP="001D503E">
      <w:pPr>
        <w:spacing w:after="0" w:line="240" w:lineRule="auto"/>
        <w:rPr>
          <w:rFonts w:ascii="Arial" w:eastAsia="Times New Roman" w:hAnsi="Arial" w:cs="Arial"/>
          <w:sz w:val="20"/>
          <w:szCs w:val="24"/>
          <w:lang w:val="en-GB" w:eastAsia="de-DE"/>
        </w:rPr>
      </w:pPr>
    </w:p>
    <w:p w14:paraId="551BC22B" w14:textId="77777777" w:rsidR="001D503E" w:rsidRPr="00B87724" w:rsidRDefault="001D503E" w:rsidP="001D503E">
      <w:pPr>
        <w:spacing w:after="0" w:line="240" w:lineRule="auto"/>
        <w:rPr>
          <w:rFonts w:ascii="Arial" w:eastAsia="Times New Roman" w:hAnsi="Arial" w:cs="Arial"/>
          <w:sz w:val="20"/>
          <w:szCs w:val="24"/>
          <w:lang w:val="en-US" w:eastAsia="de-DE"/>
        </w:rPr>
      </w:pPr>
      <w:r w:rsidRPr="00B87724">
        <w:rPr>
          <w:rFonts w:ascii="Arial" w:eastAsia="Times New Roman" w:hAnsi="Arial" w:cs="Arial"/>
          <w:sz w:val="20"/>
          <w:szCs w:val="24"/>
          <w:lang w:val="en-US" w:eastAsia="de-DE"/>
        </w:rPr>
        <w:t>&lt;ESMA_COMMENT_CP_MIFID_NQT_1&gt;</w:t>
      </w:r>
    </w:p>
    <w:p w14:paraId="2E24BCBA" w14:textId="77777777" w:rsidR="000D0FB5" w:rsidRPr="00B87724" w:rsidRDefault="000D0FB5" w:rsidP="008667F5">
      <w:pPr>
        <w:spacing w:after="0" w:line="240" w:lineRule="auto"/>
        <w:rPr>
          <w:rFonts w:ascii="Arial" w:eastAsia="Times New Roman" w:hAnsi="Arial" w:cs="Arial"/>
          <w:sz w:val="20"/>
          <w:szCs w:val="24"/>
          <w:lang w:val="en-US" w:eastAsia="de-DE"/>
        </w:rPr>
      </w:pPr>
    </w:p>
    <w:p w14:paraId="5A11F3AB" w14:textId="0F9C2014" w:rsidR="00E9702E" w:rsidRDefault="00E9702E" w:rsidP="001042F7">
      <w:pPr>
        <w:jc w:val="both"/>
        <w:rPr>
          <w:lang w:val="en-US" w:eastAsia="de-DE"/>
        </w:rPr>
      </w:pPr>
      <w:bookmarkStart w:id="3" w:name="_Hlk36220840"/>
      <w:r w:rsidRPr="00E9702E">
        <w:rPr>
          <w:lang w:val="en-US" w:eastAsia="de-DE"/>
        </w:rPr>
        <w:t>European Energy Exchange (EEX) G</w:t>
      </w:r>
      <w:r>
        <w:rPr>
          <w:lang w:val="en-US" w:eastAsia="de-DE"/>
        </w:rPr>
        <w:t>roup appreciates the opportunity to respond to ESMA’s consultation on its MiFID II/</w:t>
      </w:r>
      <w:proofErr w:type="spellStart"/>
      <w:r>
        <w:rPr>
          <w:lang w:val="en-US" w:eastAsia="de-DE"/>
        </w:rPr>
        <w:t>MiFIR</w:t>
      </w:r>
      <w:proofErr w:type="spellEnd"/>
      <w:r>
        <w:rPr>
          <w:lang w:val="en-US" w:eastAsia="de-DE"/>
        </w:rPr>
        <w:t xml:space="preserve"> review report on the transparency regime for non-equity and the trading obligations for derivatives. </w:t>
      </w:r>
    </w:p>
    <w:p w14:paraId="57CDD8AD" w14:textId="43EEF416" w:rsidR="00E9702E" w:rsidRDefault="00E9702E" w:rsidP="001042F7">
      <w:pPr>
        <w:jc w:val="both"/>
        <w:rPr>
          <w:lang w:val="en-US" w:eastAsia="de-DE"/>
        </w:rPr>
      </w:pPr>
      <w:r w:rsidRPr="00E1491A">
        <w:rPr>
          <w:lang w:val="en-US" w:eastAsia="de-DE"/>
        </w:rPr>
        <w:t xml:space="preserve">In general, </w:t>
      </w:r>
      <w:r>
        <w:rPr>
          <w:lang w:val="en-US" w:eastAsia="de-DE"/>
        </w:rPr>
        <w:t>we agree with ESMA’s conclusion that the objective of MiFID II/</w:t>
      </w:r>
      <w:proofErr w:type="spellStart"/>
      <w:r>
        <w:rPr>
          <w:lang w:val="en-US" w:eastAsia="de-DE"/>
        </w:rPr>
        <w:t>MiFIR</w:t>
      </w:r>
      <w:proofErr w:type="spellEnd"/>
      <w:r>
        <w:rPr>
          <w:lang w:val="en-US" w:eastAsia="de-DE"/>
        </w:rPr>
        <w:t xml:space="preserve"> to increase transparency has not yet fully materialized when looking at the market share of transactions being made off-venue or subject to a waiver or respectively deferred publication. However, in certain asset classes, particularly commodity derivatives,</w:t>
      </w:r>
      <w:r>
        <w:rPr>
          <w:lang w:val="en-GB" w:eastAsia="de-DE"/>
        </w:rPr>
        <w:t xml:space="preserve"> t</w:t>
      </w:r>
      <w:r w:rsidRPr="0051116D">
        <w:rPr>
          <w:lang w:val="en-GB" w:eastAsia="de-DE"/>
        </w:rPr>
        <w:t xml:space="preserve">he overall pre-trade transparency regime is </w:t>
      </w:r>
      <w:r>
        <w:rPr>
          <w:lang w:val="en-GB" w:eastAsia="de-DE"/>
        </w:rPr>
        <w:t xml:space="preserve">currently </w:t>
      </w:r>
      <w:r w:rsidRPr="0051116D">
        <w:rPr>
          <w:lang w:val="en-GB" w:eastAsia="de-DE"/>
        </w:rPr>
        <w:t xml:space="preserve">not effective as </w:t>
      </w:r>
      <w:r>
        <w:rPr>
          <w:lang w:val="en-GB" w:eastAsia="de-DE"/>
        </w:rPr>
        <w:t xml:space="preserve">the qualification of </w:t>
      </w:r>
      <w:r w:rsidRPr="0051116D">
        <w:rPr>
          <w:lang w:val="en-GB" w:eastAsia="de-DE"/>
        </w:rPr>
        <w:t xml:space="preserve">too many </w:t>
      </w:r>
      <w:r>
        <w:rPr>
          <w:lang w:val="en-GB" w:eastAsia="de-DE"/>
        </w:rPr>
        <w:t>instruments</w:t>
      </w:r>
      <w:r w:rsidRPr="0051116D">
        <w:rPr>
          <w:lang w:val="en-GB" w:eastAsia="de-DE"/>
        </w:rPr>
        <w:t xml:space="preserve"> as liquid or illiquid</w:t>
      </w:r>
      <w:r>
        <w:rPr>
          <w:lang w:val="en-GB" w:eastAsia="de-DE"/>
        </w:rPr>
        <w:t xml:space="preserve"> is false</w:t>
      </w:r>
      <w:r w:rsidRPr="0051116D">
        <w:rPr>
          <w:lang w:val="en-GB" w:eastAsia="de-DE"/>
        </w:rPr>
        <w:t xml:space="preserve">. </w:t>
      </w:r>
      <w:r>
        <w:rPr>
          <w:lang w:val="en-US" w:eastAsia="de-DE"/>
        </w:rPr>
        <w:t>Thus, EEX Group</w:t>
      </w:r>
      <w:r w:rsidR="0013214E">
        <w:rPr>
          <w:lang w:val="en-US" w:eastAsia="de-DE"/>
        </w:rPr>
        <w:t xml:space="preserve"> explicitly</w:t>
      </w:r>
      <w:r w:rsidRPr="00E1491A">
        <w:rPr>
          <w:lang w:val="en-US" w:eastAsia="de-DE"/>
        </w:rPr>
        <w:t xml:space="preserve"> welcomes ESMA’s proposals to make the transparency regime for </w:t>
      </w:r>
      <w:r>
        <w:rPr>
          <w:lang w:val="en-US" w:eastAsia="de-DE"/>
        </w:rPr>
        <w:t>non-equities</w:t>
      </w:r>
      <w:r w:rsidRPr="00E1491A">
        <w:rPr>
          <w:lang w:val="en-US" w:eastAsia="de-DE"/>
        </w:rPr>
        <w:t xml:space="preserve"> more efficient</w:t>
      </w:r>
      <w:r>
        <w:rPr>
          <w:lang w:val="en-US" w:eastAsia="de-DE"/>
        </w:rPr>
        <w:t xml:space="preserve">. </w:t>
      </w:r>
    </w:p>
    <w:p w14:paraId="68B56B1F" w14:textId="4116DAEA" w:rsidR="00E9702E" w:rsidRPr="00E1491A" w:rsidRDefault="00E9702E" w:rsidP="001042F7">
      <w:pPr>
        <w:jc w:val="both"/>
        <w:rPr>
          <w:lang w:val="en-US" w:eastAsia="de-DE"/>
        </w:rPr>
      </w:pPr>
      <w:r>
        <w:rPr>
          <w:lang w:val="en-US" w:eastAsia="de-DE"/>
        </w:rPr>
        <w:t>Most importantly, any</w:t>
      </w:r>
      <w:r w:rsidRPr="00E1491A">
        <w:rPr>
          <w:lang w:val="en-US" w:eastAsia="de-DE"/>
        </w:rPr>
        <w:t xml:space="preserve"> changes to </w:t>
      </w:r>
      <w:r>
        <w:rPr>
          <w:lang w:val="en-US" w:eastAsia="de-DE"/>
        </w:rPr>
        <w:t>pre- and post-trade</w:t>
      </w:r>
      <w:r w:rsidRPr="00E1491A">
        <w:rPr>
          <w:lang w:val="en-US" w:eastAsia="de-DE"/>
        </w:rPr>
        <w:t xml:space="preserve"> requirements should cater </w:t>
      </w:r>
      <w:r>
        <w:rPr>
          <w:lang w:val="en-US" w:eastAsia="de-DE"/>
        </w:rPr>
        <w:t xml:space="preserve">for a more tailor-made adoption towards commodity derivatives markets. </w:t>
      </w:r>
      <w:r w:rsidRPr="00E9702E">
        <w:rPr>
          <w:lang w:val="en-GB"/>
        </w:rPr>
        <w:t>Notably</w:t>
      </w:r>
      <w:r w:rsidR="0013214E">
        <w:rPr>
          <w:lang w:val="en-GB"/>
        </w:rPr>
        <w:t>,</w:t>
      </w:r>
      <w:r w:rsidRPr="00E9702E">
        <w:rPr>
          <w:lang w:val="en-GB"/>
        </w:rPr>
        <w:t xml:space="preserve"> the pre-trade transparency regime should better </w:t>
      </w:r>
      <w:proofErr w:type="gramStart"/>
      <w:r w:rsidRPr="00E9702E">
        <w:rPr>
          <w:lang w:val="en-GB"/>
        </w:rPr>
        <w:t>take into account</w:t>
      </w:r>
      <w:proofErr w:type="gramEnd"/>
      <w:r w:rsidRPr="00E9702E">
        <w:rPr>
          <w:lang w:val="en-GB"/>
        </w:rPr>
        <w:t xml:space="preserve"> the fact that non-equity markets are fundamentally different from equity markets, and that there are significant differences across the underlying non-equity markets themselves</w:t>
      </w:r>
      <w:r>
        <w:rPr>
          <w:lang w:val="en-GB"/>
        </w:rPr>
        <w:t>.</w:t>
      </w:r>
      <w:r w:rsidR="001D4D35">
        <w:rPr>
          <w:lang w:val="en-GB"/>
        </w:rPr>
        <w:t xml:space="preserve"> Our response to Q1 explains in more detail the particularities of commodity derivatives markets that should be taken better into account. </w:t>
      </w:r>
    </w:p>
    <w:p w14:paraId="1714AA5E" w14:textId="78AC6155" w:rsidR="001D4D35" w:rsidRDefault="00E9702E" w:rsidP="001042F7">
      <w:pPr>
        <w:jc w:val="both"/>
        <w:rPr>
          <w:lang w:val="en-GB" w:eastAsia="de-DE"/>
        </w:rPr>
      </w:pPr>
      <w:r>
        <w:rPr>
          <w:lang w:val="en-GB" w:eastAsia="de-DE"/>
        </w:rPr>
        <w:t>In this context, w</w:t>
      </w:r>
      <w:r w:rsidRPr="0051116D">
        <w:rPr>
          <w:lang w:val="en-GB" w:eastAsia="de-DE"/>
        </w:rPr>
        <w:t xml:space="preserve">e would like to express our support for several of ESMA’s proposals: </w:t>
      </w:r>
    </w:p>
    <w:p w14:paraId="7C943EAE" w14:textId="36666193" w:rsidR="001D4D35" w:rsidRPr="001042F7" w:rsidRDefault="001D4D35" w:rsidP="001042F7">
      <w:pPr>
        <w:pStyle w:val="ListParagraph"/>
        <w:numPr>
          <w:ilvl w:val="0"/>
          <w:numId w:val="2"/>
        </w:numPr>
        <w:jc w:val="both"/>
        <w:rPr>
          <w:lang w:val="en-GB" w:eastAsia="de-DE"/>
        </w:rPr>
      </w:pPr>
      <w:proofErr w:type="spellStart"/>
      <w:r w:rsidRPr="001042F7">
        <w:rPr>
          <w:lang w:val="en-US"/>
        </w:rPr>
        <w:t>MiFIR</w:t>
      </w:r>
      <w:proofErr w:type="spellEnd"/>
      <w:r w:rsidRPr="001042F7">
        <w:rPr>
          <w:lang w:val="en-US"/>
        </w:rPr>
        <w:t xml:space="preserve"> rightly recognizes that certain exemptions can be granted to trading venues from the general requirement to publish pre-trade transparency data to preserve orderly price discovery processes and allow </w:t>
      </w:r>
      <w:proofErr w:type="gramStart"/>
      <w:r w:rsidRPr="001042F7">
        <w:rPr>
          <w:lang w:val="en-US"/>
        </w:rPr>
        <w:t>in particular illiquid</w:t>
      </w:r>
      <w:proofErr w:type="gramEnd"/>
      <w:r w:rsidRPr="001042F7">
        <w:rPr>
          <w:lang w:val="en-US"/>
        </w:rPr>
        <w:t xml:space="preserve"> and nascent markets to develop. However, the current shortcomings of the illiquid (“IL”) and Large in Scale (“LIS”) waiver thresholds have prevented the pre-trade transparency regime from fully reaching its objectives. It is important for illiquid and nascent markets that thresholds for these waivers are appropriate and that the regime thereby continues to allow these markets a natural move to central order book trading. If – </w:t>
      </w:r>
      <w:proofErr w:type="gramStart"/>
      <w:r w:rsidRPr="001042F7">
        <w:rPr>
          <w:lang w:val="en-US"/>
        </w:rPr>
        <w:t>in particular due</w:t>
      </w:r>
      <w:proofErr w:type="gramEnd"/>
      <w:r w:rsidRPr="001042F7">
        <w:rPr>
          <w:lang w:val="en-US"/>
        </w:rPr>
        <w:t xml:space="preserve"> to lack of liquidity – order book trading is not possible / common, then registration of pre-negotiated trades on regulated exchanges should be promoted as alternative with the highest possible transparency for these markets. </w:t>
      </w:r>
      <w:r w:rsidR="001042F7" w:rsidRPr="001042F7">
        <w:rPr>
          <w:lang w:val="en-US"/>
        </w:rPr>
        <w:t>We therefore</w:t>
      </w:r>
      <w:r w:rsidR="0013214E">
        <w:rPr>
          <w:lang w:val="en-US"/>
        </w:rPr>
        <w:t xml:space="preserve"> support and</w:t>
      </w:r>
      <w:r w:rsidR="001042F7" w:rsidRPr="001042F7">
        <w:rPr>
          <w:lang w:val="en-US"/>
        </w:rPr>
        <w:t xml:space="preserve"> recommend a re-calibration of the ADNA and ADNT and the LIS thresholds. </w:t>
      </w:r>
      <w:r w:rsidRPr="001042F7">
        <w:rPr>
          <w:lang w:val="en-US"/>
        </w:rPr>
        <w:t>(Q29-31)</w:t>
      </w:r>
    </w:p>
    <w:p w14:paraId="338609DE" w14:textId="38356A6B" w:rsidR="0006695D" w:rsidRDefault="0006695D" w:rsidP="001042F7">
      <w:pPr>
        <w:jc w:val="both"/>
        <w:rPr>
          <w:lang w:val="en-GB" w:eastAsia="de-DE"/>
        </w:rPr>
      </w:pPr>
    </w:p>
    <w:p w14:paraId="49A4BF37" w14:textId="1919F10F" w:rsidR="001042F7" w:rsidRPr="001042F7" w:rsidRDefault="0006695D" w:rsidP="001042F7">
      <w:pPr>
        <w:pStyle w:val="ListParagraph"/>
        <w:numPr>
          <w:ilvl w:val="0"/>
          <w:numId w:val="2"/>
        </w:numPr>
        <w:jc w:val="both"/>
        <w:rPr>
          <w:lang w:val="en-GB" w:eastAsia="de-DE"/>
        </w:rPr>
      </w:pPr>
      <w:r w:rsidRPr="001042F7">
        <w:rPr>
          <w:lang w:val="en-US"/>
        </w:rPr>
        <w:lastRenderedPageBreak/>
        <w:t xml:space="preserve">We are supportive of a dedicated negotiated trade waiver for commodity markets, however such a waiver should in no case replace the </w:t>
      </w:r>
      <w:r w:rsidR="0013214E">
        <w:rPr>
          <w:lang w:val="en-US"/>
        </w:rPr>
        <w:t xml:space="preserve">current </w:t>
      </w:r>
      <w:r w:rsidRPr="001042F7">
        <w:rPr>
          <w:lang w:val="en-US"/>
        </w:rPr>
        <w:t xml:space="preserve">hedging exemption. In that case, a more appropriate </w:t>
      </w:r>
      <w:r w:rsidR="0013214E">
        <w:rPr>
          <w:lang w:val="en-US"/>
        </w:rPr>
        <w:t xml:space="preserve">way </w:t>
      </w:r>
      <w:r w:rsidRPr="001042F7">
        <w:rPr>
          <w:lang w:val="en-US"/>
        </w:rPr>
        <w:t xml:space="preserve">forward to answer to the commodity markets’ reality would be to extend the hedging exemption available in Art. 8(1) </w:t>
      </w:r>
      <w:proofErr w:type="spellStart"/>
      <w:r w:rsidRPr="001042F7">
        <w:rPr>
          <w:lang w:val="en-US"/>
        </w:rPr>
        <w:t>MiFIR</w:t>
      </w:r>
      <w:proofErr w:type="spellEnd"/>
      <w:r w:rsidRPr="001042F7">
        <w:rPr>
          <w:lang w:val="en-US"/>
        </w:rPr>
        <w:t xml:space="preserve"> to cover all market participants managing risks arising from activity in the physical market, including financial counterparties. (Q5)</w:t>
      </w:r>
    </w:p>
    <w:p w14:paraId="07C0942F" w14:textId="77777777" w:rsidR="001042F7" w:rsidRPr="001042F7" w:rsidRDefault="001042F7" w:rsidP="001042F7">
      <w:pPr>
        <w:pStyle w:val="ListParagraph"/>
        <w:rPr>
          <w:lang w:val="en-GB" w:eastAsia="de-DE"/>
        </w:rPr>
      </w:pPr>
    </w:p>
    <w:p w14:paraId="29CD7240" w14:textId="16D5D32E" w:rsidR="001042F7" w:rsidRPr="001042F7" w:rsidRDefault="001042F7" w:rsidP="001042F7">
      <w:pPr>
        <w:pStyle w:val="ListParagraph"/>
        <w:numPr>
          <w:ilvl w:val="0"/>
          <w:numId w:val="2"/>
        </w:numPr>
        <w:jc w:val="both"/>
        <w:rPr>
          <w:lang w:val="en-GB" w:eastAsia="de-DE"/>
        </w:rPr>
      </w:pPr>
      <w:r w:rsidRPr="001042F7">
        <w:rPr>
          <w:lang w:val="en-GB" w:eastAsia="de-DE"/>
        </w:rPr>
        <w:t>The segmentation criteria for commodity derivatives would merit from more granularity. In addition, we support proposals SC1 and SC2 for the added benefit of making data more comparable and would like to reiterate our proposal to separate liquidity assessments by trading venue. Importantly, any change in the segmentation criteria should be implemented with a generous timeline and work solely in a forward-looking way. (Q30)</w:t>
      </w:r>
    </w:p>
    <w:p w14:paraId="4FA2D4C3" w14:textId="77777777" w:rsidR="001042F7" w:rsidRPr="001042F7" w:rsidRDefault="001042F7" w:rsidP="001042F7">
      <w:pPr>
        <w:pStyle w:val="ListParagraph"/>
        <w:rPr>
          <w:lang w:val="en-GB" w:eastAsia="de-DE"/>
        </w:rPr>
      </w:pPr>
    </w:p>
    <w:p w14:paraId="2E10BB72" w14:textId="5F0CA408" w:rsidR="000F4F50" w:rsidRPr="001042F7" w:rsidRDefault="000F4F50" w:rsidP="001042F7">
      <w:pPr>
        <w:pStyle w:val="ListParagraph"/>
        <w:numPr>
          <w:ilvl w:val="0"/>
          <w:numId w:val="2"/>
        </w:numPr>
        <w:jc w:val="both"/>
        <w:rPr>
          <w:lang w:val="en-GB" w:eastAsia="de-DE"/>
        </w:rPr>
      </w:pPr>
      <w:r w:rsidRPr="001042F7">
        <w:rPr>
          <w:lang w:val="en-GB" w:eastAsia="de-DE"/>
        </w:rPr>
        <w:t xml:space="preserve">We understand that the definitions in Annex 1 of RTS 2 do not capture all available trading systems. However, having an opinion issued by ESMA every time a potentially new trading system is introduced, will in our eyes put undue stress on ESMA’s resources and bears the risk to delay innovation and could result in longer periods of trading in less transparent and regulated environments. A sensible way forward could be to </w:t>
      </w:r>
      <w:r w:rsidR="001042F7" w:rsidRPr="001042F7">
        <w:rPr>
          <w:lang w:val="en-GB" w:eastAsia="de-DE"/>
        </w:rPr>
        <w:t>extend the existent definitions of trading systems to cover variations of the initial system types. The transparency requirement for such variation systems should</w:t>
      </w:r>
      <w:r w:rsidR="0013214E">
        <w:rPr>
          <w:lang w:val="en-GB" w:eastAsia="de-DE"/>
        </w:rPr>
        <w:t xml:space="preserve"> </w:t>
      </w:r>
      <w:r w:rsidR="001042F7" w:rsidRPr="001042F7">
        <w:rPr>
          <w:lang w:val="en-GB" w:eastAsia="de-DE"/>
        </w:rPr>
        <w:t xml:space="preserve">be sufficiently amended, reflecting the fact that it might prove difficult to provide the same level of transparency. </w:t>
      </w:r>
      <w:r w:rsidR="0013214E">
        <w:rPr>
          <w:lang w:val="en-GB" w:eastAsia="de-DE"/>
        </w:rPr>
        <w:t>EEX Group</w:t>
      </w:r>
      <w:r w:rsidR="001042F7" w:rsidRPr="001042F7">
        <w:rPr>
          <w:lang w:val="en-GB" w:eastAsia="de-DE"/>
        </w:rPr>
        <w:t xml:space="preserve"> could see merit in the proposed ESMA opinions on new trading systems as a complementary solution, where they cover system types which are in no way variations of the definitions listed in Annex 1. (Q6)</w:t>
      </w:r>
    </w:p>
    <w:p w14:paraId="681BF8BC" w14:textId="77777777" w:rsidR="001042F7" w:rsidRPr="001042F7" w:rsidRDefault="001042F7" w:rsidP="001042F7">
      <w:pPr>
        <w:pStyle w:val="ListParagraph"/>
        <w:rPr>
          <w:lang w:val="en-US"/>
        </w:rPr>
      </w:pPr>
    </w:p>
    <w:p w14:paraId="720D3FE1" w14:textId="2C6C8343" w:rsidR="0006695D" w:rsidRPr="001042F7" w:rsidRDefault="0006695D" w:rsidP="001042F7">
      <w:pPr>
        <w:pStyle w:val="ListParagraph"/>
        <w:numPr>
          <w:ilvl w:val="0"/>
          <w:numId w:val="2"/>
        </w:numPr>
        <w:jc w:val="both"/>
        <w:rPr>
          <w:lang w:val="en-GB" w:eastAsia="de-DE"/>
        </w:rPr>
      </w:pPr>
      <w:r w:rsidRPr="001042F7">
        <w:rPr>
          <w:lang w:val="en-US"/>
        </w:rPr>
        <w:t xml:space="preserve">We support the assumption that particularly for trade sizes below the LIS thresholds, currently benefitting from the SSTI waiver, pre-trade transparency </w:t>
      </w:r>
      <w:r w:rsidR="0013214E">
        <w:rPr>
          <w:lang w:val="en-US"/>
        </w:rPr>
        <w:t>could</w:t>
      </w:r>
      <w:r w:rsidRPr="001042F7">
        <w:rPr>
          <w:lang w:val="en-US"/>
        </w:rPr>
        <w:t xml:space="preserve"> be </w:t>
      </w:r>
      <w:proofErr w:type="gramStart"/>
      <w:r w:rsidRPr="001042F7">
        <w:rPr>
          <w:lang w:val="en-US"/>
        </w:rPr>
        <w:t>increased</w:t>
      </w:r>
      <w:proofErr w:type="gramEnd"/>
      <w:r w:rsidRPr="001042F7">
        <w:rPr>
          <w:lang w:val="en-US"/>
        </w:rPr>
        <w:t xml:space="preserve"> and complexity reduced. We in return advocate to re-calibrate ESMA’s current methodology to determine LIS-thresholds where appropriate. (Q3)</w:t>
      </w:r>
    </w:p>
    <w:bookmarkEnd w:id="3"/>
    <w:p w14:paraId="53B81B37" w14:textId="171E312D" w:rsidR="005710E2" w:rsidRPr="00DA1719" w:rsidRDefault="001D4D35" w:rsidP="00DA1719">
      <w:pPr>
        <w:jc w:val="both"/>
        <w:rPr>
          <w:lang w:val="en-US"/>
        </w:rPr>
      </w:pPr>
      <w:r>
        <w:rPr>
          <w:lang w:val="en-US" w:eastAsia="de-DE"/>
        </w:rPr>
        <w:t xml:space="preserve">In sum, </w:t>
      </w:r>
      <w:r>
        <w:rPr>
          <w:lang w:val="en-US"/>
        </w:rPr>
        <w:t>w</w:t>
      </w:r>
      <w:r w:rsidRPr="00371C07">
        <w:rPr>
          <w:lang w:val="en-US"/>
        </w:rPr>
        <w:t xml:space="preserve">e explicitly welcome that ESMA stands ready to review the current design of the pre-trade transparency regime for commodity derivatives </w:t>
      </w:r>
      <w:r w:rsidR="0013214E">
        <w:rPr>
          <w:lang w:val="en-US"/>
        </w:rPr>
        <w:t>markets</w:t>
      </w:r>
      <w:r w:rsidRPr="00371C07">
        <w:rPr>
          <w:lang w:val="en-US"/>
        </w:rPr>
        <w:t xml:space="preserve"> on both </w:t>
      </w:r>
      <w:r w:rsidR="0013214E">
        <w:rPr>
          <w:lang w:val="en-US"/>
        </w:rPr>
        <w:t>l</w:t>
      </w:r>
      <w:r w:rsidRPr="00371C07">
        <w:rPr>
          <w:lang w:val="en-US"/>
        </w:rPr>
        <w:t>evel 1 and</w:t>
      </w:r>
      <w:r w:rsidR="0013214E">
        <w:rPr>
          <w:lang w:val="en-US"/>
        </w:rPr>
        <w:t xml:space="preserve"> level</w:t>
      </w:r>
      <w:r w:rsidRPr="00371C07">
        <w:rPr>
          <w:lang w:val="en-US"/>
        </w:rPr>
        <w:t xml:space="preserve"> 2. An appropriate</w:t>
      </w:r>
      <w:r>
        <w:rPr>
          <w:lang w:val="en-US"/>
        </w:rPr>
        <w:t>ly</w:t>
      </w:r>
      <w:r w:rsidRPr="00371C07">
        <w:rPr>
          <w:lang w:val="en-US"/>
        </w:rPr>
        <w:t xml:space="preserve"> tailored transparency regime would help foster </w:t>
      </w:r>
      <w:r>
        <w:rPr>
          <w:lang w:val="en-US"/>
        </w:rPr>
        <w:t>competitive E</w:t>
      </w:r>
      <w:r w:rsidR="001042F7">
        <w:rPr>
          <w:lang w:val="en-US"/>
        </w:rPr>
        <w:t>U</w:t>
      </w:r>
      <w:r>
        <w:rPr>
          <w:lang w:val="en-US"/>
        </w:rPr>
        <w:t xml:space="preserve"> commodity markets</w:t>
      </w:r>
      <w:r w:rsidRPr="00371C07">
        <w:rPr>
          <w:lang w:val="en-US"/>
        </w:rPr>
        <w:t xml:space="preserve"> and contribute to the international role of the </w:t>
      </w:r>
      <w:r>
        <w:rPr>
          <w:lang w:val="en-US"/>
        </w:rPr>
        <w:t xml:space="preserve">Euro as well as to Europe’s economic recovery. </w:t>
      </w:r>
    </w:p>
    <w:p w14:paraId="611F254F" w14:textId="1B868697" w:rsidR="001D503E" w:rsidRPr="008635E1" w:rsidRDefault="001D503E" w:rsidP="001D503E">
      <w:pPr>
        <w:spacing w:after="0" w:line="240" w:lineRule="auto"/>
        <w:rPr>
          <w:rFonts w:ascii="Arial" w:eastAsia="Times New Roman" w:hAnsi="Arial" w:cs="Arial"/>
          <w:sz w:val="20"/>
          <w:szCs w:val="24"/>
          <w:lang w:val="fr-FR" w:eastAsia="de-DE"/>
        </w:rPr>
      </w:pPr>
      <w:r w:rsidRPr="008635E1">
        <w:rPr>
          <w:rFonts w:ascii="Arial" w:eastAsia="Times New Roman" w:hAnsi="Arial" w:cs="Arial"/>
          <w:sz w:val="20"/>
          <w:szCs w:val="24"/>
          <w:lang w:val="fr-FR" w:eastAsia="de-DE"/>
        </w:rPr>
        <w:t>&lt;ESMA_COMMENT_CP_MIFID_NQT_1&gt;</w:t>
      </w:r>
    </w:p>
    <w:p w14:paraId="02E72B22" w14:textId="77777777" w:rsidR="001D503E" w:rsidRPr="008635E1" w:rsidRDefault="001D503E" w:rsidP="001D503E">
      <w:pPr>
        <w:spacing w:after="0" w:line="240" w:lineRule="auto"/>
        <w:rPr>
          <w:rFonts w:ascii="Arial" w:eastAsia="Times New Roman" w:hAnsi="Arial" w:cs="Arial"/>
          <w:b/>
          <w:szCs w:val="20"/>
          <w:lang w:val="fr-FR"/>
        </w:rPr>
      </w:pPr>
      <w:r w:rsidRPr="008635E1">
        <w:rPr>
          <w:rFonts w:ascii="Arial" w:eastAsia="Times New Roman" w:hAnsi="Arial" w:cs="Arial"/>
          <w:sz w:val="20"/>
          <w:szCs w:val="24"/>
          <w:lang w:val="fr-FR" w:eastAsia="de-DE"/>
        </w:rPr>
        <w:br w:type="page"/>
      </w:r>
    </w:p>
    <w:p w14:paraId="796E6C3F" w14:textId="43E6A613"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lastRenderedPageBreak/>
        <w:t>What benefits or impacts would you see in increased pre-trade transparency in the different non-equity markets? How could the benefits/impacts of such pre-trade transparency be achieved/be mitigated via changes of the Level 1 text?</w:t>
      </w:r>
    </w:p>
    <w:p w14:paraId="1C3BB63C" w14:textId="77777777"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&lt;ESMA_QUESTION_CP_MIFID_NQT_1&gt;</w:t>
      </w:r>
    </w:p>
    <w:p w14:paraId="5F411860" w14:textId="77777777" w:rsidR="004910E9" w:rsidRPr="00013D66" w:rsidRDefault="004910E9" w:rsidP="001D503E">
      <w:pPr>
        <w:spacing w:after="0" w:line="240" w:lineRule="auto"/>
        <w:rPr>
          <w:rFonts w:ascii="Arial" w:eastAsia="Times New Roman" w:hAnsi="Arial" w:cs="Arial"/>
          <w:sz w:val="20"/>
          <w:szCs w:val="24"/>
          <w:lang w:val="en-GB" w:eastAsia="de-DE"/>
        </w:rPr>
      </w:pPr>
    </w:p>
    <w:p w14:paraId="06AA875F" w14:textId="74F65E7F" w:rsidR="000D0FB5" w:rsidRPr="005F5685" w:rsidRDefault="005F5685" w:rsidP="005F5685">
      <w:pPr>
        <w:jc w:val="both"/>
        <w:rPr>
          <w:lang w:val="en-US"/>
        </w:rPr>
      </w:pPr>
      <w:r>
        <w:rPr>
          <w:lang w:val="en-US"/>
        </w:rPr>
        <w:t>EEX Group</w:t>
      </w:r>
      <w:r w:rsidR="0021213E" w:rsidRPr="005F5685">
        <w:rPr>
          <w:lang w:val="en-US"/>
        </w:rPr>
        <w:t xml:space="preserve"> appreciates the level 1 text of pre-trade transparency and the need for different waiver possibilities</w:t>
      </w:r>
      <w:r w:rsidR="00F923B7" w:rsidRPr="005F5685">
        <w:rPr>
          <w:lang w:val="en-US"/>
        </w:rPr>
        <w:t xml:space="preserve">. </w:t>
      </w:r>
      <w:r>
        <w:rPr>
          <w:lang w:val="en-US"/>
        </w:rPr>
        <w:t>We</w:t>
      </w:r>
      <w:r w:rsidR="00F923B7" w:rsidRPr="005F5685">
        <w:rPr>
          <w:lang w:val="en-US"/>
        </w:rPr>
        <w:t xml:space="preserve"> also</w:t>
      </w:r>
      <w:r w:rsidR="0021213E" w:rsidRPr="005F5685">
        <w:rPr>
          <w:lang w:val="en-US"/>
        </w:rPr>
        <w:t xml:space="preserve"> acknowledge the degree of complexity that comes with the different waiver possibilities and understand that a simplification of the complex framework </w:t>
      </w:r>
      <w:r w:rsidR="0013214E">
        <w:rPr>
          <w:lang w:val="en-US"/>
        </w:rPr>
        <w:t>could</w:t>
      </w:r>
      <w:r w:rsidR="0021213E" w:rsidRPr="005F5685">
        <w:rPr>
          <w:lang w:val="en-US"/>
        </w:rPr>
        <w:t xml:space="preserve"> bring benefits for market participants, infrastructure providers and regulators alike. </w:t>
      </w:r>
    </w:p>
    <w:p w14:paraId="55D8E129" w14:textId="025B4A1E" w:rsidR="0021213E" w:rsidRPr="005F5685" w:rsidRDefault="0021213E" w:rsidP="005F5685">
      <w:pPr>
        <w:jc w:val="both"/>
        <w:rPr>
          <w:lang w:val="en-US"/>
        </w:rPr>
      </w:pPr>
      <w:r w:rsidRPr="005F5685">
        <w:rPr>
          <w:lang w:val="en-US"/>
        </w:rPr>
        <w:t>While complexity reduction is welcome,</w:t>
      </w:r>
      <w:r w:rsidR="007430C8">
        <w:rPr>
          <w:lang w:val="en-US"/>
        </w:rPr>
        <w:t xml:space="preserve"> we believe</w:t>
      </w:r>
      <w:r w:rsidRPr="005F5685">
        <w:rPr>
          <w:lang w:val="en-US"/>
        </w:rPr>
        <w:t xml:space="preserve"> it is of paramount importance for ESMA to keep a range of waiver types available to ensure certain products and trading strategies can continue to be used by market participants</w:t>
      </w:r>
      <w:r w:rsidR="000D0FB5" w:rsidRPr="005F5685">
        <w:rPr>
          <w:lang w:val="en-US"/>
        </w:rPr>
        <w:t xml:space="preserve"> to manage their risk exposure.</w:t>
      </w:r>
    </w:p>
    <w:p w14:paraId="72DAB9EC" w14:textId="0C42E342" w:rsidR="00F923B7" w:rsidRPr="00D4552F" w:rsidRDefault="005B111B" w:rsidP="00D4552F">
      <w:pPr>
        <w:jc w:val="both"/>
        <w:rPr>
          <w:lang w:val="en-US"/>
        </w:rPr>
      </w:pPr>
      <w:r w:rsidRPr="00D4552F">
        <w:rPr>
          <w:lang w:val="en-US"/>
        </w:rPr>
        <w:t>Moreover</w:t>
      </w:r>
      <w:r w:rsidR="00F923B7" w:rsidRPr="00D4552F">
        <w:rPr>
          <w:lang w:val="en-US"/>
        </w:rPr>
        <w:t xml:space="preserve">, we fully agree with the objectives of MiFID II/MiFIR and the G20 Pittsburg commitments to “improve the functioning and transparency of financial and commodity markets and address excessive commodity price volatility”. </w:t>
      </w:r>
      <w:r w:rsidR="00D4552F" w:rsidRPr="00D4552F">
        <w:rPr>
          <w:lang w:val="en-US"/>
        </w:rPr>
        <w:t>We equally agree with the general intention of the MiFIR pre-trade transparency regime which is meant to work towards this larger policy objective. H</w:t>
      </w:r>
      <w:r w:rsidR="00F923B7" w:rsidRPr="00D4552F">
        <w:rPr>
          <w:lang w:val="en-US"/>
        </w:rPr>
        <w:t xml:space="preserve">owever, </w:t>
      </w:r>
      <w:r w:rsidR="00D4552F" w:rsidRPr="00D4552F">
        <w:rPr>
          <w:lang w:val="en-US"/>
        </w:rPr>
        <w:t xml:space="preserve">we </w:t>
      </w:r>
      <w:r w:rsidR="00F923B7" w:rsidRPr="00D4552F">
        <w:rPr>
          <w:lang w:val="en-US"/>
        </w:rPr>
        <w:t xml:space="preserve">believe the current calibration </w:t>
      </w:r>
      <w:r w:rsidRPr="00D4552F">
        <w:rPr>
          <w:lang w:val="en-US"/>
        </w:rPr>
        <w:t xml:space="preserve">doesn’t </w:t>
      </w:r>
      <w:proofErr w:type="spellStart"/>
      <w:r w:rsidRPr="00D4552F">
        <w:rPr>
          <w:lang w:val="en-US"/>
        </w:rPr>
        <w:t>maximise</w:t>
      </w:r>
      <w:proofErr w:type="spellEnd"/>
      <w:r w:rsidRPr="00D4552F">
        <w:rPr>
          <w:lang w:val="en-US"/>
        </w:rPr>
        <w:t xml:space="preserve"> the potential</w:t>
      </w:r>
      <w:r w:rsidR="00F923B7" w:rsidRPr="00D4552F">
        <w:rPr>
          <w:lang w:val="en-US"/>
        </w:rPr>
        <w:t xml:space="preserve"> increase in contracts traded on exchanges and cleared through central counterparties</w:t>
      </w:r>
      <w:r w:rsidR="00862AB9" w:rsidRPr="00D4552F">
        <w:rPr>
          <w:lang w:val="en-US"/>
        </w:rPr>
        <w:t xml:space="preserve"> (CCPs)</w:t>
      </w:r>
      <w:r w:rsidR="00F923B7" w:rsidRPr="00D4552F">
        <w:rPr>
          <w:lang w:val="en-US"/>
        </w:rPr>
        <w:t xml:space="preserve">, hence being subject to a </w:t>
      </w:r>
      <w:proofErr w:type="gramStart"/>
      <w:r w:rsidR="00F923B7" w:rsidRPr="00D4552F">
        <w:rPr>
          <w:lang w:val="en-US"/>
        </w:rPr>
        <w:t>sufficient</w:t>
      </w:r>
      <w:proofErr w:type="gramEnd"/>
      <w:r w:rsidR="00F923B7" w:rsidRPr="00D4552F">
        <w:rPr>
          <w:lang w:val="en-US"/>
        </w:rPr>
        <w:t xml:space="preserve"> level of security and transparency. Therefore, against the background of the upcoming MiFID II/MiFIR review, we believe that transparency requirements need to be balanced to avoid damaging liquidity, undermining price discovery processes under exchanges’ rules </w:t>
      </w:r>
      <w:r w:rsidR="0013214E">
        <w:rPr>
          <w:lang w:val="en-US"/>
        </w:rPr>
        <w:t>or</w:t>
      </w:r>
      <w:r w:rsidR="00F923B7" w:rsidRPr="00D4552F">
        <w:rPr>
          <w:lang w:val="en-US"/>
        </w:rPr>
        <w:t xml:space="preserve"> driving market participants towards more </w:t>
      </w:r>
      <w:r w:rsidR="00D4552F">
        <w:rPr>
          <w:lang w:val="en-US"/>
        </w:rPr>
        <w:t xml:space="preserve">uncleared </w:t>
      </w:r>
      <w:r w:rsidR="00F923B7" w:rsidRPr="00D4552F">
        <w:rPr>
          <w:lang w:val="en-US"/>
        </w:rPr>
        <w:t>bilateral trading.</w:t>
      </w:r>
    </w:p>
    <w:p w14:paraId="3725CF06" w14:textId="29C1A1DE" w:rsidR="00D4552F" w:rsidRPr="00D4552F" w:rsidRDefault="00F923B7" w:rsidP="00D4552F">
      <w:pPr>
        <w:jc w:val="both"/>
        <w:rPr>
          <w:lang w:val="en-US"/>
        </w:rPr>
      </w:pPr>
      <w:r w:rsidRPr="00D4552F">
        <w:rPr>
          <w:lang w:val="en-US"/>
        </w:rPr>
        <w:t xml:space="preserve">In sum, the pre-trade transparency regime should better </w:t>
      </w:r>
      <w:proofErr w:type="gramStart"/>
      <w:r w:rsidRPr="00D4552F">
        <w:rPr>
          <w:lang w:val="en-US"/>
        </w:rPr>
        <w:t>take into account</w:t>
      </w:r>
      <w:proofErr w:type="gramEnd"/>
      <w:r w:rsidRPr="00D4552F">
        <w:rPr>
          <w:lang w:val="en-US"/>
        </w:rPr>
        <w:t xml:space="preserve"> the fact that non-equity markets are fundamentally different from equity markets, and that there are significant differences across the underlying non-equity markets themselves. </w:t>
      </w:r>
      <w:r w:rsidR="007430C8">
        <w:rPr>
          <w:lang w:val="en-US"/>
        </w:rPr>
        <w:t xml:space="preserve">Importantly, there are fundamental differences in how market participants use non-equity derivatives for hedging and commercial purposes. </w:t>
      </w:r>
      <w:r w:rsidR="0013214E">
        <w:rPr>
          <w:lang w:val="en-US"/>
        </w:rPr>
        <w:t>I</w:t>
      </w:r>
      <w:r w:rsidRPr="00D4552F">
        <w:rPr>
          <w:lang w:val="en-US"/>
        </w:rPr>
        <w:t>t is</w:t>
      </w:r>
      <w:r w:rsidR="007430C8">
        <w:rPr>
          <w:lang w:val="en-US"/>
        </w:rPr>
        <w:t xml:space="preserve"> </w:t>
      </w:r>
      <w:r w:rsidRPr="00D4552F">
        <w:rPr>
          <w:lang w:val="en-US"/>
        </w:rPr>
        <w:t xml:space="preserve">important to understand that commodity markets have specific characteristics and hence, often suffer from a one-size fits all regulatory approach to financial instruments. </w:t>
      </w:r>
    </w:p>
    <w:p w14:paraId="1F78D289" w14:textId="03E63803" w:rsidR="00D4552F" w:rsidRPr="00D4552F" w:rsidRDefault="00D4552F" w:rsidP="00D4552F">
      <w:pPr>
        <w:jc w:val="both"/>
        <w:rPr>
          <w:lang w:val="en-US"/>
        </w:rPr>
      </w:pPr>
      <w:r w:rsidRPr="00D4552F">
        <w:rPr>
          <w:lang w:val="en-US"/>
        </w:rPr>
        <w:t xml:space="preserve">Compared to other financial instruments, commodity instruments are often less liquid. In order to achieve execution on an exchange, trades </w:t>
      </w:r>
      <w:r w:rsidR="0013214E">
        <w:rPr>
          <w:lang w:val="en-US"/>
        </w:rPr>
        <w:t>can be</w:t>
      </w:r>
      <w:r w:rsidRPr="00D4552F">
        <w:rPr>
          <w:lang w:val="en-US"/>
        </w:rPr>
        <w:t xml:space="preserve"> pre-negotiated outside the regulated venues and then brought to the exchanges </w:t>
      </w:r>
      <w:r w:rsidR="0013214E">
        <w:rPr>
          <w:lang w:val="en-US"/>
        </w:rPr>
        <w:t xml:space="preserve">for execution </w:t>
      </w:r>
      <w:r w:rsidRPr="00D4552F">
        <w:rPr>
          <w:lang w:val="en-US"/>
        </w:rPr>
        <w:t>and central clearing with the exchanges’ respective CCP via th</w:t>
      </w:r>
      <w:r w:rsidR="00371C07">
        <w:rPr>
          <w:lang w:val="en-US"/>
        </w:rPr>
        <w:t>e process often referred to as “</w:t>
      </w:r>
      <w:r w:rsidRPr="00D4552F">
        <w:rPr>
          <w:lang w:val="en-US"/>
        </w:rPr>
        <w:t>trade registration</w:t>
      </w:r>
      <w:r w:rsidR="00371C07">
        <w:rPr>
          <w:lang w:val="en-US"/>
        </w:rPr>
        <w:t>”</w:t>
      </w:r>
      <w:r w:rsidRPr="00D4552F">
        <w:rPr>
          <w:lang w:val="en-US"/>
        </w:rPr>
        <w:t xml:space="preserve">. This is often more promising than entering orders in a central order book where a satisfactory execution would be less likely. This ensures maximum </w:t>
      </w:r>
      <w:r w:rsidR="0013214E">
        <w:rPr>
          <w:lang w:val="en-US"/>
        </w:rPr>
        <w:t xml:space="preserve">potential </w:t>
      </w:r>
      <w:r w:rsidRPr="00D4552F">
        <w:rPr>
          <w:lang w:val="en-US"/>
        </w:rPr>
        <w:t>transparency for these nascent markets.</w:t>
      </w:r>
    </w:p>
    <w:p w14:paraId="38FF9B97" w14:textId="31FF749A" w:rsidR="00371C07" w:rsidRDefault="00371C07" w:rsidP="00371C07">
      <w:pPr>
        <w:jc w:val="both"/>
        <w:rPr>
          <w:lang w:val="en-US"/>
        </w:rPr>
      </w:pPr>
      <w:r w:rsidRPr="00371C07">
        <w:rPr>
          <w:lang w:val="en-US"/>
        </w:rPr>
        <w:t xml:space="preserve">Additionally, energy markets are – by nature – </w:t>
      </w:r>
      <w:proofErr w:type="spellStart"/>
      <w:r w:rsidRPr="00371C07">
        <w:rPr>
          <w:lang w:val="en-US"/>
        </w:rPr>
        <w:t>characterised</w:t>
      </w:r>
      <w:proofErr w:type="spellEnd"/>
      <w:r w:rsidRPr="00371C07">
        <w:rPr>
          <w:lang w:val="en-US"/>
        </w:rPr>
        <w:t xml:space="preserve"> by a wide range of different contract types, including forwards, futures and options with various combinations of quality, location, delivery type, duration and size. These markets are used by professional investors</w:t>
      </w:r>
      <w:r w:rsidR="00725B7D">
        <w:rPr>
          <w:lang w:val="en-US"/>
        </w:rPr>
        <w:t xml:space="preserve"> who</w:t>
      </w:r>
      <w:r w:rsidRPr="00371C07">
        <w:rPr>
          <w:lang w:val="en-US"/>
        </w:rPr>
        <w:t xml:space="preserve"> hedge risk connected to the production or consumption of an actual commodity, and thus often require liaison via a broker to find a counter party without incurring undue risk. Trade registration has been and still is essential to bring more volumes to the cleared market under exchange rules. </w:t>
      </w:r>
    </w:p>
    <w:p w14:paraId="1BB0E259" w14:textId="7849B5D1" w:rsidR="00371C07" w:rsidRDefault="00371C07" w:rsidP="00371C07">
      <w:pPr>
        <w:jc w:val="both"/>
        <w:rPr>
          <w:lang w:val="en-US"/>
        </w:rPr>
      </w:pPr>
      <w:r w:rsidRPr="00371C07">
        <w:rPr>
          <w:lang w:val="en-US"/>
        </w:rPr>
        <w:t xml:space="preserve">This difference amongst markets is furthermore reflected in differences such as how market participants use non-equity derivatives instruments for hedging and commercial purposes. As observed by ESMA in </w:t>
      </w:r>
      <w:r w:rsidRPr="00371C07">
        <w:rPr>
          <w:lang w:val="en-US"/>
        </w:rPr>
        <w:lastRenderedPageBreak/>
        <w:t xml:space="preserve">section 3.1.2.1, bullet point 41, commodity derivatives stand for 42.87% of number of transactions in 2018. ESMA rightly concludes that the explanation lies in the difference in the average size of transactions, which differs largely in the non-equity segment. It is smaller for commodity derivatives (transactions of small size and notional amount) compared to for instance interest rates derivatives, which have the second largest share of transactions, however </w:t>
      </w:r>
      <w:proofErr w:type="spellStart"/>
      <w:r w:rsidRPr="00371C07">
        <w:rPr>
          <w:lang w:val="en-US"/>
        </w:rPr>
        <w:t>characterised</w:t>
      </w:r>
      <w:proofErr w:type="spellEnd"/>
      <w:r w:rsidRPr="00371C07">
        <w:rPr>
          <w:lang w:val="en-US"/>
        </w:rPr>
        <w:t xml:space="preserve"> by fewer transactions of larger size. </w:t>
      </w:r>
    </w:p>
    <w:p w14:paraId="6536591A" w14:textId="7F9CC447" w:rsidR="006559C1" w:rsidRPr="00B87724" w:rsidRDefault="006559C1" w:rsidP="002A0859">
      <w:pPr>
        <w:jc w:val="both"/>
        <w:rPr>
          <w:lang w:val="en-CA"/>
        </w:rPr>
      </w:pPr>
      <w:r w:rsidRPr="008635E1">
        <w:rPr>
          <w:lang w:val="en-GB"/>
        </w:rPr>
        <w:t xml:space="preserve">The consultation paper concludes in Paragraph 42 that after two years of application of </w:t>
      </w:r>
      <w:r w:rsidR="00725B7D">
        <w:rPr>
          <w:lang w:val="en-GB"/>
        </w:rPr>
        <w:t>MiFIR /</w:t>
      </w:r>
      <w:r w:rsidRPr="008635E1">
        <w:rPr>
          <w:lang w:val="en-GB"/>
        </w:rPr>
        <w:t xml:space="preserve">MiFID II, the </w:t>
      </w:r>
      <w:r w:rsidR="00D61F5C">
        <w:rPr>
          <w:lang w:val="en-GB"/>
        </w:rPr>
        <w:t xml:space="preserve">added benefits for </w:t>
      </w:r>
      <w:r w:rsidRPr="008635E1">
        <w:rPr>
          <w:lang w:val="en-GB"/>
        </w:rPr>
        <w:t xml:space="preserve">most market participants </w:t>
      </w:r>
      <w:r w:rsidR="00D61F5C">
        <w:rPr>
          <w:lang w:val="en-GB"/>
        </w:rPr>
        <w:t>stemming from</w:t>
      </w:r>
      <w:r w:rsidRPr="008635E1">
        <w:rPr>
          <w:lang w:val="en-GB"/>
        </w:rPr>
        <w:t xml:space="preserve"> pre-trade transparency w</w:t>
      </w:r>
      <w:r w:rsidR="00725B7D">
        <w:rPr>
          <w:lang w:val="en-GB"/>
        </w:rPr>
        <w:t>ere</w:t>
      </w:r>
      <w:r w:rsidRPr="008635E1">
        <w:rPr>
          <w:lang w:val="en-GB"/>
        </w:rPr>
        <w:t xml:space="preserve"> rather limited</w:t>
      </w:r>
      <w:r w:rsidR="00BF4C57">
        <w:rPr>
          <w:lang w:val="en-GB"/>
        </w:rPr>
        <w:t xml:space="preserve"> due to a high share of instruments benefitting from waivers</w:t>
      </w:r>
      <w:r w:rsidRPr="008635E1">
        <w:rPr>
          <w:lang w:val="en-GB"/>
        </w:rPr>
        <w:t>. This conclusion</w:t>
      </w:r>
      <w:r w:rsidR="00BF4C57">
        <w:rPr>
          <w:lang w:val="en-GB"/>
        </w:rPr>
        <w:t xml:space="preserve"> (too broad scope of waivers)</w:t>
      </w:r>
      <w:r w:rsidRPr="008635E1">
        <w:rPr>
          <w:lang w:val="en-GB"/>
        </w:rPr>
        <w:t>, however, cannot</w:t>
      </w:r>
      <w:r w:rsidR="00D61F5C">
        <w:rPr>
          <w:lang w:val="en-GB"/>
        </w:rPr>
        <w:t xml:space="preserve"> </w:t>
      </w:r>
      <w:r w:rsidR="00BF4C57">
        <w:rPr>
          <w:lang w:val="en-GB"/>
        </w:rPr>
        <w:t>have been made</w:t>
      </w:r>
      <w:r w:rsidR="00D90B10">
        <w:rPr>
          <w:lang w:val="en-GB"/>
        </w:rPr>
        <w:t xml:space="preserve"> </w:t>
      </w:r>
      <w:r w:rsidR="00725B7D">
        <w:rPr>
          <w:lang w:val="en-GB"/>
        </w:rPr>
        <w:t>for</w:t>
      </w:r>
      <w:r w:rsidRPr="008635E1">
        <w:rPr>
          <w:lang w:val="en-GB"/>
        </w:rPr>
        <w:t xml:space="preserve"> commodity derivatives markets</w:t>
      </w:r>
      <w:r w:rsidR="00B87724">
        <w:rPr>
          <w:lang w:val="en-GB"/>
        </w:rPr>
        <w:t xml:space="preserve">. </w:t>
      </w:r>
      <w:r w:rsidR="00B87724" w:rsidRPr="000511AF">
        <w:rPr>
          <w:lang w:val="en-CA"/>
        </w:rPr>
        <w:t>Furthermore, because there was no EU-wide transparency regime for non-equity prior to MiFID II, it is impossible to compare the current levels of pre-trade transparency with pre-MiFID II levels.</w:t>
      </w:r>
    </w:p>
    <w:p w14:paraId="4C1B9928" w14:textId="1631EC12" w:rsidR="00F923B7" w:rsidRPr="00371C07" w:rsidRDefault="00F923B7" w:rsidP="00371C07">
      <w:pPr>
        <w:jc w:val="both"/>
        <w:rPr>
          <w:lang w:val="en-US"/>
        </w:rPr>
      </w:pPr>
      <w:r w:rsidRPr="00371C07">
        <w:rPr>
          <w:lang w:val="en-US"/>
        </w:rPr>
        <w:t>As currently tailored, the pre-trade transparency regime</w:t>
      </w:r>
      <w:r w:rsidR="00D4552F" w:rsidRPr="00371C07">
        <w:rPr>
          <w:lang w:val="en-US"/>
        </w:rPr>
        <w:t xml:space="preserve"> can</w:t>
      </w:r>
      <w:r w:rsidRPr="00371C07">
        <w:rPr>
          <w:lang w:val="en-US"/>
        </w:rPr>
        <w:t xml:space="preserve"> limit pre-</w:t>
      </w:r>
      <w:r w:rsidR="00D4552F" w:rsidRPr="00371C07">
        <w:rPr>
          <w:lang w:val="en-US"/>
        </w:rPr>
        <w:t>negotiated</w:t>
      </w:r>
      <w:r w:rsidRPr="00371C07">
        <w:rPr>
          <w:lang w:val="en-US"/>
        </w:rPr>
        <w:t xml:space="preserve"> trades from being submitted to exchanges, thereby </w:t>
      </w:r>
      <w:r w:rsidR="000D1F26" w:rsidRPr="00371C07">
        <w:rPr>
          <w:lang w:val="en-US"/>
        </w:rPr>
        <w:t xml:space="preserve">limiting </w:t>
      </w:r>
      <w:r w:rsidRPr="00371C07">
        <w:rPr>
          <w:lang w:val="en-US"/>
        </w:rPr>
        <w:t xml:space="preserve">the ability of market participants to hedge their commercial exposures on exchanges, directly in opposition to the G20 reforms ambitions of driving more OTC derivatives towards </w:t>
      </w:r>
      <w:proofErr w:type="gramStart"/>
      <w:r w:rsidRPr="00371C07">
        <w:rPr>
          <w:lang w:val="en-US"/>
        </w:rPr>
        <w:t>central-clearing</w:t>
      </w:r>
      <w:proofErr w:type="gramEnd"/>
      <w:r w:rsidRPr="00371C07">
        <w:rPr>
          <w:lang w:val="en-US"/>
        </w:rPr>
        <w:t xml:space="preserve">. It is both in the </w:t>
      </w:r>
      <w:proofErr w:type="gramStart"/>
      <w:r w:rsidRPr="00371C07">
        <w:rPr>
          <w:lang w:val="en-US"/>
        </w:rPr>
        <w:t>policy-makers’</w:t>
      </w:r>
      <w:proofErr w:type="gramEnd"/>
      <w:r w:rsidRPr="00371C07">
        <w:rPr>
          <w:lang w:val="en-US"/>
        </w:rPr>
        <w:t xml:space="preserve"> </w:t>
      </w:r>
      <w:r w:rsidR="00EC1E80">
        <w:rPr>
          <w:lang w:val="en-US"/>
        </w:rPr>
        <w:t>and</w:t>
      </w:r>
      <w:r w:rsidRPr="00371C07">
        <w:rPr>
          <w:lang w:val="en-US"/>
        </w:rPr>
        <w:t xml:space="preserve"> </w:t>
      </w:r>
      <w:r w:rsidR="00EC1E80">
        <w:rPr>
          <w:lang w:val="en-US"/>
        </w:rPr>
        <w:t>market participants’</w:t>
      </w:r>
      <w:r w:rsidRPr="00371C07">
        <w:rPr>
          <w:lang w:val="en-US"/>
        </w:rPr>
        <w:t xml:space="preserve"> interest to have more on venue trading and hence transparency. </w:t>
      </w:r>
      <w:r w:rsidR="00371C07">
        <w:rPr>
          <w:lang w:val="en-US"/>
        </w:rPr>
        <w:t xml:space="preserve">This review would therefore merit a more tailor-made approach. </w:t>
      </w:r>
    </w:p>
    <w:p w14:paraId="14B7D66C" w14:textId="59270827" w:rsidR="000C1BE5" w:rsidRDefault="000C1BE5" w:rsidP="00371C07">
      <w:pPr>
        <w:jc w:val="both"/>
        <w:rPr>
          <w:lang w:val="en-US"/>
        </w:rPr>
      </w:pPr>
      <w:r w:rsidRPr="00371C07">
        <w:rPr>
          <w:lang w:val="en-US"/>
        </w:rPr>
        <w:t>Our Spanish and Italian power futures markets illustrate well how trade registration has been, and still is, the driver behind on-venue trading in many new markets</w:t>
      </w:r>
      <w:r w:rsidR="00371C07" w:rsidRPr="00371C07">
        <w:rPr>
          <w:lang w:val="en-US"/>
        </w:rPr>
        <w:t xml:space="preserve"> and thus increases the share of volumes traded on transparent markets</w:t>
      </w:r>
      <w:r w:rsidRPr="00371C07">
        <w:rPr>
          <w:lang w:val="en-US"/>
        </w:rPr>
        <w:t>. Figure 1 below shows the importance of trade registration in the Italian power market</w:t>
      </w:r>
      <w:r w:rsidR="009357CA">
        <w:rPr>
          <w:lang w:val="en-US"/>
        </w:rPr>
        <w:t>,</w:t>
      </w:r>
      <w:r w:rsidRPr="00371C07">
        <w:rPr>
          <w:lang w:val="en-US"/>
        </w:rPr>
        <w:t xml:space="preserve"> which took off in 2014</w:t>
      </w:r>
      <w:r w:rsidR="009357CA">
        <w:rPr>
          <w:lang w:val="en-US"/>
        </w:rPr>
        <w:t>.</w:t>
      </w:r>
      <w:r w:rsidRPr="00371C07">
        <w:rPr>
          <w:lang w:val="en-US"/>
        </w:rPr>
        <w:t xml:space="preserve"> </w:t>
      </w:r>
      <w:r w:rsidR="009357CA">
        <w:rPr>
          <w:lang w:val="en-US"/>
        </w:rPr>
        <w:t>In</w:t>
      </w:r>
      <w:r w:rsidRPr="00371C07">
        <w:rPr>
          <w:lang w:val="en-US"/>
        </w:rPr>
        <w:t xml:space="preserve"> 2019, more than 80%</w:t>
      </w:r>
      <w:r w:rsidR="00D61F5C">
        <w:rPr>
          <w:lang w:val="en-US"/>
        </w:rPr>
        <w:t xml:space="preserve"> </w:t>
      </w:r>
      <w:r w:rsidRPr="00371C07">
        <w:rPr>
          <w:lang w:val="en-US"/>
        </w:rPr>
        <w:t>of the volumes c</w:t>
      </w:r>
      <w:r w:rsidR="009357CA">
        <w:rPr>
          <w:lang w:val="en-US"/>
        </w:rPr>
        <w:t>a</w:t>
      </w:r>
      <w:r w:rsidRPr="00371C07">
        <w:rPr>
          <w:lang w:val="en-US"/>
        </w:rPr>
        <w:t>me from trade registration</w:t>
      </w:r>
      <w:r w:rsidR="009357CA">
        <w:rPr>
          <w:lang w:val="en-US"/>
        </w:rPr>
        <w:t>,</w:t>
      </w:r>
      <w:r w:rsidRPr="00371C07">
        <w:rPr>
          <w:lang w:val="en-US"/>
        </w:rPr>
        <w:t xml:space="preserve"> whilst less than 20% of </w:t>
      </w:r>
      <w:r w:rsidR="006F3EA3">
        <w:rPr>
          <w:lang w:val="en-US"/>
        </w:rPr>
        <w:t xml:space="preserve">the volumes on </w:t>
      </w:r>
      <w:r w:rsidRPr="00371C07">
        <w:rPr>
          <w:lang w:val="en-US"/>
        </w:rPr>
        <w:t xml:space="preserve">this nascent market </w:t>
      </w:r>
      <w:r w:rsidR="009357CA">
        <w:rPr>
          <w:lang w:val="en-US"/>
        </w:rPr>
        <w:t>w</w:t>
      </w:r>
      <w:r w:rsidR="006F3EA3">
        <w:rPr>
          <w:lang w:val="en-US"/>
        </w:rPr>
        <w:t>ere</w:t>
      </w:r>
      <w:r w:rsidRPr="00371C07">
        <w:rPr>
          <w:lang w:val="en-US"/>
        </w:rPr>
        <w:t xml:space="preserve"> </w:t>
      </w:r>
      <w:r w:rsidR="006F3EA3">
        <w:rPr>
          <w:lang w:val="en-US"/>
        </w:rPr>
        <w:t>created</w:t>
      </w:r>
      <w:r w:rsidR="006F3EA3" w:rsidRPr="00371C07">
        <w:rPr>
          <w:lang w:val="en-US"/>
        </w:rPr>
        <w:t xml:space="preserve"> </w:t>
      </w:r>
      <w:r w:rsidR="006F3EA3">
        <w:rPr>
          <w:lang w:val="en-US"/>
        </w:rPr>
        <w:t>through</w:t>
      </w:r>
      <w:r w:rsidRPr="00371C07">
        <w:rPr>
          <w:lang w:val="en-US"/>
        </w:rPr>
        <w:t xml:space="preserve"> orderbook</w:t>
      </w:r>
      <w:r w:rsidR="009357CA">
        <w:rPr>
          <w:lang w:val="en-US"/>
        </w:rPr>
        <w:t xml:space="preserve"> trading</w:t>
      </w:r>
      <w:r w:rsidRPr="00371C07">
        <w:rPr>
          <w:lang w:val="en-US"/>
        </w:rPr>
        <w:t xml:space="preserve">. This latter number is gradually increasing and </w:t>
      </w:r>
      <w:r w:rsidR="006F3EA3">
        <w:rPr>
          <w:lang w:val="en-US"/>
        </w:rPr>
        <w:t>at</w:t>
      </w:r>
      <w:r w:rsidRPr="00371C07">
        <w:rPr>
          <w:lang w:val="en-US"/>
        </w:rPr>
        <w:t xml:space="preserve"> </w:t>
      </w:r>
      <w:r w:rsidR="00EC1E80">
        <w:rPr>
          <w:lang w:val="en-US"/>
        </w:rPr>
        <w:t>this</w:t>
      </w:r>
      <w:r w:rsidR="0081547F">
        <w:rPr>
          <w:lang w:val="en-US"/>
        </w:rPr>
        <w:t xml:space="preserve"> </w:t>
      </w:r>
      <w:r w:rsidRPr="00371C07">
        <w:rPr>
          <w:lang w:val="en-US"/>
        </w:rPr>
        <w:t xml:space="preserve">moment reaches 23%. It is important for such nascent markets that thresholds for the waivers are appropriate </w:t>
      </w:r>
      <w:r w:rsidR="007430C8">
        <w:rPr>
          <w:lang w:val="en-US"/>
        </w:rPr>
        <w:t xml:space="preserve">and that they thereby </w:t>
      </w:r>
      <w:r w:rsidR="00D61F5C">
        <w:rPr>
          <w:lang w:val="en-US"/>
        </w:rPr>
        <w:t>continue to</w:t>
      </w:r>
      <w:r w:rsidRPr="00371C07">
        <w:rPr>
          <w:lang w:val="en-US"/>
        </w:rPr>
        <w:t xml:space="preserve"> allow for </w:t>
      </w:r>
      <w:r w:rsidR="009357CA">
        <w:rPr>
          <w:lang w:val="en-US"/>
        </w:rPr>
        <w:t xml:space="preserve">such </w:t>
      </w:r>
      <w:r w:rsidRPr="00371C07">
        <w:rPr>
          <w:lang w:val="en-US"/>
        </w:rPr>
        <w:t>a natural move to central order book trading.</w:t>
      </w:r>
      <w:r w:rsidR="006F3EA3">
        <w:rPr>
          <w:lang w:val="en-US"/>
        </w:rPr>
        <w:t xml:space="preserve"> </w:t>
      </w:r>
    </w:p>
    <w:p w14:paraId="1E55A267" w14:textId="7743B095" w:rsidR="00B87724" w:rsidRPr="00B87724" w:rsidRDefault="00B87724" w:rsidP="00371C07">
      <w:pPr>
        <w:jc w:val="both"/>
        <w:rPr>
          <w:i/>
          <w:iCs/>
          <w:lang w:val="en-US"/>
        </w:rPr>
      </w:pPr>
      <w:r w:rsidRPr="00B87724">
        <w:rPr>
          <w:i/>
          <w:iCs/>
          <w:lang w:val="en-US"/>
        </w:rPr>
        <w:t xml:space="preserve">Figure 1. </w:t>
      </w:r>
      <w:r>
        <w:rPr>
          <w:i/>
          <w:iCs/>
          <w:lang w:val="en-US"/>
        </w:rPr>
        <w:t>EEX Italian power market share of order book vs trade registration</w:t>
      </w:r>
    </w:p>
    <w:p w14:paraId="7BCF433F" w14:textId="123D6415" w:rsidR="000C1BE5" w:rsidRDefault="000C1BE5" w:rsidP="00F923B7">
      <w:pPr>
        <w:jc w:val="both"/>
        <w:rPr>
          <w:rFonts w:ascii="Arial" w:hAnsi="Arial" w:cs="Arial"/>
          <w:sz w:val="20"/>
          <w:szCs w:val="20"/>
          <w:lang w:val="en-US"/>
        </w:rPr>
      </w:pPr>
      <w:r w:rsidRPr="00A45F8E">
        <w:rPr>
          <w:noProof/>
          <w:lang w:eastAsia="de-DE"/>
        </w:rPr>
        <w:drawing>
          <wp:inline distT="0" distB="0" distL="0" distR="0" wp14:anchorId="58353173" wp14:editId="00EC685A">
            <wp:extent cx="5976620" cy="1698625"/>
            <wp:effectExtent l="0" t="0" r="5080"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FDF1F6" w14:textId="11973B3B" w:rsidR="000C1BE5" w:rsidRPr="00371C07" w:rsidRDefault="000C1BE5" w:rsidP="00371C07">
      <w:pPr>
        <w:jc w:val="both"/>
        <w:rPr>
          <w:lang w:val="en-US"/>
        </w:rPr>
      </w:pPr>
      <w:r w:rsidRPr="00371C07">
        <w:rPr>
          <w:lang w:val="en-US"/>
        </w:rPr>
        <w:t xml:space="preserve">We </w:t>
      </w:r>
      <w:r w:rsidR="00371C07" w:rsidRPr="00371C07">
        <w:rPr>
          <w:lang w:val="en-US"/>
        </w:rPr>
        <w:t>explicitly</w:t>
      </w:r>
      <w:r w:rsidRPr="00371C07">
        <w:rPr>
          <w:lang w:val="en-US"/>
        </w:rPr>
        <w:t xml:space="preserve"> welcome that ESMA stands ready to review the current design of the pre-trade transparency regime for commodity derivatives con</w:t>
      </w:r>
      <w:r w:rsidR="00371C07" w:rsidRPr="00371C07">
        <w:rPr>
          <w:lang w:val="en-US"/>
        </w:rPr>
        <w:t>tracts on both Level 1 and 2. An appropriate</w:t>
      </w:r>
      <w:r w:rsidR="006F3EA3">
        <w:rPr>
          <w:lang w:val="en-US"/>
        </w:rPr>
        <w:t>ly</w:t>
      </w:r>
      <w:r w:rsidRPr="00371C07">
        <w:rPr>
          <w:lang w:val="en-US"/>
        </w:rPr>
        <w:t xml:space="preserve"> tailored transparency regime would help foster </w:t>
      </w:r>
      <w:r w:rsidR="006379DD">
        <w:rPr>
          <w:lang w:val="en-US"/>
        </w:rPr>
        <w:t>competitive EU commodity markets</w:t>
      </w:r>
      <w:r w:rsidRPr="00371C07">
        <w:rPr>
          <w:lang w:val="en-US"/>
        </w:rPr>
        <w:t xml:space="preserve"> and contribute to the international role of the </w:t>
      </w:r>
      <w:r w:rsidR="006379DD">
        <w:rPr>
          <w:lang w:val="en-US"/>
        </w:rPr>
        <w:t xml:space="preserve">Euro as well as to Europe’s economic recovery. </w:t>
      </w:r>
    </w:p>
    <w:p w14:paraId="279D6EE7" w14:textId="63C94E69" w:rsidR="00F923B7" w:rsidRPr="00A03E48" w:rsidRDefault="00A03E48" w:rsidP="00A03E48">
      <w:pPr>
        <w:jc w:val="both"/>
        <w:rPr>
          <w:lang w:val="en-US"/>
        </w:rPr>
      </w:pPr>
      <w:r w:rsidRPr="00A03E48">
        <w:rPr>
          <w:lang w:val="en-US"/>
        </w:rPr>
        <w:lastRenderedPageBreak/>
        <w:t>As for</w:t>
      </w:r>
      <w:r w:rsidR="00F923B7" w:rsidRPr="00A03E48">
        <w:rPr>
          <w:lang w:val="en-US"/>
        </w:rPr>
        <w:t xml:space="preserve"> Level 1, </w:t>
      </w:r>
      <w:r w:rsidRPr="00A03E48">
        <w:rPr>
          <w:lang w:val="en-US"/>
        </w:rPr>
        <w:t>EEX Group</w:t>
      </w:r>
      <w:r w:rsidR="00F923B7" w:rsidRPr="00A03E48">
        <w:rPr>
          <w:lang w:val="en-US"/>
        </w:rPr>
        <w:t xml:space="preserve"> propose</w:t>
      </w:r>
      <w:r w:rsidRPr="00A03E48">
        <w:rPr>
          <w:lang w:val="en-US"/>
        </w:rPr>
        <w:t>s</w:t>
      </w:r>
      <w:r w:rsidR="00F923B7" w:rsidRPr="00A03E48">
        <w:rPr>
          <w:lang w:val="en-US"/>
        </w:rPr>
        <w:t xml:space="preserve"> that the hedging exemption available in Art. 8(1) </w:t>
      </w:r>
      <w:r w:rsidR="00B80C0E" w:rsidRPr="00A03E48">
        <w:rPr>
          <w:lang w:val="en-US"/>
        </w:rPr>
        <w:t xml:space="preserve">MiFIR </w:t>
      </w:r>
      <w:r w:rsidR="00F923B7" w:rsidRPr="00A03E48">
        <w:rPr>
          <w:lang w:val="en-US"/>
        </w:rPr>
        <w:t>is extended to cover all market participants managing risks arising from activity in the physical market, including financial counterparties. Such solution would allow the building of liquidity in the order book to continue without jeopardizing the ability of commodity derivatives markets to fulfil their function. Importantly, such change should be combined with relevant amendments in Level 2 which would remove the current factors leading to inappropriate thresholds.</w:t>
      </w:r>
    </w:p>
    <w:p w14:paraId="37A35DE4" w14:textId="74F41546" w:rsidR="001D503E" w:rsidRPr="00013D66" w:rsidRDefault="001D503E" w:rsidP="00BE08D8">
      <w:pPr>
        <w:jc w:val="both"/>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&lt;ESMA_QUESTION_CP_MIFID_NQT_1&gt;</w:t>
      </w:r>
    </w:p>
    <w:p w14:paraId="1155CA39" w14:textId="77777777" w:rsidR="001D503E" w:rsidRPr="00013D66" w:rsidRDefault="001D503E" w:rsidP="001D503E">
      <w:pPr>
        <w:spacing w:after="0" w:line="240" w:lineRule="auto"/>
        <w:rPr>
          <w:rFonts w:ascii="Arial" w:eastAsia="Times New Roman" w:hAnsi="Arial" w:cs="Arial"/>
          <w:sz w:val="20"/>
          <w:szCs w:val="24"/>
          <w:lang w:val="en-GB" w:eastAsia="de-DE"/>
        </w:rPr>
      </w:pPr>
    </w:p>
    <w:p w14:paraId="233BB0BE"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What proposals do you have for improving the level of pre-trade transparency available? Do you believe that the simplification of the regime for pre-trade transparency waivers would contribute to the improvement of the level of pre-trade transparency available?</w:t>
      </w:r>
    </w:p>
    <w:p w14:paraId="43F8402A" w14:textId="77777777"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&lt;ESMA_QUESTION_CP_MIFID_NQT_2&gt;</w:t>
      </w:r>
    </w:p>
    <w:p w14:paraId="37A2E142" w14:textId="77777777" w:rsidR="0021213E" w:rsidRPr="00013D66" w:rsidRDefault="0021213E" w:rsidP="0021213E">
      <w:pPr>
        <w:spacing w:after="0" w:line="240" w:lineRule="auto"/>
        <w:rPr>
          <w:rFonts w:ascii="Arial" w:eastAsia="Times New Roman" w:hAnsi="Arial" w:cs="Arial"/>
          <w:sz w:val="20"/>
          <w:szCs w:val="24"/>
          <w:lang w:val="en-GB" w:eastAsia="de-DE"/>
        </w:rPr>
      </w:pPr>
    </w:p>
    <w:p w14:paraId="5345E029" w14:textId="7C634DB3" w:rsidR="006559C1" w:rsidRPr="006559C1" w:rsidRDefault="00793D14" w:rsidP="006559C1">
      <w:pPr>
        <w:jc w:val="both"/>
        <w:rPr>
          <w:lang w:val="en-US"/>
        </w:rPr>
      </w:pPr>
      <w:r w:rsidRPr="006559C1">
        <w:rPr>
          <w:lang w:val="en-US"/>
        </w:rPr>
        <w:t>It is commonly understood that publicly available orderbooks of</w:t>
      </w:r>
      <w:r w:rsidR="006559C1" w:rsidRPr="006559C1">
        <w:rPr>
          <w:lang w:val="en-US"/>
        </w:rPr>
        <w:t xml:space="preserve"> regulated exchanges </w:t>
      </w:r>
      <w:proofErr w:type="spellStart"/>
      <w:r w:rsidR="006559C1" w:rsidRPr="006559C1">
        <w:rPr>
          <w:lang w:val="en-US"/>
        </w:rPr>
        <w:t>maximis</w:t>
      </w:r>
      <w:r w:rsidRPr="006559C1">
        <w:rPr>
          <w:lang w:val="en-US"/>
        </w:rPr>
        <w:t>e</w:t>
      </w:r>
      <w:proofErr w:type="spellEnd"/>
      <w:r w:rsidRPr="006559C1">
        <w:rPr>
          <w:lang w:val="en-US"/>
        </w:rPr>
        <w:t xml:space="preserve"> transparency and hence benefits for financial markets overall. Therefore,</w:t>
      </w:r>
      <w:r w:rsidR="006559C1" w:rsidRPr="006559C1">
        <w:rPr>
          <w:lang w:val="en-US"/>
        </w:rPr>
        <w:t xml:space="preserve"> we agree</w:t>
      </w:r>
      <w:r w:rsidRPr="006559C1">
        <w:rPr>
          <w:lang w:val="en-US"/>
        </w:rPr>
        <w:t xml:space="preserve"> orderbook trading at regulated exchanges should be encouraged by financial regulation. If – </w:t>
      </w:r>
      <w:proofErr w:type="gramStart"/>
      <w:r w:rsidRPr="006559C1">
        <w:rPr>
          <w:lang w:val="en-US"/>
        </w:rPr>
        <w:t>in particular due</w:t>
      </w:r>
      <w:proofErr w:type="gramEnd"/>
      <w:r w:rsidRPr="006559C1">
        <w:rPr>
          <w:lang w:val="en-US"/>
        </w:rPr>
        <w:t xml:space="preserve"> to lack of liquidity – order book trading is not possible / common, then trade registration on regulated exchanges should be promoted as alternative with the highest possible transparency. As mentioned in our answer to the previous question, this is </w:t>
      </w:r>
      <w:proofErr w:type="gramStart"/>
      <w:r w:rsidRPr="006559C1">
        <w:rPr>
          <w:lang w:val="en-US"/>
        </w:rPr>
        <w:t>in particular required</w:t>
      </w:r>
      <w:proofErr w:type="gramEnd"/>
      <w:r w:rsidRPr="006559C1">
        <w:rPr>
          <w:lang w:val="en-US"/>
        </w:rPr>
        <w:t xml:space="preserve"> for commodity derivatives which are often less liquid. In order to achieve execution on an exchange trades are pre-negotiated outside the regulated venues and then brought to the exchanges and central clearing with the exchanges’ respective CCP via trade registration. This is often more promising than entering orders in a central order book where a satisfactory execution would be less likely. This ensures maximum transparency for these nascent markets. It is important for such nascent markets that waiver thresholds are appropriate </w:t>
      </w:r>
      <w:r w:rsidR="00AD756D">
        <w:rPr>
          <w:lang w:val="en-US"/>
        </w:rPr>
        <w:t xml:space="preserve">and that they thereby continue to </w:t>
      </w:r>
      <w:r w:rsidR="002B4A85">
        <w:rPr>
          <w:lang w:val="en-US"/>
        </w:rPr>
        <w:t>promote</w:t>
      </w:r>
      <w:r w:rsidRPr="006559C1">
        <w:rPr>
          <w:lang w:val="en-US"/>
        </w:rPr>
        <w:t xml:space="preserve"> a natural move to central order book trading.</w:t>
      </w:r>
    </w:p>
    <w:p w14:paraId="7C1BFFDF" w14:textId="39A40A40" w:rsidR="00BE08D8" w:rsidRPr="00CD79F5" w:rsidRDefault="00BE08D8" w:rsidP="00CD79F5">
      <w:pPr>
        <w:jc w:val="both"/>
        <w:rPr>
          <w:lang w:val="en-US"/>
        </w:rPr>
      </w:pPr>
      <w:r w:rsidRPr="00CD79F5">
        <w:rPr>
          <w:lang w:val="en-US"/>
        </w:rPr>
        <w:t xml:space="preserve">MiFIR rightly recognizes that certain exemptions can be granted to trading venues from the general requirement to publish pre-trade transparency data to preserve orderly price discovery processes and allow </w:t>
      </w:r>
      <w:proofErr w:type="gramStart"/>
      <w:r w:rsidRPr="00CD79F5">
        <w:rPr>
          <w:lang w:val="en-US"/>
        </w:rPr>
        <w:t>in particular illiquid</w:t>
      </w:r>
      <w:proofErr w:type="gramEnd"/>
      <w:r w:rsidRPr="00CD79F5">
        <w:rPr>
          <w:lang w:val="en-US"/>
        </w:rPr>
        <w:t xml:space="preserve"> and nascent markets to develop. </w:t>
      </w:r>
      <w:r w:rsidR="002B4A85">
        <w:rPr>
          <w:lang w:val="en-US"/>
        </w:rPr>
        <w:t>However,</w:t>
      </w:r>
      <w:r w:rsidRPr="00CD79F5">
        <w:rPr>
          <w:lang w:val="en-US"/>
        </w:rPr>
        <w:t xml:space="preserve"> the current shortcomings of the </w:t>
      </w:r>
      <w:r w:rsidR="00CD79F5" w:rsidRPr="00683835">
        <w:rPr>
          <w:lang w:val="en-US"/>
        </w:rPr>
        <w:t xml:space="preserve">illiquid (“IL”) and Large in Scale (“LIS”) waiver thresholds </w:t>
      </w:r>
      <w:r w:rsidRPr="00CD79F5">
        <w:rPr>
          <w:lang w:val="en-US"/>
        </w:rPr>
        <w:t>ha</w:t>
      </w:r>
      <w:r w:rsidR="003D706C" w:rsidRPr="00CD79F5">
        <w:rPr>
          <w:lang w:val="en-US"/>
        </w:rPr>
        <w:t>ve</w:t>
      </w:r>
      <w:r w:rsidRPr="00CD79F5">
        <w:rPr>
          <w:lang w:val="en-US"/>
        </w:rPr>
        <w:t xml:space="preserve"> prevented </w:t>
      </w:r>
      <w:r w:rsidR="00CD79F5">
        <w:rPr>
          <w:lang w:val="en-US"/>
        </w:rPr>
        <w:t xml:space="preserve">the pre-trade transparency regime </w:t>
      </w:r>
      <w:r w:rsidR="000511AF">
        <w:rPr>
          <w:lang w:val="en-US"/>
        </w:rPr>
        <w:t xml:space="preserve">from </w:t>
      </w:r>
      <w:r w:rsidR="002B4A85">
        <w:rPr>
          <w:lang w:val="en-US"/>
        </w:rPr>
        <w:t xml:space="preserve">fully </w:t>
      </w:r>
      <w:r w:rsidR="000511AF">
        <w:rPr>
          <w:lang w:val="en-US"/>
        </w:rPr>
        <w:t>reaching</w:t>
      </w:r>
      <w:r w:rsidR="00CD79F5">
        <w:rPr>
          <w:lang w:val="en-US"/>
        </w:rPr>
        <w:t xml:space="preserve"> its </w:t>
      </w:r>
      <w:r w:rsidR="000511AF">
        <w:rPr>
          <w:lang w:val="en-US"/>
        </w:rPr>
        <w:t xml:space="preserve">objectives. </w:t>
      </w:r>
    </w:p>
    <w:p w14:paraId="2547E5C3" w14:textId="7993495D" w:rsidR="000511AF" w:rsidRDefault="00D90B10" w:rsidP="000511AF">
      <w:pPr>
        <w:jc w:val="both"/>
        <w:rPr>
          <w:lang w:val="en-CA"/>
        </w:rPr>
      </w:pPr>
      <w:r>
        <w:rPr>
          <w:lang w:val="en-CA"/>
        </w:rPr>
        <w:t>T</w:t>
      </w:r>
      <w:r w:rsidR="000511AF">
        <w:rPr>
          <w:lang w:val="en-CA"/>
        </w:rPr>
        <w:t>he IL</w:t>
      </w:r>
      <w:r w:rsidR="006559C1" w:rsidRPr="000511AF">
        <w:rPr>
          <w:lang w:val="en-CA"/>
        </w:rPr>
        <w:t xml:space="preserve"> and LIS waivers have proven to be ill-calibrated to </w:t>
      </w:r>
      <w:r w:rsidR="00AD756D">
        <w:rPr>
          <w:lang w:val="en-CA"/>
        </w:rPr>
        <w:t xml:space="preserve">the reality of </w:t>
      </w:r>
      <w:r w:rsidR="006559C1" w:rsidRPr="000511AF">
        <w:rPr>
          <w:lang w:val="en-CA"/>
        </w:rPr>
        <w:t>commodity derivatives markets</w:t>
      </w:r>
      <w:r w:rsidR="00B87724">
        <w:rPr>
          <w:lang w:val="en-CA"/>
        </w:rPr>
        <w:t>, where the scope of applicable waivers has rather proven too narrow</w:t>
      </w:r>
      <w:r w:rsidR="006559C1" w:rsidRPr="000511AF">
        <w:rPr>
          <w:lang w:val="en-CA"/>
        </w:rPr>
        <w:t xml:space="preserve">. Particularly the RTS 2 methodology for calculating LIS thresholds and determining illiquid instruments </w:t>
      </w:r>
      <w:r w:rsidR="00AD756D">
        <w:rPr>
          <w:lang w:val="en-CA"/>
        </w:rPr>
        <w:t>is</w:t>
      </w:r>
      <w:r w:rsidR="006559C1" w:rsidRPr="000511AF">
        <w:rPr>
          <w:lang w:val="en-CA"/>
        </w:rPr>
        <w:t xml:space="preserve"> counterintuitive in practice. </w:t>
      </w:r>
      <w:r w:rsidR="000511AF">
        <w:rPr>
          <w:lang w:val="en-CA"/>
        </w:rPr>
        <w:t xml:space="preserve">Our responses to Q29-Q31 explain in more detail the shortcomings and potential solutions we see for the methodology of calculating the waiver thresholds. </w:t>
      </w:r>
    </w:p>
    <w:p w14:paraId="28D7F77F" w14:textId="0121846C" w:rsidR="00BE08D8" w:rsidRPr="000511AF" w:rsidRDefault="00BE08D8" w:rsidP="000511AF">
      <w:pPr>
        <w:jc w:val="both"/>
        <w:rPr>
          <w:lang w:val="en-US"/>
        </w:rPr>
      </w:pPr>
      <w:r w:rsidRPr="000511AF">
        <w:rPr>
          <w:lang w:val="en-US"/>
        </w:rPr>
        <w:t>As outlined in Q1, following the specific market reality and role of pre-</w:t>
      </w:r>
      <w:r w:rsidR="000511AF" w:rsidRPr="000511AF">
        <w:rPr>
          <w:lang w:val="en-US"/>
        </w:rPr>
        <w:t>negotiated</w:t>
      </w:r>
      <w:r w:rsidRPr="000511AF">
        <w:rPr>
          <w:lang w:val="en-US"/>
        </w:rPr>
        <w:t xml:space="preserve"> transactions in commodity markets, </w:t>
      </w:r>
      <w:r w:rsidR="00AB0882">
        <w:rPr>
          <w:lang w:val="en-US"/>
        </w:rPr>
        <w:t>in addition to a</w:t>
      </w:r>
      <w:r w:rsidRPr="000511AF">
        <w:rPr>
          <w:lang w:val="en-US"/>
        </w:rPr>
        <w:t xml:space="preserve"> review of the current ill-calibrated waiver thresholds methodology</w:t>
      </w:r>
      <w:r w:rsidR="00AB0882">
        <w:rPr>
          <w:lang w:val="en-US"/>
        </w:rPr>
        <w:t xml:space="preserve">, we recommend </w:t>
      </w:r>
      <w:r w:rsidRPr="000511AF">
        <w:rPr>
          <w:lang w:val="en-US"/>
        </w:rPr>
        <w:t>an exten</w:t>
      </w:r>
      <w:r w:rsidR="003D706C" w:rsidRPr="000511AF">
        <w:rPr>
          <w:lang w:val="en-US"/>
        </w:rPr>
        <w:t>sion</w:t>
      </w:r>
      <w:r w:rsidRPr="000511AF">
        <w:rPr>
          <w:lang w:val="en-US"/>
        </w:rPr>
        <w:t xml:space="preserve"> </w:t>
      </w:r>
      <w:r w:rsidR="003D706C" w:rsidRPr="000511AF">
        <w:rPr>
          <w:lang w:val="en-US"/>
        </w:rPr>
        <w:t>of the</w:t>
      </w:r>
      <w:r w:rsidR="00DC4565" w:rsidRPr="000511AF">
        <w:rPr>
          <w:lang w:val="en-US"/>
        </w:rPr>
        <w:t xml:space="preserve"> </w:t>
      </w:r>
      <w:r w:rsidRPr="000511AF">
        <w:rPr>
          <w:lang w:val="en-US"/>
        </w:rPr>
        <w:t>hedging exemption in Art.</w:t>
      </w:r>
      <w:r w:rsidR="00DC4565" w:rsidRPr="000511AF">
        <w:rPr>
          <w:lang w:val="en-US"/>
        </w:rPr>
        <w:t xml:space="preserve"> </w:t>
      </w:r>
      <w:r w:rsidRPr="000511AF">
        <w:rPr>
          <w:lang w:val="en-US"/>
        </w:rPr>
        <w:t xml:space="preserve">8(1) MiFIR to cover all market participants. Furthermore, as further detailed in Q5, we would support the proposal to add a limited negotiated trade waiver. In this way, the regime would allow for pre-negotiated trades </w:t>
      </w:r>
      <w:r w:rsidR="00EB0868" w:rsidRPr="000511AF">
        <w:rPr>
          <w:lang w:val="en-US"/>
        </w:rPr>
        <w:t>in</w:t>
      </w:r>
      <w:r w:rsidRPr="000511AF">
        <w:rPr>
          <w:lang w:val="en-US"/>
        </w:rPr>
        <w:t xml:space="preserve"> the most illiquid and new contracts </w:t>
      </w:r>
      <w:r w:rsidRPr="000511AF">
        <w:rPr>
          <w:lang w:val="en-US"/>
        </w:rPr>
        <w:lastRenderedPageBreak/>
        <w:t xml:space="preserve">to be brought to an exchange and subsequently familiarize commodity traders with the beneficial features of increased transparency and secure on-venue trading. </w:t>
      </w:r>
    </w:p>
    <w:p w14:paraId="2F1A5155" w14:textId="77777777"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&lt;ESMA_QUESTION_CP_MIFID_NQT_2&gt;</w:t>
      </w:r>
    </w:p>
    <w:p w14:paraId="1FAEEA9F" w14:textId="77777777" w:rsidR="001D503E" w:rsidRPr="00013D66" w:rsidRDefault="001D503E" w:rsidP="001D503E">
      <w:pPr>
        <w:spacing w:after="0" w:line="240" w:lineRule="auto"/>
        <w:rPr>
          <w:rFonts w:ascii="Arial" w:eastAsia="Times New Roman" w:hAnsi="Arial" w:cs="Arial"/>
          <w:sz w:val="20"/>
          <w:szCs w:val="24"/>
          <w:lang w:val="en-GB" w:eastAsia="de-DE"/>
        </w:rPr>
      </w:pPr>
    </w:p>
    <w:p w14:paraId="146B86D8"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Are you supportive of ESMA’s proposal to delete the pre-trade SSTI-waiver? Would you compensate for this by lowering the pre-trade LIS-thresholds across all asset classes or only for selected asset classes? What would be the appropriate level for such adjusted LIS-thresholds? If you do not support ESMA’s proposal to delete the pre-trade SSTI-waiver, what should be the way forward on the SSTI-waiver in your view?</w:t>
      </w:r>
    </w:p>
    <w:p w14:paraId="7C20BEF8" w14:textId="77777777"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&lt;ESMA_QUESTION_CP_MIFID_NQT_3&gt;</w:t>
      </w:r>
    </w:p>
    <w:p w14:paraId="32E4CBC6" w14:textId="187A515B" w:rsidR="000511AF" w:rsidRPr="000511AF" w:rsidRDefault="00AB0882" w:rsidP="000511AF">
      <w:pPr>
        <w:jc w:val="both"/>
        <w:rPr>
          <w:lang w:val="en-US"/>
        </w:rPr>
      </w:pPr>
      <w:r>
        <w:rPr>
          <w:lang w:val="en-US"/>
        </w:rPr>
        <w:br/>
      </w:r>
      <w:r w:rsidR="000511AF" w:rsidRPr="000511AF">
        <w:rPr>
          <w:lang w:val="en-US"/>
        </w:rPr>
        <w:t xml:space="preserve">EEX Group welcomes the proposal to delete the SSTI-waiver to simplify the overall pre-trade transparency framework, due to its limited use. At the same time, we support the proposal to lower LIS waiver thresholds. </w:t>
      </w:r>
    </w:p>
    <w:p w14:paraId="1A1D8EA2" w14:textId="53C6C2F2" w:rsidR="000511AF" w:rsidRPr="000511AF" w:rsidRDefault="000511AF" w:rsidP="000511AF">
      <w:pPr>
        <w:jc w:val="both"/>
        <w:rPr>
          <w:lang w:val="en-US"/>
        </w:rPr>
      </w:pPr>
      <w:r w:rsidRPr="000511AF">
        <w:rPr>
          <w:lang w:val="en-US"/>
        </w:rPr>
        <w:t>W</w:t>
      </w:r>
      <w:r w:rsidR="00B865C7" w:rsidRPr="000511AF">
        <w:rPr>
          <w:lang w:val="en-US"/>
        </w:rPr>
        <w:t xml:space="preserve">e support the assumption that particularly for trade sizes below the LIS thresholds, currently benefitting from the SSTI waiver, pre-trade transparency </w:t>
      </w:r>
      <w:r w:rsidR="00AB0882">
        <w:rPr>
          <w:lang w:val="en-US"/>
        </w:rPr>
        <w:t>could</w:t>
      </w:r>
      <w:r w:rsidR="00B865C7" w:rsidRPr="000511AF">
        <w:rPr>
          <w:lang w:val="en-US"/>
        </w:rPr>
        <w:t xml:space="preserve"> be </w:t>
      </w:r>
      <w:proofErr w:type="gramStart"/>
      <w:r w:rsidR="00B865C7" w:rsidRPr="000511AF">
        <w:rPr>
          <w:lang w:val="en-US"/>
        </w:rPr>
        <w:t>increased</w:t>
      </w:r>
      <w:proofErr w:type="gramEnd"/>
      <w:r w:rsidR="00ED2D45" w:rsidRPr="000511AF">
        <w:rPr>
          <w:lang w:val="en-US"/>
        </w:rPr>
        <w:t xml:space="preserve"> and complexit</w:t>
      </w:r>
      <w:r w:rsidR="00AB0882">
        <w:rPr>
          <w:lang w:val="en-US"/>
        </w:rPr>
        <w:t>y</w:t>
      </w:r>
      <w:r w:rsidR="00ED2D45" w:rsidRPr="000511AF">
        <w:rPr>
          <w:lang w:val="en-US"/>
        </w:rPr>
        <w:t xml:space="preserve"> reduced</w:t>
      </w:r>
      <w:r w:rsidR="00B865C7" w:rsidRPr="000511AF">
        <w:rPr>
          <w:lang w:val="en-US"/>
        </w:rPr>
        <w:t xml:space="preserve">. </w:t>
      </w:r>
    </w:p>
    <w:p w14:paraId="185E5E52" w14:textId="670540E2" w:rsidR="00B865C7" w:rsidRPr="000511AF" w:rsidRDefault="00FA1C37" w:rsidP="000511AF">
      <w:pPr>
        <w:jc w:val="both"/>
        <w:rPr>
          <w:lang w:val="en-US"/>
        </w:rPr>
      </w:pPr>
      <w:r w:rsidRPr="000511AF">
        <w:rPr>
          <w:lang w:val="en-US"/>
        </w:rPr>
        <w:t xml:space="preserve">We </w:t>
      </w:r>
      <w:r w:rsidR="00FE1086">
        <w:rPr>
          <w:lang w:val="en-US"/>
        </w:rPr>
        <w:t xml:space="preserve">in return </w:t>
      </w:r>
      <w:r w:rsidRPr="000511AF">
        <w:rPr>
          <w:lang w:val="en-US"/>
        </w:rPr>
        <w:t>advocate</w:t>
      </w:r>
      <w:r w:rsidR="00B865C7" w:rsidRPr="000511AF">
        <w:rPr>
          <w:lang w:val="en-US"/>
        </w:rPr>
        <w:t xml:space="preserve"> to re-calibrate ESMA’s current methodology to determine LIS-</w:t>
      </w:r>
      <w:r w:rsidR="00EB5B7C" w:rsidRPr="000511AF">
        <w:rPr>
          <w:lang w:val="en-US"/>
        </w:rPr>
        <w:t>t</w:t>
      </w:r>
      <w:r w:rsidR="00B865C7" w:rsidRPr="000511AF">
        <w:rPr>
          <w:lang w:val="en-US"/>
        </w:rPr>
        <w:t>hresholds</w:t>
      </w:r>
      <w:r w:rsidR="00E03C20" w:rsidRPr="000511AF">
        <w:rPr>
          <w:lang w:val="en-US"/>
        </w:rPr>
        <w:t xml:space="preserve"> where appropriate</w:t>
      </w:r>
      <w:r w:rsidR="00B865C7" w:rsidRPr="000511AF">
        <w:rPr>
          <w:lang w:val="en-US"/>
        </w:rPr>
        <w:t xml:space="preserve">. </w:t>
      </w:r>
      <w:r w:rsidRPr="000511AF">
        <w:rPr>
          <w:lang w:val="en-US"/>
        </w:rPr>
        <w:t>P</w:t>
      </w:r>
      <w:r w:rsidR="00D074E6" w:rsidRPr="000511AF">
        <w:rPr>
          <w:lang w:val="en-US"/>
        </w:rPr>
        <w:t xml:space="preserve">lease also see our response to </w:t>
      </w:r>
      <w:r w:rsidR="007A429C" w:rsidRPr="000511AF">
        <w:rPr>
          <w:lang w:val="en-US"/>
        </w:rPr>
        <w:t xml:space="preserve">Q1 as well as to </w:t>
      </w:r>
      <w:r w:rsidR="00D074E6" w:rsidRPr="000511AF">
        <w:rPr>
          <w:lang w:val="en-US"/>
        </w:rPr>
        <w:t xml:space="preserve">Q29-31 about the need to tailor the LIS threshold as well as LIS threshold calculation methodology to the specifics of commodity derivatives markets, where the current threshold and calculation methodology has led to a </w:t>
      </w:r>
      <w:proofErr w:type="gramStart"/>
      <w:r w:rsidR="00D074E6" w:rsidRPr="000511AF">
        <w:rPr>
          <w:lang w:val="en-US"/>
        </w:rPr>
        <w:t>mis-classification</w:t>
      </w:r>
      <w:proofErr w:type="gramEnd"/>
      <w:r w:rsidR="00D074E6" w:rsidRPr="000511AF">
        <w:rPr>
          <w:lang w:val="en-US"/>
        </w:rPr>
        <w:t xml:space="preserve"> of gas and power contracts.</w:t>
      </w:r>
      <w:r w:rsidR="006936C9">
        <w:rPr>
          <w:lang w:val="en-US"/>
        </w:rPr>
        <w:t xml:space="preserve"> </w:t>
      </w:r>
      <w:r w:rsidR="00B865C7" w:rsidRPr="000511AF">
        <w:rPr>
          <w:lang w:val="en-US"/>
        </w:rPr>
        <w:t xml:space="preserve">A re-calibration of the existing methodology would allow ESMA to determine LIS thresholds, </w:t>
      </w:r>
      <w:r w:rsidR="006936C9">
        <w:rPr>
          <w:lang w:val="en-US"/>
        </w:rPr>
        <w:t>tailored to</w:t>
      </w:r>
      <w:r w:rsidR="006936C9" w:rsidRPr="000511AF">
        <w:rPr>
          <w:lang w:val="en-US"/>
        </w:rPr>
        <w:t xml:space="preserve"> </w:t>
      </w:r>
      <w:r w:rsidR="00B865C7" w:rsidRPr="000511AF">
        <w:rPr>
          <w:lang w:val="en-US"/>
        </w:rPr>
        <w:t>market specifics, and to avoid unintended side effects, such as increasing the share of OTC trading.</w:t>
      </w:r>
    </w:p>
    <w:p w14:paraId="4F3B8B61" w14:textId="77777777"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&lt;ESMA_QUESTION_CP_MIFID_NQT_3&gt;</w:t>
      </w:r>
    </w:p>
    <w:p w14:paraId="3A5ED890" w14:textId="77777777" w:rsidR="001D503E" w:rsidRPr="00013D66" w:rsidRDefault="001D503E" w:rsidP="001D503E">
      <w:pPr>
        <w:spacing w:after="0" w:line="240" w:lineRule="auto"/>
        <w:rPr>
          <w:rFonts w:ascii="Arial" w:eastAsia="Times New Roman" w:hAnsi="Arial" w:cs="Arial"/>
          <w:sz w:val="20"/>
          <w:szCs w:val="24"/>
          <w:lang w:val="en-GB" w:eastAsia="de-DE"/>
        </w:rPr>
      </w:pPr>
    </w:p>
    <w:p w14:paraId="5031E457" w14:textId="4B21F316" w:rsidR="00955F1B" w:rsidRPr="00955F1B" w:rsidRDefault="001D503E" w:rsidP="00955F1B">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 xml:space="preserve">What are your views on the use of the SSTI for the SI-quoting </w:t>
      </w:r>
      <w:proofErr w:type="gramStart"/>
      <w:r w:rsidRPr="00013D66">
        <w:rPr>
          <w:rFonts w:ascii="Arial" w:eastAsia="Times New Roman" w:hAnsi="Arial" w:cs="Arial"/>
          <w:b/>
          <w:szCs w:val="20"/>
          <w:lang w:val="en-GB"/>
        </w:rPr>
        <w:t>obligations.</w:t>
      </w:r>
      <w:proofErr w:type="gramEnd"/>
      <w:r w:rsidRPr="00013D66">
        <w:rPr>
          <w:rFonts w:ascii="Arial" w:eastAsia="Times New Roman" w:hAnsi="Arial" w:cs="Arial"/>
          <w:b/>
          <w:szCs w:val="20"/>
          <w:lang w:val="en-GB"/>
        </w:rPr>
        <w:t xml:space="preserve"> Should it remain (Option 1) or be replaced by linking the quoting obligation to another threshold (e.g. a certain percentage of the LIS-threshold) (Option 2)? Please explain.</w:t>
      </w:r>
    </w:p>
    <w:p w14:paraId="4A1142D0" w14:textId="77777777" w:rsidR="00955F1B" w:rsidRPr="00955F1B" w:rsidRDefault="00955F1B" w:rsidP="00955F1B">
      <w:pPr>
        <w:rPr>
          <w:lang w:val="en-US"/>
        </w:rPr>
      </w:pPr>
      <w:r w:rsidRPr="00955F1B">
        <w:rPr>
          <w:lang w:val="en-US"/>
        </w:rPr>
        <w:t>&lt;ESMA_QUESTION_CP_MIFID_NQT_4&gt;</w:t>
      </w:r>
    </w:p>
    <w:p w14:paraId="133D021A" w14:textId="77777777" w:rsidR="00955F1B" w:rsidRPr="00955F1B" w:rsidRDefault="00955F1B" w:rsidP="00955F1B">
      <w:pPr>
        <w:rPr>
          <w:lang w:val="en-US"/>
        </w:rPr>
      </w:pPr>
      <w:r w:rsidRPr="00955F1B">
        <w:rPr>
          <w:lang w:val="en-US"/>
        </w:rPr>
        <w:t>TYPE YOUR TEXT HERE</w:t>
      </w:r>
    </w:p>
    <w:p w14:paraId="26865F70" w14:textId="77777777" w:rsidR="00955F1B" w:rsidRDefault="00955F1B" w:rsidP="00955F1B">
      <w:r>
        <w:t>&lt;ESMA_QUESTION_CP_MIFID_NQT_4&gt;</w:t>
      </w:r>
    </w:p>
    <w:p w14:paraId="3671E2A9" w14:textId="77777777" w:rsidR="00955F1B" w:rsidRPr="00013D66" w:rsidRDefault="00955F1B" w:rsidP="001D503E">
      <w:pPr>
        <w:spacing w:after="0" w:line="240" w:lineRule="auto"/>
        <w:rPr>
          <w:rFonts w:ascii="Arial" w:eastAsia="Times New Roman" w:hAnsi="Arial" w:cs="Arial"/>
          <w:sz w:val="20"/>
          <w:szCs w:val="24"/>
          <w:lang w:val="en-GB" w:eastAsia="de-DE"/>
        </w:rPr>
      </w:pPr>
    </w:p>
    <w:p w14:paraId="4BE00895"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Would you support turning the hedging exemption into a limited negotiated trade waiver? If so, would you support Option 1 or Option 2? If not, please explain why.</w:t>
      </w:r>
    </w:p>
    <w:p w14:paraId="6CB61BCF" w14:textId="77777777"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&lt;ESMA_QUESTION_CP_MIFID_NQT_5&gt;</w:t>
      </w:r>
    </w:p>
    <w:p w14:paraId="085E4756" w14:textId="59116830" w:rsidR="007A4320" w:rsidRPr="000511AF" w:rsidRDefault="00230114" w:rsidP="000511AF">
      <w:pPr>
        <w:jc w:val="both"/>
        <w:rPr>
          <w:lang w:val="en-US"/>
        </w:rPr>
      </w:pPr>
      <w:r>
        <w:rPr>
          <w:lang w:val="en-US"/>
        </w:rPr>
        <w:lastRenderedPageBreak/>
        <w:t>EEX Group is</w:t>
      </w:r>
      <w:r w:rsidR="007A4320" w:rsidRPr="000511AF">
        <w:rPr>
          <w:lang w:val="en-US"/>
        </w:rPr>
        <w:t xml:space="preserve"> supportive of a dedicated negotiated trade waiver for commodity markets</w:t>
      </w:r>
      <w:r w:rsidR="00E57690">
        <w:rPr>
          <w:lang w:val="en-US"/>
        </w:rPr>
        <w:t xml:space="preserve">. </w:t>
      </w:r>
      <w:r w:rsidRPr="00230114">
        <w:rPr>
          <w:lang w:val="en-US"/>
        </w:rPr>
        <w:t>Ho</w:t>
      </w:r>
      <w:r>
        <w:rPr>
          <w:lang w:val="en-US"/>
        </w:rPr>
        <w:t>wever,</w:t>
      </w:r>
      <w:r w:rsidR="007A4320" w:rsidRPr="000511AF">
        <w:rPr>
          <w:lang w:val="en-US"/>
        </w:rPr>
        <w:t xml:space="preserve"> we do not see merit in replacing the current hedging exemption by such waiver with the exact same scope. This would increase paperwork and procedural obligations for market participants, outweighing potential benefits a waiver could bring. </w:t>
      </w:r>
    </w:p>
    <w:p w14:paraId="7653ECAC" w14:textId="4D85F275" w:rsidR="0006695D" w:rsidRDefault="00FE1086" w:rsidP="000511AF">
      <w:pPr>
        <w:jc w:val="both"/>
        <w:rPr>
          <w:lang w:val="en-US"/>
        </w:rPr>
      </w:pPr>
      <w:r>
        <w:rPr>
          <w:lang w:val="en-US"/>
        </w:rPr>
        <w:t>In any case and even more if no unlimited negotiated trade waiver can be introduced</w:t>
      </w:r>
      <w:r w:rsidR="007A4320" w:rsidRPr="000511AF">
        <w:rPr>
          <w:lang w:val="en-US"/>
        </w:rPr>
        <w:t xml:space="preserve">, we would recommend extending the hedging exemption </w:t>
      </w:r>
      <w:r w:rsidR="0006695D">
        <w:rPr>
          <w:lang w:val="en-US"/>
        </w:rPr>
        <w:t xml:space="preserve">available in Art. 8(1) </w:t>
      </w:r>
      <w:proofErr w:type="spellStart"/>
      <w:r w:rsidR="0006695D">
        <w:rPr>
          <w:lang w:val="en-US"/>
        </w:rPr>
        <w:t>MiFIR</w:t>
      </w:r>
      <w:proofErr w:type="spellEnd"/>
      <w:r w:rsidR="0006695D">
        <w:rPr>
          <w:lang w:val="en-US"/>
        </w:rPr>
        <w:t xml:space="preserve"> to cover all market participants managing risks arising from activity in the physical market, including </w:t>
      </w:r>
      <w:r w:rsidR="007A4320" w:rsidRPr="000511AF">
        <w:rPr>
          <w:lang w:val="en-US"/>
        </w:rPr>
        <w:t xml:space="preserve">to financial counterparties. </w:t>
      </w:r>
      <w:r w:rsidR="00726CE6">
        <w:rPr>
          <w:lang w:val="en-US"/>
        </w:rPr>
        <w:t xml:space="preserve">Commodity trading houses as well as investment banks play a vital role in providing smaller commercial players with access to commodity derivatives markets. </w:t>
      </w:r>
      <w:r>
        <w:rPr>
          <w:lang w:val="en-US"/>
        </w:rPr>
        <w:t>Such</w:t>
      </w:r>
      <w:r w:rsidR="009357CA">
        <w:rPr>
          <w:lang w:val="en-US"/>
        </w:rPr>
        <w:t xml:space="preserve"> extension</w:t>
      </w:r>
      <w:r w:rsidR="007A4320" w:rsidRPr="000511AF">
        <w:rPr>
          <w:lang w:val="en-US"/>
        </w:rPr>
        <w:t xml:space="preserve"> would already allow for more crucial pre-</w:t>
      </w:r>
      <w:r w:rsidR="000D519A">
        <w:rPr>
          <w:lang w:val="en-US"/>
        </w:rPr>
        <w:t>negotiated</w:t>
      </w:r>
      <w:r w:rsidR="007A4320" w:rsidRPr="000511AF">
        <w:rPr>
          <w:lang w:val="en-US"/>
        </w:rPr>
        <w:t xml:space="preserve"> trades in nascent and illiquid contracts to be brought to an exchange for central clearing</w:t>
      </w:r>
      <w:r w:rsidR="009357CA">
        <w:rPr>
          <w:lang w:val="en-US"/>
        </w:rPr>
        <w:t xml:space="preserve"> due to easier access</w:t>
      </w:r>
      <w:r w:rsidR="007A4320" w:rsidRPr="000511AF">
        <w:rPr>
          <w:lang w:val="en-US"/>
        </w:rPr>
        <w:t>,</w:t>
      </w:r>
      <w:r>
        <w:rPr>
          <w:lang w:val="en-US"/>
        </w:rPr>
        <w:t xml:space="preserve"> thereby</w:t>
      </w:r>
      <w:r w:rsidR="007A4320" w:rsidRPr="000511AF">
        <w:rPr>
          <w:lang w:val="en-US"/>
        </w:rPr>
        <w:t xml:space="preserve"> addressing the specific market reality of commodity markets. </w:t>
      </w:r>
    </w:p>
    <w:p w14:paraId="74802810" w14:textId="707760CD"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&lt;ESMA_QUESTION_CP_MIFID_NQT_5&gt;</w:t>
      </w:r>
    </w:p>
    <w:p w14:paraId="738DD942" w14:textId="77777777" w:rsidR="001D503E" w:rsidRPr="00013D66" w:rsidRDefault="001D503E" w:rsidP="001D503E">
      <w:pPr>
        <w:spacing w:after="0" w:line="240" w:lineRule="auto"/>
        <w:rPr>
          <w:rFonts w:ascii="Arial" w:eastAsia="Times New Roman" w:hAnsi="Arial" w:cs="Arial"/>
          <w:sz w:val="20"/>
          <w:szCs w:val="24"/>
          <w:lang w:val="en-GB" w:eastAsia="de-DE"/>
        </w:rPr>
      </w:pPr>
    </w:p>
    <w:p w14:paraId="2FCE8E1E"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Do you agree with ESMA’s observations on the emergence of new trading systems and the proposed way forward requiring a Level 1 change and ESMA to issue an Opinion for each new trading system defining its characteristics and the transparency requirements? Would you have suggestions for the timeline and process of such Opinions? Please explain.</w:t>
      </w:r>
    </w:p>
    <w:p w14:paraId="222EED2B" w14:textId="77777777"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&lt;ESMA_QUESTION_CP_MIFID_NQT_6&gt;</w:t>
      </w:r>
    </w:p>
    <w:p w14:paraId="4A2D77D8" w14:textId="2EC99DD9" w:rsidR="00B865C7" w:rsidRPr="000D519A" w:rsidRDefault="00955F1B" w:rsidP="000D519A">
      <w:pPr>
        <w:jc w:val="both"/>
        <w:rPr>
          <w:lang w:val="en-US"/>
        </w:rPr>
      </w:pPr>
      <w:r>
        <w:rPr>
          <w:lang w:val="en-US"/>
        </w:rPr>
        <w:br/>
      </w:r>
      <w:r w:rsidR="00FA1C37" w:rsidRPr="000D519A">
        <w:rPr>
          <w:lang w:val="en-US"/>
        </w:rPr>
        <w:t>EEX Group appreciates</w:t>
      </w:r>
      <w:r w:rsidR="00B865C7" w:rsidRPr="000D519A">
        <w:rPr>
          <w:lang w:val="en-US"/>
        </w:rPr>
        <w:t xml:space="preserve"> that the definitions in Annex 1 of RTS 2 do not captur</w:t>
      </w:r>
      <w:r w:rsidR="00FA1C37" w:rsidRPr="000D519A">
        <w:rPr>
          <w:lang w:val="en-US"/>
        </w:rPr>
        <w:t>e all available trading systems</w:t>
      </w:r>
      <w:r w:rsidR="00B865C7" w:rsidRPr="000D519A">
        <w:rPr>
          <w:lang w:val="en-US"/>
        </w:rPr>
        <w:t xml:space="preserve">. However, having an opinion issued by ESMA every time a potentially new trading system is introduced, </w:t>
      </w:r>
      <w:r w:rsidR="007849E8" w:rsidRPr="000D519A">
        <w:rPr>
          <w:lang w:val="en-US"/>
        </w:rPr>
        <w:t xml:space="preserve">will in our eyes put undue stress on ESMA’s resources. Any backlog in such an approval process (as has been observed with the approval process for waiver applications) </w:t>
      </w:r>
      <w:r w:rsidR="00B865C7" w:rsidRPr="000D519A">
        <w:rPr>
          <w:lang w:val="en-US"/>
        </w:rPr>
        <w:t>bear</w:t>
      </w:r>
      <w:r w:rsidR="007849E8" w:rsidRPr="000D519A">
        <w:rPr>
          <w:lang w:val="en-US"/>
        </w:rPr>
        <w:t>s</w:t>
      </w:r>
      <w:r w:rsidR="00B865C7" w:rsidRPr="000D519A">
        <w:rPr>
          <w:lang w:val="en-US"/>
        </w:rPr>
        <w:t xml:space="preserve"> the risk to delay innovation and </w:t>
      </w:r>
      <w:r w:rsidR="007849E8" w:rsidRPr="000D519A">
        <w:rPr>
          <w:lang w:val="en-US"/>
        </w:rPr>
        <w:t xml:space="preserve">will </w:t>
      </w:r>
      <w:r w:rsidR="00B865C7" w:rsidRPr="000D519A">
        <w:rPr>
          <w:lang w:val="en-US"/>
        </w:rPr>
        <w:t xml:space="preserve">result in longer periods of trading in less regulated environments (OTC market). </w:t>
      </w:r>
      <w:r w:rsidR="00E12432">
        <w:rPr>
          <w:lang w:val="en-US"/>
        </w:rPr>
        <w:t xml:space="preserve"> For the same reason, we propose to apply any changes solely in a forward-looking way. </w:t>
      </w:r>
    </w:p>
    <w:p w14:paraId="7699ECE3" w14:textId="5FED7922" w:rsidR="0052719E" w:rsidRPr="000D519A" w:rsidRDefault="00B865C7" w:rsidP="000D519A">
      <w:pPr>
        <w:jc w:val="both"/>
        <w:rPr>
          <w:lang w:val="en-US"/>
        </w:rPr>
      </w:pPr>
      <w:r w:rsidRPr="000D519A">
        <w:rPr>
          <w:lang w:val="en-US"/>
        </w:rPr>
        <w:t xml:space="preserve">Instead, we believe it would be </w:t>
      </w:r>
      <w:r w:rsidR="0052719E" w:rsidRPr="000D519A">
        <w:rPr>
          <w:lang w:val="en-US"/>
        </w:rPr>
        <w:t xml:space="preserve">a more </w:t>
      </w:r>
      <w:r w:rsidR="000966CD" w:rsidRPr="000D519A">
        <w:rPr>
          <w:lang w:val="en-US"/>
        </w:rPr>
        <w:t>efficient</w:t>
      </w:r>
      <w:r w:rsidR="0052719E" w:rsidRPr="000D519A">
        <w:rPr>
          <w:lang w:val="en-US"/>
        </w:rPr>
        <w:t xml:space="preserve"> way forward </w:t>
      </w:r>
      <w:r w:rsidRPr="000D519A">
        <w:rPr>
          <w:lang w:val="en-US"/>
        </w:rPr>
        <w:t xml:space="preserve">to </w:t>
      </w:r>
      <w:r w:rsidR="0052719E" w:rsidRPr="000D519A">
        <w:rPr>
          <w:lang w:val="en-US"/>
        </w:rPr>
        <w:t xml:space="preserve">extend </w:t>
      </w:r>
      <w:r w:rsidRPr="000D519A">
        <w:rPr>
          <w:lang w:val="en-US"/>
        </w:rPr>
        <w:t>the existing definitions of trading systems</w:t>
      </w:r>
      <w:r w:rsidR="0052719E" w:rsidRPr="000D519A">
        <w:rPr>
          <w:lang w:val="en-US"/>
        </w:rPr>
        <w:t xml:space="preserve">. We propose to amend the definitions of Annex 1 in such a way that they cover variations of the initial system types, which might share main characteristics but are also partly </w:t>
      </w:r>
      <w:r w:rsidR="0052719E" w:rsidRPr="001042F7">
        <w:rPr>
          <w:lang w:val="en-US"/>
        </w:rPr>
        <w:t>innovative (such as</w:t>
      </w:r>
      <w:r w:rsidR="00B87724">
        <w:rPr>
          <w:lang w:val="en-US"/>
        </w:rPr>
        <w:t xml:space="preserve"> system variations implemented by some European commodity derivatives exchanges during the supervisory briefing period in 2019</w:t>
      </w:r>
      <w:r w:rsidR="000966CD" w:rsidRPr="001042F7">
        <w:rPr>
          <w:lang w:val="en-US"/>
        </w:rPr>
        <w:t>)</w:t>
      </w:r>
      <w:r w:rsidR="007B23E5">
        <w:rPr>
          <w:lang w:val="en-US"/>
        </w:rPr>
        <w:t>.</w:t>
      </w:r>
      <w:r w:rsidRPr="000D519A">
        <w:rPr>
          <w:lang w:val="en-US"/>
        </w:rPr>
        <w:t xml:space="preserve"> </w:t>
      </w:r>
      <w:r w:rsidR="0052719E" w:rsidRPr="000D519A">
        <w:rPr>
          <w:lang w:val="en-US"/>
        </w:rPr>
        <w:t xml:space="preserve">This way, “hybrid systems” definition would be phased out for such cases, and instead replaced by an efficient regime. </w:t>
      </w:r>
      <w:r w:rsidR="009719A2" w:rsidRPr="000D519A">
        <w:rPr>
          <w:lang w:val="en-US"/>
        </w:rPr>
        <w:t xml:space="preserve">The transparency requirement for such variation systems should, however, be sufficiently </w:t>
      </w:r>
      <w:r w:rsidR="006936C9">
        <w:rPr>
          <w:lang w:val="en-US"/>
        </w:rPr>
        <w:t>flexible</w:t>
      </w:r>
      <w:r w:rsidR="009719A2" w:rsidRPr="000D519A">
        <w:rPr>
          <w:lang w:val="en-US"/>
        </w:rPr>
        <w:t xml:space="preserve">, reflecting the fact that it might prove </w:t>
      </w:r>
      <w:r w:rsidR="006936C9">
        <w:rPr>
          <w:lang w:val="en-US"/>
        </w:rPr>
        <w:t>impossible</w:t>
      </w:r>
      <w:r w:rsidR="006936C9" w:rsidRPr="000D519A">
        <w:rPr>
          <w:lang w:val="en-US"/>
        </w:rPr>
        <w:t xml:space="preserve"> </w:t>
      </w:r>
      <w:r w:rsidR="009719A2" w:rsidRPr="000D519A">
        <w:rPr>
          <w:lang w:val="en-US"/>
        </w:rPr>
        <w:t xml:space="preserve">to provide the same level of transparency. Such an amendment would additionally pose a change on Level 2 as opposed to Level 1, offering the possibility of a </w:t>
      </w:r>
      <w:r w:rsidR="007B23E5">
        <w:rPr>
          <w:lang w:val="en-US"/>
        </w:rPr>
        <w:t>swift</w:t>
      </w:r>
      <w:r w:rsidR="009719A2" w:rsidRPr="000D519A">
        <w:rPr>
          <w:lang w:val="en-US"/>
        </w:rPr>
        <w:t xml:space="preserve"> amendment process.</w:t>
      </w:r>
    </w:p>
    <w:p w14:paraId="4D5B763B" w14:textId="79CA485A" w:rsidR="00B865C7" w:rsidRPr="00013D66" w:rsidRDefault="00613CCA" w:rsidP="00DA1719">
      <w:pPr>
        <w:jc w:val="both"/>
        <w:rPr>
          <w:rFonts w:ascii="Arial" w:eastAsia="Times New Roman" w:hAnsi="Arial" w:cs="Arial"/>
          <w:sz w:val="20"/>
          <w:szCs w:val="24"/>
          <w:lang w:val="en-GB" w:eastAsia="de-DE"/>
        </w:rPr>
      </w:pPr>
      <w:r>
        <w:rPr>
          <w:lang w:val="en-US"/>
        </w:rPr>
        <w:t>EEX Group</w:t>
      </w:r>
      <w:r w:rsidR="009719A2" w:rsidRPr="000D519A">
        <w:rPr>
          <w:lang w:val="en-US"/>
        </w:rPr>
        <w:t xml:space="preserve"> could</w:t>
      </w:r>
      <w:r w:rsidR="00EA50E5">
        <w:rPr>
          <w:lang w:val="en-US"/>
        </w:rPr>
        <w:t>, however,</w:t>
      </w:r>
      <w:r w:rsidR="009719A2" w:rsidRPr="000D519A">
        <w:rPr>
          <w:lang w:val="en-US"/>
        </w:rPr>
        <w:t xml:space="preserve"> see merit in the proposed ESMA opinions on new trading systems as a complementary solution, </w:t>
      </w:r>
      <w:r w:rsidR="00823919" w:rsidRPr="000D519A">
        <w:rPr>
          <w:lang w:val="en-US"/>
        </w:rPr>
        <w:t>where they cover</w:t>
      </w:r>
      <w:r w:rsidR="009719A2" w:rsidRPr="000D519A">
        <w:rPr>
          <w:lang w:val="en-US"/>
        </w:rPr>
        <w:t xml:space="preserve"> system types which are in no way variations of the definitions listed in Annex 1 and instead completely innovative. This way, ESMA</w:t>
      </w:r>
      <w:r w:rsidR="00EA50E5">
        <w:rPr>
          <w:lang w:val="en-US"/>
        </w:rPr>
        <w:t>’s</w:t>
      </w:r>
      <w:r w:rsidR="009719A2" w:rsidRPr="000D519A">
        <w:rPr>
          <w:lang w:val="en-US"/>
        </w:rPr>
        <w:t xml:space="preserve"> resources would only be used in exceptional cases where there is indeed a distinct need for analysis and appropriately set transparency requirements suitable for the respective market conditions. To not obstruct market innovation, we propose to combine such opinions with timelines similar to those used for waiver applications and allow </w:t>
      </w:r>
      <w:r w:rsidR="009719A2" w:rsidRPr="000D519A">
        <w:rPr>
          <w:lang w:val="en-US"/>
        </w:rPr>
        <w:lastRenderedPageBreak/>
        <w:t>for operation of the system in question if the originally envisioned assessment deadline is delayed (in the same way as operation under an unapproved waiver has been allowed in the past as a delay mitigation measure). We also</w:t>
      </w:r>
      <w:r w:rsidR="00ED3C73">
        <w:rPr>
          <w:lang w:val="en-US"/>
        </w:rPr>
        <w:t xml:space="preserve"> strongly</w:t>
      </w:r>
      <w:r w:rsidR="009719A2" w:rsidRPr="000D519A">
        <w:rPr>
          <w:lang w:val="en-US"/>
        </w:rPr>
        <w:t xml:space="preserve"> believe that the national competent authority supervising the venue on which such an innovative system type is employed should be involved in this assessment process.  </w:t>
      </w:r>
    </w:p>
    <w:p w14:paraId="081FF90A" w14:textId="17BE9DCB" w:rsidR="001D503E" w:rsidRPr="00DA1719" w:rsidRDefault="001D503E" w:rsidP="00DA1719">
      <w:pPr>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&lt;ESMA_QUESTION_CP_MIFID_NQT_6&gt;</w:t>
      </w:r>
    </w:p>
    <w:p w14:paraId="4DA19740"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Do you agree with the proposal for the definition of hybrid system? Are there in your view trading systems currently not or not appropriately covered in RTS 2 on which ESMA should provide further guidance? Please explain.</w:t>
      </w:r>
    </w:p>
    <w:p w14:paraId="4B3448F1" w14:textId="77777777"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&lt;ESMA_QUESTION_CP_MIFID_NQT_7&gt;</w:t>
      </w:r>
    </w:p>
    <w:p w14:paraId="05C3F3B4" w14:textId="06B834D0" w:rsidR="00B865C7" w:rsidRPr="00013D66" w:rsidRDefault="00DA1719" w:rsidP="00ED3C73">
      <w:pPr>
        <w:rPr>
          <w:lang w:val="en-GB" w:eastAsia="de-DE"/>
        </w:rPr>
      </w:pPr>
      <w:r>
        <w:rPr>
          <w:lang w:val="en-GB" w:eastAsia="de-DE"/>
        </w:rPr>
        <w:br/>
      </w:r>
      <w:r w:rsidR="00B865C7" w:rsidRPr="00013D66">
        <w:rPr>
          <w:lang w:val="en-GB" w:eastAsia="de-DE"/>
        </w:rPr>
        <w:t>We agree with the reasoning outlined by ESMA.</w:t>
      </w:r>
      <w:r w:rsidR="007B7AC1">
        <w:rPr>
          <w:lang w:val="en-GB" w:eastAsia="de-DE"/>
        </w:rPr>
        <w:t xml:space="preserve"> </w:t>
      </w:r>
      <w:r w:rsidR="00916CCE">
        <w:rPr>
          <w:lang w:val="en-GB" w:eastAsia="de-DE"/>
        </w:rPr>
        <w:t xml:space="preserve">The option of following only the </w:t>
      </w:r>
      <w:proofErr w:type="gramStart"/>
      <w:r w:rsidR="00916CCE">
        <w:rPr>
          <w:lang w:val="en-GB" w:eastAsia="de-DE"/>
        </w:rPr>
        <w:t>particular transparency</w:t>
      </w:r>
      <w:proofErr w:type="gramEnd"/>
      <w:r w:rsidR="00916CCE">
        <w:rPr>
          <w:lang w:val="en-GB" w:eastAsia="de-DE"/>
        </w:rPr>
        <w:t xml:space="preserve"> requirements relevant to one trading system type could lead to transparency arbitrage. </w:t>
      </w:r>
      <w:r w:rsidR="00B865C7" w:rsidRPr="00013D66">
        <w:rPr>
          <w:lang w:val="en-GB" w:eastAsia="de-DE"/>
        </w:rPr>
        <w:t>A combination of two or more trading systems should</w:t>
      </w:r>
      <w:r w:rsidR="00916CCE">
        <w:rPr>
          <w:lang w:val="en-GB" w:eastAsia="de-DE"/>
        </w:rPr>
        <w:t xml:space="preserve"> indeed</w:t>
      </w:r>
      <w:r w:rsidR="00B865C7" w:rsidRPr="00013D66">
        <w:rPr>
          <w:lang w:val="en-GB" w:eastAsia="de-DE"/>
        </w:rPr>
        <w:t xml:space="preserve"> meet the pre-trade transparency obligations applicable to each relevant component part of the overall trading system.</w:t>
      </w:r>
    </w:p>
    <w:p w14:paraId="4968E2A2" w14:textId="1E12B5E2" w:rsidR="00B865C7" w:rsidRPr="00013D66" w:rsidRDefault="00B865C7" w:rsidP="00ED3C73">
      <w:pPr>
        <w:jc w:val="both"/>
        <w:rPr>
          <w:lang w:val="en-GB" w:eastAsia="de-DE"/>
        </w:rPr>
      </w:pPr>
      <w:r w:rsidRPr="00013D66">
        <w:rPr>
          <w:lang w:val="en-GB" w:eastAsia="de-DE"/>
        </w:rPr>
        <w:t>A hybrid system shoul</w:t>
      </w:r>
      <w:r w:rsidR="002C28C3">
        <w:rPr>
          <w:lang w:val="en-GB" w:eastAsia="de-DE"/>
        </w:rPr>
        <w:t>d cover systems, which are</w:t>
      </w:r>
      <w:r w:rsidR="0052719E" w:rsidRPr="0052719E">
        <w:rPr>
          <w:lang w:val="en-GB" w:eastAsia="de-DE"/>
        </w:rPr>
        <w:t xml:space="preserve"> </w:t>
      </w:r>
      <w:r w:rsidR="0052719E">
        <w:rPr>
          <w:lang w:val="en-GB" w:eastAsia="de-DE"/>
        </w:rPr>
        <w:t>truly combinations of the system types defined in Annex 1 of RTS 2.</w:t>
      </w:r>
      <w:r w:rsidR="008D7B6D">
        <w:rPr>
          <w:lang w:val="en-GB" w:eastAsia="de-DE"/>
        </w:rPr>
        <w:t xml:space="preserve"> </w:t>
      </w:r>
      <w:r w:rsidR="0052719E">
        <w:rPr>
          <w:lang w:val="en-GB" w:eastAsia="de-DE"/>
        </w:rPr>
        <w:t xml:space="preserve">Our proposal in our answer to Q6 would bring </w:t>
      </w:r>
      <w:r w:rsidR="007D5F77">
        <w:rPr>
          <w:lang w:val="en-GB" w:eastAsia="de-DE"/>
        </w:rPr>
        <w:t xml:space="preserve">the </w:t>
      </w:r>
      <w:r w:rsidR="0052719E">
        <w:rPr>
          <w:lang w:val="en-GB" w:eastAsia="de-DE"/>
        </w:rPr>
        <w:t>definition</w:t>
      </w:r>
      <w:r w:rsidR="007D5F77">
        <w:rPr>
          <w:lang w:val="en-GB" w:eastAsia="de-DE"/>
        </w:rPr>
        <w:t xml:space="preserve"> of a hybrid system</w:t>
      </w:r>
      <w:r w:rsidR="0052719E">
        <w:rPr>
          <w:lang w:val="en-GB" w:eastAsia="de-DE"/>
        </w:rPr>
        <w:t xml:space="preserve"> back to its originally intended use-case of only covering combinations, leaving variations to be covered by extended definitions </w:t>
      </w:r>
      <w:r w:rsidR="006936C9">
        <w:rPr>
          <w:lang w:val="en-GB" w:eastAsia="de-DE"/>
        </w:rPr>
        <w:t xml:space="preserve">with flexible transparency requirements </w:t>
      </w:r>
      <w:r w:rsidR="0052719E">
        <w:rPr>
          <w:lang w:val="en-GB" w:eastAsia="de-DE"/>
        </w:rPr>
        <w:t>and complete innovations by ESMA opinions, respectively.</w:t>
      </w:r>
    </w:p>
    <w:p w14:paraId="1EACE687" w14:textId="77777777"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&lt;ESMA_QUESTION_CP_MIFID_NQT_7&gt;</w:t>
      </w:r>
    </w:p>
    <w:p w14:paraId="6A148788" w14:textId="77777777" w:rsidR="001D503E" w:rsidRPr="00013D66" w:rsidRDefault="001D503E" w:rsidP="001D503E">
      <w:pPr>
        <w:spacing w:after="0" w:line="240" w:lineRule="auto"/>
        <w:rPr>
          <w:rFonts w:ascii="Arial" w:eastAsia="Times New Roman" w:hAnsi="Arial" w:cs="Arial"/>
          <w:sz w:val="20"/>
          <w:szCs w:val="24"/>
          <w:lang w:val="en-GB" w:eastAsia="de-DE"/>
        </w:rPr>
      </w:pPr>
    </w:p>
    <w:p w14:paraId="30A058FB"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Do you agree with ESMA’s proposal to require SIs to make available data free of charge 15 minutes after publication? Please explain.</w:t>
      </w:r>
    </w:p>
    <w:p w14:paraId="01CD61C6" w14:textId="77777777" w:rsidR="00ED3C73" w:rsidRDefault="00ED3C73" w:rsidP="00ED3C73">
      <w:r>
        <w:t>&lt;ESMA_QUESTION_CP_MIFID_NQT_8&gt;</w:t>
      </w:r>
    </w:p>
    <w:p w14:paraId="3F2C8DA5" w14:textId="77777777" w:rsidR="00ED3C73" w:rsidRDefault="00ED3C73" w:rsidP="00ED3C73">
      <w:r>
        <w:t>TYPE YOUR TEXT HERE</w:t>
      </w:r>
    </w:p>
    <w:p w14:paraId="17E35362" w14:textId="02986C2C" w:rsidR="001D503E" w:rsidRPr="00DA1719" w:rsidRDefault="00ED3C73" w:rsidP="00DA1719">
      <w:r>
        <w:t>&lt;ESMA_QUESTION_CP_MIFID_NQT_8&gt;</w:t>
      </w:r>
    </w:p>
    <w:p w14:paraId="070297F1"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Would you see value in further standardising the pre-trade transparency information to increase the usability and comparability of the information? Please explain.</w:t>
      </w:r>
    </w:p>
    <w:p w14:paraId="4A2AF84C" w14:textId="407BE4DA" w:rsidR="002822F4" w:rsidRPr="002822F4" w:rsidRDefault="001D503E" w:rsidP="002822F4">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&lt;ESMA_QUESTION_CP_MIFID_NQT_9&gt;</w:t>
      </w:r>
    </w:p>
    <w:p w14:paraId="3996A988" w14:textId="502A51FE" w:rsidR="002822F4" w:rsidRPr="002822F4" w:rsidRDefault="00DA1719" w:rsidP="002822F4">
      <w:pPr>
        <w:jc w:val="both"/>
        <w:rPr>
          <w:lang w:val="en-US"/>
        </w:rPr>
      </w:pPr>
      <w:bookmarkStart w:id="4" w:name="_Hlk42682980"/>
      <w:r>
        <w:rPr>
          <w:lang w:val="en-US"/>
        </w:rPr>
        <w:br/>
      </w:r>
      <w:r w:rsidR="002E07F5" w:rsidRPr="002822F4">
        <w:rPr>
          <w:lang w:val="en-US"/>
        </w:rPr>
        <w:t xml:space="preserve">We see no clear value in further </w:t>
      </w:r>
      <w:proofErr w:type="spellStart"/>
      <w:r w:rsidR="002E07F5" w:rsidRPr="002822F4">
        <w:rPr>
          <w:lang w:val="en-US"/>
        </w:rPr>
        <w:t>standardising</w:t>
      </w:r>
      <w:proofErr w:type="spellEnd"/>
      <w:r w:rsidR="002E07F5" w:rsidRPr="002822F4">
        <w:rPr>
          <w:lang w:val="en-US"/>
        </w:rPr>
        <w:t xml:space="preserve"> pre-trade transparency information</w:t>
      </w:r>
      <w:r w:rsidR="004D2D2A">
        <w:rPr>
          <w:lang w:val="en-US"/>
        </w:rPr>
        <w:t xml:space="preserve"> in commodity derivatives markets</w:t>
      </w:r>
      <w:r w:rsidR="002E07F5" w:rsidRPr="002822F4">
        <w:rPr>
          <w:lang w:val="en-US"/>
        </w:rPr>
        <w:t xml:space="preserve">. </w:t>
      </w:r>
      <w:r w:rsidR="002822F4" w:rsidRPr="002822F4">
        <w:rPr>
          <w:lang w:val="en-US"/>
        </w:rPr>
        <w:t>First, because of the lack of demand for such information</w:t>
      </w:r>
      <w:r w:rsidR="0076100F">
        <w:rPr>
          <w:lang w:val="en-US"/>
        </w:rPr>
        <w:t xml:space="preserve"> in commodity derivatives markets</w:t>
      </w:r>
      <w:r w:rsidR="002822F4" w:rsidRPr="002822F4">
        <w:rPr>
          <w:lang w:val="en-US"/>
        </w:rPr>
        <w:t xml:space="preserve">. Second, due to the vast quantity of data that needs to be published. In case ESMA however deems </w:t>
      </w:r>
      <w:proofErr w:type="spellStart"/>
      <w:r w:rsidR="002822F4" w:rsidRPr="002822F4">
        <w:rPr>
          <w:lang w:val="en-US"/>
        </w:rPr>
        <w:t>standardi</w:t>
      </w:r>
      <w:r w:rsidR="0076100F">
        <w:rPr>
          <w:lang w:val="en-US"/>
        </w:rPr>
        <w:t>s</w:t>
      </w:r>
      <w:r w:rsidR="002822F4" w:rsidRPr="002822F4">
        <w:rPr>
          <w:lang w:val="en-US"/>
        </w:rPr>
        <w:t>ation</w:t>
      </w:r>
      <w:proofErr w:type="spellEnd"/>
      <w:r w:rsidR="002822F4" w:rsidRPr="002822F4">
        <w:rPr>
          <w:lang w:val="en-US"/>
        </w:rPr>
        <w:t xml:space="preserve"> necessary, g</w:t>
      </w:r>
      <w:r w:rsidR="00B865C7" w:rsidRPr="002822F4">
        <w:rPr>
          <w:lang w:val="en-US"/>
        </w:rPr>
        <w:t xml:space="preserve">iven that there are no concerns or complaints relating to the pre-trade transparency related fields currently published by trading venues, ESMA’s technical standards should primarily aim to align existing reported data, rather than fundamentally changing or increasing fields that should be published. </w:t>
      </w:r>
    </w:p>
    <w:bookmarkEnd w:id="4"/>
    <w:p w14:paraId="55B0B84A" w14:textId="77D6D360"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lastRenderedPageBreak/>
        <w:t>&lt;ESMA_QUESTION_CP_MIFID_NQT_9&gt;</w:t>
      </w:r>
    </w:p>
    <w:p w14:paraId="779AD335"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Do you agree with ESMA’s assessment of the level of post-trade transparency and with the need of a more streamlined and uniform post-trade regime which does not include options at the discretion of the different jurisdictions? If not, please explain why and, where available, support your assessment with data.</w:t>
      </w:r>
    </w:p>
    <w:p w14:paraId="69264A41" w14:textId="77777777" w:rsidR="0076100F" w:rsidRPr="0076100F" w:rsidRDefault="0076100F" w:rsidP="0076100F">
      <w:pPr>
        <w:rPr>
          <w:lang w:val="en-US"/>
        </w:rPr>
      </w:pPr>
      <w:r w:rsidRPr="0076100F">
        <w:rPr>
          <w:lang w:val="en-US"/>
        </w:rPr>
        <w:t>&lt;ESMA_QUESTION_CP_MIFID_NQT_10&gt;</w:t>
      </w:r>
    </w:p>
    <w:p w14:paraId="7CFBA0B6" w14:textId="77777777" w:rsidR="0076100F" w:rsidRPr="0076100F" w:rsidRDefault="0076100F" w:rsidP="0076100F">
      <w:pPr>
        <w:rPr>
          <w:lang w:val="en-US"/>
        </w:rPr>
      </w:pPr>
      <w:r w:rsidRPr="0076100F">
        <w:rPr>
          <w:lang w:val="en-US"/>
        </w:rPr>
        <w:t>TYPE YOUR TEXT HERE</w:t>
      </w:r>
    </w:p>
    <w:p w14:paraId="76784135" w14:textId="3B2E3C94" w:rsidR="001D503E" w:rsidRPr="0076100F" w:rsidRDefault="0076100F" w:rsidP="0076100F">
      <w:r>
        <w:t>&lt;ESMA_QUESTION_CP_MIFID_NQT_10&gt;</w:t>
      </w:r>
    </w:p>
    <w:p w14:paraId="7E6A89A8"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Do you agree with this proposal? What would be the appropriate level of such a revised LIS-threshold in your view?</w:t>
      </w:r>
    </w:p>
    <w:p w14:paraId="72EF474B" w14:textId="77777777" w:rsidR="0076100F" w:rsidRPr="0076100F" w:rsidRDefault="0076100F" w:rsidP="0076100F">
      <w:pPr>
        <w:rPr>
          <w:lang w:val="en-US"/>
        </w:rPr>
      </w:pPr>
      <w:r w:rsidRPr="0076100F">
        <w:rPr>
          <w:lang w:val="en-US"/>
        </w:rPr>
        <w:t>&lt;ESMA_QUESTION_CP_MIFID_NQT_11&gt;</w:t>
      </w:r>
    </w:p>
    <w:p w14:paraId="608EEBD3" w14:textId="77777777" w:rsidR="0076100F" w:rsidRPr="0076100F" w:rsidRDefault="0076100F" w:rsidP="0076100F">
      <w:pPr>
        <w:rPr>
          <w:lang w:val="en-US"/>
        </w:rPr>
      </w:pPr>
      <w:r w:rsidRPr="0076100F">
        <w:rPr>
          <w:lang w:val="en-US"/>
        </w:rPr>
        <w:t>TYPE YOUR TEXT HERE</w:t>
      </w:r>
    </w:p>
    <w:p w14:paraId="7F2091B1" w14:textId="30AB6AD5" w:rsidR="001D503E" w:rsidRPr="0076100F" w:rsidRDefault="0076100F" w:rsidP="0076100F">
      <w:r>
        <w:t>&lt;ESMA_QUESTION_CP_MIFID_NQT_11&gt;</w:t>
      </w:r>
    </w:p>
    <w:p w14:paraId="1F8230E2"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In your view, should the real time publication of volume masking transactions apply to transactions in illiquid instruments and above LIS waiver (Option 1) or to transactions above LIS only (Option 2 and Option 3). Please elaborate. If you support another alternative, please explain which one and why.</w:t>
      </w:r>
    </w:p>
    <w:p w14:paraId="71FFFB20" w14:textId="77777777" w:rsidR="0076100F" w:rsidRPr="0076100F" w:rsidRDefault="0076100F" w:rsidP="0076100F">
      <w:pPr>
        <w:rPr>
          <w:lang w:val="en-US"/>
        </w:rPr>
      </w:pPr>
      <w:r w:rsidRPr="0076100F">
        <w:rPr>
          <w:lang w:val="en-US"/>
        </w:rPr>
        <w:t>&lt;ESMA_QUESTION_CP_MIFID_NQT_12&gt;</w:t>
      </w:r>
    </w:p>
    <w:p w14:paraId="0451F669" w14:textId="77777777" w:rsidR="0076100F" w:rsidRPr="0076100F" w:rsidRDefault="0076100F" w:rsidP="0076100F">
      <w:pPr>
        <w:rPr>
          <w:lang w:val="en-US"/>
        </w:rPr>
      </w:pPr>
      <w:r w:rsidRPr="0076100F">
        <w:rPr>
          <w:lang w:val="en-US"/>
        </w:rPr>
        <w:t>TYPE YOUR TEXT HERE</w:t>
      </w:r>
    </w:p>
    <w:p w14:paraId="1CFBD01A" w14:textId="409BBF01" w:rsidR="001D503E" w:rsidRPr="0076100F" w:rsidRDefault="0076100F" w:rsidP="0076100F">
      <w:r>
        <w:t>&lt;ESMA_QUESTION_CP_MIFID_NQT_12&gt;</w:t>
      </w:r>
    </w:p>
    <w:p w14:paraId="036B39B6"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 xml:space="preserve">Do you agree with the publication of the price and volume of all transactions after a certain </w:t>
      </w:r>
      <w:proofErr w:type="gramStart"/>
      <w:r w:rsidRPr="00013D66">
        <w:rPr>
          <w:rFonts w:ascii="Arial" w:eastAsia="Times New Roman" w:hAnsi="Arial" w:cs="Arial"/>
          <w:b/>
          <w:szCs w:val="20"/>
          <w:lang w:val="en-GB"/>
        </w:rPr>
        <w:t>period of time</w:t>
      </w:r>
      <w:proofErr w:type="gramEnd"/>
      <w:r w:rsidRPr="00013D66">
        <w:rPr>
          <w:rFonts w:ascii="Arial" w:eastAsia="Times New Roman" w:hAnsi="Arial" w:cs="Arial"/>
          <w:b/>
          <w:szCs w:val="20"/>
          <w:lang w:val="en-GB"/>
        </w:rPr>
        <w:t>, such as two calendar weeks (Option 1 and 2) or do you support the two-steps approach for LIS transactions (Option 3)? Please explain why and provide any alternative you would support. Which is the optimal option in case a consolidated tape would emerge in the future?</w:t>
      </w:r>
    </w:p>
    <w:p w14:paraId="1F3ED4F0" w14:textId="77777777" w:rsidR="0076100F" w:rsidRPr="0076100F" w:rsidRDefault="0076100F" w:rsidP="0076100F">
      <w:pPr>
        <w:rPr>
          <w:lang w:val="en-US"/>
        </w:rPr>
      </w:pPr>
      <w:r w:rsidRPr="0076100F">
        <w:rPr>
          <w:lang w:val="en-US"/>
        </w:rPr>
        <w:t>&lt;ESMA_QUESTION_CP_MIFID_NQT_13&gt;</w:t>
      </w:r>
    </w:p>
    <w:p w14:paraId="487BC032" w14:textId="77777777" w:rsidR="0076100F" w:rsidRPr="0076100F" w:rsidRDefault="0076100F" w:rsidP="0076100F">
      <w:pPr>
        <w:rPr>
          <w:lang w:val="en-US"/>
        </w:rPr>
      </w:pPr>
      <w:r w:rsidRPr="0076100F">
        <w:rPr>
          <w:lang w:val="en-US"/>
        </w:rPr>
        <w:t>TYPE YOUR TEXT HERE</w:t>
      </w:r>
    </w:p>
    <w:p w14:paraId="4E89232B" w14:textId="77777777" w:rsidR="0076100F" w:rsidRDefault="0076100F" w:rsidP="0076100F">
      <w:r>
        <w:t>&lt;ESMA_QUESTION_CP_MIFID_NQT_13&gt;</w:t>
      </w:r>
    </w:p>
    <w:p w14:paraId="08841E07" w14:textId="77777777" w:rsidR="001D503E" w:rsidRPr="00013D66" w:rsidRDefault="001D503E" w:rsidP="001D503E">
      <w:pPr>
        <w:spacing w:after="0" w:line="240" w:lineRule="auto"/>
        <w:rPr>
          <w:rFonts w:ascii="Arial" w:eastAsia="Times New Roman" w:hAnsi="Arial" w:cs="Arial"/>
          <w:sz w:val="20"/>
          <w:szCs w:val="24"/>
          <w:lang w:val="en-GB" w:eastAsia="de-DE"/>
        </w:rPr>
      </w:pPr>
    </w:p>
    <w:p w14:paraId="4F80B288"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 xml:space="preserve">Do you agree with ESMA’s proposed way forward to issue further guidance and put a stronger focus on enforcement to improve the quality of post-trade </w:t>
      </w:r>
      <w:proofErr w:type="gramStart"/>
      <w:r w:rsidRPr="00013D66">
        <w:rPr>
          <w:rFonts w:ascii="Arial" w:eastAsia="Times New Roman" w:hAnsi="Arial" w:cs="Arial"/>
          <w:b/>
          <w:szCs w:val="20"/>
          <w:lang w:val="en-GB"/>
        </w:rPr>
        <w:t>data?</w:t>
      </w:r>
      <w:proofErr w:type="gramEnd"/>
      <w:r w:rsidRPr="00013D66">
        <w:rPr>
          <w:rFonts w:ascii="Arial" w:eastAsia="Times New Roman" w:hAnsi="Arial" w:cs="Arial"/>
          <w:b/>
          <w:szCs w:val="20"/>
          <w:lang w:val="en-GB"/>
        </w:rPr>
        <w:t xml:space="preserve"> Are there </w:t>
      </w:r>
      <w:r w:rsidRPr="00013D66">
        <w:rPr>
          <w:rFonts w:ascii="Arial" w:eastAsia="Times New Roman" w:hAnsi="Arial" w:cs="Arial"/>
          <w:b/>
          <w:szCs w:val="20"/>
          <w:lang w:val="en-GB"/>
        </w:rPr>
        <w:lastRenderedPageBreak/>
        <w:t>any other measures necessary at the legislative level to improve the quality of post-trade data? What changes to the transparency regime in Level 1 could lead to a substantial improvement of data quality?</w:t>
      </w:r>
    </w:p>
    <w:p w14:paraId="04322850" w14:textId="77777777" w:rsidR="0076100F" w:rsidRPr="0076100F" w:rsidRDefault="0076100F" w:rsidP="0076100F">
      <w:pPr>
        <w:rPr>
          <w:lang w:val="en-US"/>
        </w:rPr>
      </w:pPr>
      <w:r w:rsidRPr="0076100F">
        <w:rPr>
          <w:lang w:val="en-US"/>
        </w:rPr>
        <w:t>&lt;ESMA_QUESTION_CP_MIFID_NQT_14&gt;</w:t>
      </w:r>
    </w:p>
    <w:p w14:paraId="13414983" w14:textId="77777777" w:rsidR="0076100F" w:rsidRPr="0076100F" w:rsidRDefault="0076100F" w:rsidP="0076100F">
      <w:pPr>
        <w:rPr>
          <w:lang w:val="en-US"/>
        </w:rPr>
      </w:pPr>
      <w:r w:rsidRPr="0076100F">
        <w:rPr>
          <w:lang w:val="en-US"/>
        </w:rPr>
        <w:t>TYPE YOUR TEXT HERE</w:t>
      </w:r>
    </w:p>
    <w:p w14:paraId="59345A67" w14:textId="39E01A81" w:rsidR="001D503E" w:rsidRPr="0076100F" w:rsidRDefault="0076100F" w:rsidP="0076100F">
      <w:r>
        <w:t>&lt;ESMA_QUESTION_CP_MIFID_NQT_14&gt;</w:t>
      </w:r>
    </w:p>
    <w:p w14:paraId="487CF902"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What would be the optimal transparency regime to help with the potential creation of a CTP?</w:t>
      </w:r>
    </w:p>
    <w:p w14:paraId="35603CC2" w14:textId="77777777" w:rsidR="0076100F" w:rsidRPr="0076100F" w:rsidRDefault="0076100F" w:rsidP="0076100F">
      <w:pPr>
        <w:rPr>
          <w:lang w:val="en-US"/>
        </w:rPr>
      </w:pPr>
      <w:r w:rsidRPr="0076100F">
        <w:rPr>
          <w:lang w:val="en-US"/>
        </w:rPr>
        <w:t>&lt;ESMA_QUESTION_CP_MIFID_NQT_15&gt;</w:t>
      </w:r>
    </w:p>
    <w:p w14:paraId="4807BDB6" w14:textId="77777777" w:rsidR="0076100F" w:rsidRPr="0076100F" w:rsidRDefault="0076100F" w:rsidP="0076100F">
      <w:pPr>
        <w:rPr>
          <w:lang w:val="en-US"/>
        </w:rPr>
      </w:pPr>
      <w:r w:rsidRPr="0076100F">
        <w:rPr>
          <w:lang w:val="en-US"/>
        </w:rPr>
        <w:t>TYPE YOUR TEXT HERE</w:t>
      </w:r>
    </w:p>
    <w:p w14:paraId="4B84BB7F" w14:textId="31A9D244" w:rsidR="001D503E" w:rsidRPr="0076100F" w:rsidRDefault="0076100F" w:rsidP="0076100F">
      <w:r>
        <w:t>&lt;ESMA_QUESTION_CP_MIFID_NQT_15&gt;</w:t>
      </w:r>
    </w:p>
    <w:p w14:paraId="3E19CDE7"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Do you agree with ESMA’s above assessment? If not, please explain.</w:t>
      </w:r>
    </w:p>
    <w:p w14:paraId="24C12EB3" w14:textId="77777777" w:rsidR="0076100F" w:rsidRPr="0076100F" w:rsidRDefault="0076100F" w:rsidP="0076100F">
      <w:pPr>
        <w:rPr>
          <w:lang w:val="en-US"/>
        </w:rPr>
      </w:pPr>
      <w:r w:rsidRPr="0076100F">
        <w:rPr>
          <w:lang w:val="en-US"/>
        </w:rPr>
        <w:t>&lt;ESMA_QUESTION_CP_MIFID_NQT_16&gt;</w:t>
      </w:r>
    </w:p>
    <w:p w14:paraId="22295F59" w14:textId="77777777" w:rsidR="0076100F" w:rsidRPr="0076100F" w:rsidRDefault="0076100F" w:rsidP="0076100F">
      <w:pPr>
        <w:rPr>
          <w:lang w:val="en-US"/>
        </w:rPr>
      </w:pPr>
      <w:r w:rsidRPr="0076100F">
        <w:rPr>
          <w:lang w:val="en-US"/>
        </w:rPr>
        <w:t>TYPE YOUR TEXT HERE</w:t>
      </w:r>
    </w:p>
    <w:p w14:paraId="32FA02AC" w14:textId="0E1DCD9A" w:rsidR="001D503E" w:rsidRPr="0076100F" w:rsidRDefault="0076100F" w:rsidP="0076100F">
      <w:r>
        <w:t>&lt;ESMA_QUESTION_CP_MIFID_NQT_16&gt;</w:t>
      </w:r>
    </w:p>
    <w:p w14:paraId="3C454D49"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Are you of the view that the interpretation of TOTV should remained aligned for both transparency and transaction reporting? If not, please explain why.</w:t>
      </w:r>
    </w:p>
    <w:p w14:paraId="114D0987" w14:textId="77777777" w:rsidR="0076100F" w:rsidRPr="0076100F" w:rsidRDefault="0076100F" w:rsidP="0076100F">
      <w:pPr>
        <w:rPr>
          <w:lang w:val="en-US"/>
        </w:rPr>
      </w:pPr>
      <w:r w:rsidRPr="0076100F">
        <w:rPr>
          <w:lang w:val="en-US"/>
        </w:rPr>
        <w:t>&lt;ESMA_QUESTION_CP_MIFID_NQT_17&gt;</w:t>
      </w:r>
    </w:p>
    <w:p w14:paraId="537342E1" w14:textId="77777777" w:rsidR="0076100F" w:rsidRPr="0076100F" w:rsidRDefault="0076100F" w:rsidP="0076100F">
      <w:pPr>
        <w:rPr>
          <w:lang w:val="en-US"/>
        </w:rPr>
      </w:pPr>
      <w:r w:rsidRPr="0076100F">
        <w:rPr>
          <w:lang w:val="en-US"/>
        </w:rPr>
        <w:t>TYPE YOUR TEXT HERE</w:t>
      </w:r>
    </w:p>
    <w:p w14:paraId="76D80F67" w14:textId="150857ED" w:rsidR="001D503E" w:rsidRPr="0076100F" w:rsidRDefault="0076100F" w:rsidP="0076100F">
      <w:r>
        <w:t>&lt;ESMA_QUESTION_CP_MIFID_NQT_17&gt;</w:t>
      </w:r>
    </w:p>
    <w:p w14:paraId="59D3CDDD"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Which of the three options proposed, would you recommend (Option 1, Option 2 or Option 3)? In case you recommend an alternative way forward, please explain.</w:t>
      </w:r>
    </w:p>
    <w:p w14:paraId="23E4E15A" w14:textId="77777777" w:rsidR="0076100F" w:rsidRPr="0076100F" w:rsidRDefault="0076100F" w:rsidP="0076100F">
      <w:pPr>
        <w:rPr>
          <w:lang w:val="en-US"/>
        </w:rPr>
      </w:pPr>
      <w:r w:rsidRPr="0076100F">
        <w:rPr>
          <w:lang w:val="en-US"/>
        </w:rPr>
        <w:t>&lt;ESMA_QUESTION_CP_MIFID_NQT_18&gt;</w:t>
      </w:r>
    </w:p>
    <w:p w14:paraId="1EA6115D" w14:textId="77777777" w:rsidR="0076100F" w:rsidRPr="0076100F" w:rsidRDefault="0076100F" w:rsidP="0076100F">
      <w:pPr>
        <w:rPr>
          <w:lang w:val="en-US"/>
        </w:rPr>
      </w:pPr>
      <w:r w:rsidRPr="0076100F">
        <w:rPr>
          <w:lang w:val="en-US"/>
        </w:rPr>
        <w:t>TYPE YOUR TEXT HERE</w:t>
      </w:r>
    </w:p>
    <w:p w14:paraId="63F4E431" w14:textId="77777777" w:rsidR="0076100F" w:rsidRDefault="0076100F" w:rsidP="0076100F">
      <w:r>
        <w:t>&lt;ESMA_QUESTION_CP_MIFID_NQT_18&gt;</w:t>
      </w:r>
    </w:p>
    <w:p w14:paraId="3E9ECFDC"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 xml:space="preserve">What is your view on the proposal to delete the possibility for </w:t>
      </w:r>
      <w:proofErr w:type="gramStart"/>
      <w:r w:rsidRPr="00013D66">
        <w:rPr>
          <w:rFonts w:ascii="Arial" w:eastAsia="Times New Roman" w:hAnsi="Arial" w:cs="Arial"/>
          <w:b/>
          <w:szCs w:val="20"/>
          <w:lang w:val="en-GB"/>
        </w:rPr>
        <w:t>temporarily suspending</w:t>
      </w:r>
      <w:proofErr w:type="gramEnd"/>
      <w:r w:rsidRPr="00013D66">
        <w:rPr>
          <w:rFonts w:ascii="Arial" w:eastAsia="Times New Roman" w:hAnsi="Arial" w:cs="Arial"/>
          <w:b/>
          <w:szCs w:val="20"/>
          <w:lang w:val="en-GB"/>
        </w:rPr>
        <w:t xml:space="preserve"> the transparency provisions? Please explain.</w:t>
      </w:r>
    </w:p>
    <w:p w14:paraId="1919ADE5" w14:textId="77777777" w:rsidR="0076100F" w:rsidRPr="0076100F" w:rsidRDefault="0076100F" w:rsidP="0076100F">
      <w:pPr>
        <w:rPr>
          <w:lang w:val="en-US"/>
        </w:rPr>
      </w:pPr>
      <w:r w:rsidRPr="0076100F">
        <w:rPr>
          <w:lang w:val="en-US"/>
        </w:rPr>
        <w:t>&lt;ESMA_QUESTION_CP_MIFID_NQT_19&gt;</w:t>
      </w:r>
    </w:p>
    <w:p w14:paraId="0930DAE6" w14:textId="77777777" w:rsidR="0076100F" w:rsidRPr="0076100F" w:rsidRDefault="0076100F" w:rsidP="0076100F">
      <w:pPr>
        <w:rPr>
          <w:lang w:val="en-US"/>
        </w:rPr>
      </w:pPr>
      <w:r w:rsidRPr="0076100F">
        <w:rPr>
          <w:lang w:val="en-US"/>
        </w:rPr>
        <w:lastRenderedPageBreak/>
        <w:t>TYPE YOUR TEXT HERE</w:t>
      </w:r>
    </w:p>
    <w:p w14:paraId="581FD017" w14:textId="6809F3A6" w:rsidR="001D503E" w:rsidRPr="0076100F" w:rsidRDefault="0076100F" w:rsidP="0076100F">
      <w:r>
        <w:t>&lt;ESMA_QUESTION_CP_MIFID_NQT_19&gt;</w:t>
      </w:r>
    </w:p>
    <w:p w14:paraId="577EDF31"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Do you have any remarks on the assessment of Article 28 of MiFIR? Please explain.</w:t>
      </w:r>
    </w:p>
    <w:p w14:paraId="332D5DA3" w14:textId="77777777" w:rsidR="0076100F" w:rsidRPr="0076100F" w:rsidRDefault="0076100F" w:rsidP="0076100F">
      <w:pPr>
        <w:rPr>
          <w:lang w:val="en-US"/>
        </w:rPr>
      </w:pPr>
      <w:r w:rsidRPr="0076100F">
        <w:rPr>
          <w:lang w:val="en-US"/>
        </w:rPr>
        <w:t>&lt;ESMA_QUESTION_CP_MIFID_NQT_20&gt;</w:t>
      </w:r>
    </w:p>
    <w:p w14:paraId="6E6E0423" w14:textId="77777777" w:rsidR="0076100F" w:rsidRPr="0076100F" w:rsidRDefault="0076100F" w:rsidP="0076100F">
      <w:pPr>
        <w:rPr>
          <w:lang w:val="en-US"/>
        </w:rPr>
      </w:pPr>
      <w:r w:rsidRPr="0076100F">
        <w:rPr>
          <w:lang w:val="en-US"/>
        </w:rPr>
        <w:t>TYPE YOUR TEXT HERE</w:t>
      </w:r>
    </w:p>
    <w:p w14:paraId="71DFD846" w14:textId="39C5B259" w:rsidR="001D503E" w:rsidRPr="0076100F" w:rsidRDefault="0076100F" w:rsidP="0076100F">
      <w:r>
        <w:t>&lt;ESMA_QUESTION_CP_MIFID_NQT_20&gt;</w:t>
      </w:r>
    </w:p>
    <w:p w14:paraId="3378FB8E"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 xml:space="preserve">Do you have any views on the above-mentioned criteria and whether the criteria are </w:t>
      </w:r>
      <w:proofErr w:type="gramStart"/>
      <w:r w:rsidRPr="00013D66">
        <w:rPr>
          <w:rFonts w:ascii="Arial" w:eastAsia="Times New Roman" w:hAnsi="Arial" w:cs="Arial"/>
          <w:b/>
          <w:szCs w:val="20"/>
          <w:lang w:val="en-GB"/>
        </w:rPr>
        <w:t>sufficient</w:t>
      </w:r>
      <w:proofErr w:type="gramEnd"/>
      <w:r w:rsidRPr="00013D66">
        <w:rPr>
          <w:rFonts w:ascii="Arial" w:eastAsia="Times New Roman" w:hAnsi="Arial" w:cs="Arial"/>
          <w:b/>
          <w:szCs w:val="20"/>
          <w:lang w:val="en-GB"/>
        </w:rPr>
        <w:t xml:space="preserve"> and appropriate for assessing the liquidity of derivatives? Do you consider it necessary to include further criteria (e.g. currency)? Do you consider that ESMA should make use of the provision in Article 32(4) for asset classes currently not subject to the trading obligations? Please explain.</w:t>
      </w:r>
    </w:p>
    <w:p w14:paraId="7D7B01F9" w14:textId="77777777" w:rsidR="0076100F" w:rsidRDefault="0076100F" w:rsidP="0076100F">
      <w:r>
        <w:t>&lt;ESMA_QUESTION_CP_MIFID_NQT_21&gt;</w:t>
      </w:r>
    </w:p>
    <w:p w14:paraId="7307A45E" w14:textId="77777777" w:rsidR="0076100F" w:rsidRDefault="0076100F" w:rsidP="0076100F">
      <w:r>
        <w:t>TYPE YOUR TEXT HERE</w:t>
      </w:r>
    </w:p>
    <w:p w14:paraId="0BC8DF7F" w14:textId="3DC27D02" w:rsidR="001D503E" w:rsidRPr="0076100F" w:rsidRDefault="0076100F" w:rsidP="0076100F">
      <w:r>
        <w:t>&lt;ESMA_QUESTION_CP_MIFID_NQT_21&gt;</w:t>
      </w:r>
    </w:p>
    <w:p w14:paraId="3432CB34"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Do you agree that a procedure for the swift suspension of the trading obligation for derivatives is needed? Do you agree with the proposed procedure? Please explain.</w:t>
      </w:r>
    </w:p>
    <w:p w14:paraId="16F36A13" w14:textId="77777777" w:rsidR="0076100F" w:rsidRPr="0076100F" w:rsidRDefault="0076100F" w:rsidP="0076100F">
      <w:pPr>
        <w:rPr>
          <w:lang w:val="en-US"/>
        </w:rPr>
      </w:pPr>
      <w:r w:rsidRPr="0076100F">
        <w:rPr>
          <w:lang w:val="en-US"/>
        </w:rPr>
        <w:t>&lt;ESMA_QUESTION_CP_MIFID_NQT_22&gt;</w:t>
      </w:r>
    </w:p>
    <w:p w14:paraId="133916FF" w14:textId="77777777" w:rsidR="0076100F" w:rsidRPr="0076100F" w:rsidRDefault="0076100F" w:rsidP="0076100F">
      <w:pPr>
        <w:rPr>
          <w:lang w:val="en-US"/>
        </w:rPr>
      </w:pPr>
      <w:r w:rsidRPr="0076100F">
        <w:rPr>
          <w:lang w:val="en-US"/>
        </w:rPr>
        <w:t>TYPE YOUR TEXT HERE</w:t>
      </w:r>
    </w:p>
    <w:p w14:paraId="5C206DDD" w14:textId="5592D253" w:rsidR="001D503E" w:rsidRPr="0076100F" w:rsidRDefault="0076100F" w:rsidP="0076100F">
      <w:r>
        <w:t>&lt;ESMA_QUESTION_CP_MIFID_NQT_22&gt;</w:t>
      </w:r>
    </w:p>
    <w:p w14:paraId="6323A0A2"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 xml:space="preserve">Do you have a view on </w:t>
      </w:r>
      <w:proofErr w:type="gramStart"/>
      <w:r w:rsidRPr="00013D66">
        <w:rPr>
          <w:rFonts w:ascii="Arial" w:eastAsia="Times New Roman" w:hAnsi="Arial" w:cs="Arial"/>
          <w:b/>
          <w:szCs w:val="20"/>
          <w:lang w:val="en-GB"/>
        </w:rPr>
        <w:t>this</w:t>
      </w:r>
      <w:proofErr w:type="gramEnd"/>
      <w:r w:rsidRPr="00013D66">
        <w:rPr>
          <w:rFonts w:ascii="Arial" w:eastAsia="Times New Roman" w:hAnsi="Arial" w:cs="Arial"/>
          <w:b/>
          <w:szCs w:val="20"/>
          <w:lang w:val="en-GB"/>
        </w:rPr>
        <w:t xml:space="preserve"> or any other issues related to the application of the DTO?</w:t>
      </w:r>
    </w:p>
    <w:p w14:paraId="40720BF3" w14:textId="77777777" w:rsidR="0076100F" w:rsidRPr="0076100F" w:rsidRDefault="0076100F" w:rsidP="0076100F">
      <w:pPr>
        <w:rPr>
          <w:lang w:val="en-US"/>
        </w:rPr>
      </w:pPr>
      <w:r w:rsidRPr="0076100F">
        <w:rPr>
          <w:lang w:val="en-US"/>
        </w:rPr>
        <w:t>&lt;ESMA_QUESTION_CP_MIFID_NQT_23&gt;</w:t>
      </w:r>
    </w:p>
    <w:p w14:paraId="724145E3" w14:textId="77777777" w:rsidR="0076100F" w:rsidRPr="0076100F" w:rsidRDefault="0076100F" w:rsidP="0076100F">
      <w:pPr>
        <w:rPr>
          <w:lang w:val="en-US"/>
        </w:rPr>
      </w:pPr>
      <w:r w:rsidRPr="0076100F">
        <w:rPr>
          <w:lang w:val="en-US"/>
        </w:rPr>
        <w:t>TYPE YOUR TEXT HERE</w:t>
      </w:r>
    </w:p>
    <w:p w14:paraId="6FCFCF34" w14:textId="4FE2B6BC" w:rsidR="001D503E" w:rsidRPr="0076100F" w:rsidRDefault="0076100F" w:rsidP="0076100F">
      <w:r>
        <w:t>&lt;ESMA_QUESTION_CP_MIFID_NQT_23&gt;</w:t>
      </w:r>
    </w:p>
    <w:p w14:paraId="124CF4BB"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Do you have any views on the functioning of the register? Please explain.</w:t>
      </w:r>
    </w:p>
    <w:p w14:paraId="7C094E4E" w14:textId="77777777" w:rsidR="0076100F" w:rsidRPr="0076100F" w:rsidRDefault="0076100F" w:rsidP="0076100F">
      <w:pPr>
        <w:rPr>
          <w:lang w:val="en-US"/>
        </w:rPr>
      </w:pPr>
      <w:r w:rsidRPr="0076100F">
        <w:rPr>
          <w:lang w:val="en-US"/>
        </w:rPr>
        <w:t>&lt;ESMA_QUESTION_CP_MIFID_NQT_24&gt;</w:t>
      </w:r>
    </w:p>
    <w:p w14:paraId="0C0DF1DD" w14:textId="77777777" w:rsidR="0076100F" w:rsidRPr="0076100F" w:rsidRDefault="0076100F" w:rsidP="0076100F">
      <w:pPr>
        <w:rPr>
          <w:lang w:val="en-US"/>
        </w:rPr>
      </w:pPr>
      <w:r w:rsidRPr="0076100F">
        <w:rPr>
          <w:lang w:val="en-US"/>
        </w:rPr>
        <w:t>TYPE YOUR TEXT HERE</w:t>
      </w:r>
    </w:p>
    <w:p w14:paraId="0E045194" w14:textId="77777777" w:rsidR="0076100F" w:rsidRDefault="0076100F" w:rsidP="0076100F">
      <w:r>
        <w:t>&lt;ESMA_QUESTION_CP_MIFID_NQT_24&gt;</w:t>
      </w:r>
    </w:p>
    <w:p w14:paraId="58DFD4A8"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lastRenderedPageBreak/>
        <w:t>Do you agree that the current quarterly liquidity calculation for bonds is appropriate or would you be of the view that the liquidity determination of bonds should be simplified and provide for more stable results? Please explain.</w:t>
      </w:r>
    </w:p>
    <w:p w14:paraId="3CA75B0A" w14:textId="77777777" w:rsidR="00BA0CE7" w:rsidRDefault="00BA0CE7" w:rsidP="00BA0CE7">
      <w:r>
        <w:t>&lt;ESMA_QUESTION_CP_MIFID_NQT_25&gt;</w:t>
      </w:r>
    </w:p>
    <w:p w14:paraId="7B5C62C6" w14:textId="77777777" w:rsidR="00BA0CE7" w:rsidRDefault="00BA0CE7" w:rsidP="00BA0CE7">
      <w:r>
        <w:t>TYPE YOUR TEXT HERE</w:t>
      </w:r>
    </w:p>
    <w:p w14:paraId="22464576" w14:textId="77777777" w:rsidR="00BA0CE7" w:rsidRDefault="00BA0CE7" w:rsidP="00BA0CE7">
      <w:r>
        <w:t>&lt;ESMA_QUESTION_CP_MIFID_NQT_25&gt;</w:t>
      </w:r>
    </w:p>
    <w:p w14:paraId="1D4D6DDE"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Do you agree with ESMA proposal to move to stage 2 for the determination of the liquidity assessment of bonds? Please explain.</w:t>
      </w:r>
    </w:p>
    <w:p w14:paraId="3731DEE7" w14:textId="77777777" w:rsidR="00BA0CE7" w:rsidRPr="00BA0CE7" w:rsidRDefault="00BA0CE7" w:rsidP="00BA0CE7">
      <w:pPr>
        <w:rPr>
          <w:lang w:val="en-US"/>
        </w:rPr>
      </w:pPr>
      <w:r w:rsidRPr="00BA0CE7">
        <w:rPr>
          <w:lang w:val="en-US"/>
        </w:rPr>
        <w:t>&lt;ESMA_QUESTION_CP_MIFID_NQT_26&gt;</w:t>
      </w:r>
    </w:p>
    <w:p w14:paraId="0F412687" w14:textId="77777777" w:rsidR="00BA0CE7" w:rsidRPr="00BA0CE7" w:rsidRDefault="00BA0CE7" w:rsidP="00BA0CE7">
      <w:pPr>
        <w:rPr>
          <w:lang w:val="en-US"/>
        </w:rPr>
      </w:pPr>
      <w:r w:rsidRPr="00BA0CE7">
        <w:rPr>
          <w:lang w:val="en-US"/>
        </w:rPr>
        <w:t>TYPE YOUR TEXT HERE</w:t>
      </w:r>
    </w:p>
    <w:p w14:paraId="2B897411" w14:textId="18391642" w:rsidR="001D503E" w:rsidRPr="00BA0CE7" w:rsidRDefault="00BA0CE7" w:rsidP="00BA0CE7">
      <w:r>
        <w:t>&lt;ESMA_QUESTION_CP_MIFID_NQT_26&gt;</w:t>
      </w:r>
    </w:p>
    <w:p w14:paraId="533670FD"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Do you agree with ESMA proposal not to move to stage 2 for the determination of the pre-trade SSTI thresholds for all non-equity instruments except bonds? Please explain.</w:t>
      </w:r>
    </w:p>
    <w:p w14:paraId="3C690FE7" w14:textId="77777777" w:rsidR="00BA0CE7" w:rsidRPr="00BA0CE7" w:rsidRDefault="00BA0CE7" w:rsidP="00BA0CE7">
      <w:pPr>
        <w:rPr>
          <w:lang w:val="en-US"/>
        </w:rPr>
      </w:pPr>
      <w:r w:rsidRPr="00BA0CE7">
        <w:rPr>
          <w:lang w:val="en-US"/>
        </w:rPr>
        <w:t>&lt;ESMA_QUESTION_CP_MIFID_NQT_27&gt;</w:t>
      </w:r>
    </w:p>
    <w:p w14:paraId="2593DEB2" w14:textId="77777777" w:rsidR="00BA0CE7" w:rsidRPr="00BA0CE7" w:rsidRDefault="00BA0CE7" w:rsidP="00BA0CE7">
      <w:pPr>
        <w:rPr>
          <w:lang w:val="en-US"/>
        </w:rPr>
      </w:pPr>
      <w:r w:rsidRPr="00BA0CE7">
        <w:rPr>
          <w:lang w:val="en-US"/>
        </w:rPr>
        <w:t>TYPE YOUR TEXT HERE</w:t>
      </w:r>
    </w:p>
    <w:p w14:paraId="51815FF5" w14:textId="0FA392AD" w:rsidR="001D503E" w:rsidRPr="00BA0CE7" w:rsidRDefault="00BA0CE7" w:rsidP="00BA0CE7">
      <w:r>
        <w:t>&lt;ESMA_QUESTION_CP_MIFID_NQT_27&gt;</w:t>
      </w:r>
    </w:p>
    <w:p w14:paraId="75FB209D"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Do you agree with ESMA proposal to move to stage 2 for the determination of the pre-trade SSTI thresholds for bonds (except ETCs and ETNs)? Please explain.</w:t>
      </w:r>
    </w:p>
    <w:p w14:paraId="4927A34F" w14:textId="77777777" w:rsidR="00BA0CE7" w:rsidRPr="00BA0CE7" w:rsidRDefault="00BA0CE7" w:rsidP="00BA0CE7">
      <w:pPr>
        <w:rPr>
          <w:lang w:val="en-US"/>
        </w:rPr>
      </w:pPr>
      <w:r w:rsidRPr="00BA0CE7">
        <w:rPr>
          <w:lang w:val="en-US"/>
        </w:rPr>
        <w:t>&lt;ESMA_QUESTION_CP_MIFID_NQT_28&gt;</w:t>
      </w:r>
    </w:p>
    <w:p w14:paraId="10B0F0C2" w14:textId="77777777" w:rsidR="00BA0CE7" w:rsidRPr="00BA0CE7" w:rsidRDefault="00BA0CE7" w:rsidP="00BA0CE7">
      <w:pPr>
        <w:rPr>
          <w:lang w:val="en-US"/>
        </w:rPr>
      </w:pPr>
      <w:r w:rsidRPr="00BA0CE7">
        <w:rPr>
          <w:lang w:val="en-US"/>
        </w:rPr>
        <w:t>TYPE YOUR TEXT HERE</w:t>
      </w:r>
    </w:p>
    <w:p w14:paraId="6F10FAE5" w14:textId="77777777" w:rsidR="00BA0CE7" w:rsidRDefault="00BA0CE7" w:rsidP="00BA0CE7">
      <w:r>
        <w:t>&lt;ESMA_QUESTION_CP_MIFID_NQT_28&gt;</w:t>
      </w:r>
    </w:p>
    <w:p w14:paraId="29B26144"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What is your view on the current calibration of the ADNA and ADNT for commodity derivatives? Are there specific sub-asset classes for which the current calibration is problematic? Please justify your views and proposals with quantitative elements where available.</w:t>
      </w:r>
    </w:p>
    <w:p w14:paraId="3B4A3B41" w14:textId="77777777"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&lt;ESMA_QUESTION_CP_MIFID_NQT_29&gt;</w:t>
      </w:r>
    </w:p>
    <w:p w14:paraId="661B166C" w14:textId="4A7E56EE" w:rsidR="00CB5A22" w:rsidRDefault="00292EF3" w:rsidP="003E2129">
      <w:pPr>
        <w:jc w:val="both"/>
        <w:rPr>
          <w:lang w:val="en-US"/>
        </w:rPr>
      </w:pPr>
      <w:r>
        <w:rPr>
          <w:lang w:val="en-US"/>
        </w:rPr>
        <w:br/>
      </w:r>
      <w:bookmarkStart w:id="5" w:name="_GoBack"/>
      <w:bookmarkEnd w:id="5"/>
      <w:proofErr w:type="spellStart"/>
      <w:r w:rsidR="003E2129" w:rsidRPr="00AC6CD7">
        <w:rPr>
          <w:lang w:val="en-US"/>
        </w:rPr>
        <w:t>MiFIR</w:t>
      </w:r>
      <w:proofErr w:type="spellEnd"/>
      <w:r w:rsidR="003E2129" w:rsidRPr="00AC6CD7">
        <w:rPr>
          <w:lang w:val="en-US"/>
        </w:rPr>
        <w:t xml:space="preserve"> rightly recogni</w:t>
      </w:r>
      <w:r w:rsidR="00641709" w:rsidRPr="00AC6CD7">
        <w:rPr>
          <w:lang w:val="en-US"/>
        </w:rPr>
        <w:t>z</w:t>
      </w:r>
      <w:r w:rsidR="003E2129" w:rsidRPr="00AC6CD7">
        <w:rPr>
          <w:lang w:val="en-US"/>
        </w:rPr>
        <w:t xml:space="preserve">es that certain exemptions can be granted to trading venues from the general requirement to publish pre-trade transparency data to preserve orderly price discovery processes and allow </w:t>
      </w:r>
      <w:proofErr w:type="gramStart"/>
      <w:r w:rsidR="003E2129" w:rsidRPr="00AC6CD7">
        <w:rPr>
          <w:lang w:val="en-US"/>
        </w:rPr>
        <w:t>in particular illiquid</w:t>
      </w:r>
      <w:proofErr w:type="gramEnd"/>
      <w:r w:rsidR="003E2129" w:rsidRPr="00AC6CD7">
        <w:rPr>
          <w:lang w:val="en-US"/>
        </w:rPr>
        <w:t xml:space="preserve"> and nascent markets to develop. However, the current calculation methodology </w:t>
      </w:r>
      <w:r w:rsidR="003E2129" w:rsidRPr="00AC6CD7">
        <w:rPr>
          <w:lang w:val="en-US"/>
        </w:rPr>
        <w:lastRenderedPageBreak/>
        <w:t>of corresponding waivers is fundamentally flawed. The IL</w:t>
      </w:r>
      <w:r w:rsidR="008455CE" w:rsidRPr="00AC6CD7">
        <w:rPr>
          <w:lang w:val="en-US"/>
        </w:rPr>
        <w:t xml:space="preserve"> </w:t>
      </w:r>
      <w:r w:rsidR="003E2129" w:rsidRPr="00AC6CD7">
        <w:rPr>
          <w:lang w:val="en-US"/>
        </w:rPr>
        <w:t>and LIS</w:t>
      </w:r>
      <w:r w:rsidR="008455CE" w:rsidRPr="00AC6CD7">
        <w:rPr>
          <w:lang w:val="en-US"/>
        </w:rPr>
        <w:t xml:space="preserve"> </w:t>
      </w:r>
      <w:r w:rsidR="003E2129" w:rsidRPr="00AC6CD7">
        <w:rPr>
          <w:lang w:val="en-US"/>
        </w:rPr>
        <w:t>waivers do not</w:t>
      </w:r>
      <w:r w:rsidR="008455CE" w:rsidRPr="00AC6CD7">
        <w:rPr>
          <w:lang w:val="en-US"/>
        </w:rPr>
        <w:t xml:space="preserve"> fit all non-equity markets, especially </w:t>
      </w:r>
      <w:r w:rsidR="003E2129" w:rsidRPr="00AC6CD7">
        <w:rPr>
          <w:lang w:val="en-US"/>
        </w:rPr>
        <w:t xml:space="preserve">commodity and energy derivatives markets. The current methodology has led to significant number of niche and nascent products being incorrectly (re-)classified as liquid, and thus becoming subject to significantly broader transparency requirements, which were previously reserved for </w:t>
      </w:r>
      <w:r w:rsidR="00AC6CD7" w:rsidRPr="00AC6CD7">
        <w:rPr>
          <w:lang w:val="en-US"/>
        </w:rPr>
        <w:t xml:space="preserve">well </w:t>
      </w:r>
      <w:r w:rsidR="003E2129" w:rsidRPr="00AC6CD7">
        <w:rPr>
          <w:lang w:val="en-US"/>
        </w:rPr>
        <w:t xml:space="preserve">developed markets. </w:t>
      </w:r>
      <w:r w:rsidR="00CB5A22" w:rsidRPr="00683835">
        <w:rPr>
          <w:rFonts w:cs="Arial"/>
          <w:color w:val="000000"/>
          <w:lang w:val="en-US"/>
        </w:rPr>
        <w:t xml:space="preserve">The latter has the effect of </w:t>
      </w:r>
      <w:r w:rsidR="007D5F77">
        <w:rPr>
          <w:rFonts w:cs="Arial"/>
          <w:color w:val="000000"/>
          <w:lang w:val="en-US"/>
        </w:rPr>
        <w:t>impeding</w:t>
      </w:r>
      <w:r w:rsidR="007D5F77" w:rsidRPr="00CB5A22">
        <w:rPr>
          <w:rFonts w:cs="Arial"/>
          <w:color w:val="000000"/>
          <w:lang w:val="en-US"/>
        </w:rPr>
        <w:t xml:space="preserve"> </w:t>
      </w:r>
      <w:r w:rsidR="00CB5A22" w:rsidRPr="00CB5A22">
        <w:rPr>
          <w:rFonts w:cs="Arial"/>
          <w:color w:val="000000"/>
          <w:lang w:val="en-US"/>
        </w:rPr>
        <w:t xml:space="preserve">nascent commodity derivatives markets </w:t>
      </w:r>
      <w:r w:rsidR="007D5F77">
        <w:rPr>
          <w:rFonts w:cs="Arial"/>
          <w:color w:val="000000"/>
          <w:lang w:val="en-US"/>
        </w:rPr>
        <w:t>in</w:t>
      </w:r>
      <w:r w:rsidR="007D5F77" w:rsidRPr="00CB5A22">
        <w:rPr>
          <w:rFonts w:cs="Arial"/>
          <w:color w:val="000000"/>
          <w:lang w:val="en-US"/>
        </w:rPr>
        <w:t xml:space="preserve"> </w:t>
      </w:r>
      <w:r w:rsidR="00CB5A22" w:rsidRPr="00CB5A22">
        <w:rPr>
          <w:rFonts w:cs="Arial"/>
          <w:color w:val="000000"/>
          <w:lang w:val="en-US"/>
        </w:rPr>
        <w:t>developing</w:t>
      </w:r>
      <w:r w:rsidR="00CB5A22" w:rsidRPr="00683835">
        <w:rPr>
          <w:rFonts w:cs="Arial"/>
          <w:color w:val="000000"/>
          <w:lang w:val="en-US"/>
        </w:rPr>
        <w:t xml:space="preserve">, </w:t>
      </w:r>
      <w:r w:rsidR="00CB5A22" w:rsidRPr="00683835">
        <w:rPr>
          <w:rFonts w:cs="Arial"/>
          <w:color w:val="000000"/>
          <w:lang w:val="en-US" w:eastAsia="en-GB"/>
        </w:rPr>
        <w:t>p</w:t>
      </w:r>
      <w:r w:rsidR="00CB5A22" w:rsidRPr="00CB5A22">
        <w:rPr>
          <w:rFonts w:cs="Arial"/>
          <w:color w:val="000000"/>
          <w:lang w:val="en-US" w:eastAsia="en-GB"/>
        </w:rPr>
        <w:t xml:space="preserve">ushing small and medium sized members towards more bilateral (OTC) trading. </w:t>
      </w:r>
    </w:p>
    <w:p w14:paraId="27D13267" w14:textId="23AF3E55" w:rsidR="003E2129" w:rsidRDefault="003E2129" w:rsidP="00AC6CD7">
      <w:pPr>
        <w:jc w:val="both"/>
        <w:rPr>
          <w:lang w:val="en-US"/>
        </w:rPr>
      </w:pPr>
      <w:r w:rsidRPr="00AC6CD7">
        <w:rPr>
          <w:lang w:val="en-US"/>
        </w:rPr>
        <w:t xml:space="preserve">IL thresholds are determined </w:t>
      </w:r>
      <w:proofErr w:type="gramStart"/>
      <w:r w:rsidRPr="00AC6CD7">
        <w:rPr>
          <w:lang w:val="en-US"/>
        </w:rPr>
        <w:t>on the basis of</w:t>
      </w:r>
      <w:proofErr w:type="gramEnd"/>
      <w:r w:rsidRPr="00AC6CD7">
        <w:rPr>
          <w:lang w:val="en-US"/>
        </w:rPr>
        <w:t xml:space="preserve"> the average traded daily notional amount (or average daily amount in case of emission markets). However, </w:t>
      </w:r>
      <w:r w:rsidR="00BA0CE7">
        <w:rPr>
          <w:lang w:val="en-US"/>
        </w:rPr>
        <w:t>their</w:t>
      </w:r>
      <w:r w:rsidRPr="00AC6CD7">
        <w:rPr>
          <w:lang w:val="en-US"/>
        </w:rPr>
        <w:t xml:space="preserve"> current calibration methodology does not reflect the market reality. </w:t>
      </w:r>
    </w:p>
    <w:p w14:paraId="0E13F71F" w14:textId="28BE2E8C" w:rsidR="00CB5A22" w:rsidRPr="00CB5A22" w:rsidRDefault="00CB5A22" w:rsidP="00CB5A22">
      <w:pPr>
        <w:jc w:val="both"/>
        <w:rPr>
          <w:lang w:val="en-US"/>
        </w:rPr>
      </w:pPr>
      <w:r w:rsidRPr="00CB5A22">
        <w:rPr>
          <w:lang w:val="en-US"/>
        </w:rPr>
        <w:t xml:space="preserve">Consequently, EEX Group proposes to replace the current RTS 2 methodology for calculating </w:t>
      </w:r>
      <w:r w:rsidR="00BA0CE7">
        <w:rPr>
          <w:lang w:val="en-US"/>
        </w:rPr>
        <w:t xml:space="preserve">both </w:t>
      </w:r>
      <w:r w:rsidRPr="00CB5A22">
        <w:rPr>
          <w:lang w:val="en-US"/>
        </w:rPr>
        <w:t xml:space="preserve">LIS and IL waiver thresholds for commodity derivatives with </w:t>
      </w:r>
      <w:r>
        <w:rPr>
          <w:lang w:val="en-US"/>
        </w:rPr>
        <w:t>an</w:t>
      </w:r>
      <w:r w:rsidRPr="00CB5A22">
        <w:rPr>
          <w:lang w:val="en-US"/>
        </w:rPr>
        <w:t xml:space="preserve"> approach based on well-established practices of trading venues. </w:t>
      </w:r>
      <w:r w:rsidR="00E12432">
        <w:rPr>
          <w:lang w:val="en-US"/>
        </w:rPr>
        <w:t>This should be read in combination with the principles for a workable methodology we address in Q31.</w:t>
      </w:r>
    </w:p>
    <w:p w14:paraId="2918AB44" w14:textId="5C803EF1" w:rsidR="003E2129" w:rsidRPr="00CB5A22" w:rsidRDefault="00E12432" w:rsidP="00CB5A22">
      <w:pPr>
        <w:jc w:val="both"/>
        <w:rPr>
          <w:lang w:val="en-US"/>
        </w:rPr>
      </w:pPr>
      <w:r>
        <w:rPr>
          <w:lang w:val="en-US"/>
        </w:rPr>
        <w:t>1) I</w:t>
      </w:r>
      <w:r w:rsidR="003E2129" w:rsidRPr="00CB5A22">
        <w:rPr>
          <w:lang w:val="en-US"/>
        </w:rPr>
        <w:t xml:space="preserve">n order for a market to be considered liquid, a sufficiently high number of trades should be executed on each trading day. We therefore recommend that the thresholds should be set at the median of 100 transactions per day instead of the current average of 10. This </w:t>
      </w:r>
      <w:r w:rsidR="0096746C">
        <w:rPr>
          <w:lang w:val="en-US"/>
        </w:rPr>
        <w:t xml:space="preserve">would </w:t>
      </w:r>
      <w:r w:rsidR="003E2129" w:rsidRPr="00CB5A22">
        <w:rPr>
          <w:lang w:val="en-US"/>
        </w:rPr>
        <w:t xml:space="preserve">represent an average of approximately 1 trade in every 5 minutes on an 8-hour trading day. In contrast, a threshold of 10 trades represents just 1.23 trades per hour. Given that trading is rarely uniformly distributed throughout the day, the higher threshold is a better basis for determining liquidity, and thus indication of the ability to find a counterparty in a relatively short period of time within a given trading day. </w:t>
      </w:r>
    </w:p>
    <w:p w14:paraId="6894A4F9" w14:textId="33F481EE" w:rsidR="003E2129" w:rsidRPr="00E12432" w:rsidRDefault="00E12432" w:rsidP="00E12432">
      <w:pPr>
        <w:jc w:val="both"/>
        <w:rPr>
          <w:lang w:val="en-US"/>
        </w:rPr>
      </w:pPr>
      <w:r>
        <w:rPr>
          <w:lang w:val="en-US"/>
        </w:rPr>
        <w:t>2)</w:t>
      </w:r>
      <w:r w:rsidR="003E2129" w:rsidRPr="00E12432">
        <w:rPr>
          <w:lang w:val="en-US"/>
        </w:rPr>
        <w:t xml:space="preserve"> ADNA does not automatically reflect </w:t>
      </w:r>
      <w:proofErr w:type="gramStart"/>
      <w:r w:rsidR="003E2129" w:rsidRPr="00E12432">
        <w:rPr>
          <w:lang w:val="en-US"/>
        </w:rPr>
        <w:t>a large number of</w:t>
      </w:r>
      <w:proofErr w:type="gramEnd"/>
      <w:r w:rsidR="003E2129" w:rsidRPr="00E12432">
        <w:rPr>
          <w:lang w:val="en-US"/>
        </w:rPr>
        <w:t xml:space="preserve"> trades, and thus a high level of liquidity. We suggest to rather look at trade frequency and standard size to determine liquidity, excluding unrelated vectors such as price and currency. </w:t>
      </w:r>
    </w:p>
    <w:p w14:paraId="3DC2D9F7" w14:textId="283E6E29" w:rsidR="003E2129" w:rsidRPr="00CB5A22" w:rsidRDefault="00E12432" w:rsidP="00CB5A22">
      <w:pPr>
        <w:jc w:val="both"/>
        <w:rPr>
          <w:lang w:val="en-US"/>
        </w:rPr>
      </w:pPr>
      <w:r>
        <w:rPr>
          <w:lang w:val="en-US"/>
        </w:rPr>
        <w:t>3) C</w:t>
      </w:r>
      <w:r w:rsidR="003E2129" w:rsidRPr="00CB5A22">
        <w:rPr>
          <w:lang w:val="en-US"/>
        </w:rPr>
        <w:t>ommodity trading venues and market participants are challenged by the fact that the thresholds are set in Euros instead of lots</w:t>
      </w:r>
      <w:r w:rsidR="00BA0CE7">
        <w:rPr>
          <w:lang w:val="en-US"/>
        </w:rPr>
        <w:t>, especially regarding energy commodities</w:t>
      </w:r>
      <w:r w:rsidR="00CB5A22" w:rsidRPr="00CB5A22">
        <w:rPr>
          <w:lang w:val="en-US"/>
        </w:rPr>
        <w:t>. P</w:t>
      </w:r>
      <w:r w:rsidR="003E2129" w:rsidRPr="00CB5A22">
        <w:rPr>
          <w:lang w:val="en-US"/>
        </w:rPr>
        <w:t xml:space="preserve">rices do not determine liquidity of a market and notional values do not reflect trading practice. Notional values include a significant amount of ‘noise’ to an analysis of market liquidity. Moreover, market participants typically hedge their production and consumption in trading in lots and not in notional value. Thus, we recommend that liquidity analysis is </w:t>
      </w:r>
      <w:proofErr w:type="spellStart"/>
      <w:r w:rsidR="003E2129" w:rsidRPr="00CB5A22">
        <w:rPr>
          <w:lang w:val="en-US"/>
        </w:rPr>
        <w:t>normalised</w:t>
      </w:r>
      <w:proofErr w:type="spellEnd"/>
      <w:r w:rsidR="003E2129" w:rsidRPr="00CB5A22">
        <w:rPr>
          <w:lang w:val="en-US"/>
        </w:rPr>
        <w:t xml:space="preserve"> to a base quantity unit that is native to the asset class</w:t>
      </w:r>
      <w:r w:rsidR="00CB5A22" w:rsidRPr="00CB5A22">
        <w:rPr>
          <w:lang w:val="en-US"/>
        </w:rPr>
        <w:t>. For commodities, this will typically be a specific unit of measure (e.g. MW).</w:t>
      </w:r>
    </w:p>
    <w:p w14:paraId="448B26D7" w14:textId="43F39153" w:rsidR="00CB5A22" w:rsidRPr="00CB5A22" w:rsidRDefault="00CB5A22" w:rsidP="003E2129">
      <w:pPr>
        <w:jc w:val="both"/>
        <w:rPr>
          <w:rFonts w:ascii="Arial" w:hAnsi="Arial" w:cs="Arial"/>
          <w:sz w:val="20"/>
          <w:szCs w:val="20"/>
          <w:lang w:val="en-US"/>
        </w:rPr>
      </w:pPr>
      <w:r w:rsidRPr="00AC6CD7">
        <w:rPr>
          <w:lang w:val="en-US"/>
        </w:rPr>
        <w:t>In this regard, we welcome the</w:t>
      </w:r>
      <w:r w:rsidR="00BA0CE7">
        <w:rPr>
          <w:lang w:val="en-US"/>
        </w:rPr>
        <w:t xml:space="preserve"> potential</w:t>
      </w:r>
      <w:r w:rsidRPr="00AC6CD7">
        <w:rPr>
          <w:lang w:val="en-US"/>
        </w:rPr>
        <w:t xml:space="preserve"> de-coupling of level </w:t>
      </w:r>
      <w:r w:rsidR="00BA0CE7">
        <w:rPr>
          <w:lang w:val="en-US"/>
        </w:rPr>
        <w:t>1</w:t>
      </w:r>
      <w:r w:rsidRPr="00AC6CD7">
        <w:rPr>
          <w:lang w:val="en-US"/>
        </w:rPr>
        <w:t xml:space="preserve"> and level </w:t>
      </w:r>
      <w:r w:rsidR="00BA0CE7">
        <w:rPr>
          <w:lang w:val="en-US"/>
        </w:rPr>
        <w:t xml:space="preserve">2 </w:t>
      </w:r>
      <w:r w:rsidRPr="00AC6CD7">
        <w:rPr>
          <w:lang w:val="en-US"/>
        </w:rPr>
        <w:t xml:space="preserve">measures in </w:t>
      </w:r>
      <w:proofErr w:type="gramStart"/>
      <w:r w:rsidRPr="00AC6CD7">
        <w:rPr>
          <w:lang w:val="en-US"/>
        </w:rPr>
        <w:t>time, and</w:t>
      </w:r>
      <w:proofErr w:type="gramEnd"/>
      <w:r w:rsidRPr="00AC6CD7">
        <w:rPr>
          <w:lang w:val="en-US"/>
        </w:rPr>
        <w:t xml:space="preserve"> urge ESMA to take into account the gathered views in the 2020 transparency calculations</w:t>
      </w:r>
      <w:r w:rsidRPr="00AC6CD7">
        <w:rPr>
          <w:rFonts w:ascii="Arial" w:hAnsi="Arial" w:cs="Arial"/>
          <w:sz w:val="20"/>
          <w:szCs w:val="20"/>
          <w:lang w:val="en-US"/>
        </w:rPr>
        <w:t>.</w:t>
      </w:r>
      <w:r>
        <w:rPr>
          <w:rFonts w:ascii="Arial" w:hAnsi="Arial" w:cs="Arial"/>
          <w:sz w:val="20"/>
          <w:szCs w:val="20"/>
          <w:lang w:val="en-US"/>
        </w:rPr>
        <w:t xml:space="preserve"> </w:t>
      </w:r>
    </w:p>
    <w:p w14:paraId="2C9181F1" w14:textId="77777777"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&lt;ESMA_QUESTION_CP_MIFID_NQT_29&gt;</w:t>
      </w:r>
    </w:p>
    <w:p w14:paraId="6532D80F" w14:textId="77777777" w:rsidR="001D503E" w:rsidRPr="00013D66" w:rsidRDefault="001D503E" w:rsidP="001D503E">
      <w:pPr>
        <w:spacing w:after="0" w:line="240" w:lineRule="auto"/>
        <w:rPr>
          <w:rFonts w:ascii="Arial" w:eastAsia="Times New Roman" w:hAnsi="Arial" w:cs="Arial"/>
          <w:sz w:val="20"/>
          <w:szCs w:val="24"/>
          <w:lang w:val="en-GB" w:eastAsia="de-DE"/>
        </w:rPr>
      </w:pPr>
    </w:p>
    <w:p w14:paraId="6A97ABA9"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In relation to the segmentation criteria used for commodity derivatives: what is your view on the segmentation criteria currently used? Do you have suggestions to amend them? What is your view on ESMA’s proposals SC1 to SC3? In your view, for which sub-asset classes the “delivery/cash settlement location” parameter is relevant.</w:t>
      </w:r>
    </w:p>
    <w:p w14:paraId="57A16808" w14:textId="77777777"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&lt;ESMA_QUESTION_CP_MIFID_NQT_30&gt;</w:t>
      </w:r>
    </w:p>
    <w:p w14:paraId="3A6EFA3A" w14:textId="6B595693" w:rsidR="000B7A6A" w:rsidRPr="00CB5A22" w:rsidRDefault="00AD1EB0" w:rsidP="00CB5A22">
      <w:pPr>
        <w:jc w:val="both"/>
        <w:rPr>
          <w:lang w:val="en-US"/>
        </w:rPr>
      </w:pPr>
      <w:r w:rsidRPr="001042F7">
        <w:rPr>
          <w:lang w:val="en-GB" w:eastAsia="de-DE"/>
        </w:rPr>
        <w:lastRenderedPageBreak/>
        <w:t>The segmentation criteria for commodity derivatives would merit from more granularity.</w:t>
      </w:r>
      <w:r>
        <w:rPr>
          <w:lang w:val="en-GB" w:eastAsia="de-DE"/>
        </w:rPr>
        <w:t xml:space="preserve"> In addition, w</w:t>
      </w:r>
      <w:r w:rsidR="000B7A6A" w:rsidRPr="00CB5A22">
        <w:rPr>
          <w:lang w:val="en-US"/>
        </w:rPr>
        <w:t xml:space="preserve">e support proposals SC1 and SC2 for the added benefit of </w:t>
      </w:r>
      <w:proofErr w:type="spellStart"/>
      <w:r w:rsidR="000B7A6A" w:rsidRPr="00CB5A22">
        <w:rPr>
          <w:lang w:val="en-US"/>
        </w:rPr>
        <w:t>harmonisation</w:t>
      </w:r>
      <w:proofErr w:type="spellEnd"/>
      <w:r w:rsidR="000B7A6A" w:rsidRPr="00CB5A22">
        <w:rPr>
          <w:lang w:val="en-US"/>
        </w:rPr>
        <w:t xml:space="preserve"> they would provide, both in making the data for different commodity classes more comparable and </w:t>
      </w:r>
      <w:proofErr w:type="spellStart"/>
      <w:r w:rsidR="000B7A6A" w:rsidRPr="00CB5A22">
        <w:rPr>
          <w:lang w:val="en-US"/>
        </w:rPr>
        <w:t>harmonising</w:t>
      </w:r>
      <w:proofErr w:type="spellEnd"/>
      <w:r w:rsidR="000B7A6A" w:rsidRPr="00CB5A22">
        <w:rPr>
          <w:lang w:val="en-US"/>
        </w:rPr>
        <w:t xml:space="preserve"> data from different venues. While we do feel that extending the use of “delivery/cash settlement location” from energy to other classes makes sense, we do want to stress that this can only be achieved with significant guidance</w:t>
      </w:r>
      <w:r w:rsidR="008F21F1">
        <w:rPr>
          <w:lang w:val="en-US"/>
        </w:rPr>
        <w:t xml:space="preserve"> and </w:t>
      </w:r>
      <w:proofErr w:type="gramStart"/>
      <w:r w:rsidR="008F21F1">
        <w:rPr>
          <w:lang w:val="en-US"/>
        </w:rPr>
        <w:t>sufficient</w:t>
      </w:r>
      <w:proofErr w:type="gramEnd"/>
      <w:r w:rsidR="008F21F1">
        <w:rPr>
          <w:lang w:val="en-US"/>
        </w:rPr>
        <w:t xml:space="preserve"> time</w:t>
      </w:r>
      <w:r w:rsidR="000B7A6A" w:rsidRPr="00CB5A22">
        <w:rPr>
          <w:lang w:val="en-US"/>
        </w:rPr>
        <w:t xml:space="preserve">. Whereas the change from using “market area” (or rather, hub) for gas seems feasible, this is not comparable to freight or emission allowances, where a completely different approach is used today. In addition, implementation costs need to be </w:t>
      </w:r>
      <w:proofErr w:type="gramStart"/>
      <w:r w:rsidR="000B7A6A" w:rsidRPr="00CB5A22">
        <w:rPr>
          <w:lang w:val="en-US"/>
        </w:rPr>
        <w:t>taken into account</w:t>
      </w:r>
      <w:proofErr w:type="gramEnd"/>
      <w:r w:rsidR="000B7A6A" w:rsidRPr="00CB5A22">
        <w:rPr>
          <w:lang w:val="en-US"/>
        </w:rPr>
        <w:t xml:space="preserve">, as it would require significant IT efforts to set new values in the system and adapt the software for processing of such values. Therefore, we strongly recommend </w:t>
      </w:r>
      <w:proofErr w:type="gramStart"/>
      <w:r w:rsidR="000B7A6A" w:rsidRPr="00CB5A22">
        <w:rPr>
          <w:lang w:val="en-US"/>
        </w:rPr>
        <w:t>to set</w:t>
      </w:r>
      <w:proofErr w:type="gramEnd"/>
      <w:r w:rsidR="000B7A6A" w:rsidRPr="00CB5A22">
        <w:rPr>
          <w:lang w:val="en-US"/>
        </w:rPr>
        <w:t xml:space="preserve"> a generous timeline </w:t>
      </w:r>
      <w:r w:rsidR="00237602" w:rsidRPr="00CB5A22">
        <w:rPr>
          <w:lang w:val="en-US"/>
        </w:rPr>
        <w:t xml:space="preserve">and </w:t>
      </w:r>
      <w:r w:rsidR="000B7A6A" w:rsidRPr="00CB5A22">
        <w:rPr>
          <w:lang w:val="en-US"/>
        </w:rPr>
        <w:t xml:space="preserve">work solely in a forward-looking way, without historical changes. </w:t>
      </w:r>
    </w:p>
    <w:p w14:paraId="39C7B863" w14:textId="6F707C53" w:rsidR="003E2129" w:rsidRDefault="000B7A6A" w:rsidP="00CB5A22">
      <w:pPr>
        <w:jc w:val="both"/>
        <w:rPr>
          <w:lang w:val="en-US"/>
        </w:rPr>
      </w:pPr>
      <w:r w:rsidRPr="00CB5A22">
        <w:rPr>
          <w:lang w:val="en-US"/>
        </w:rPr>
        <w:t xml:space="preserve">We do not support proposal SC3, as introducing a new field (instead of adapting the currently available, as proposed in SC1 and SC2) would result in a change in file structure and would in turn make a costly adaption of our trading system to these new parameters necessary. </w:t>
      </w:r>
      <w:proofErr w:type="gramStart"/>
      <w:r w:rsidRPr="00CB5A22">
        <w:rPr>
          <w:lang w:val="en-US"/>
        </w:rPr>
        <w:t>In light of</w:t>
      </w:r>
      <w:proofErr w:type="gramEnd"/>
      <w:r w:rsidRPr="00CB5A22">
        <w:rPr>
          <w:lang w:val="en-US"/>
        </w:rPr>
        <w:t xml:space="preserve"> implementation costs</w:t>
      </w:r>
      <w:r w:rsidR="00C86F2E" w:rsidRPr="00CB5A22">
        <w:rPr>
          <w:lang w:val="en-US"/>
        </w:rPr>
        <w:t xml:space="preserve">, </w:t>
      </w:r>
      <w:r w:rsidRPr="00CB5A22">
        <w:rPr>
          <w:lang w:val="en-US"/>
        </w:rPr>
        <w:t xml:space="preserve">we do not find SC3 to be a sensible way forward to reach the desired degree of </w:t>
      </w:r>
      <w:proofErr w:type="spellStart"/>
      <w:r w:rsidRPr="00CB5A22">
        <w:rPr>
          <w:lang w:val="en-US"/>
        </w:rPr>
        <w:t>harmonisation</w:t>
      </w:r>
      <w:proofErr w:type="spellEnd"/>
      <w:r w:rsidRPr="00CB5A22">
        <w:rPr>
          <w:lang w:val="en-US"/>
        </w:rPr>
        <w:t>.</w:t>
      </w:r>
    </w:p>
    <w:p w14:paraId="495E8233" w14:textId="1EEC39B2" w:rsidR="00E57690" w:rsidRPr="00CB5A22" w:rsidRDefault="00E57690" w:rsidP="00CB5A22">
      <w:pPr>
        <w:jc w:val="both"/>
        <w:rPr>
          <w:lang w:val="en-US"/>
        </w:rPr>
      </w:pPr>
      <w:r>
        <w:rPr>
          <w:lang w:val="en-US"/>
        </w:rPr>
        <w:t xml:space="preserve">For the sake of regulatory consistency, we propose to put focus on phasing out the usage of sub product categories of RTS 23 (meant for reference data) for the further specification of the underlying energy of commodity derivatives. The fact that no legal link had been in place between RTS 2 and the </w:t>
      </w:r>
      <w:r w:rsidR="00DE58C5">
        <w:rPr>
          <w:lang w:val="en-US"/>
        </w:rPr>
        <w:t>subcategories</w:t>
      </w:r>
      <w:r>
        <w:rPr>
          <w:lang w:val="en-US"/>
        </w:rPr>
        <w:t xml:space="preserve"> of RTS 23 has in our eyes led to inconsistency and confusion in the market.</w:t>
      </w:r>
      <w:commentRangeStart w:id="6"/>
      <w:commentRangeStart w:id="7"/>
      <w:commentRangeStart w:id="8"/>
      <w:commentRangeEnd w:id="6"/>
      <w:commentRangeEnd w:id="7"/>
      <w:commentRangeEnd w:id="8"/>
    </w:p>
    <w:p w14:paraId="319F39F9" w14:textId="48B49B15" w:rsidR="00CB5A22" w:rsidRDefault="00E57690" w:rsidP="00CB5A22">
      <w:pPr>
        <w:jc w:val="both"/>
        <w:rPr>
          <w:lang w:val="en-US"/>
        </w:rPr>
      </w:pPr>
      <w:r>
        <w:rPr>
          <w:lang w:val="en-US"/>
        </w:rPr>
        <w:t>I</w:t>
      </w:r>
      <w:r w:rsidR="00C86F2E" w:rsidRPr="00CB5A22">
        <w:rPr>
          <w:lang w:val="en-US"/>
        </w:rPr>
        <w:t>mportantly and i</w:t>
      </w:r>
      <w:r w:rsidR="003E2129" w:rsidRPr="00CB5A22">
        <w:rPr>
          <w:lang w:val="en-US"/>
        </w:rPr>
        <w:t xml:space="preserve">n addition to the proposals put forward by ESMA, we also want to reiterate our proposal to separate liquidity assessments by trading venue. Although the </w:t>
      </w:r>
      <w:r w:rsidR="00237602" w:rsidRPr="00CB5A22">
        <w:rPr>
          <w:lang w:val="en-US"/>
        </w:rPr>
        <w:t>I</w:t>
      </w:r>
      <w:r w:rsidR="003E2129" w:rsidRPr="00CB5A22">
        <w:rPr>
          <w:lang w:val="en-US"/>
        </w:rPr>
        <w:t xml:space="preserve">lliquid </w:t>
      </w:r>
      <w:r w:rsidR="00237602" w:rsidRPr="00CB5A22">
        <w:rPr>
          <w:lang w:val="en-US"/>
        </w:rPr>
        <w:t>I</w:t>
      </w:r>
      <w:r w:rsidR="003E2129" w:rsidRPr="00CB5A22">
        <w:rPr>
          <w:lang w:val="en-US"/>
        </w:rPr>
        <w:t xml:space="preserve">nstruments waiver is intended to protect new and illiquid markets, accumulating liquidity across exchanges defeats this purpose. We do not think a liquidity assessment accurately reflects market conditions if an instrument is considered liquid on one venue (although liquidity is low) just because it has </w:t>
      </w:r>
      <w:r w:rsidR="00B12C2F">
        <w:rPr>
          <w:lang w:val="en-US"/>
        </w:rPr>
        <w:t>high liquidity</w:t>
      </w:r>
      <w:r w:rsidR="003E2129" w:rsidRPr="00CB5A22">
        <w:rPr>
          <w:lang w:val="en-US"/>
        </w:rPr>
        <w:t xml:space="preserve"> on another venue. This makes it practically impossible </w:t>
      </w:r>
      <w:r w:rsidR="00237602" w:rsidRPr="00CB5A22">
        <w:rPr>
          <w:lang w:val="en-US"/>
        </w:rPr>
        <w:t xml:space="preserve">for an exchange </w:t>
      </w:r>
      <w:r w:rsidR="003E2129" w:rsidRPr="00CB5A22">
        <w:rPr>
          <w:lang w:val="en-US"/>
        </w:rPr>
        <w:t>to launch a new contract</w:t>
      </w:r>
      <w:r w:rsidR="00237602" w:rsidRPr="00CB5A22">
        <w:rPr>
          <w:lang w:val="en-US"/>
        </w:rPr>
        <w:t xml:space="preserve"> (or even to launch a new type of contract, depending on the granularity used for the liquidity assessment)</w:t>
      </w:r>
      <w:r w:rsidR="003E2129" w:rsidRPr="00CB5A22">
        <w:rPr>
          <w:lang w:val="en-US"/>
        </w:rPr>
        <w:t xml:space="preserve"> that is already liquid on another exchange.</w:t>
      </w:r>
    </w:p>
    <w:p w14:paraId="1591296C" w14:textId="5D94D43E" w:rsidR="001D503E" w:rsidRPr="00013D66" w:rsidRDefault="003E2129" w:rsidP="00CB5A22">
      <w:pPr>
        <w:jc w:val="both"/>
        <w:rPr>
          <w:lang w:val="en-GB" w:eastAsia="de-DE"/>
        </w:rPr>
      </w:pPr>
      <w:r w:rsidRPr="00CB5A22">
        <w:rPr>
          <w:lang w:val="en-US" w:eastAsia="de-DE"/>
        </w:rPr>
        <w:t xml:space="preserve"> </w:t>
      </w:r>
      <w:r w:rsidR="001D503E" w:rsidRPr="00013D66">
        <w:rPr>
          <w:rFonts w:eastAsia="Times New Roman"/>
          <w:szCs w:val="24"/>
          <w:lang w:val="en-GB" w:eastAsia="de-DE"/>
        </w:rPr>
        <w:t>&lt;ESMA_QUESTION_CP_MIFID_NQT_30&gt;</w:t>
      </w:r>
    </w:p>
    <w:p w14:paraId="7147CD94" w14:textId="77777777" w:rsidR="001D503E" w:rsidRPr="00013D66" w:rsidRDefault="001D503E" w:rsidP="001D503E">
      <w:pPr>
        <w:pStyle w:val="ListParagraph"/>
        <w:numPr>
          <w:ilvl w:val="0"/>
          <w:numId w:val="3"/>
        </w:numPr>
        <w:spacing w:before="250" w:after="250" w:line="276" w:lineRule="auto"/>
        <w:jc w:val="both"/>
        <w:rPr>
          <w:rFonts w:ascii="Arial" w:eastAsia="Times New Roman" w:hAnsi="Arial" w:cs="Arial"/>
          <w:b/>
          <w:szCs w:val="20"/>
          <w:lang w:val="en-GB"/>
        </w:rPr>
      </w:pPr>
      <w:r w:rsidRPr="00013D66">
        <w:rPr>
          <w:rFonts w:ascii="Arial" w:eastAsia="Times New Roman" w:hAnsi="Arial" w:cs="Arial"/>
          <w:b/>
          <w:szCs w:val="20"/>
          <w:lang w:val="en-GB"/>
        </w:rPr>
        <w:t xml:space="preserve">What is your view on the analysis and proposals related to the pre-trade </w:t>
      </w:r>
      <w:r w:rsidRPr="00E12432">
        <w:rPr>
          <w:rFonts w:ascii="Arial" w:eastAsia="Times New Roman" w:hAnsi="Arial" w:cs="Arial"/>
          <w:b/>
          <w:szCs w:val="20"/>
          <w:lang w:val="en-GB"/>
        </w:rPr>
        <w:t>LIS</w:t>
      </w:r>
      <w:r w:rsidRPr="00013D66">
        <w:rPr>
          <w:rFonts w:ascii="Arial" w:eastAsia="Times New Roman" w:hAnsi="Arial" w:cs="Arial"/>
          <w:b/>
          <w:szCs w:val="20"/>
          <w:lang w:val="en-GB"/>
        </w:rPr>
        <w:t xml:space="preserve"> thresholds for commodity derivatives? Which proposal to mitigate the counterintuitive effect of the current percentile approach do you prefer </w:t>
      </w:r>
      <w:r w:rsidRPr="00CB5A22">
        <w:rPr>
          <w:rFonts w:ascii="Arial" w:eastAsia="Times New Roman" w:hAnsi="Arial" w:cs="Arial"/>
          <w:b/>
          <w:szCs w:val="20"/>
          <w:lang w:val="en-GB"/>
        </w:rPr>
        <w:t>(i.e. keep the current methodology but modify its parameters, or change the methodology e.g. using a different metric for the liquidity criteria)</w:t>
      </w:r>
      <w:r w:rsidRPr="00013D66">
        <w:rPr>
          <w:rFonts w:ascii="Arial" w:eastAsia="Times New Roman" w:hAnsi="Arial" w:cs="Arial"/>
          <w:b/>
          <w:szCs w:val="20"/>
          <w:lang w:val="en-GB"/>
        </w:rPr>
        <w:t xml:space="preserve">? Please justify your views and proposals </w:t>
      </w:r>
      <w:r w:rsidRPr="008D7B6D">
        <w:rPr>
          <w:rFonts w:ascii="Arial" w:eastAsia="Times New Roman" w:hAnsi="Arial" w:cs="Arial"/>
          <w:b/>
          <w:szCs w:val="20"/>
          <w:lang w:val="en-GB"/>
        </w:rPr>
        <w:t>with quantitative elements where available</w:t>
      </w:r>
      <w:r w:rsidRPr="00013D66">
        <w:rPr>
          <w:rFonts w:ascii="Arial" w:eastAsia="Times New Roman" w:hAnsi="Arial" w:cs="Arial"/>
          <w:b/>
          <w:szCs w:val="20"/>
          <w:lang w:val="en-GB"/>
        </w:rPr>
        <w:t>.</w:t>
      </w:r>
    </w:p>
    <w:p w14:paraId="6AA68EFD" w14:textId="77777777" w:rsidR="001D503E" w:rsidRPr="00013D66" w:rsidRDefault="001D503E" w:rsidP="001D503E">
      <w:pPr>
        <w:spacing w:after="0" w:line="240" w:lineRule="auto"/>
        <w:rPr>
          <w:rFonts w:ascii="Arial" w:eastAsia="Times New Roman" w:hAnsi="Arial" w:cs="Arial"/>
          <w:sz w:val="20"/>
          <w:szCs w:val="24"/>
          <w:lang w:val="en-GB" w:eastAsia="de-DE"/>
        </w:rPr>
      </w:pPr>
      <w:r w:rsidRPr="00013D66">
        <w:rPr>
          <w:rFonts w:ascii="Arial" w:eastAsia="Times New Roman" w:hAnsi="Arial" w:cs="Arial"/>
          <w:sz w:val="20"/>
          <w:szCs w:val="24"/>
          <w:lang w:val="en-GB" w:eastAsia="de-DE"/>
        </w:rPr>
        <w:t>&lt;ESMA_QUESTION_CP_MIFID_NQT_31&gt;</w:t>
      </w:r>
    </w:p>
    <w:p w14:paraId="6C571A1A" w14:textId="676E18CF" w:rsidR="00E12432" w:rsidRPr="00E12432" w:rsidRDefault="00DE58C5" w:rsidP="00E12432">
      <w:pPr>
        <w:jc w:val="both"/>
        <w:rPr>
          <w:lang w:val="en-US"/>
        </w:rPr>
      </w:pPr>
      <w:r>
        <w:rPr>
          <w:lang w:val="en-US"/>
        </w:rPr>
        <w:br/>
      </w:r>
      <w:r w:rsidR="00E12432" w:rsidRPr="00E12432">
        <w:rPr>
          <w:lang w:val="en-US"/>
        </w:rPr>
        <w:t xml:space="preserve">The LIS calculation is based on a threshold floor expressed as notional trade value </w:t>
      </w:r>
      <w:proofErr w:type="gramStart"/>
      <w:r w:rsidR="00E12432" w:rsidRPr="00E12432">
        <w:rPr>
          <w:lang w:val="en-US"/>
        </w:rPr>
        <w:t>in a given</w:t>
      </w:r>
      <w:proofErr w:type="gramEnd"/>
      <w:r w:rsidR="00E12432" w:rsidRPr="00E12432">
        <w:rPr>
          <w:lang w:val="en-US"/>
        </w:rPr>
        <w:t xml:space="preserve"> sub-asset class and the trade size which lies below the percentage of transactions corresponding to the trade percentile specified in the RTS for </w:t>
      </w:r>
      <w:r w:rsidR="00B12C2F">
        <w:rPr>
          <w:lang w:val="en-US"/>
        </w:rPr>
        <w:t>each</w:t>
      </w:r>
      <w:r w:rsidR="00E12432" w:rsidRPr="00E12432">
        <w:rPr>
          <w:lang w:val="en-US"/>
        </w:rPr>
        <w:t xml:space="preserve"> sub-asset class.</w:t>
      </w:r>
    </w:p>
    <w:p w14:paraId="087ADDE4" w14:textId="47B36196" w:rsidR="00E12432" w:rsidRDefault="00E12432" w:rsidP="00CB5A22">
      <w:pPr>
        <w:jc w:val="both"/>
        <w:rPr>
          <w:lang w:val="en-US"/>
        </w:rPr>
      </w:pPr>
      <w:r w:rsidRPr="00683835">
        <w:rPr>
          <w:rFonts w:cs="Arial"/>
          <w:color w:val="000000"/>
          <w:lang w:val="en-US"/>
        </w:rPr>
        <w:t xml:space="preserve">However, </w:t>
      </w:r>
      <w:r w:rsidR="00DE58C5">
        <w:rPr>
          <w:rFonts w:cs="Arial"/>
          <w:color w:val="000000"/>
          <w:lang w:val="en-US"/>
        </w:rPr>
        <w:t>the</w:t>
      </w:r>
      <w:r w:rsidRPr="00683835">
        <w:rPr>
          <w:rFonts w:cs="Arial"/>
          <w:color w:val="000000"/>
          <w:lang w:val="en-US"/>
        </w:rPr>
        <w:t xml:space="preserve"> methodology</w:t>
      </w:r>
      <w:r w:rsidR="00B12C2F">
        <w:rPr>
          <w:rFonts w:cs="Arial"/>
          <w:color w:val="000000"/>
          <w:lang w:val="en-US"/>
        </w:rPr>
        <w:t xml:space="preserve"> in its current application</w:t>
      </w:r>
      <w:r w:rsidRPr="00683835">
        <w:rPr>
          <w:rFonts w:cs="Arial"/>
          <w:color w:val="000000"/>
          <w:lang w:val="en-US"/>
        </w:rPr>
        <w:t xml:space="preserve"> has proven </w:t>
      </w:r>
      <w:r w:rsidR="00DE58C5">
        <w:rPr>
          <w:rFonts w:cs="Arial"/>
          <w:color w:val="000000"/>
          <w:lang w:val="en-US"/>
        </w:rPr>
        <w:t>difficult</w:t>
      </w:r>
      <w:r w:rsidRPr="00683835">
        <w:rPr>
          <w:rFonts w:cs="Arial"/>
          <w:color w:val="000000"/>
          <w:lang w:val="en-US"/>
        </w:rPr>
        <w:t xml:space="preserve"> in practice, particularly with respect to energy commodity derivatives. Calculations based on insufficiently granular sub-asset classes, </w:t>
      </w:r>
      <w:r w:rsidRPr="00683835">
        <w:rPr>
          <w:rFonts w:cs="Arial"/>
          <w:color w:val="000000"/>
          <w:lang w:val="en-US"/>
        </w:rPr>
        <w:lastRenderedPageBreak/>
        <w:t xml:space="preserve">besides arbitrarily selected and inappropriately calibrated parameters, result in disproportionately low LIS thresholds for highly liquid products and overly high thresholds for developing markets. </w:t>
      </w:r>
      <w:r w:rsidRPr="00683835">
        <w:rPr>
          <w:rFonts w:cs="Arial"/>
          <w:lang w:val="en-US"/>
        </w:rPr>
        <w:t>This could lead market participants to revert to more bilateral trading outside transparent and supervised venues and outside CCP clearing.</w:t>
      </w:r>
    </w:p>
    <w:p w14:paraId="26FCF7EE" w14:textId="5F68DFB0" w:rsidR="00E80005" w:rsidRPr="00CB5A22" w:rsidRDefault="00E80005" w:rsidP="00CB5A22">
      <w:pPr>
        <w:jc w:val="both"/>
        <w:rPr>
          <w:lang w:val="en-US"/>
        </w:rPr>
      </w:pPr>
      <w:r w:rsidRPr="00CB5A22">
        <w:rPr>
          <w:lang w:val="en-US"/>
        </w:rPr>
        <w:t xml:space="preserve">To avoid this from happening and to allow for a more natural move to </w:t>
      </w:r>
      <w:r w:rsidR="00D74930">
        <w:rPr>
          <w:lang w:val="en-US"/>
        </w:rPr>
        <w:t>orderbook</w:t>
      </w:r>
      <w:r w:rsidRPr="00CB5A22">
        <w:rPr>
          <w:lang w:val="en-US"/>
        </w:rPr>
        <w:t xml:space="preserve"> trading, the current methodology for setting the LIS thresholds should be replaced by a more appropriately tailored and market-based </w:t>
      </w:r>
      <w:r w:rsidR="00CB5A22">
        <w:rPr>
          <w:lang w:val="en-US"/>
        </w:rPr>
        <w:t>methodology</w:t>
      </w:r>
      <w:r w:rsidRPr="00CB5A22">
        <w:rPr>
          <w:lang w:val="en-US"/>
        </w:rPr>
        <w:t xml:space="preserve">. </w:t>
      </w:r>
    </w:p>
    <w:p w14:paraId="7B9C76BB" w14:textId="66BA080E" w:rsidR="00E12432" w:rsidRDefault="00E12432" w:rsidP="00E12432">
      <w:pPr>
        <w:jc w:val="both"/>
        <w:rPr>
          <w:lang w:val="en-US"/>
        </w:rPr>
      </w:pPr>
      <w:r>
        <w:rPr>
          <w:lang w:val="en-US"/>
        </w:rPr>
        <w:t>Below, we emphasize several key principles for developing a workable method:</w:t>
      </w:r>
    </w:p>
    <w:p w14:paraId="36CCEE8E" w14:textId="13228147" w:rsidR="00CB5A22" w:rsidRPr="00E12432" w:rsidRDefault="00E12432" w:rsidP="00E12432">
      <w:pPr>
        <w:jc w:val="both"/>
        <w:rPr>
          <w:lang w:val="en-US"/>
        </w:rPr>
      </w:pPr>
      <w:r>
        <w:rPr>
          <w:lang w:val="en-US"/>
        </w:rPr>
        <w:t xml:space="preserve">1) </w:t>
      </w:r>
      <w:r w:rsidR="00E80005" w:rsidRPr="00E12432">
        <w:rPr>
          <w:lang w:val="en-US"/>
        </w:rPr>
        <w:t xml:space="preserve">We welcome ESMA’s assessment on the counterintuitive effects arising from the current percentile approach. </w:t>
      </w:r>
      <w:r w:rsidR="00070E57">
        <w:rPr>
          <w:lang w:val="en-US"/>
        </w:rPr>
        <w:t xml:space="preserve">The results of this approach would imply that instruments with a low liquidity can support higher LIS levels than highly liquid instruments – when in fact the opposite is true. </w:t>
      </w:r>
      <w:r w:rsidR="00E80005" w:rsidRPr="00E12432">
        <w:rPr>
          <w:lang w:val="en-US"/>
        </w:rPr>
        <w:t xml:space="preserve">We therefore suggest </w:t>
      </w:r>
      <w:proofErr w:type="gramStart"/>
      <w:r w:rsidR="00E80005" w:rsidRPr="00E12432">
        <w:rPr>
          <w:lang w:val="en-US"/>
        </w:rPr>
        <w:t>to use</w:t>
      </w:r>
      <w:proofErr w:type="gramEnd"/>
      <w:r w:rsidR="00E80005" w:rsidRPr="00E12432">
        <w:rPr>
          <w:lang w:val="en-US"/>
        </w:rPr>
        <w:t xml:space="preserve"> a scaled</w:t>
      </w:r>
      <w:r w:rsidR="00F47FA1" w:rsidRPr="00E12432">
        <w:rPr>
          <w:lang w:val="en-US"/>
        </w:rPr>
        <w:t xml:space="preserve"> approach based on variations in the liquidity distribution of the instrument</w:t>
      </w:r>
      <w:r w:rsidR="00E80005" w:rsidRPr="00E12432">
        <w:rPr>
          <w:lang w:val="en-US"/>
        </w:rPr>
        <w:t xml:space="preserve">. </w:t>
      </w:r>
      <w:r w:rsidR="007D6832" w:rsidRPr="00E12432">
        <w:rPr>
          <w:lang w:val="en-US"/>
        </w:rPr>
        <w:t xml:space="preserve">In case the percentile approach is maintained, we suggest </w:t>
      </w:r>
      <w:r w:rsidR="00070E57">
        <w:rPr>
          <w:lang w:val="en-US"/>
        </w:rPr>
        <w:t>adjust</w:t>
      </w:r>
      <w:r w:rsidR="00070E57" w:rsidRPr="00E12432">
        <w:rPr>
          <w:lang w:val="en-US"/>
        </w:rPr>
        <w:t>ing</w:t>
      </w:r>
      <w:r w:rsidR="007D6832" w:rsidRPr="00E12432">
        <w:rPr>
          <w:lang w:val="en-US"/>
        </w:rPr>
        <w:t xml:space="preserve"> the percentiles.</w:t>
      </w:r>
    </w:p>
    <w:p w14:paraId="4ABBFC18" w14:textId="3AB77B84" w:rsidR="00E12432" w:rsidRPr="00070E57" w:rsidRDefault="00070E57" w:rsidP="00E12432">
      <w:pPr>
        <w:jc w:val="both"/>
        <w:rPr>
          <w:lang w:val="en-US"/>
        </w:rPr>
      </w:pPr>
      <w:r>
        <w:rPr>
          <w:lang w:val="en-US"/>
        </w:rPr>
        <w:t xml:space="preserve">2) </w:t>
      </w:r>
      <w:r w:rsidR="00F47FA1" w:rsidRPr="00E12432">
        <w:rPr>
          <w:lang w:val="en-US"/>
        </w:rPr>
        <w:t xml:space="preserve">In a similar fashion, for many commodity markets, the minimum threshold of 500.000 EUR is too high and should be decreased significantly. By bringing the LIS value more closely in line with the actual market, the overall negative market impact should be reduced. </w:t>
      </w:r>
      <w:r w:rsidRPr="00070E57">
        <w:rPr>
          <w:lang w:val="en-US"/>
        </w:rPr>
        <w:t>In addition, the use of a euro-denominated minimum floor value is inefficient when applying this to commodity derivatives, as the nominal value is of little importance for commodity traders.</w:t>
      </w:r>
    </w:p>
    <w:p w14:paraId="2EC6B4FD" w14:textId="77777777" w:rsidR="00070E57" w:rsidRDefault="00070E57" w:rsidP="00E12432">
      <w:pPr>
        <w:jc w:val="both"/>
        <w:rPr>
          <w:lang w:val="en-US"/>
        </w:rPr>
      </w:pPr>
      <w:r>
        <w:rPr>
          <w:lang w:val="en-US"/>
        </w:rPr>
        <w:t>3</w:t>
      </w:r>
      <w:r w:rsidR="00E12432">
        <w:rPr>
          <w:lang w:val="en-US"/>
        </w:rPr>
        <w:t xml:space="preserve">) </w:t>
      </w:r>
      <w:r w:rsidR="00E12432" w:rsidRPr="00E12432">
        <w:rPr>
          <w:lang w:val="en-US"/>
        </w:rPr>
        <w:t>As said, c</w:t>
      </w:r>
      <w:r w:rsidR="00E80005" w:rsidRPr="00E12432">
        <w:rPr>
          <w:lang w:val="en-US"/>
        </w:rPr>
        <w:t xml:space="preserve">ommodity trading venues and market participants are challenged by the fact that the LIS thresholds are set in Euros instead of lots. Using historical Euro trade values to determine LIS thresholds – instead of the number of traded lots </w:t>
      </w:r>
      <w:proofErr w:type="gramStart"/>
      <w:r w:rsidR="00E80005" w:rsidRPr="00E12432">
        <w:rPr>
          <w:lang w:val="en-US"/>
        </w:rPr>
        <w:t>in particular sub-</w:t>
      </w:r>
      <w:proofErr w:type="gramEnd"/>
      <w:r w:rsidR="00E80005" w:rsidRPr="00E12432">
        <w:rPr>
          <w:lang w:val="en-US"/>
        </w:rPr>
        <w:t>asset classes – has created unintended and disproportionate thresholds that ignore the actual underlying trading behavior</w:t>
      </w:r>
      <w:r w:rsidR="00F47FA1" w:rsidRPr="00E12432">
        <w:rPr>
          <w:lang w:val="en-US"/>
        </w:rPr>
        <w:t xml:space="preserve">. </w:t>
      </w:r>
      <w:r w:rsidR="00E12432">
        <w:rPr>
          <w:lang w:val="en-US"/>
        </w:rPr>
        <w:t>Any l</w:t>
      </w:r>
      <w:r w:rsidR="00F47FA1" w:rsidRPr="00E12432">
        <w:rPr>
          <w:lang w:val="en-US"/>
        </w:rPr>
        <w:t xml:space="preserve">iquidity </w:t>
      </w:r>
      <w:r w:rsidR="00E12432">
        <w:rPr>
          <w:lang w:val="en-US"/>
        </w:rPr>
        <w:t xml:space="preserve">assessment </w:t>
      </w:r>
      <w:r w:rsidR="00F47FA1" w:rsidRPr="00E12432">
        <w:rPr>
          <w:lang w:val="en-US"/>
        </w:rPr>
        <w:t xml:space="preserve">should therefore not be measured only by using the notional value of the transactions, but a liquidity assessment should be based on a combination of thresholds including measures </w:t>
      </w:r>
      <w:proofErr w:type="spellStart"/>
      <w:r w:rsidR="00F47FA1" w:rsidRPr="00E12432">
        <w:rPr>
          <w:lang w:val="en-US"/>
        </w:rPr>
        <w:t>normalised</w:t>
      </w:r>
      <w:proofErr w:type="spellEnd"/>
      <w:r w:rsidR="00F47FA1" w:rsidRPr="00E12432">
        <w:rPr>
          <w:lang w:val="en-US"/>
        </w:rPr>
        <w:t xml:space="preserve"> to a base quantity unit that is native to the asset class. For commodities, this will typically be a specific unit of measure (e.g. MW).</w:t>
      </w:r>
      <w:r w:rsidRPr="00070E57">
        <w:rPr>
          <w:lang w:val="en-US"/>
        </w:rPr>
        <w:t xml:space="preserve"> </w:t>
      </w:r>
    </w:p>
    <w:p w14:paraId="47BD5682" w14:textId="45F25835" w:rsidR="00070E57" w:rsidRPr="00742079" w:rsidRDefault="00070E57" w:rsidP="00E12432">
      <w:pPr>
        <w:jc w:val="both"/>
        <w:rPr>
          <w:lang w:val="en-US"/>
        </w:rPr>
      </w:pPr>
      <w:r>
        <w:rPr>
          <w:lang w:val="en-US"/>
        </w:rPr>
        <w:t>EEX Group appreciates that while working on a</w:t>
      </w:r>
      <w:r w:rsidR="00742079">
        <w:rPr>
          <w:lang w:val="en-US"/>
        </w:rPr>
        <w:t xml:space="preserve"> comprehensive</w:t>
      </w:r>
      <w:r>
        <w:rPr>
          <w:lang w:val="en-US"/>
        </w:rPr>
        <w:t xml:space="preserve"> revised methodology for calculating pre-trade transparency thresholds for both waivers, </w:t>
      </w:r>
      <w:proofErr w:type="gramStart"/>
      <w:r>
        <w:rPr>
          <w:lang w:val="en-US"/>
        </w:rPr>
        <w:t>or</w:t>
      </w:r>
      <w:proofErr w:type="gramEnd"/>
      <w:r>
        <w:rPr>
          <w:lang w:val="en-US"/>
        </w:rPr>
        <w:t xml:space="preserve"> </w:t>
      </w:r>
      <w:r w:rsidR="00742079">
        <w:rPr>
          <w:lang w:val="en-US"/>
        </w:rPr>
        <w:t>in cas</w:t>
      </w:r>
      <w:r w:rsidR="00D74930">
        <w:rPr>
          <w:lang w:val="en-US"/>
        </w:rPr>
        <w:t>e</w:t>
      </w:r>
      <w:r>
        <w:rPr>
          <w:lang w:val="en-US"/>
        </w:rPr>
        <w:t xml:space="preserve"> </w:t>
      </w:r>
      <w:r w:rsidR="00742079">
        <w:rPr>
          <w:lang w:val="en-US"/>
        </w:rPr>
        <w:t xml:space="preserve">this </w:t>
      </w:r>
      <w:r>
        <w:rPr>
          <w:lang w:val="en-US"/>
        </w:rPr>
        <w:t>is not deemed feasible, we would welcome a less comprehensive amendment</w:t>
      </w:r>
      <w:r w:rsidR="00742079">
        <w:rPr>
          <w:lang w:val="en-US"/>
        </w:rPr>
        <w:t xml:space="preserve"> where the thresholds are amended as proposed in Figure 2</w:t>
      </w:r>
      <w:r>
        <w:rPr>
          <w:lang w:val="en-US"/>
        </w:rPr>
        <w:t xml:space="preserve">. </w:t>
      </w:r>
    </w:p>
    <w:p w14:paraId="205F223A" w14:textId="5906ADD2" w:rsidR="00070E57" w:rsidRPr="00070E57" w:rsidRDefault="00070E57" w:rsidP="00070E57">
      <w:pPr>
        <w:jc w:val="both"/>
        <w:rPr>
          <w:lang w:val="en-US"/>
        </w:rPr>
      </w:pPr>
      <w:r w:rsidRPr="00070E57">
        <w:rPr>
          <w:lang w:val="en-US"/>
        </w:rPr>
        <w:t xml:space="preserve">Please note that the below proposal for the revised thresholds </w:t>
      </w:r>
      <w:proofErr w:type="gramStart"/>
      <w:r w:rsidR="00AB51D0">
        <w:rPr>
          <w:lang w:val="en-US"/>
        </w:rPr>
        <w:t>is</w:t>
      </w:r>
      <w:r w:rsidRPr="00070E57">
        <w:rPr>
          <w:lang w:val="en-US"/>
        </w:rPr>
        <w:t xml:space="preserve"> based on the assumption</w:t>
      </w:r>
      <w:proofErr w:type="gramEnd"/>
      <w:r w:rsidRPr="00070E57">
        <w:rPr>
          <w:lang w:val="en-US"/>
        </w:rPr>
        <w:t xml:space="preserve"> that, for the bucket grouping according to time to delivery, each financial instrument (e.g. Phelix Monthly Future) is considered individually for the purpose of the calculation. For example, the July </w:t>
      </w:r>
      <w:r w:rsidR="00D74930">
        <w:rPr>
          <w:lang w:val="en-US"/>
        </w:rPr>
        <w:t>19</w:t>
      </w:r>
      <w:r w:rsidRPr="00070E57">
        <w:rPr>
          <w:lang w:val="en-US"/>
        </w:rPr>
        <w:t xml:space="preserve"> expiry in the Phelix Monthly Futures would not be placed in one maturity bucket with other futures products with the same underlying, e.g. the Second Week July </w:t>
      </w:r>
      <w:r w:rsidR="00D74930">
        <w:rPr>
          <w:lang w:val="en-US"/>
        </w:rPr>
        <w:t>19</w:t>
      </w:r>
      <w:r w:rsidRPr="00070E57">
        <w:rPr>
          <w:lang w:val="en-US"/>
        </w:rPr>
        <w:t xml:space="preserve"> Phelix Weekly Futures. Any other way of conducting these calculations would inevitably produce inaccurate outcomes in terms of liquidity profiles of the instruments in question. </w:t>
      </w:r>
    </w:p>
    <w:p w14:paraId="50FEFD73" w14:textId="11480278" w:rsidR="00070E57" w:rsidRDefault="00070E57" w:rsidP="00070E57">
      <w:pPr>
        <w:jc w:val="both"/>
        <w:rPr>
          <w:lang w:val="en-US"/>
        </w:rPr>
      </w:pPr>
      <w:r w:rsidRPr="00070E57">
        <w:rPr>
          <w:lang w:val="en-US"/>
        </w:rPr>
        <w:t>Furthermore, the proposal should be adopted in its entirety. It should be understood as a combination of thresholds that cannot be detached from one another.</w:t>
      </w:r>
    </w:p>
    <w:p w14:paraId="12937EE0" w14:textId="3F772394" w:rsidR="00B87724" w:rsidRDefault="00B87724" w:rsidP="00070E57">
      <w:pPr>
        <w:jc w:val="both"/>
        <w:rPr>
          <w:lang w:val="en-US"/>
        </w:rPr>
      </w:pPr>
    </w:p>
    <w:p w14:paraId="18875807" w14:textId="28F015FA" w:rsidR="00B87724" w:rsidRPr="00B87724" w:rsidRDefault="00B87724" w:rsidP="00070E57">
      <w:pPr>
        <w:jc w:val="both"/>
        <w:rPr>
          <w:i/>
          <w:iCs/>
          <w:lang w:val="en-US"/>
        </w:rPr>
      </w:pPr>
      <w:r w:rsidRPr="00B87724">
        <w:rPr>
          <w:i/>
          <w:iCs/>
          <w:lang w:val="en-US"/>
        </w:rPr>
        <w:lastRenderedPageBreak/>
        <w:t xml:space="preserve">Figure 2. </w:t>
      </w:r>
      <w:r>
        <w:rPr>
          <w:i/>
          <w:iCs/>
          <w:lang w:val="en-US"/>
        </w:rPr>
        <w:t xml:space="preserve">Proposed revised threshold values for waivers applicable to commodity derivatives  </w:t>
      </w:r>
    </w:p>
    <w:p w14:paraId="19E73C07" w14:textId="666BCF5D" w:rsidR="00070E57" w:rsidRPr="00070E57" w:rsidRDefault="00070E57" w:rsidP="00070E57">
      <w:pPr>
        <w:jc w:val="both"/>
        <w:rPr>
          <w:lang w:val="en-US"/>
        </w:rPr>
      </w:pPr>
      <w:r w:rsidRPr="00683835">
        <w:rPr>
          <w:rFonts w:cs="Arial"/>
          <w:noProof/>
          <w:color w:val="000000"/>
          <w:sz w:val="21"/>
          <w:szCs w:val="21"/>
          <w:lang w:eastAsia="de-DE"/>
        </w:rPr>
        <w:drawing>
          <wp:inline distT="0" distB="0" distL="0" distR="0" wp14:anchorId="063211B5" wp14:editId="14E8EA27">
            <wp:extent cx="5308600" cy="3002364"/>
            <wp:effectExtent l="0" t="0" r="6350" b="7620"/>
            <wp:docPr id="7" name="Picture 1"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10;&#10;Description automatically generated"/>
                    <pic:cNvPicPr>
                      <a:picLocks/>
                    </pic:cNvPicPr>
                  </pic:nvPicPr>
                  <pic:blipFill rotWithShape="1">
                    <a:blip r:embed="rId20" cstate="print">
                      <a:extLst>
                        <a:ext uri="{28A0092B-C50C-407E-A947-70E740481C1C}">
                          <a14:useLocalDpi xmlns:a14="http://schemas.microsoft.com/office/drawing/2010/main" val="0"/>
                        </a:ext>
                      </a:extLst>
                    </a:blip>
                    <a:srcRect t="5946"/>
                    <a:stretch/>
                  </pic:blipFill>
                  <pic:spPr bwMode="auto">
                    <a:xfrm>
                      <a:off x="0" y="0"/>
                      <a:ext cx="5308600" cy="3002364"/>
                    </a:xfrm>
                    <a:prstGeom prst="rect">
                      <a:avLst/>
                    </a:prstGeom>
                    <a:noFill/>
                    <a:ln>
                      <a:noFill/>
                    </a:ln>
                    <a:extLst>
                      <a:ext uri="{53640926-AAD7-44D8-BBD7-CCE9431645EC}">
                        <a14:shadowObscured xmlns:a14="http://schemas.microsoft.com/office/drawing/2010/main"/>
                      </a:ext>
                    </a:extLst>
                  </pic:spPr>
                </pic:pic>
              </a:graphicData>
            </a:graphic>
          </wp:inline>
        </w:drawing>
      </w:r>
    </w:p>
    <w:p w14:paraId="2EF94074" w14:textId="22F0451A" w:rsidR="001D503E" w:rsidRPr="004315A6" w:rsidRDefault="001D503E" w:rsidP="00CD798D">
      <w:pPr>
        <w:jc w:val="both"/>
        <w:rPr>
          <w:rFonts w:ascii="Arial" w:eastAsia="Times New Roman" w:hAnsi="Arial" w:cs="Arial"/>
          <w:sz w:val="18"/>
          <w:lang w:val="en-US" w:eastAsia="de-DE"/>
        </w:rPr>
      </w:pPr>
      <w:r w:rsidRPr="00013D66">
        <w:rPr>
          <w:rFonts w:ascii="Arial" w:hAnsi="Arial" w:cs="Arial"/>
          <w:sz w:val="20"/>
          <w:lang w:val="fr-FR"/>
        </w:rPr>
        <w:t>&lt;ESMA_QUESTION_CP_MIFID_NQT_31&gt;</w:t>
      </w:r>
    </w:p>
    <w:p w14:paraId="2B2A6773" w14:textId="77777777" w:rsidR="001D503E" w:rsidRPr="004315A6" w:rsidRDefault="001D503E" w:rsidP="001D503E">
      <w:pPr>
        <w:spacing w:after="0" w:line="240" w:lineRule="auto"/>
        <w:rPr>
          <w:rFonts w:ascii="Arial" w:hAnsi="Arial" w:cs="Arial"/>
          <w:sz w:val="20"/>
          <w:lang w:val="fr-FR"/>
        </w:rPr>
      </w:pPr>
    </w:p>
    <w:p w14:paraId="14CF814B" w14:textId="77777777" w:rsidR="00A74CF8" w:rsidRPr="004315A6" w:rsidRDefault="00A74CF8">
      <w:pPr>
        <w:rPr>
          <w:rFonts w:ascii="Arial" w:hAnsi="Arial" w:cs="Arial"/>
          <w:lang w:val="en-US"/>
        </w:rPr>
      </w:pPr>
    </w:p>
    <w:sectPr w:rsidR="00A74CF8" w:rsidRPr="004315A6" w:rsidSect="00B80C0E">
      <w:headerReference w:type="even" r:id="rId21"/>
      <w:headerReference w:type="first" r:id="rId22"/>
      <w:footerReference w:type="first" r:id="rId23"/>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3C7B1" w14:textId="77777777" w:rsidR="000A5A8F" w:rsidRDefault="000A5A8F" w:rsidP="001D503E">
      <w:pPr>
        <w:spacing w:after="0" w:line="240" w:lineRule="auto"/>
      </w:pPr>
      <w:r>
        <w:separator/>
      </w:r>
    </w:p>
  </w:endnote>
  <w:endnote w:type="continuationSeparator" w:id="0">
    <w:p w14:paraId="1AF04508" w14:textId="77777777" w:rsidR="000A5A8F" w:rsidRDefault="000A5A8F" w:rsidP="001D503E">
      <w:pPr>
        <w:spacing w:after="0" w:line="240" w:lineRule="auto"/>
      </w:pPr>
      <w:r>
        <w:continuationSeparator/>
      </w:r>
    </w:p>
  </w:endnote>
  <w:endnote w:type="continuationNotice" w:id="1">
    <w:p w14:paraId="02F4A703" w14:textId="77777777" w:rsidR="000A5A8F" w:rsidRDefault="000A5A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B80C0E" w:rsidRPr="00616B9B" w14:paraId="183ACA12" w14:textId="77777777" w:rsidTr="00B80C0E">
      <w:trPr>
        <w:trHeight w:val="284"/>
      </w:trPr>
      <w:tc>
        <w:tcPr>
          <w:tcW w:w="8460" w:type="dxa"/>
        </w:tcPr>
        <w:p w14:paraId="6FA73CC1" w14:textId="77777777" w:rsidR="00B80C0E" w:rsidRPr="00315E96" w:rsidRDefault="00B80C0E" w:rsidP="00B80C0E">
          <w:pPr>
            <w:pStyle w:val="00Footer"/>
            <w:rPr>
              <w:lang w:val="fr-FR"/>
            </w:rPr>
          </w:pPr>
        </w:p>
      </w:tc>
      <w:tc>
        <w:tcPr>
          <w:tcW w:w="952" w:type="dxa"/>
        </w:tcPr>
        <w:p w14:paraId="7DD2BA1C" w14:textId="6D82E4A3" w:rsidR="00B80C0E" w:rsidRPr="00616B9B" w:rsidRDefault="00B80C0E" w:rsidP="00B80C0E">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742079">
            <w:rPr>
              <w:rFonts w:cs="Arial"/>
              <w:noProof/>
              <w:sz w:val="22"/>
              <w:szCs w:val="22"/>
            </w:rPr>
            <w:t>17</w:t>
          </w:r>
          <w:r w:rsidRPr="00616B9B">
            <w:rPr>
              <w:rFonts w:cs="Arial"/>
              <w:noProof/>
              <w:sz w:val="22"/>
              <w:szCs w:val="22"/>
            </w:rPr>
            <w:fldChar w:fldCharType="end"/>
          </w:r>
        </w:p>
      </w:tc>
    </w:tr>
  </w:tbl>
  <w:p w14:paraId="2266DECC" w14:textId="77777777" w:rsidR="00B80C0E" w:rsidRDefault="00B80C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6F623" w14:textId="77777777" w:rsidR="00B80C0E" w:rsidRDefault="00B80C0E" w:rsidP="00B80C0E">
    <w:pPr>
      <w:pStyle w:val="Footer"/>
      <w:tabs>
        <w:tab w:val="clear" w:pos="4513"/>
        <w:tab w:val="left" w:pos="822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8CDF6" w14:textId="77777777" w:rsidR="00B80C0E" w:rsidRDefault="00B80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D90E2" w14:textId="77777777" w:rsidR="000A5A8F" w:rsidRDefault="000A5A8F" w:rsidP="001D503E">
      <w:pPr>
        <w:spacing w:after="0" w:line="240" w:lineRule="auto"/>
      </w:pPr>
      <w:r>
        <w:separator/>
      </w:r>
    </w:p>
  </w:footnote>
  <w:footnote w:type="continuationSeparator" w:id="0">
    <w:p w14:paraId="67CFC0BE" w14:textId="77777777" w:rsidR="000A5A8F" w:rsidRDefault="000A5A8F" w:rsidP="001D503E">
      <w:pPr>
        <w:spacing w:after="0" w:line="240" w:lineRule="auto"/>
      </w:pPr>
      <w:r>
        <w:continuationSeparator/>
      </w:r>
    </w:p>
  </w:footnote>
  <w:footnote w:type="continuationNotice" w:id="1">
    <w:p w14:paraId="42FA6341" w14:textId="77777777" w:rsidR="000A5A8F" w:rsidRDefault="000A5A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9637F" w14:textId="77777777" w:rsidR="00B80C0E" w:rsidRDefault="00B80C0E">
    <w:pPr>
      <w:pStyle w:val="Header"/>
    </w:pPr>
    <w:r>
      <w:rPr>
        <w:noProof/>
        <w:lang w:eastAsia="de-DE"/>
      </w:rPr>
      <w:drawing>
        <wp:anchor distT="0" distB="0" distL="114300" distR="114300" simplePos="0" relativeHeight="251660288" behindDoc="0" locked="0" layoutInCell="1" allowOverlap="1" wp14:anchorId="3E43ED4E" wp14:editId="4EF3904B">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295" distR="114295" simplePos="0" relativeHeight="251657216" behindDoc="0" locked="0" layoutInCell="1" allowOverlap="1" wp14:anchorId="70F3679B" wp14:editId="44DAA7C2">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ACB40" id="Line 16" o:spid="_x0000_s1026" style="position:absolute;z-index:251657216;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C4AC6" w14:textId="77777777" w:rsidR="00B80C0E" w:rsidRDefault="00B80C0E" w:rsidP="00B80C0E">
    <w:pPr>
      <w:pStyle w:val="Header"/>
      <w:jc w:val="right"/>
    </w:pPr>
    <w:r>
      <w:rPr>
        <w:noProof/>
        <w:lang w:eastAsia="de-DE"/>
      </w:rPr>
      <w:drawing>
        <wp:anchor distT="0" distB="0" distL="114300" distR="114300" simplePos="0" relativeHeight="251659264" behindDoc="0" locked="0" layoutInCell="1" allowOverlap="1" wp14:anchorId="1362A076" wp14:editId="49B28052">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1" locked="0" layoutInCell="1" allowOverlap="1" wp14:anchorId="5FF19F21" wp14:editId="5372B0EB">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7FF97" w14:textId="77777777" w:rsidR="00B80C0E" w:rsidRDefault="00B80C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B80C0E" w:rsidRPr="002F4496" w14:paraId="3400D258" w14:textId="77777777" w:rsidTr="00B80C0E">
      <w:trPr>
        <w:trHeight w:val="284"/>
      </w:trPr>
      <w:tc>
        <w:tcPr>
          <w:tcW w:w="8460" w:type="dxa"/>
        </w:tcPr>
        <w:p w14:paraId="3D26D17B" w14:textId="77777777" w:rsidR="00B80C0E" w:rsidRPr="000C3B6D" w:rsidRDefault="00B80C0E" w:rsidP="00B80C0E">
          <w:pPr>
            <w:pStyle w:val="00Footer"/>
            <w:rPr>
              <w:lang w:val="fr-FR"/>
            </w:rPr>
          </w:pPr>
        </w:p>
      </w:tc>
      <w:tc>
        <w:tcPr>
          <w:tcW w:w="952" w:type="dxa"/>
        </w:tcPr>
        <w:p w14:paraId="153F2F28" w14:textId="77777777" w:rsidR="00B80C0E" w:rsidRPr="00146B34" w:rsidRDefault="00B80C0E" w:rsidP="00B80C0E">
          <w:pPr>
            <w:pStyle w:val="00aPagenumber"/>
            <w:rPr>
              <w:lang w:val="fr-FR"/>
            </w:rPr>
          </w:pPr>
        </w:p>
      </w:tc>
    </w:tr>
  </w:tbl>
  <w:p w14:paraId="1E925861" w14:textId="77777777" w:rsidR="00B80C0E" w:rsidRPr="00DB46C3" w:rsidRDefault="00B80C0E">
    <w:pPr>
      <w:rPr>
        <w:lang w:val="fr-FR"/>
      </w:rPr>
    </w:pPr>
  </w:p>
  <w:p w14:paraId="6F5555FB" w14:textId="77777777" w:rsidR="00B80C0E" w:rsidRPr="002F4496" w:rsidRDefault="00B80C0E">
    <w:pPr>
      <w:pStyle w:val="Header"/>
      <w:rPr>
        <w:lang w:val="fr-FR"/>
      </w:rPr>
    </w:pPr>
  </w:p>
  <w:p w14:paraId="37D068BC" w14:textId="77777777" w:rsidR="00B80C0E" w:rsidRPr="002F4496" w:rsidRDefault="00B80C0E" w:rsidP="00B80C0E">
    <w:pPr>
      <w:pStyle w:val="Header"/>
      <w:tabs>
        <w:tab w:val="clear" w:pos="4513"/>
        <w:tab w:val="left" w:pos="8227"/>
      </w:tabs>
      <w:rPr>
        <w:lang w:val="fr-FR"/>
      </w:rPr>
    </w:pPr>
  </w:p>
  <w:p w14:paraId="514EB329" w14:textId="77777777" w:rsidR="00B80C0E" w:rsidRPr="002F4496" w:rsidRDefault="00B80C0E" w:rsidP="00B80C0E">
    <w:pPr>
      <w:pStyle w:val="Header"/>
      <w:jc w:val="right"/>
      <w:rPr>
        <w:lang w:val="fr-FR"/>
      </w:rPr>
    </w:pPr>
  </w:p>
  <w:p w14:paraId="533C14F1" w14:textId="77777777" w:rsidR="00B80C0E" w:rsidRPr="002F4496" w:rsidRDefault="00B80C0E">
    <w:pPr>
      <w:pStyle w:val="Header"/>
      <w:rPr>
        <w:lang w:val="fr-FR"/>
      </w:rPr>
    </w:pPr>
  </w:p>
  <w:p w14:paraId="42FC54B7" w14:textId="77777777" w:rsidR="00B80C0E" w:rsidRPr="002F4496" w:rsidRDefault="00B80C0E">
    <w:pPr>
      <w:pStyle w:val="Header"/>
      <w:rPr>
        <w:lang w:val="fr-FR"/>
      </w:rPr>
    </w:pPr>
  </w:p>
  <w:p w14:paraId="654AD149" w14:textId="77777777" w:rsidR="00B80C0E" w:rsidRPr="002F4496" w:rsidRDefault="00B80C0E">
    <w:pPr>
      <w:pStyle w:val="Header"/>
      <w:rPr>
        <w:lang w:val="fr-FR"/>
      </w:rPr>
    </w:pPr>
  </w:p>
  <w:p w14:paraId="024BD170" w14:textId="77777777" w:rsidR="00B80C0E" w:rsidRPr="002F4496" w:rsidRDefault="00B80C0E">
    <w:pPr>
      <w:pStyle w:val="Header"/>
      <w:rPr>
        <w:highlight w:val="yellow"/>
        <w:lang w:val="fr-FR"/>
      </w:rPr>
    </w:pPr>
  </w:p>
  <w:p w14:paraId="31AE6917" w14:textId="77777777" w:rsidR="00B80C0E" w:rsidRDefault="00B80C0E">
    <w:pPr>
      <w:pStyle w:val="Header"/>
    </w:pPr>
    <w:r>
      <w:rPr>
        <w:noProof/>
        <w:lang w:eastAsia="de-DE"/>
      </w:rPr>
      <mc:AlternateContent>
        <mc:Choice Requires="wps">
          <w:drawing>
            <wp:anchor distT="0" distB="0" distL="114299" distR="114299" simplePos="0" relativeHeight="251658240" behindDoc="0" locked="0" layoutInCell="1" allowOverlap="1" wp14:anchorId="755048F1" wp14:editId="240B3C50">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67683" id="Straight Connector 138" o:spid="_x0000_s1026" style="position:absolute;z-index:2516582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de-DE"/>
      </w:rPr>
      <w:drawing>
        <wp:anchor distT="0" distB="0" distL="114300" distR="114300" simplePos="0" relativeHeight="251656192" behindDoc="0" locked="0" layoutInCell="1" allowOverlap="1" wp14:anchorId="5E159F27" wp14:editId="7E87900D">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01B6A"/>
    <w:multiLevelType w:val="hybridMultilevel"/>
    <w:tmpl w:val="5712A448"/>
    <w:lvl w:ilvl="0" w:tplc="3B544EB2">
      <w:start w:val="17"/>
      <w:numFmt w:val="bullet"/>
      <w:lvlText w:val=""/>
      <w:lvlJc w:val="left"/>
      <w:pPr>
        <w:ind w:left="360" w:hanging="360"/>
      </w:pPr>
      <w:rPr>
        <w:rFonts w:ascii="Symbol" w:eastAsia="Times New Roman" w:hAnsi="Symbol"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C3C6171"/>
    <w:multiLevelType w:val="hybridMultilevel"/>
    <w:tmpl w:val="0544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B44C4A"/>
    <w:multiLevelType w:val="hybridMultilevel"/>
    <w:tmpl w:val="DB747DA2"/>
    <w:lvl w:ilvl="0" w:tplc="04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488853AB"/>
    <w:multiLevelType w:val="hybridMultilevel"/>
    <w:tmpl w:val="402C50EE"/>
    <w:lvl w:ilvl="0" w:tplc="D68E8BEC">
      <w:start w:val="17"/>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A3440A7"/>
    <w:multiLevelType w:val="hybridMultilevel"/>
    <w:tmpl w:val="B200274A"/>
    <w:lvl w:ilvl="0" w:tplc="4796CB24">
      <w:start w:val="17"/>
      <w:numFmt w:val="bullet"/>
      <w:lvlText w:val=""/>
      <w:lvlJc w:val="left"/>
      <w:pPr>
        <w:ind w:left="360" w:hanging="360"/>
      </w:pPr>
      <w:rPr>
        <w:rFonts w:ascii="Symbol" w:eastAsia="Times New Roman" w:hAnsi="Symbol"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DB53EFC"/>
    <w:multiLevelType w:val="hybridMultilevel"/>
    <w:tmpl w:val="498E42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67D270B"/>
    <w:multiLevelType w:val="hybridMultilevel"/>
    <w:tmpl w:val="121C3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2F51E9"/>
    <w:multiLevelType w:val="hybridMultilevel"/>
    <w:tmpl w:val="56FA498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C8157F7"/>
    <w:multiLevelType w:val="multilevel"/>
    <w:tmpl w:val="A84CE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1A6077"/>
    <w:multiLevelType w:val="hybridMultilevel"/>
    <w:tmpl w:val="E9FE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5"/>
  </w:num>
  <w:num w:numId="4">
    <w:abstractNumId w:val="3"/>
  </w:num>
  <w:num w:numId="5">
    <w:abstractNumId w:val="7"/>
  </w:num>
  <w:num w:numId="6">
    <w:abstractNumId w:val="4"/>
  </w:num>
  <w:num w:numId="7">
    <w:abstractNumId w:val="0"/>
  </w:num>
  <w:num w:numId="8">
    <w:abstractNumId w:val="6"/>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03E"/>
    <w:rsid w:val="00013D66"/>
    <w:rsid w:val="000443F1"/>
    <w:rsid w:val="000511AF"/>
    <w:rsid w:val="00053BA8"/>
    <w:rsid w:val="00060800"/>
    <w:rsid w:val="0006695D"/>
    <w:rsid w:val="00070E57"/>
    <w:rsid w:val="00071BAB"/>
    <w:rsid w:val="0007754E"/>
    <w:rsid w:val="00087525"/>
    <w:rsid w:val="000966CD"/>
    <w:rsid w:val="000A5A8F"/>
    <w:rsid w:val="000B7A6A"/>
    <w:rsid w:val="000C1BE5"/>
    <w:rsid w:val="000D0FB5"/>
    <w:rsid w:val="000D1E8E"/>
    <w:rsid w:val="000D1F26"/>
    <w:rsid w:val="000D519A"/>
    <w:rsid w:val="000E4B55"/>
    <w:rsid w:val="000F4F50"/>
    <w:rsid w:val="000F5BA3"/>
    <w:rsid w:val="000F7120"/>
    <w:rsid w:val="001042F7"/>
    <w:rsid w:val="00107E27"/>
    <w:rsid w:val="0013214E"/>
    <w:rsid w:val="00142047"/>
    <w:rsid w:val="00155BF5"/>
    <w:rsid w:val="00156D03"/>
    <w:rsid w:val="00184438"/>
    <w:rsid w:val="001849C6"/>
    <w:rsid w:val="001903A8"/>
    <w:rsid w:val="001B6BCD"/>
    <w:rsid w:val="001C1235"/>
    <w:rsid w:val="001C400C"/>
    <w:rsid w:val="001D2138"/>
    <w:rsid w:val="001D4D35"/>
    <w:rsid w:val="001D503E"/>
    <w:rsid w:val="001E5930"/>
    <w:rsid w:val="001F213C"/>
    <w:rsid w:val="00205581"/>
    <w:rsid w:val="00206A06"/>
    <w:rsid w:val="00211CCD"/>
    <w:rsid w:val="0021213E"/>
    <w:rsid w:val="00221AF6"/>
    <w:rsid w:val="00230114"/>
    <w:rsid w:val="00237602"/>
    <w:rsid w:val="00260CEC"/>
    <w:rsid w:val="002629B5"/>
    <w:rsid w:val="002651D0"/>
    <w:rsid w:val="002822F4"/>
    <w:rsid w:val="00292EF3"/>
    <w:rsid w:val="002A0859"/>
    <w:rsid w:val="002B4A85"/>
    <w:rsid w:val="002B761B"/>
    <w:rsid w:val="002C28C3"/>
    <w:rsid w:val="002D6B7F"/>
    <w:rsid w:val="002E07F5"/>
    <w:rsid w:val="002E6B6D"/>
    <w:rsid w:val="002F3849"/>
    <w:rsid w:val="002F514D"/>
    <w:rsid w:val="00305E68"/>
    <w:rsid w:val="0031647D"/>
    <w:rsid w:val="00324998"/>
    <w:rsid w:val="003275D2"/>
    <w:rsid w:val="0034284A"/>
    <w:rsid w:val="00347900"/>
    <w:rsid w:val="00352850"/>
    <w:rsid w:val="00371C07"/>
    <w:rsid w:val="00393C18"/>
    <w:rsid w:val="003A0006"/>
    <w:rsid w:val="003B29D8"/>
    <w:rsid w:val="003B4313"/>
    <w:rsid w:val="003D1AD1"/>
    <w:rsid w:val="003D706C"/>
    <w:rsid w:val="003E2129"/>
    <w:rsid w:val="004315A6"/>
    <w:rsid w:val="0044133B"/>
    <w:rsid w:val="00446E2C"/>
    <w:rsid w:val="00457E6C"/>
    <w:rsid w:val="004728C1"/>
    <w:rsid w:val="00473B26"/>
    <w:rsid w:val="00482417"/>
    <w:rsid w:val="004910E9"/>
    <w:rsid w:val="004A650D"/>
    <w:rsid w:val="004C389B"/>
    <w:rsid w:val="004D2D2A"/>
    <w:rsid w:val="004E5217"/>
    <w:rsid w:val="004F08DE"/>
    <w:rsid w:val="004F568F"/>
    <w:rsid w:val="0051116D"/>
    <w:rsid w:val="00516794"/>
    <w:rsid w:val="0052476C"/>
    <w:rsid w:val="0052719E"/>
    <w:rsid w:val="00527AFD"/>
    <w:rsid w:val="00541EA0"/>
    <w:rsid w:val="00551033"/>
    <w:rsid w:val="00555891"/>
    <w:rsid w:val="00562225"/>
    <w:rsid w:val="00563AB5"/>
    <w:rsid w:val="005710E2"/>
    <w:rsid w:val="0058272F"/>
    <w:rsid w:val="00584173"/>
    <w:rsid w:val="005B111B"/>
    <w:rsid w:val="005B397B"/>
    <w:rsid w:val="005C535C"/>
    <w:rsid w:val="005E194D"/>
    <w:rsid w:val="005E7168"/>
    <w:rsid w:val="005F5685"/>
    <w:rsid w:val="005F6CB8"/>
    <w:rsid w:val="00613CCA"/>
    <w:rsid w:val="006346F6"/>
    <w:rsid w:val="006379DD"/>
    <w:rsid w:val="00641709"/>
    <w:rsid w:val="00644FBB"/>
    <w:rsid w:val="006559C1"/>
    <w:rsid w:val="00662C39"/>
    <w:rsid w:val="00673053"/>
    <w:rsid w:val="00681F8C"/>
    <w:rsid w:val="00682845"/>
    <w:rsid w:val="00690E44"/>
    <w:rsid w:val="006936C9"/>
    <w:rsid w:val="0069653E"/>
    <w:rsid w:val="006A6FDC"/>
    <w:rsid w:val="006F3EA3"/>
    <w:rsid w:val="006F4DB3"/>
    <w:rsid w:val="0071298A"/>
    <w:rsid w:val="00715491"/>
    <w:rsid w:val="00725B7D"/>
    <w:rsid w:val="00726CE6"/>
    <w:rsid w:val="00733F5C"/>
    <w:rsid w:val="00736F3B"/>
    <w:rsid w:val="00742079"/>
    <w:rsid w:val="007430C8"/>
    <w:rsid w:val="0075112C"/>
    <w:rsid w:val="0076100F"/>
    <w:rsid w:val="007849E8"/>
    <w:rsid w:val="00793D14"/>
    <w:rsid w:val="007A429C"/>
    <w:rsid w:val="007A4320"/>
    <w:rsid w:val="007B23E5"/>
    <w:rsid w:val="007B2BD7"/>
    <w:rsid w:val="007B46D1"/>
    <w:rsid w:val="007B7AC1"/>
    <w:rsid w:val="007C7C93"/>
    <w:rsid w:val="007D1355"/>
    <w:rsid w:val="007D5F77"/>
    <w:rsid w:val="007D6832"/>
    <w:rsid w:val="007E7935"/>
    <w:rsid w:val="00812344"/>
    <w:rsid w:val="0081547F"/>
    <w:rsid w:val="00823919"/>
    <w:rsid w:val="00837C45"/>
    <w:rsid w:val="008455CE"/>
    <w:rsid w:val="00862AB9"/>
    <w:rsid w:val="008635E1"/>
    <w:rsid w:val="0086375A"/>
    <w:rsid w:val="008667F5"/>
    <w:rsid w:val="00867871"/>
    <w:rsid w:val="0088537D"/>
    <w:rsid w:val="008B4707"/>
    <w:rsid w:val="008D6D29"/>
    <w:rsid w:val="008D7B6D"/>
    <w:rsid w:val="008F21F1"/>
    <w:rsid w:val="008F47FF"/>
    <w:rsid w:val="0090579D"/>
    <w:rsid w:val="0091380D"/>
    <w:rsid w:val="00915803"/>
    <w:rsid w:val="00916CCE"/>
    <w:rsid w:val="009273F7"/>
    <w:rsid w:val="009357CA"/>
    <w:rsid w:val="009432F2"/>
    <w:rsid w:val="00955F1B"/>
    <w:rsid w:val="0096746C"/>
    <w:rsid w:val="009719A2"/>
    <w:rsid w:val="00971EA1"/>
    <w:rsid w:val="009815FE"/>
    <w:rsid w:val="009946A7"/>
    <w:rsid w:val="00995A9A"/>
    <w:rsid w:val="00A03E48"/>
    <w:rsid w:val="00A12092"/>
    <w:rsid w:val="00A21FA8"/>
    <w:rsid w:val="00A254A7"/>
    <w:rsid w:val="00A45F8E"/>
    <w:rsid w:val="00A55FB4"/>
    <w:rsid w:val="00A66865"/>
    <w:rsid w:val="00A7285B"/>
    <w:rsid w:val="00A74CF8"/>
    <w:rsid w:val="00A80C44"/>
    <w:rsid w:val="00AB0882"/>
    <w:rsid w:val="00AB51D0"/>
    <w:rsid w:val="00AC6CD7"/>
    <w:rsid w:val="00AD1EB0"/>
    <w:rsid w:val="00AD756D"/>
    <w:rsid w:val="00AE741C"/>
    <w:rsid w:val="00B0322D"/>
    <w:rsid w:val="00B0538A"/>
    <w:rsid w:val="00B10E84"/>
    <w:rsid w:val="00B12C2F"/>
    <w:rsid w:val="00B13CC7"/>
    <w:rsid w:val="00B248A7"/>
    <w:rsid w:val="00B2749E"/>
    <w:rsid w:val="00B40922"/>
    <w:rsid w:val="00B4175A"/>
    <w:rsid w:val="00B55A97"/>
    <w:rsid w:val="00B6189A"/>
    <w:rsid w:val="00B72BCA"/>
    <w:rsid w:val="00B75DF8"/>
    <w:rsid w:val="00B80C0E"/>
    <w:rsid w:val="00B817C2"/>
    <w:rsid w:val="00B82112"/>
    <w:rsid w:val="00B83461"/>
    <w:rsid w:val="00B865C7"/>
    <w:rsid w:val="00B87724"/>
    <w:rsid w:val="00BA0AFB"/>
    <w:rsid w:val="00BA0CE7"/>
    <w:rsid w:val="00BA2494"/>
    <w:rsid w:val="00BB32E3"/>
    <w:rsid w:val="00BB7A34"/>
    <w:rsid w:val="00BD6321"/>
    <w:rsid w:val="00BE08D8"/>
    <w:rsid w:val="00BF1188"/>
    <w:rsid w:val="00BF27BF"/>
    <w:rsid w:val="00BF4C57"/>
    <w:rsid w:val="00C00F57"/>
    <w:rsid w:val="00C21B5F"/>
    <w:rsid w:val="00C27AFB"/>
    <w:rsid w:val="00C30CD6"/>
    <w:rsid w:val="00C313F1"/>
    <w:rsid w:val="00C31DF9"/>
    <w:rsid w:val="00C40E96"/>
    <w:rsid w:val="00C50093"/>
    <w:rsid w:val="00C535AE"/>
    <w:rsid w:val="00C65BD5"/>
    <w:rsid w:val="00C661A8"/>
    <w:rsid w:val="00C8582F"/>
    <w:rsid w:val="00C86F2E"/>
    <w:rsid w:val="00C94413"/>
    <w:rsid w:val="00C94D3A"/>
    <w:rsid w:val="00C94FD1"/>
    <w:rsid w:val="00CB219C"/>
    <w:rsid w:val="00CB5A22"/>
    <w:rsid w:val="00CD3531"/>
    <w:rsid w:val="00CD6933"/>
    <w:rsid w:val="00CD798D"/>
    <w:rsid w:val="00CD79F5"/>
    <w:rsid w:val="00CF6453"/>
    <w:rsid w:val="00D074E6"/>
    <w:rsid w:val="00D16E94"/>
    <w:rsid w:val="00D17869"/>
    <w:rsid w:val="00D17890"/>
    <w:rsid w:val="00D3153A"/>
    <w:rsid w:val="00D45370"/>
    <w:rsid w:val="00D4552F"/>
    <w:rsid w:val="00D45AD0"/>
    <w:rsid w:val="00D61F5C"/>
    <w:rsid w:val="00D65282"/>
    <w:rsid w:val="00D74930"/>
    <w:rsid w:val="00D90B10"/>
    <w:rsid w:val="00D91000"/>
    <w:rsid w:val="00DA1719"/>
    <w:rsid w:val="00DA7A50"/>
    <w:rsid w:val="00DC1047"/>
    <w:rsid w:val="00DC161F"/>
    <w:rsid w:val="00DC2589"/>
    <w:rsid w:val="00DC4565"/>
    <w:rsid w:val="00DD1A4E"/>
    <w:rsid w:val="00DE58C5"/>
    <w:rsid w:val="00E03C20"/>
    <w:rsid w:val="00E12432"/>
    <w:rsid w:val="00E1491A"/>
    <w:rsid w:val="00E17BA4"/>
    <w:rsid w:val="00E31993"/>
    <w:rsid w:val="00E57690"/>
    <w:rsid w:val="00E80005"/>
    <w:rsid w:val="00E812E1"/>
    <w:rsid w:val="00E85279"/>
    <w:rsid w:val="00E9443B"/>
    <w:rsid w:val="00E9447D"/>
    <w:rsid w:val="00E9702E"/>
    <w:rsid w:val="00EA06DF"/>
    <w:rsid w:val="00EA29CA"/>
    <w:rsid w:val="00EA30E0"/>
    <w:rsid w:val="00EA50E5"/>
    <w:rsid w:val="00EB0868"/>
    <w:rsid w:val="00EB5B7C"/>
    <w:rsid w:val="00EC1E80"/>
    <w:rsid w:val="00ED2D45"/>
    <w:rsid w:val="00ED3C73"/>
    <w:rsid w:val="00EF0E76"/>
    <w:rsid w:val="00F04996"/>
    <w:rsid w:val="00F14E1B"/>
    <w:rsid w:val="00F16CFC"/>
    <w:rsid w:val="00F47FA1"/>
    <w:rsid w:val="00F50629"/>
    <w:rsid w:val="00F6072E"/>
    <w:rsid w:val="00F72A83"/>
    <w:rsid w:val="00F81187"/>
    <w:rsid w:val="00F91D9B"/>
    <w:rsid w:val="00F923B7"/>
    <w:rsid w:val="00FA1C37"/>
    <w:rsid w:val="00FA31D8"/>
    <w:rsid w:val="00FA5816"/>
    <w:rsid w:val="00FB04CF"/>
    <w:rsid w:val="00FC5A9F"/>
    <w:rsid w:val="00FE1086"/>
    <w:rsid w:val="00FE4088"/>
    <w:rsid w:val="00FF46B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A11D7"/>
  <w15:chartTrackingRefBased/>
  <w15:docId w15:val="{1D6BC778-DE4A-4500-9278-B134616B0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0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03E"/>
  </w:style>
  <w:style w:type="paragraph" w:styleId="Footer">
    <w:name w:val="footer"/>
    <w:basedOn w:val="Normal"/>
    <w:link w:val="FooterChar"/>
    <w:uiPriority w:val="99"/>
    <w:unhideWhenUsed/>
    <w:rsid w:val="001D50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03E"/>
  </w:style>
  <w:style w:type="paragraph" w:customStyle="1" w:styleId="00Footer">
    <w:name w:val="00_Footer"/>
    <w:basedOn w:val="Normal"/>
    <w:locked/>
    <w:rsid w:val="001D503E"/>
    <w:pPr>
      <w:spacing w:after="0" w:line="200" w:lineRule="exact"/>
    </w:pPr>
    <w:rPr>
      <w:rFonts w:ascii="Arial" w:eastAsia="Times New Roman" w:hAnsi="Arial" w:cs="Times New Roman"/>
      <w:color w:val="2D4190"/>
      <w:sz w:val="16"/>
      <w:szCs w:val="24"/>
      <w:lang w:val="en-GB" w:eastAsia="de-DE"/>
    </w:rPr>
  </w:style>
  <w:style w:type="paragraph" w:customStyle="1" w:styleId="00aPagenumber">
    <w:name w:val="00a_Page number"/>
    <w:basedOn w:val="00Footer"/>
    <w:locked/>
    <w:rsid w:val="001D503E"/>
    <w:pPr>
      <w:spacing w:line="280" w:lineRule="atLeast"/>
      <w:jc w:val="right"/>
    </w:pPr>
    <w:rPr>
      <w:color w:val="000000"/>
      <w:sz w:val="20"/>
    </w:rPr>
  </w:style>
  <w:style w:type="paragraph" w:styleId="ListParagraph">
    <w:name w:val="List Paragraph"/>
    <w:basedOn w:val="Normal"/>
    <w:uiPriority w:val="34"/>
    <w:qFormat/>
    <w:rsid w:val="001D503E"/>
    <w:pPr>
      <w:ind w:left="720"/>
      <w:contextualSpacing/>
    </w:pPr>
  </w:style>
  <w:style w:type="paragraph" w:styleId="BalloonText">
    <w:name w:val="Balloon Text"/>
    <w:basedOn w:val="Normal"/>
    <w:link w:val="BalloonTextChar"/>
    <w:uiPriority w:val="99"/>
    <w:semiHidden/>
    <w:unhideWhenUsed/>
    <w:rsid w:val="002121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13E"/>
    <w:rPr>
      <w:rFonts w:ascii="Segoe UI" w:hAnsi="Segoe UI" w:cs="Segoe UI"/>
      <w:sz w:val="18"/>
      <w:szCs w:val="18"/>
    </w:rPr>
  </w:style>
  <w:style w:type="character" w:styleId="CommentReference">
    <w:name w:val="annotation reference"/>
    <w:basedOn w:val="DefaultParagraphFont"/>
    <w:uiPriority w:val="99"/>
    <w:semiHidden/>
    <w:unhideWhenUsed/>
    <w:rsid w:val="0021213E"/>
    <w:rPr>
      <w:sz w:val="16"/>
      <w:szCs w:val="16"/>
    </w:rPr>
  </w:style>
  <w:style w:type="paragraph" w:styleId="CommentText">
    <w:name w:val="annotation text"/>
    <w:basedOn w:val="Normal"/>
    <w:link w:val="CommentTextChar"/>
    <w:uiPriority w:val="99"/>
    <w:unhideWhenUsed/>
    <w:rsid w:val="0021213E"/>
    <w:pPr>
      <w:spacing w:line="240" w:lineRule="auto"/>
    </w:pPr>
    <w:rPr>
      <w:sz w:val="20"/>
      <w:szCs w:val="20"/>
    </w:rPr>
  </w:style>
  <w:style w:type="character" w:customStyle="1" w:styleId="CommentTextChar">
    <w:name w:val="Comment Text Char"/>
    <w:basedOn w:val="DefaultParagraphFont"/>
    <w:link w:val="CommentText"/>
    <w:uiPriority w:val="99"/>
    <w:rsid w:val="0021213E"/>
    <w:rPr>
      <w:sz w:val="20"/>
      <w:szCs w:val="20"/>
    </w:rPr>
  </w:style>
  <w:style w:type="paragraph" w:customStyle="1" w:styleId="Default">
    <w:name w:val="Default"/>
    <w:rsid w:val="00B865C7"/>
    <w:pPr>
      <w:autoSpaceDE w:val="0"/>
      <w:autoSpaceDN w:val="0"/>
      <w:adjustRightInd w:val="0"/>
      <w:spacing w:after="0" w:line="240" w:lineRule="auto"/>
    </w:pPr>
    <w:rPr>
      <w:rFonts w:ascii="Arial" w:hAnsi="Arial" w:cs="Arial"/>
      <w:color w:val="000000"/>
      <w:sz w:val="24"/>
      <w:szCs w:val="24"/>
      <w:lang w:val="en-US"/>
    </w:rPr>
  </w:style>
  <w:style w:type="character" w:customStyle="1" w:styleId="highlight">
    <w:name w:val="highlight"/>
    <w:basedOn w:val="DefaultParagraphFont"/>
    <w:rsid w:val="00B865C7"/>
  </w:style>
  <w:style w:type="character" w:customStyle="1" w:styleId="s13">
    <w:name w:val="s13"/>
    <w:basedOn w:val="DefaultParagraphFont"/>
    <w:rsid w:val="00B865C7"/>
  </w:style>
  <w:style w:type="paragraph" w:styleId="CommentSubject">
    <w:name w:val="annotation subject"/>
    <w:basedOn w:val="CommentText"/>
    <w:next w:val="CommentText"/>
    <w:link w:val="CommentSubjectChar"/>
    <w:uiPriority w:val="99"/>
    <w:semiHidden/>
    <w:unhideWhenUsed/>
    <w:rsid w:val="00B865C7"/>
    <w:rPr>
      <w:b/>
      <w:bCs/>
    </w:rPr>
  </w:style>
  <w:style w:type="character" w:customStyle="1" w:styleId="CommentSubjectChar">
    <w:name w:val="Comment Subject Char"/>
    <w:basedOn w:val="CommentTextChar"/>
    <w:link w:val="CommentSubject"/>
    <w:uiPriority w:val="99"/>
    <w:semiHidden/>
    <w:rsid w:val="00B865C7"/>
    <w:rPr>
      <w:b/>
      <w:bCs/>
      <w:sz w:val="20"/>
      <w:szCs w:val="20"/>
    </w:rPr>
  </w:style>
  <w:style w:type="character" w:customStyle="1" w:styleId="CPQuestionsChar">
    <w:name w:val="CP_Questions Char"/>
    <w:link w:val="CPQuestions"/>
    <w:qFormat/>
    <w:rsid w:val="00CB5A22"/>
    <w:rPr>
      <w:rFonts w:ascii="Arial" w:eastAsia="Calibri" w:hAnsi="Arial"/>
      <w:b/>
      <w:szCs w:val="20"/>
    </w:rPr>
  </w:style>
  <w:style w:type="paragraph" w:customStyle="1" w:styleId="CPQuestions">
    <w:name w:val="CP_Questions"/>
    <w:basedOn w:val="Normal"/>
    <w:link w:val="CPQuestionsChar"/>
    <w:qFormat/>
    <w:locked/>
    <w:rsid w:val="00CB5A22"/>
    <w:pPr>
      <w:spacing w:before="250" w:after="250" w:line="276" w:lineRule="auto"/>
      <w:jc w:val="both"/>
    </w:pPr>
    <w:rPr>
      <w:rFonts w:ascii="Arial" w:eastAsia="Calibri"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81996">
      <w:bodyDiv w:val="1"/>
      <w:marLeft w:val="0"/>
      <w:marRight w:val="0"/>
      <w:marTop w:val="0"/>
      <w:marBottom w:val="0"/>
      <w:divBdr>
        <w:top w:val="none" w:sz="0" w:space="0" w:color="auto"/>
        <w:left w:val="none" w:sz="0" w:space="0" w:color="auto"/>
        <w:bottom w:val="none" w:sz="0" w:space="0" w:color="auto"/>
        <w:right w:val="none" w:sz="0" w:space="0" w:color="auto"/>
      </w:divBdr>
    </w:div>
    <w:div w:id="743726740">
      <w:bodyDiv w:val="1"/>
      <w:marLeft w:val="0"/>
      <w:marRight w:val="0"/>
      <w:marTop w:val="0"/>
      <w:marBottom w:val="0"/>
      <w:divBdr>
        <w:top w:val="none" w:sz="0" w:space="0" w:color="auto"/>
        <w:left w:val="none" w:sz="0" w:space="0" w:color="auto"/>
        <w:bottom w:val="none" w:sz="0" w:space="0" w:color="auto"/>
        <w:right w:val="none" w:sz="0" w:space="0" w:color="auto"/>
      </w:divBdr>
    </w:div>
    <w:div w:id="867641044">
      <w:bodyDiv w:val="1"/>
      <w:marLeft w:val="0"/>
      <w:marRight w:val="0"/>
      <w:marTop w:val="0"/>
      <w:marBottom w:val="0"/>
      <w:divBdr>
        <w:top w:val="none" w:sz="0" w:space="0" w:color="auto"/>
        <w:left w:val="none" w:sz="0" w:space="0" w:color="auto"/>
        <w:bottom w:val="none" w:sz="0" w:space="0" w:color="auto"/>
        <w:right w:val="none" w:sz="0" w:space="0" w:color="auto"/>
      </w:divBdr>
    </w:div>
    <w:div w:id="920875339">
      <w:bodyDiv w:val="1"/>
      <w:marLeft w:val="0"/>
      <w:marRight w:val="0"/>
      <w:marTop w:val="0"/>
      <w:marBottom w:val="0"/>
      <w:divBdr>
        <w:top w:val="none" w:sz="0" w:space="0" w:color="auto"/>
        <w:left w:val="none" w:sz="0" w:space="0" w:color="auto"/>
        <w:bottom w:val="none" w:sz="0" w:space="0" w:color="auto"/>
        <w:right w:val="none" w:sz="0" w:space="0" w:color="auto"/>
      </w:divBdr>
    </w:div>
    <w:div w:id="1107850228">
      <w:bodyDiv w:val="1"/>
      <w:marLeft w:val="0"/>
      <w:marRight w:val="0"/>
      <w:marTop w:val="0"/>
      <w:marBottom w:val="0"/>
      <w:divBdr>
        <w:top w:val="none" w:sz="0" w:space="0" w:color="auto"/>
        <w:left w:val="none" w:sz="0" w:space="0" w:color="auto"/>
        <w:bottom w:val="none" w:sz="0" w:space="0" w:color="auto"/>
        <w:right w:val="none" w:sz="0" w:space="0" w:color="auto"/>
      </w:divBdr>
    </w:div>
    <w:div w:id="1205018765">
      <w:bodyDiv w:val="1"/>
      <w:marLeft w:val="0"/>
      <w:marRight w:val="0"/>
      <w:marTop w:val="0"/>
      <w:marBottom w:val="0"/>
      <w:divBdr>
        <w:top w:val="none" w:sz="0" w:space="0" w:color="auto"/>
        <w:left w:val="none" w:sz="0" w:space="0" w:color="auto"/>
        <w:bottom w:val="none" w:sz="0" w:space="0" w:color="auto"/>
        <w:right w:val="none" w:sz="0" w:space="0" w:color="auto"/>
      </w:divBdr>
    </w:div>
    <w:div w:id="140367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esma.europa.eu"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sma.europa.e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dirty="0"/>
              <a:t>EEX Italian</a:t>
            </a:r>
            <a:r>
              <a:rPr lang="en-US" b="1" baseline="0" dirty="0"/>
              <a:t> power market</a:t>
            </a:r>
            <a:endParaRPr lang="en-US" b="1"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160018220862889E-2"/>
          <c:y val="5.0925925925925923E-2"/>
          <c:w val="0.93287640181340969"/>
          <c:h val="0.76983486439195103"/>
        </c:manualLayout>
      </c:layout>
      <c:areaChart>
        <c:grouping val="stacked"/>
        <c:varyColors val="0"/>
        <c:ser>
          <c:idx val="0"/>
          <c:order val="0"/>
          <c:tx>
            <c:strRef>
              <c:f>'Data adjustment'!$B$26</c:f>
              <c:strCache>
                <c:ptCount val="1"/>
                <c:pt idx="0">
                  <c:v>Share EEX Screen</c:v>
                </c:pt>
              </c:strCache>
            </c:strRef>
          </c:tx>
          <c:spPr>
            <a:solidFill>
              <a:srgbClr val="FF6400"/>
            </a:solidFill>
            <a:ln>
              <a:noFill/>
            </a:ln>
            <a:effectLst/>
          </c:spPr>
          <c:cat>
            <c:numRef>
              <c:f>'Data adjustment'!$C$1:$BG$1</c:f>
              <c:numCache>
                <c:formatCode>[$-407]mmm/\ yy;@</c:formatCode>
                <c:ptCount val="57"/>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numCache>
            </c:numRef>
          </c:cat>
          <c:val>
            <c:numRef>
              <c:f>'Data adjustment'!$C$26:$BG$26</c:f>
              <c:numCache>
                <c:formatCode>0%</c:formatCode>
                <c:ptCount val="57"/>
                <c:pt idx="0">
                  <c:v>0</c:v>
                </c:pt>
                <c:pt idx="1">
                  <c:v>0</c:v>
                </c:pt>
                <c:pt idx="2">
                  <c:v>0</c:v>
                </c:pt>
                <c:pt idx="3">
                  <c:v>2.2867296510204062E-2</c:v>
                </c:pt>
                <c:pt idx="4">
                  <c:v>1.5226304638503359E-2</c:v>
                </c:pt>
                <c:pt idx="5">
                  <c:v>3.0147180117090947E-2</c:v>
                </c:pt>
                <c:pt idx="6">
                  <c:v>2.2122758134790744E-2</c:v>
                </c:pt>
                <c:pt idx="7">
                  <c:v>3.4876109356865664E-2</c:v>
                </c:pt>
                <c:pt idx="8">
                  <c:v>5.7723755386538726E-2</c:v>
                </c:pt>
                <c:pt idx="9">
                  <c:v>4.9456173467379891E-2</c:v>
                </c:pt>
                <c:pt idx="10">
                  <c:v>3.6449857108409832E-2</c:v>
                </c:pt>
                <c:pt idx="11">
                  <c:v>3.0935379476720971E-2</c:v>
                </c:pt>
                <c:pt idx="12">
                  <c:v>4.3394762422654332E-2</c:v>
                </c:pt>
                <c:pt idx="13">
                  <c:v>7.6139660206407708E-2</c:v>
                </c:pt>
                <c:pt idx="14">
                  <c:v>9.4550793486230966E-2</c:v>
                </c:pt>
                <c:pt idx="15">
                  <c:v>6.0117149778445171E-2</c:v>
                </c:pt>
                <c:pt idx="16">
                  <c:v>7.955840273914401E-2</c:v>
                </c:pt>
                <c:pt idx="17">
                  <c:v>8.5584446598652011E-2</c:v>
                </c:pt>
                <c:pt idx="18">
                  <c:v>8.683275703916099E-2</c:v>
                </c:pt>
                <c:pt idx="19">
                  <c:v>0.1269902172834162</c:v>
                </c:pt>
                <c:pt idx="20">
                  <c:v>0.12558382615506661</c:v>
                </c:pt>
                <c:pt idx="21">
                  <c:v>0.12614745932921825</c:v>
                </c:pt>
                <c:pt idx="22">
                  <c:v>0.14096339984794784</c:v>
                </c:pt>
                <c:pt idx="23">
                  <c:v>0.12884098993746354</c:v>
                </c:pt>
                <c:pt idx="24">
                  <c:v>0.17857589946691502</c:v>
                </c:pt>
                <c:pt idx="25">
                  <c:v>0.15333133403808652</c:v>
                </c:pt>
                <c:pt idx="26">
                  <c:v>0.12715707856265901</c:v>
                </c:pt>
                <c:pt idx="27">
                  <c:v>0.17310259177165968</c:v>
                </c:pt>
                <c:pt idx="28">
                  <c:v>0.16754248262674121</c:v>
                </c:pt>
                <c:pt idx="29">
                  <c:v>0.16104423469941961</c:v>
                </c:pt>
                <c:pt idx="30">
                  <c:v>0.13471413094267182</c:v>
                </c:pt>
                <c:pt idx="31">
                  <c:v>0.18073044704528454</c:v>
                </c:pt>
                <c:pt idx="32">
                  <c:v>0.19124831311309723</c:v>
                </c:pt>
                <c:pt idx="33">
                  <c:v>0.19112780346626265</c:v>
                </c:pt>
                <c:pt idx="34">
                  <c:v>0.14952146347809109</c:v>
                </c:pt>
                <c:pt idx="35">
                  <c:v>0.15779717583437936</c:v>
                </c:pt>
                <c:pt idx="36">
                  <c:v>0.12486374333791178</c:v>
                </c:pt>
                <c:pt idx="37">
                  <c:v>0.10652015274760897</c:v>
                </c:pt>
                <c:pt idx="38">
                  <c:v>0.17051499540295298</c:v>
                </c:pt>
                <c:pt idx="39">
                  <c:v>0.18097850551981823</c:v>
                </c:pt>
                <c:pt idx="40">
                  <c:v>0.18779989686876752</c:v>
                </c:pt>
                <c:pt idx="41">
                  <c:v>0.14026214286918584</c:v>
                </c:pt>
                <c:pt idx="42">
                  <c:v>0.12437378516959155</c:v>
                </c:pt>
                <c:pt idx="43">
                  <c:v>0.13865637726230853</c:v>
                </c:pt>
                <c:pt idx="44">
                  <c:v>0.20016484146917446</c:v>
                </c:pt>
                <c:pt idx="45">
                  <c:v>0.20065088413913884</c:v>
                </c:pt>
                <c:pt idx="46">
                  <c:v>0.21425049070410448</c:v>
                </c:pt>
                <c:pt idx="47">
                  <c:v>0.16778813236636586</c:v>
                </c:pt>
                <c:pt idx="48">
                  <c:v>0.17131525537557493</c:v>
                </c:pt>
                <c:pt idx="49">
                  <c:v>0.15193214313055572</c:v>
                </c:pt>
                <c:pt idx="50">
                  <c:v>0.19211426048099817</c:v>
                </c:pt>
                <c:pt idx="51">
                  <c:v>0.13473508904975426</c:v>
                </c:pt>
                <c:pt idx="52">
                  <c:v>0.17810375544292656</c:v>
                </c:pt>
                <c:pt idx="53">
                  <c:v>0.13339919906403502</c:v>
                </c:pt>
                <c:pt idx="54">
                  <c:v>0.15510178217472115</c:v>
                </c:pt>
                <c:pt idx="55">
                  <c:v>0.20552765540808762</c:v>
                </c:pt>
                <c:pt idx="56">
                  <c:v>0.17246011998039512</c:v>
                </c:pt>
              </c:numCache>
            </c:numRef>
          </c:val>
          <c:extLst>
            <c:ext xmlns:c16="http://schemas.microsoft.com/office/drawing/2014/chart" uri="{C3380CC4-5D6E-409C-BE32-E72D297353CC}">
              <c16:uniqueId val="{00000000-CE5A-4653-BE66-9989D124CB16}"/>
            </c:ext>
          </c:extLst>
        </c:ser>
        <c:ser>
          <c:idx val="1"/>
          <c:order val="1"/>
          <c:tx>
            <c:strRef>
              <c:f>'Data adjustment'!$B$28</c:f>
              <c:strCache>
                <c:ptCount val="1"/>
                <c:pt idx="0">
                  <c:v>Share EEX TR</c:v>
                </c:pt>
              </c:strCache>
            </c:strRef>
          </c:tx>
          <c:spPr>
            <a:solidFill>
              <a:srgbClr val="C00000"/>
            </a:solidFill>
            <a:ln w="25400">
              <a:noFill/>
            </a:ln>
            <a:effectLst/>
          </c:spPr>
          <c:cat>
            <c:numRef>
              <c:f>'Data adjustment'!$C$1:$BG$1</c:f>
              <c:numCache>
                <c:formatCode>[$-407]mmm/\ yy;@</c:formatCode>
                <c:ptCount val="57"/>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numCache>
            </c:numRef>
          </c:cat>
          <c:val>
            <c:numRef>
              <c:f>'Data adjustment'!$C$28:$BG$28</c:f>
              <c:numCache>
                <c:formatCode>0%</c:formatCode>
                <c:ptCount val="57"/>
                <c:pt idx="0">
                  <c:v>1.3580296319074829E-2</c:v>
                </c:pt>
                <c:pt idx="1">
                  <c:v>3.7551916670648826E-2</c:v>
                </c:pt>
                <c:pt idx="2">
                  <c:v>7.8953510220890727E-2</c:v>
                </c:pt>
                <c:pt idx="3">
                  <c:v>9.4155818251957582E-2</c:v>
                </c:pt>
                <c:pt idx="4">
                  <c:v>0.1289317180241922</c:v>
                </c:pt>
                <c:pt idx="5">
                  <c:v>0.17098832838065231</c:v>
                </c:pt>
                <c:pt idx="6">
                  <c:v>0.17707762015513787</c:v>
                </c:pt>
                <c:pt idx="7">
                  <c:v>0.1414526639677533</c:v>
                </c:pt>
                <c:pt idx="8">
                  <c:v>0.15655405109426651</c:v>
                </c:pt>
                <c:pt idx="9">
                  <c:v>0.1165110794616097</c:v>
                </c:pt>
                <c:pt idx="10">
                  <c:v>0.15360584024575646</c:v>
                </c:pt>
                <c:pt idx="11">
                  <c:v>0.20506348612994416</c:v>
                </c:pt>
                <c:pt idx="12">
                  <c:v>0.35343272942914661</c:v>
                </c:pt>
                <c:pt idx="13">
                  <c:v>0.36381243082891762</c:v>
                </c:pt>
                <c:pt idx="14">
                  <c:v>0.36075674956072573</c:v>
                </c:pt>
                <c:pt idx="15">
                  <c:v>0.41640234513538998</c:v>
                </c:pt>
                <c:pt idx="16">
                  <c:v>0.41013126707441278</c:v>
                </c:pt>
                <c:pt idx="17">
                  <c:v>0.3924709703667395</c:v>
                </c:pt>
                <c:pt idx="18">
                  <c:v>0.42916856128714165</c:v>
                </c:pt>
                <c:pt idx="19">
                  <c:v>0.27080052713431446</c:v>
                </c:pt>
                <c:pt idx="20">
                  <c:v>0.35453143934591813</c:v>
                </c:pt>
                <c:pt idx="21">
                  <c:v>0.45235720614823482</c:v>
                </c:pt>
                <c:pt idx="22">
                  <c:v>0.39402994100370164</c:v>
                </c:pt>
                <c:pt idx="23">
                  <c:v>0.40668474650704584</c:v>
                </c:pt>
                <c:pt idx="24">
                  <c:v>0.38976493667921308</c:v>
                </c:pt>
                <c:pt idx="25">
                  <c:v>0.44887464028404223</c:v>
                </c:pt>
                <c:pt idx="26">
                  <c:v>0.47257287284672744</c:v>
                </c:pt>
                <c:pt idx="27">
                  <c:v>0.51897873840574371</c:v>
                </c:pt>
                <c:pt idx="28">
                  <c:v>0.48390619383337208</c:v>
                </c:pt>
                <c:pt idx="29">
                  <c:v>0.47017247929025091</c:v>
                </c:pt>
                <c:pt idx="30">
                  <c:v>0.44541035078547742</c:v>
                </c:pt>
                <c:pt idx="31">
                  <c:v>0.47346640161025483</c:v>
                </c:pt>
                <c:pt idx="32">
                  <c:v>0.46311697265495366</c:v>
                </c:pt>
                <c:pt idx="33">
                  <c:v>0.44363240441564772</c:v>
                </c:pt>
                <c:pt idx="34">
                  <c:v>0.47606342288141013</c:v>
                </c:pt>
                <c:pt idx="35">
                  <c:v>0.47948882062623172</c:v>
                </c:pt>
                <c:pt idx="36">
                  <c:v>0.51495134017319943</c:v>
                </c:pt>
                <c:pt idx="37">
                  <c:v>0.48208844955794139</c:v>
                </c:pt>
                <c:pt idx="38">
                  <c:v>0.52651068168609372</c:v>
                </c:pt>
                <c:pt idx="39">
                  <c:v>0.51085584190062094</c:v>
                </c:pt>
                <c:pt idx="40">
                  <c:v>0.53209394915474928</c:v>
                </c:pt>
                <c:pt idx="41">
                  <c:v>0.60136792975204756</c:v>
                </c:pt>
                <c:pt idx="42">
                  <c:v>0.6403430659670204</c:v>
                </c:pt>
                <c:pt idx="43">
                  <c:v>0.61429304502141391</c:v>
                </c:pt>
                <c:pt idx="44">
                  <c:v>0.58476010919431476</c:v>
                </c:pt>
                <c:pt idx="45">
                  <c:v>0.58910312995885106</c:v>
                </c:pt>
                <c:pt idx="46">
                  <c:v>0.60627538337087372</c:v>
                </c:pt>
                <c:pt idx="47">
                  <c:v>0.64106095988038458</c:v>
                </c:pt>
                <c:pt idx="48">
                  <c:v>0.64410374744185872</c:v>
                </c:pt>
                <c:pt idx="49">
                  <c:v>0.71840275096922723</c:v>
                </c:pt>
                <c:pt idx="50">
                  <c:v>0.64540382689964748</c:v>
                </c:pt>
                <c:pt idx="51">
                  <c:v>0.72110361882515461</c:v>
                </c:pt>
                <c:pt idx="52">
                  <c:v>0.62058674758104415</c:v>
                </c:pt>
                <c:pt idx="53">
                  <c:v>0.65852037132321484</c:v>
                </c:pt>
                <c:pt idx="54">
                  <c:v>0.70306124013873916</c:v>
                </c:pt>
                <c:pt idx="55">
                  <c:v>0.66773796133785623</c:v>
                </c:pt>
                <c:pt idx="56">
                  <c:v>0.66046844289782214</c:v>
                </c:pt>
              </c:numCache>
            </c:numRef>
          </c:val>
          <c:extLst>
            <c:ext xmlns:c16="http://schemas.microsoft.com/office/drawing/2014/chart" uri="{C3380CC4-5D6E-409C-BE32-E72D297353CC}">
              <c16:uniqueId val="{00000001-CE5A-4653-BE66-9989D124CB16}"/>
            </c:ext>
          </c:extLst>
        </c:ser>
        <c:dLbls>
          <c:showLegendKey val="0"/>
          <c:showVal val="0"/>
          <c:showCatName val="0"/>
          <c:showSerName val="0"/>
          <c:showPercent val="0"/>
          <c:showBubbleSize val="0"/>
        </c:dLbls>
        <c:axId val="631741448"/>
        <c:axId val="631741056"/>
      </c:areaChart>
      <c:dateAx>
        <c:axId val="631741448"/>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741056"/>
        <c:crosses val="autoZero"/>
        <c:auto val="1"/>
        <c:lblOffset val="100"/>
        <c:baseTimeUnit val="months"/>
      </c:dateAx>
      <c:valAx>
        <c:axId val="631741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741448"/>
        <c:crosses val="autoZero"/>
        <c:crossBetween val="midCat"/>
      </c:valAx>
      <c:spPr>
        <a:noFill/>
        <a:ln>
          <a:noFill/>
        </a:ln>
        <a:effectLst/>
      </c:spPr>
    </c:plotArea>
    <c:legend>
      <c:legendPos val="r"/>
      <c:layout>
        <c:manualLayout>
          <c:xMode val="edge"/>
          <c:yMode val="edge"/>
          <c:x val="6.3385935229170728E-2"/>
          <c:y val="0.19965223097112861"/>
          <c:w val="0.14598045595540227"/>
          <c:h val="0.15625109361329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42CDA3EBE7494587163B8E118BA823" ma:contentTypeVersion="1" ma:contentTypeDescription="Create a new document." ma:contentTypeScope="" ma:versionID="572906fb181fd679aa1ad5591eac5bcc">
  <xsd:schema xmlns:xsd="http://www.w3.org/2001/XMLSchema" xmlns:xs="http://www.w3.org/2001/XMLSchema" xmlns:p="http://schemas.microsoft.com/office/2006/metadata/properties" xmlns:ns2="df456490-b339-48a6-b6e8-b5a0ccf2834f" targetNamespace="http://schemas.microsoft.com/office/2006/metadata/properties" ma:root="true" ma:fieldsID="bb32fadb0bd12becd5f08432b8afd9c2" ns2:_="">
    <xsd:import namespace="df456490-b339-48a6-b6e8-b5a0ccf2834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456490-b339-48a6-b6e8-b5a0ccf283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1ZTIxNjY1Mi03Y2IxLTQyZDMtYTIyZi1mYjVjN2YzNDhkYjUiIG9yaWdpbj0iZGVmYXVsdFZhbHVlIj48ZWxlbWVudCB1aWQ9ImlkX2NsYXNzaWZpY2F0aW9uX2ludGVybmFsb25seSIgdmFsdWU9IiIgeG1sbnM9Imh0dHA6Ly93d3cuYm9sZG9uamFtZXMuY29tLzIwMDgvMDEvc2llL2ludGVybmFsL2xhYmVsIiAvPjwvc2lzbD48VXNlck5hbWU+T0FBRFx2YTMzNDwvVXNlck5hbWU+PERhdGVUaW1lPjE2LjAzLjIwMjAgMTg6MDk6MTA8L0RhdGVUaW1lPjxMYWJlbFN0cmluZz5JbnRlcm5hbDwvTGFiZWxTdHJpbmc+PC9pdGVtPjwvbGFiZWxIaXN0b3J5Pg==</Value>
</WrappedLabelHistory>
</file>

<file path=customXml/item5.xml><?xml version="1.0" encoding="utf-8"?>
<sisl xmlns:xsi="http://www.w3.org/2001/XMLSchema-instance" xmlns:xsd="http://www.w3.org/2001/XMLSchema" xmlns="http://www.boldonjames.com/2008/01/sie/internal/label" sislVersion="0" policy="5e216652-7cb1-42d3-a22f-fb5c7f348db5" origin="defaultValue">
  <element uid="id_classification_internalonly" value=""/>
</sisl>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C0708-B4E9-45B1-8F26-DCDC2242C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456490-b339-48a6-b6e8-b5a0ccf28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BF852C-1DF1-462B-B8AD-FE3912F470D6}">
  <ds:schemaRefs>
    <ds:schemaRef ds:uri="http://schemas.microsoft.com/sharepoint/v3/contenttype/forms"/>
  </ds:schemaRefs>
</ds:datastoreItem>
</file>

<file path=customXml/itemProps3.xml><?xml version="1.0" encoding="utf-8"?>
<ds:datastoreItem xmlns:ds="http://schemas.openxmlformats.org/officeDocument/2006/customXml" ds:itemID="{A591A718-8474-4B12-A60A-96A6F87B53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EA3F91-D2F4-407F-9D2A-AE8CDAAEC7A6}">
  <ds:schemaRefs>
    <ds:schemaRef ds:uri="http://www.w3.org/2001/XMLSchema"/>
    <ds:schemaRef ds:uri="http://www.boldonjames.com/2016/02/Classifier/internal/wrappedLabelHistory"/>
  </ds:schemaRefs>
</ds:datastoreItem>
</file>

<file path=customXml/itemProps5.xml><?xml version="1.0" encoding="utf-8"?>
<ds:datastoreItem xmlns:ds="http://schemas.openxmlformats.org/officeDocument/2006/customXml" ds:itemID="{F54CF7E8-7637-46E8-98A9-5F746A9BD8D7}">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600BC04C-BBEA-47D3-A765-51FEDFA7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6386</Words>
  <Characters>36403</Characters>
  <Application>Microsoft Office Word</Application>
  <DocSecurity>0</DocSecurity>
  <Lines>303</Lines>
  <Paragraphs>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Viktoria Hackenberg</dc:creator>
  <cp:keywords/>
  <dc:description/>
  <cp:lastModifiedBy>Ellen De Vocht</cp:lastModifiedBy>
  <cp:revision>3</cp:revision>
  <dcterms:created xsi:type="dcterms:W3CDTF">2020-06-12T15:51:00Z</dcterms:created>
  <dcterms:modified xsi:type="dcterms:W3CDTF">2020-06-12T15:53:00Z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be52c309-c7dc-4148-8d04-63156d73f65b</vt:lpwstr>
  </property>
  <property fmtid="{D5CDD505-2E9C-101B-9397-08002B2CF9AE}" pid="3" name="bjDocumentLabelXML">
    <vt:lpwstr>&lt;?xml version="1.0" encoding="us-ascii"?&gt;&lt;sisl xmlns:xsi="http://www.w3.org/2001/XMLSchema-instance" xmlns:xsd="http://www.w3.org/2001/XMLSchema" sislVersion="0" policy="5e216652-7cb1-42d3-a22f-fb5c7f348db5" origin="defaultValue" xmlns="http://www.boldonj</vt:lpwstr>
  </property>
  <property fmtid="{D5CDD505-2E9C-101B-9397-08002B2CF9AE}" pid="4" name="bjDocumentLabelXML-0">
    <vt:lpwstr>ames.com/2008/01/sie/internal/label"&gt;&lt;element uid="id_classification_internalonly" value="" /&gt;&lt;/sisl&gt;</vt:lpwstr>
  </property>
  <property fmtid="{D5CDD505-2E9C-101B-9397-08002B2CF9AE}" pid="5" name="bjDocumentSecurityLabel">
    <vt:lpwstr>Internal</vt:lpwstr>
  </property>
  <property fmtid="{D5CDD505-2E9C-101B-9397-08002B2CF9AE}" pid="6" name="DBG_Classification_ID">
    <vt:lpwstr>2</vt:lpwstr>
  </property>
  <property fmtid="{D5CDD505-2E9C-101B-9397-08002B2CF9AE}" pid="7" name="DBG_Classification_Name">
    <vt:lpwstr>Internal</vt:lpwstr>
  </property>
  <property fmtid="{D5CDD505-2E9C-101B-9397-08002B2CF9AE}" pid="8" name="bjSaver">
    <vt:lpwstr>LjYLDCXtUlFsWBadWSD71mX7WeRNhh+h</vt:lpwstr>
  </property>
  <property fmtid="{D5CDD505-2E9C-101B-9397-08002B2CF9AE}" pid="9" name="bjLabelHistoryID">
    <vt:lpwstr>{A7EA3F91-D2F4-407F-9D2A-AE8CDAAEC7A6}</vt:lpwstr>
  </property>
  <property fmtid="{D5CDD505-2E9C-101B-9397-08002B2CF9AE}" pid="10" name="ContentTypeId">
    <vt:lpwstr>0x0101009742CDA3EBE7494587163B8E118BA823</vt:lpwstr>
  </property>
</Properties>
</file>