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1D503E" w:rsidRPr="00013D66" w14:paraId="3855267F" w14:textId="77777777" w:rsidTr="00B80C0E">
        <w:trPr>
          <w:trHeight w:val="284"/>
        </w:trPr>
        <w:tc>
          <w:tcPr>
            <w:tcW w:w="9412" w:type="dxa"/>
          </w:tcPr>
          <w:p w14:paraId="386290AE" w14:textId="77777777" w:rsidR="001D503E" w:rsidRPr="00013D66" w:rsidRDefault="001D503E" w:rsidP="001D503E">
            <w:pPr>
              <w:tabs>
                <w:tab w:val="center" w:pos="4536"/>
                <w:tab w:val="right" w:pos="9072"/>
              </w:tabs>
              <w:spacing w:after="0" w:line="240" w:lineRule="auto"/>
              <w:rPr>
                <w:rFonts w:ascii="Arial" w:eastAsia="Times New Roman" w:hAnsi="Arial" w:cs="Arial"/>
                <w:lang w:val="en-GB" w:eastAsia="de-DE"/>
              </w:rPr>
            </w:pPr>
            <w:r w:rsidRPr="00013D66">
              <w:rPr>
                <w:rFonts w:ascii="Arial" w:eastAsia="Times New Roman" w:hAnsi="Arial" w:cs="Arial"/>
                <w:color w:val="FFFFFF"/>
                <w:lang w:val="en-GB" w:eastAsia="de-DE"/>
              </w:rPr>
              <w:ptab w:relativeTo="margin" w:alignment="center" w:leader="none"/>
            </w:r>
            <w:r w:rsidRPr="00013D66">
              <w:rPr>
                <w:rFonts w:ascii="Arial" w:eastAsia="Times New Roman" w:hAnsi="Arial" w:cs="Arial"/>
                <w:color w:val="FFFFFF"/>
                <w:lang w:val="en-GB" w:eastAsia="de-DE"/>
              </w:rPr>
              <w:ptab w:relativeTo="margin" w:alignment="right" w:leader="none"/>
            </w:r>
            <w:r w:rsidRPr="00013D66">
              <w:rPr>
                <w:rFonts w:ascii="Arial" w:eastAsia="Times New Roman" w:hAnsi="Arial" w:cs="Arial"/>
                <w:color w:val="FFFFFF"/>
                <w:lang w:val="en-GB" w:eastAsia="de-DE"/>
              </w:rPr>
              <w:t>10 March 2020</w:t>
            </w:r>
          </w:p>
        </w:tc>
      </w:tr>
    </w:tbl>
    <w:p w14:paraId="35B2B453" w14:textId="77777777" w:rsidR="001D503E" w:rsidRPr="00013D66" w:rsidRDefault="001D503E" w:rsidP="001D503E">
      <w:pPr>
        <w:spacing w:after="0" w:line="240" w:lineRule="auto"/>
        <w:rPr>
          <w:rFonts w:ascii="Arial" w:eastAsia="Times New Roman" w:hAnsi="Arial" w:cs="Arial"/>
          <w:vanish/>
          <w:sz w:val="20"/>
          <w:szCs w:val="24"/>
          <w:lang w:val="en-GB" w:eastAsia="de-DE"/>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1D503E" w:rsidRPr="00A7571B" w14:paraId="7E7E273D" w14:textId="77777777" w:rsidTr="00B80C0E">
        <w:trPr>
          <w:trHeight w:hRule="exact" w:val="1985"/>
        </w:trPr>
        <w:tc>
          <w:tcPr>
            <w:tcW w:w="9397" w:type="dxa"/>
            <w:vAlign w:val="bottom"/>
          </w:tcPr>
          <w:p w14:paraId="23BC93FE" w14:textId="77777777" w:rsidR="001D503E" w:rsidRPr="00013D66" w:rsidRDefault="001D503E" w:rsidP="001D503E">
            <w:pPr>
              <w:spacing w:after="0" w:line="400" w:lineRule="exact"/>
              <w:rPr>
                <w:rFonts w:ascii="Arial" w:eastAsia="Times New Roman" w:hAnsi="Arial" w:cs="Arial"/>
                <w:b/>
                <w:color w:val="2D4190"/>
                <w:sz w:val="40"/>
                <w:szCs w:val="24"/>
                <w:lang w:val="en-GB" w:eastAsia="de-DE"/>
              </w:rPr>
            </w:pPr>
            <w:r w:rsidRPr="00013D66">
              <w:rPr>
                <w:rFonts w:ascii="Arial" w:eastAsia="Times New Roman" w:hAnsi="Arial" w:cs="Arial"/>
                <w:b/>
                <w:color w:val="2D4190"/>
                <w:sz w:val="40"/>
                <w:szCs w:val="24"/>
                <w:lang w:val="en-GB" w:eastAsia="de-DE"/>
              </w:rPr>
              <w:t>Reply form for the Consultation Paper on MiFID II/ MiFIR review report on the transparency regime for non-equity and the trading obligations for derivatives</w:t>
            </w:r>
          </w:p>
          <w:p w14:paraId="148647D3" w14:textId="77777777" w:rsidR="001D503E" w:rsidRPr="00013D66" w:rsidRDefault="001D503E" w:rsidP="001D503E">
            <w:pPr>
              <w:spacing w:after="0" w:line="400" w:lineRule="exact"/>
              <w:rPr>
                <w:rFonts w:ascii="Arial" w:eastAsia="Times New Roman" w:hAnsi="Arial" w:cs="Arial"/>
                <w:b/>
                <w:color w:val="2D4190"/>
                <w:sz w:val="40"/>
                <w:szCs w:val="24"/>
                <w:lang w:val="en-GB" w:eastAsia="de-DE"/>
              </w:rPr>
            </w:pPr>
          </w:p>
        </w:tc>
      </w:tr>
      <w:tr w:rsidR="001D503E" w:rsidRPr="00A7571B" w14:paraId="4A1BA019" w14:textId="77777777" w:rsidTr="00B80C0E">
        <w:trPr>
          <w:trHeight w:hRule="exact" w:val="605"/>
        </w:trPr>
        <w:tc>
          <w:tcPr>
            <w:tcW w:w="9397" w:type="dxa"/>
            <w:tcMar>
              <w:top w:w="142" w:type="dxa"/>
            </w:tcMar>
          </w:tcPr>
          <w:p w14:paraId="48B45B33" w14:textId="77777777" w:rsidR="001D503E" w:rsidRPr="00013D66" w:rsidRDefault="001D503E" w:rsidP="001D503E">
            <w:pPr>
              <w:spacing w:after="0" w:line="240" w:lineRule="auto"/>
              <w:jc w:val="right"/>
              <w:rPr>
                <w:rFonts w:ascii="Arial" w:eastAsia="Times New Roman" w:hAnsi="Arial" w:cs="Arial"/>
                <w:color w:val="000000"/>
                <w:sz w:val="24"/>
                <w:szCs w:val="24"/>
                <w:lang w:val="en-GB" w:eastAsia="de-DE"/>
              </w:rPr>
            </w:pPr>
            <w:r w:rsidRPr="00013D66">
              <w:rPr>
                <w:rFonts w:ascii="Arial" w:eastAsia="Times New Roman" w:hAnsi="Arial" w:cs="Arial"/>
                <w:color w:val="000000"/>
                <w:sz w:val="24"/>
                <w:szCs w:val="24"/>
                <w:lang w:val="en-GB" w:eastAsia="de-DE"/>
              </w:rPr>
              <w:t xml:space="preserve"> </w:t>
            </w:r>
          </w:p>
        </w:tc>
      </w:tr>
    </w:tbl>
    <w:p w14:paraId="20D9C07E" w14:textId="77777777" w:rsidR="001D503E" w:rsidRPr="00013D66" w:rsidRDefault="001D503E" w:rsidP="001D503E">
      <w:pPr>
        <w:spacing w:after="250" w:line="300" w:lineRule="exact"/>
        <w:jc w:val="both"/>
        <w:rPr>
          <w:rFonts w:ascii="Arial" w:eastAsia="Times New Roman" w:hAnsi="Arial" w:cs="Arial"/>
          <w:b/>
          <w:sz w:val="24"/>
          <w:szCs w:val="24"/>
          <w:lang w:val="en-GB" w:eastAsia="de-DE"/>
        </w:rPr>
        <w:sectPr w:rsidR="001D503E" w:rsidRPr="00013D66" w:rsidSect="00B80C0E">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1D503E" w:rsidRPr="00013D66" w14:paraId="7428C120" w14:textId="77777777" w:rsidTr="00B80C0E">
        <w:trPr>
          <w:trHeight w:hRule="exact" w:val="964"/>
        </w:trPr>
        <w:tc>
          <w:tcPr>
            <w:tcW w:w="2325" w:type="dxa"/>
          </w:tcPr>
          <w:p w14:paraId="5CBA5A58" w14:textId="77777777" w:rsidR="001D503E" w:rsidRPr="00013D66" w:rsidRDefault="001D503E" w:rsidP="001D503E">
            <w:pPr>
              <w:spacing w:after="0" w:line="220" w:lineRule="exact"/>
              <w:rPr>
                <w:rFonts w:ascii="Arial" w:eastAsia="Times New Roman" w:hAnsi="Arial" w:cs="Arial"/>
                <w:sz w:val="17"/>
                <w:szCs w:val="24"/>
                <w:lang w:val="en-GB" w:eastAsia="de-DE"/>
              </w:rPr>
            </w:pPr>
            <w:r w:rsidRPr="00013D66">
              <w:rPr>
                <w:rFonts w:ascii="Arial" w:eastAsia="Times New Roman" w:hAnsi="Arial" w:cs="Arial"/>
                <w:sz w:val="17"/>
                <w:szCs w:val="24"/>
                <w:lang w:val="en-GB" w:eastAsia="de-DE"/>
              </w:rPr>
              <w:lastRenderedPageBreak/>
              <w:t>Date: 10 March 2020</w:t>
            </w:r>
          </w:p>
        </w:tc>
      </w:tr>
    </w:tbl>
    <w:p w14:paraId="5A85DCB0" w14:textId="77777777" w:rsidR="001D503E" w:rsidRPr="00013D66" w:rsidRDefault="001D503E" w:rsidP="001D503E">
      <w:pPr>
        <w:spacing w:after="250" w:line="300" w:lineRule="exact"/>
        <w:jc w:val="both"/>
        <w:rPr>
          <w:rFonts w:ascii="Arial" w:eastAsia="Times New Roman" w:hAnsi="Arial" w:cs="Arial"/>
          <w:b/>
          <w:sz w:val="24"/>
          <w:szCs w:val="24"/>
          <w:lang w:val="en-GB" w:eastAsia="de-DE"/>
        </w:rPr>
      </w:pPr>
      <w:bookmarkStart w:id="0" w:name="_Toc280628648"/>
      <w:r w:rsidRPr="00013D66">
        <w:rPr>
          <w:rFonts w:ascii="Arial" w:eastAsia="Times New Roman" w:hAnsi="Arial" w:cs="Arial"/>
          <w:b/>
          <w:sz w:val="24"/>
          <w:szCs w:val="24"/>
          <w:lang w:val="en-GB" w:eastAsia="de-DE"/>
        </w:rPr>
        <w:t xml:space="preserve">Responding to this paper </w:t>
      </w:r>
    </w:p>
    <w:p w14:paraId="5C7033B6" w14:textId="77777777" w:rsidR="001D503E" w:rsidRPr="00013D66" w:rsidRDefault="001D503E" w:rsidP="001D503E">
      <w:pPr>
        <w:spacing w:before="120" w:after="120" w:line="276"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The European Securities and Markets Authority (ESMA) invites responses to the specific questions listed in the Consultation Paper on the transparency regime for non-equity instruments and the trading obligations for derivatives MiFID II/ MiFIR review report published on the ESMA website.</w:t>
      </w:r>
    </w:p>
    <w:p w14:paraId="577CBCE9" w14:textId="77777777" w:rsidR="001D503E" w:rsidRPr="00013D66" w:rsidRDefault="001D503E" w:rsidP="001D503E">
      <w:pPr>
        <w:autoSpaceDE w:val="0"/>
        <w:autoSpaceDN w:val="0"/>
        <w:adjustRightInd w:val="0"/>
        <w:spacing w:before="120" w:after="120" w:line="276" w:lineRule="auto"/>
        <w:jc w:val="both"/>
        <w:rPr>
          <w:rFonts w:ascii="Arial" w:eastAsia="Times New Roman" w:hAnsi="Arial" w:cs="Arial"/>
          <w:b/>
          <w:bCs/>
          <w:i/>
          <w:sz w:val="20"/>
          <w:szCs w:val="24"/>
          <w:lang w:val="en-GB" w:eastAsia="de-DE"/>
        </w:rPr>
      </w:pPr>
    </w:p>
    <w:p w14:paraId="676810C8" w14:textId="77777777" w:rsidR="001D503E" w:rsidRPr="00013D66" w:rsidRDefault="001D503E" w:rsidP="001D503E">
      <w:pPr>
        <w:autoSpaceDE w:val="0"/>
        <w:autoSpaceDN w:val="0"/>
        <w:adjustRightInd w:val="0"/>
        <w:spacing w:before="120" w:after="120" w:line="276" w:lineRule="auto"/>
        <w:jc w:val="both"/>
        <w:rPr>
          <w:rFonts w:ascii="Arial" w:eastAsia="Times New Roman" w:hAnsi="Arial" w:cs="Arial"/>
          <w:b/>
          <w:bCs/>
          <w:i/>
          <w:sz w:val="20"/>
          <w:szCs w:val="24"/>
          <w:lang w:val="en-GB" w:eastAsia="de-DE"/>
        </w:rPr>
      </w:pPr>
      <w:r w:rsidRPr="00013D66">
        <w:rPr>
          <w:rFonts w:ascii="Arial" w:eastAsia="Times New Roman" w:hAnsi="Arial" w:cs="Arial"/>
          <w:b/>
          <w:bCs/>
          <w:i/>
          <w:sz w:val="20"/>
          <w:szCs w:val="24"/>
          <w:lang w:val="en-GB" w:eastAsia="de-DE"/>
        </w:rPr>
        <w:t>Instructions</w:t>
      </w:r>
    </w:p>
    <w:p w14:paraId="1E58B634" w14:textId="77777777" w:rsidR="001D503E" w:rsidRPr="00013D66" w:rsidRDefault="001D503E" w:rsidP="001D503E">
      <w:pPr>
        <w:spacing w:before="120" w:after="120" w:line="276"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Please note that, in order to facilitate the analysis of the large number of responses expected, you are requested to use this file to send your response to ESMA so as to allow us to process it properly. Therefore, ESMA will only be able to consider responses which follow the instructions described below:</w:t>
      </w:r>
    </w:p>
    <w:p w14:paraId="4C52B1CC" w14:textId="77777777" w:rsidR="001D503E" w:rsidRPr="00013D66" w:rsidRDefault="001D503E" w:rsidP="001D503E">
      <w:pPr>
        <w:numPr>
          <w:ilvl w:val="0"/>
          <w:numId w:val="1"/>
        </w:numPr>
        <w:spacing w:before="120" w:after="120" w:line="276"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use this form and send your responses in Word format (pdf documents will not be considered except for annexes);</w:t>
      </w:r>
    </w:p>
    <w:p w14:paraId="1B7BAED6" w14:textId="77777777" w:rsidR="001D503E" w:rsidRPr="00013D66" w:rsidRDefault="001D503E" w:rsidP="001D503E">
      <w:pPr>
        <w:numPr>
          <w:ilvl w:val="0"/>
          <w:numId w:val="1"/>
        </w:numPr>
        <w:spacing w:before="120" w:after="120" w:line="276"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do not remove the tags of type &lt;ESMA_QUESTION_CP_MIFID_NQT_1&gt; - i.e. the response to one question has to be framed by the 2 tags corresponding to the question; and</w:t>
      </w:r>
    </w:p>
    <w:p w14:paraId="72EF0568" w14:textId="77777777" w:rsidR="001D503E" w:rsidRPr="00013D66" w:rsidRDefault="001D503E" w:rsidP="001D503E">
      <w:pPr>
        <w:numPr>
          <w:ilvl w:val="0"/>
          <w:numId w:val="1"/>
        </w:numPr>
        <w:spacing w:before="120" w:after="120" w:line="276"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if you do not have a response to a question, do not delete it and leave the text “TYPE YOUR TEXT HERE” between the tags.</w:t>
      </w:r>
    </w:p>
    <w:p w14:paraId="56AF536D" w14:textId="77777777" w:rsidR="001D503E" w:rsidRPr="00013D66" w:rsidRDefault="001D503E" w:rsidP="001D503E">
      <w:pPr>
        <w:spacing w:before="120" w:after="120" w:line="276"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Responses are most helpful:</w:t>
      </w:r>
    </w:p>
    <w:p w14:paraId="1F206520" w14:textId="77777777" w:rsidR="001D503E" w:rsidRPr="00013D66" w:rsidRDefault="001D503E" w:rsidP="001D503E">
      <w:pPr>
        <w:numPr>
          <w:ilvl w:val="0"/>
          <w:numId w:val="2"/>
        </w:numPr>
        <w:spacing w:before="120" w:after="120" w:line="276"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if they respond to the question stated;</w:t>
      </w:r>
    </w:p>
    <w:p w14:paraId="38D43F03" w14:textId="77777777" w:rsidR="001D503E" w:rsidRPr="00013D66" w:rsidRDefault="001D503E" w:rsidP="001D503E">
      <w:pPr>
        <w:numPr>
          <w:ilvl w:val="0"/>
          <w:numId w:val="2"/>
        </w:numPr>
        <w:spacing w:before="120" w:after="120" w:line="276"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indicate the specific question to which the comment relates;</w:t>
      </w:r>
    </w:p>
    <w:p w14:paraId="41822D62" w14:textId="77777777" w:rsidR="001D503E" w:rsidRPr="00013D66" w:rsidRDefault="001D503E" w:rsidP="001D503E">
      <w:pPr>
        <w:numPr>
          <w:ilvl w:val="0"/>
          <w:numId w:val="2"/>
        </w:numPr>
        <w:spacing w:before="120" w:after="120" w:line="276"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contain a clear rationale; and</w:t>
      </w:r>
    </w:p>
    <w:p w14:paraId="3A13D388" w14:textId="77777777" w:rsidR="001D503E" w:rsidRPr="00013D66" w:rsidRDefault="001D503E" w:rsidP="001D503E">
      <w:pPr>
        <w:numPr>
          <w:ilvl w:val="0"/>
          <w:numId w:val="2"/>
        </w:numPr>
        <w:spacing w:before="120" w:after="120" w:line="276"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describe any alternatives ESMA should consider.</w:t>
      </w:r>
    </w:p>
    <w:p w14:paraId="25A6D476" w14:textId="77777777" w:rsidR="001D503E" w:rsidRPr="00013D66" w:rsidRDefault="001D503E" w:rsidP="001D503E">
      <w:pPr>
        <w:spacing w:before="120" w:after="120" w:line="276" w:lineRule="auto"/>
        <w:rPr>
          <w:rFonts w:ascii="Arial" w:eastAsia="Times New Roman" w:hAnsi="Arial" w:cs="Arial"/>
          <w:b/>
          <w:sz w:val="20"/>
          <w:szCs w:val="24"/>
          <w:lang w:val="en-GB" w:eastAsia="de-DE"/>
        </w:rPr>
      </w:pPr>
    </w:p>
    <w:p w14:paraId="0C31745C" w14:textId="77777777" w:rsidR="001D503E" w:rsidRPr="00013D66" w:rsidRDefault="001D503E" w:rsidP="001D503E">
      <w:pPr>
        <w:spacing w:before="120" w:after="120" w:line="276" w:lineRule="auto"/>
        <w:rPr>
          <w:rFonts w:ascii="Arial" w:eastAsia="Times New Roman" w:hAnsi="Arial" w:cs="Arial"/>
          <w:b/>
          <w:sz w:val="20"/>
          <w:szCs w:val="24"/>
          <w:lang w:val="en-GB" w:eastAsia="de-DE"/>
        </w:rPr>
      </w:pPr>
      <w:r w:rsidRPr="00013D66">
        <w:rPr>
          <w:rFonts w:ascii="Arial" w:eastAsia="Times New Roman" w:hAnsi="Arial" w:cs="Arial"/>
          <w:b/>
          <w:sz w:val="20"/>
          <w:szCs w:val="24"/>
          <w:lang w:val="en-GB" w:eastAsia="de-DE"/>
        </w:rPr>
        <w:t>Naming protocol</w:t>
      </w:r>
    </w:p>
    <w:p w14:paraId="60499774" w14:textId="77777777" w:rsidR="001D503E" w:rsidRPr="00013D66" w:rsidRDefault="001D503E" w:rsidP="001D503E">
      <w:pPr>
        <w:spacing w:before="120" w:after="120" w:line="276"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In order to facilitate the handling of stakeholders’ responses please save your document using the following format:</w:t>
      </w:r>
    </w:p>
    <w:p w14:paraId="02443987" w14:textId="77777777" w:rsidR="001D503E" w:rsidRPr="00013D66" w:rsidRDefault="001D503E" w:rsidP="001D503E">
      <w:pPr>
        <w:spacing w:before="120" w:after="120" w:line="276"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ESMA_CP_MIFID_NQT_NAMEOFCOMPANY_NAMEOFDOCUMENT.</w:t>
      </w:r>
    </w:p>
    <w:p w14:paraId="0E5F913D" w14:textId="77777777" w:rsidR="001D503E" w:rsidRPr="00013D66" w:rsidRDefault="001D503E" w:rsidP="001D503E">
      <w:pPr>
        <w:spacing w:before="120" w:after="120" w:line="276"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e.g. if the respondent were ESMA, the name of the reply form would be:</w:t>
      </w:r>
    </w:p>
    <w:p w14:paraId="0353968D" w14:textId="77777777" w:rsidR="001D503E" w:rsidRPr="00013D66" w:rsidRDefault="001D503E" w:rsidP="001D503E">
      <w:pPr>
        <w:spacing w:before="120" w:after="120" w:line="276"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ESMA_CP_MIFID_NQT_ESMA_REPLYFORM or </w:t>
      </w:r>
    </w:p>
    <w:p w14:paraId="38C34AFB" w14:textId="77777777" w:rsidR="001D503E" w:rsidRPr="00013D66" w:rsidRDefault="001D503E" w:rsidP="001D503E">
      <w:pPr>
        <w:spacing w:before="120" w:after="120" w:line="276"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ESMA_CP_MIFID_NQT_ANNEX1</w:t>
      </w:r>
    </w:p>
    <w:p w14:paraId="37205C06" w14:textId="77777777" w:rsidR="001D503E" w:rsidRPr="00013D66" w:rsidRDefault="001D503E" w:rsidP="001D503E">
      <w:pPr>
        <w:autoSpaceDE w:val="0"/>
        <w:autoSpaceDN w:val="0"/>
        <w:adjustRightInd w:val="0"/>
        <w:spacing w:before="120" w:after="120" w:line="276" w:lineRule="auto"/>
        <w:jc w:val="both"/>
        <w:rPr>
          <w:rFonts w:ascii="Arial" w:eastAsia="Times New Roman" w:hAnsi="Arial" w:cs="Arial"/>
          <w:b/>
          <w:bCs/>
          <w:i/>
          <w:color w:val="000000"/>
          <w:sz w:val="20"/>
          <w:szCs w:val="20"/>
          <w:lang w:val="en-GB" w:eastAsia="en-GB"/>
        </w:rPr>
      </w:pPr>
    </w:p>
    <w:p w14:paraId="6F771EAE" w14:textId="77777777" w:rsidR="001D503E" w:rsidRPr="00013D66" w:rsidRDefault="001D503E" w:rsidP="001D503E">
      <w:pPr>
        <w:autoSpaceDE w:val="0"/>
        <w:autoSpaceDN w:val="0"/>
        <w:adjustRightInd w:val="0"/>
        <w:spacing w:before="120" w:after="120" w:line="276" w:lineRule="auto"/>
        <w:jc w:val="both"/>
        <w:rPr>
          <w:rFonts w:ascii="Arial" w:eastAsia="Times New Roman" w:hAnsi="Arial" w:cs="Arial"/>
          <w:b/>
          <w:bCs/>
          <w:i/>
          <w:color w:val="000000"/>
          <w:sz w:val="20"/>
          <w:szCs w:val="20"/>
          <w:lang w:val="en-GB" w:eastAsia="en-GB"/>
        </w:rPr>
      </w:pPr>
      <w:r w:rsidRPr="00013D66">
        <w:rPr>
          <w:rFonts w:ascii="Arial" w:eastAsia="Times New Roman" w:hAnsi="Arial" w:cs="Arial"/>
          <w:b/>
          <w:bCs/>
          <w:i/>
          <w:color w:val="000000"/>
          <w:sz w:val="20"/>
          <w:szCs w:val="20"/>
          <w:lang w:val="en-GB" w:eastAsia="en-GB"/>
        </w:rPr>
        <w:t>Deadline</w:t>
      </w:r>
    </w:p>
    <w:p w14:paraId="47E0E482" w14:textId="77777777" w:rsidR="001D503E" w:rsidRPr="00013D66" w:rsidRDefault="001D503E" w:rsidP="001D503E">
      <w:pPr>
        <w:spacing w:before="120" w:after="120" w:line="276"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Responses must reach us by </w:t>
      </w:r>
      <w:r w:rsidRPr="00013D66">
        <w:rPr>
          <w:rFonts w:ascii="Arial" w:eastAsia="Times New Roman" w:hAnsi="Arial" w:cs="Arial"/>
          <w:b/>
          <w:sz w:val="20"/>
          <w:szCs w:val="24"/>
          <w:lang w:val="en-GB" w:eastAsia="de-DE"/>
        </w:rPr>
        <w:t>19 April 2020.</w:t>
      </w:r>
    </w:p>
    <w:p w14:paraId="19AB2D44" w14:textId="77777777" w:rsidR="001D503E" w:rsidRPr="00013D66" w:rsidRDefault="001D503E" w:rsidP="001D503E">
      <w:pPr>
        <w:autoSpaceDE w:val="0"/>
        <w:autoSpaceDN w:val="0"/>
        <w:adjustRightInd w:val="0"/>
        <w:spacing w:before="120" w:after="120" w:line="276" w:lineRule="auto"/>
        <w:jc w:val="both"/>
        <w:rPr>
          <w:rFonts w:ascii="Arial" w:eastAsia="Times New Roman" w:hAnsi="Arial" w:cs="Arial"/>
          <w:b/>
          <w:bCs/>
          <w:i/>
          <w:color w:val="000000"/>
          <w:sz w:val="20"/>
          <w:szCs w:val="20"/>
          <w:lang w:val="en-GB" w:eastAsia="en-GB"/>
        </w:rPr>
      </w:pPr>
      <w:bookmarkStart w:id="1" w:name="_Toc335141334"/>
      <w:r w:rsidRPr="00013D66">
        <w:rPr>
          <w:rFonts w:ascii="Arial" w:eastAsia="Times New Roman" w:hAnsi="Arial" w:cs="Arial"/>
          <w:sz w:val="20"/>
          <w:szCs w:val="24"/>
          <w:lang w:val="en-GB" w:eastAsia="de-DE"/>
        </w:rPr>
        <w:t xml:space="preserve">All contributions should be submitted online at </w:t>
      </w:r>
      <w:r w:rsidR="00A7571B">
        <w:fldChar w:fldCharType="begin"/>
      </w:r>
      <w:r w:rsidR="00A7571B" w:rsidRPr="00A7571B">
        <w:rPr>
          <w:lang w:val="en-US"/>
        </w:rPr>
        <w:instrText xml:space="preserve"> HYPERLINK "http://www.esma.europa.eu" </w:instrText>
      </w:r>
      <w:r w:rsidR="00A7571B">
        <w:fldChar w:fldCharType="separate"/>
      </w:r>
      <w:r w:rsidRPr="00013D66">
        <w:rPr>
          <w:rFonts w:ascii="Arial" w:eastAsia="Times New Roman" w:hAnsi="Arial" w:cs="Arial"/>
          <w:color w:val="0000FF"/>
          <w:sz w:val="20"/>
          <w:szCs w:val="24"/>
          <w:u w:val="single"/>
          <w:lang w:val="en-GB" w:eastAsia="de-DE"/>
        </w:rPr>
        <w:t>www.esma.europa.eu</w:t>
      </w:r>
      <w:r w:rsidR="00A7571B">
        <w:rPr>
          <w:rFonts w:ascii="Arial" w:eastAsia="Times New Roman" w:hAnsi="Arial" w:cs="Arial"/>
          <w:color w:val="0000FF"/>
          <w:sz w:val="20"/>
          <w:szCs w:val="24"/>
          <w:u w:val="single"/>
          <w:lang w:val="en-GB" w:eastAsia="de-DE"/>
        </w:rPr>
        <w:fldChar w:fldCharType="end"/>
      </w:r>
      <w:r w:rsidRPr="00013D66">
        <w:rPr>
          <w:rFonts w:ascii="Arial" w:eastAsia="Times New Roman" w:hAnsi="Arial" w:cs="Arial"/>
          <w:sz w:val="20"/>
          <w:szCs w:val="24"/>
          <w:lang w:val="en-GB" w:eastAsia="de-DE"/>
        </w:rPr>
        <w:t xml:space="preserve"> under the heading ‘Your input - Consultations’.</w:t>
      </w:r>
    </w:p>
    <w:p w14:paraId="56F43B9B" w14:textId="77777777" w:rsidR="001D503E" w:rsidRPr="00013D66" w:rsidRDefault="001D503E" w:rsidP="001D503E">
      <w:pPr>
        <w:autoSpaceDE w:val="0"/>
        <w:autoSpaceDN w:val="0"/>
        <w:adjustRightInd w:val="0"/>
        <w:spacing w:before="120" w:after="120" w:line="276" w:lineRule="auto"/>
        <w:jc w:val="both"/>
        <w:rPr>
          <w:rFonts w:ascii="Arial" w:eastAsia="Times New Roman" w:hAnsi="Arial" w:cs="Arial"/>
          <w:b/>
          <w:bCs/>
          <w:i/>
          <w:color w:val="000000"/>
          <w:sz w:val="20"/>
          <w:szCs w:val="20"/>
          <w:lang w:val="en-GB" w:eastAsia="en-GB"/>
        </w:rPr>
      </w:pPr>
    </w:p>
    <w:p w14:paraId="729F8219" w14:textId="77777777" w:rsidR="001D503E" w:rsidRPr="00013D66" w:rsidRDefault="001D503E" w:rsidP="001D503E">
      <w:pPr>
        <w:autoSpaceDE w:val="0"/>
        <w:autoSpaceDN w:val="0"/>
        <w:adjustRightInd w:val="0"/>
        <w:spacing w:before="120" w:after="120" w:line="276" w:lineRule="auto"/>
        <w:jc w:val="both"/>
        <w:rPr>
          <w:rFonts w:ascii="Arial" w:eastAsia="Times New Roman" w:hAnsi="Arial" w:cs="Arial"/>
          <w:b/>
          <w:bCs/>
          <w:i/>
          <w:color w:val="000000"/>
          <w:sz w:val="20"/>
          <w:szCs w:val="20"/>
          <w:lang w:val="en-GB" w:eastAsia="en-GB"/>
        </w:rPr>
      </w:pPr>
      <w:r w:rsidRPr="00013D66">
        <w:rPr>
          <w:rFonts w:ascii="Arial" w:eastAsia="Times New Roman" w:hAnsi="Arial" w:cs="Arial"/>
          <w:b/>
          <w:bCs/>
          <w:i/>
          <w:color w:val="000000"/>
          <w:sz w:val="20"/>
          <w:szCs w:val="20"/>
          <w:lang w:val="en-GB" w:eastAsia="en-GB"/>
        </w:rPr>
        <w:lastRenderedPageBreak/>
        <w:t>Publication of responses</w:t>
      </w:r>
      <w:bookmarkEnd w:id="1"/>
    </w:p>
    <w:p w14:paraId="6C4EDC49" w14:textId="77777777" w:rsidR="001D503E" w:rsidRPr="00013D66" w:rsidRDefault="001D503E" w:rsidP="001D503E">
      <w:pPr>
        <w:spacing w:before="120" w:after="120" w:line="276"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All contributions received will be published following the end of the consultation period, unless otherwise requested. </w:t>
      </w:r>
      <w:r w:rsidRPr="00013D66">
        <w:rPr>
          <w:rFonts w:ascii="Arial" w:eastAsia="Times New Roman" w:hAnsi="Arial" w:cs="Arial"/>
          <w:b/>
          <w:sz w:val="20"/>
          <w:szCs w:val="24"/>
          <w:lang w:val="en-GB" w:eastAsia="de-DE"/>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013D66">
        <w:rPr>
          <w:rFonts w:ascii="Arial" w:eastAsia="Times New Roman" w:hAnsi="Arial" w:cs="Arial"/>
          <w:sz w:val="20"/>
          <w:szCs w:val="24"/>
          <w:lang w:val="en-GB" w:eastAsia="de-DE"/>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2865C93E" w14:textId="77777777" w:rsidR="001D503E" w:rsidRPr="00013D66" w:rsidRDefault="001D503E" w:rsidP="001D503E">
      <w:pPr>
        <w:autoSpaceDE w:val="0"/>
        <w:autoSpaceDN w:val="0"/>
        <w:adjustRightInd w:val="0"/>
        <w:spacing w:before="120" w:after="120" w:line="276" w:lineRule="auto"/>
        <w:jc w:val="both"/>
        <w:rPr>
          <w:rFonts w:ascii="Arial" w:eastAsia="Times New Roman" w:hAnsi="Arial" w:cs="Arial"/>
          <w:b/>
          <w:bCs/>
          <w:i/>
          <w:color w:val="000000"/>
          <w:sz w:val="20"/>
          <w:szCs w:val="20"/>
          <w:lang w:val="en-GB" w:eastAsia="en-GB"/>
        </w:rPr>
      </w:pPr>
      <w:bookmarkStart w:id="2" w:name="_Toc335141335"/>
    </w:p>
    <w:p w14:paraId="63E61894" w14:textId="77777777" w:rsidR="001D503E" w:rsidRPr="00013D66" w:rsidRDefault="001D503E" w:rsidP="001D503E">
      <w:pPr>
        <w:autoSpaceDE w:val="0"/>
        <w:autoSpaceDN w:val="0"/>
        <w:adjustRightInd w:val="0"/>
        <w:spacing w:before="120" w:after="120" w:line="276" w:lineRule="auto"/>
        <w:jc w:val="both"/>
        <w:rPr>
          <w:rFonts w:ascii="Arial" w:eastAsia="Times New Roman" w:hAnsi="Arial" w:cs="Arial"/>
          <w:b/>
          <w:bCs/>
          <w:i/>
          <w:color w:val="000000"/>
          <w:sz w:val="20"/>
          <w:szCs w:val="20"/>
          <w:lang w:val="en-GB" w:eastAsia="en-GB"/>
        </w:rPr>
      </w:pPr>
      <w:r w:rsidRPr="00013D66">
        <w:rPr>
          <w:rFonts w:ascii="Arial" w:eastAsia="Times New Roman" w:hAnsi="Arial" w:cs="Arial"/>
          <w:b/>
          <w:bCs/>
          <w:i/>
          <w:color w:val="000000"/>
          <w:sz w:val="20"/>
          <w:szCs w:val="20"/>
          <w:lang w:val="en-GB" w:eastAsia="en-GB"/>
        </w:rPr>
        <w:t>Data protection</w:t>
      </w:r>
      <w:bookmarkEnd w:id="2"/>
    </w:p>
    <w:p w14:paraId="0D49C36E" w14:textId="77777777" w:rsidR="001D503E" w:rsidRPr="00013D66" w:rsidRDefault="001D503E" w:rsidP="001D503E">
      <w:pPr>
        <w:autoSpaceDE w:val="0"/>
        <w:autoSpaceDN w:val="0"/>
        <w:adjustRightInd w:val="0"/>
        <w:spacing w:before="120" w:after="120" w:line="276" w:lineRule="auto"/>
        <w:jc w:val="both"/>
        <w:rPr>
          <w:rFonts w:ascii="Arial" w:eastAsia="Times New Roman" w:hAnsi="Arial" w:cs="Arial"/>
          <w:sz w:val="20"/>
          <w:szCs w:val="20"/>
          <w:lang w:val="en-GB" w:eastAsia="de-DE"/>
        </w:rPr>
      </w:pPr>
      <w:r w:rsidRPr="00013D66">
        <w:rPr>
          <w:rFonts w:ascii="Arial" w:eastAsia="Times New Roman" w:hAnsi="Arial" w:cs="Arial"/>
          <w:sz w:val="20"/>
          <w:szCs w:val="20"/>
          <w:lang w:val="en-GB" w:eastAsia="de-DE"/>
        </w:rPr>
        <w:t xml:space="preserve">Information on data protection can be found at </w:t>
      </w:r>
      <w:r w:rsidR="00A7571B">
        <w:fldChar w:fldCharType="begin"/>
      </w:r>
      <w:r w:rsidR="00A7571B" w:rsidRPr="00A7571B">
        <w:rPr>
          <w:lang w:val="en-US"/>
        </w:rPr>
        <w:instrText xml:space="preserve"> HYPERLINK "http://www.esma.europa.eu" </w:instrText>
      </w:r>
      <w:r w:rsidR="00A7571B">
        <w:fldChar w:fldCharType="separate"/>
      </w:r>
      <w:r w:rsidRPr="00013D66">
        <w:rPr>
          <w:rFonts w:ascii="Arial" w:eastAsia="Times New Roman" w:hAnsi="Arial" w:cs="Arial"/>
          <w:color w:val="0000FF"/>
          <w:sz w:val="20"/>
          <w:szCs w:val="20"/>
          <w:u w:val="single"/>
          <w:lang w:val="en-GB" w:eastAsia="de-DE"/>
        </w:rPr>
        <w:t>www.esma.europa.eu</w:t>
      </w:r>
      <w:r w:rsidR="00A7571B">
        <w:rPr>
          <w:rFonts w:ascii="Arial" w:eastAsia="Times New Roman" w:hAnsi="Arial" w:cs="Arial"/>
          <w:color w:val="0000FF"/>
          <w:sz w:val="20"/>
          <w:szCs w:val="20"/>
          <w:u w:val="single"/>
          <w:lang w:val="en-GB" w:eastAsia="de-DE"/>
        </w:rPr>
        <w:fldChar w:fldCharType="end"/>
      </w:r>
      <w:r w:rsidRPr="00013D66">
        <w:rPr>
          <w:rFonts w:ascii="Arial" w:eastAsia="Times New Roman" w:hAnsi="Arial" w:cs="Arial"/>
          <w:sz w:val="20"/>
          <w:szCs w:val="20"/>
          <w:lang w:val="en-GB" w:eastAsia="de-DE"/>
        </w:rPr>
        <w:t xml:space="preserve"> under the </w:t>
      </w:r>
      <w:r w:rsidRPr="00013D66">
        <w:rPr>
          <w:rFonts w:ascii="Arial" w:eastAsia="Times New Roman" w:hAnsi="Arial" w:cs="Arial"/>
          <w:sz w:val="20"/>
          <w:lang w:val="en-GB" w:eastAsia="en-GB"/>
        </w:rPr>
        <w:t>headings ‘Legal notice’ and ‘Data protection’.</w:t>
      </w:r>
    </w:p>
    <w:p w14:paraId="61DB0862" w14:textId="77777777" w:rsidR="001D503E" w:rsidRPr="00013D66" w:rsidRDefault="001D503E" w:rsidP="001D503E">
      <w:pPr>
        <w:autoSpaceDE w:val="0"/>
        <w:autoSpaceDN w:val="0"/>
        <w:adjustRightInd w:val="0"/>
        <w:spacing w:before="120" w:after="120" w:line="276" w:lineRule="auto"/>
        <w:jc w:val="both"/>
        <w:rPr>
          <w:rFonts w:ascii="Arial" w:eastAsia="Times New Roman" w:hAnsi="Arial" w:cs="Arial"/>
          <w:sz w:val="20"/>
          <w:szCs w:val="20"/>
          <w:lang w:val="en-GB" w:eastAsia="de-DE"/>
        </w:rPr>
      </w:pPr>
    </w:p>
    <w:bookmarkEnd w:id="0"/>
    <w:p w14:paraId="2ADD8500" w14:textId="77777777" w:rsidR="001D503E" w:rsidRPr="00013D66" w:rsidRDefault="001D503E" w:rsidP="001D503E">
      <w:pPr>
        <w:spacing w:after="0" w:line="240" w:lineRule="auto"/>
        <w:rPr>
          <w:rFonts w:ascii="Arial" w:eastAsia="Times New Roman" w:hAnsi="Arial" w:cs="Arial"/>
          <w:b/>
          <w:bCs/>
          <w:kern w:val="32"/>
          <w:sz w:val="24"/>
          <w:szCs w:val="32"/>
          <w:lang w:val="en-GB" w:eastAsia="de-DE"/>
        </w:rPr>
      </w:pPr>
      <w:r w:rsidRPr="00013D66">
        <w:rPr>
          <w:rFonts w:ascii="Arial" w:eastAsia="Times New Roman" w:hAnsi="Arial" w:cs="Arial"/>
          <w:sz w:val="20"/>
          <w:szCs w:val="24"/>
          <w:lang w:val="en-GB" w:eastAsia="de-DE"/>
        </w:rPr>
        <w:br w:type="page"/>
      </w:r>
    </w:p>
    <w:p w14:paraId="0F440BF9" w14:textId="77777777" w:rsidR="001D503E" w:rsidRPr="00013D66" w:rsidRDefault="001D503E" w:rsidP="001D503E">
      <w:pPr>
        <w:keepNext/>
        <w:spacing w:before="240" w:after="60" w:line="240" w:lineRule="auto"/>
        <w:outlineLvl w:val="0"/>
        <w:rPr>
          <w:rFonts w:ascii="Arial" w:eastAsia="Times New Roman" w:hAnsi="Arial" w:cs="Arial"/>
          <w:b/>
          <w:bCs/>
          <w:kern w:val="32"/>
          <w:sz w:val="24"/>
          <w:szCs w:val="32"/>
          <w:lang w:val="en-GB" w:eastAsia="de-DE"/>
        </w:rPr>
      </w:pPr>
      <w:r w:rsidRPr="00013D66">
        <w:rPr>
          <w:rFonts w:ascii="Arial" w:eastAsia="Times New Roman" w:hAnsi="Arial" w:cs="Arial"/>
          <w:b/>
          <w:bCs/>
          <w:kern w:val="32"/>
          <w:sz w:val="24"/>
          <w:szCs w:val="32"/>
          <w:lang w:val="en-GB" w:eastAsia="de-D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1D503E" w:rsidRPr="00FA5816" w14:paraId="785DF642" w14:textId="77777777" w:rsidTr="00B80C0E">
        <w:tc>
          <w:tcPr>
            <w:tcW w:w="3929" w:type="dxa"/>
            <w:shd w:val="clear" w:color="auto" w:fill="auto"/>
          </w:tcPr>
          <w:p w14:paraId="408C010F" w14:textId="77777777" w:rsidR="001D503E" w:rsidRPr="00013D66" w:rsidRDefault="001D503E" w:rsidP="001D503E">
            <w:pPr>
              <w:spacing w:after="0" w:line="240" w:lineRule="auto"/>
              <w:rPr>
                <w:rFonts w:ascii="Arial" w:eastAsia="Times New Roman" w:hAnsi="Arial" w:cs="Arial"/>
                <w:szCs w:val="24"/>
                <w:lang w:val="en-GB" w:eastAsia="de-DE"/>
              </w:rPr>
            </w:pPr>
            <w:r w:rsidRPr="00013D66">
              <w:rPr>
                <w:rFonts w:ascii="Arial" w:eastAsia="Times New Roman" w:hAnsi="Arial" w:cs="Arial"/>
                <w:szCs w:val="24"/>
                <w:lang w:val="en-GB" w:eastAsia="de-DE"/>
              </w:rPr>
              <w:t>Name of the company / organisation</w:t>
            </w:r>
          </w:p>
        </w:tc>
        <w:sdt>
          <w:sdtPr>
            <w:rPr>
              <w:rFonts w:ascii="Arial" w:eastAsia="Times New Roman" w:hAnsi="Arial" w:cs="Arial"/>
              <w:color w:val="808080"/>
              <w:sz w:val="20"/>
              <w:szCs w:val="24"/>
              <w:lang w:val="en-GB" w:eastAsia="de-DE"/>
            </w:rPr>
            <w:id w:val="651570699"/>
            <w:text/>
          </w:sdtPr>
          <w:sdtEndPr/>
          <w:sdtContent>
            <w:tc>
              <w:tcPr>
                <w:tcW w:w="5595" w:type="dxa"/>
                <w:shd w:val="clear" w:color="auto" w:fill="auto"/>
              </w:tcPr>
              <w:p w14:paraId="56117FBA" w14:textId="32374644" w:rsidR="001D503E" w:rsidRPr="00013D66" w:rsidRDefault="00E1491A" w:rsidP="001D503E">
                <w:pPr>
                  <w:spacing w:after="0" w:line="240" w:lineRule="auto"/>
                  <w:rPr>
                    <w:rFonts w:ascii="Arial" w:eastAsia="Times New Roman" w:hAnsi="Arial" w:cs="Arial"/>
                    <w:color w:val="808080"/>
                    <w:sz w:val="20"/>
                    <w:szCs w:val="24"/>
                    <w:lang w:val="en-GB" w:eastAsia="de-DE"/>
                  </w:rPr>
                </w:pPr>
                <w:r>
                  <w:rPr>
                    <w:rFonts w:ascii="Arial" w:eastAsia="Times New Roman" w:hAnsi="Arial" w:cs="Arial"/>
                    <w:color w:val="808080"/>
                    <w:sz w:val="20"/>
                    <w:szCs w:val="24"/>
                    <w:lang w:val="en-GB" w:eastAsia="de-DE"/>
                  </w:rPr>
                  <w:t>Deutsche Börse Group (DBG)</w:t>
                </w:r>
              </w:p>
            </w:tc>
          </w:sdtContent>
        </w:sdt>
      </w:tr>
      <w:tr w:rsidR="001D503E" w:rsidRPr="00A7571B" w14:paraId="0C9A877B" w14:textId="77777777" w:rsidTr="00B80C0E">
        <w:tc>
          <w:tcPr>
            <w:tcW w:w="3929" w:type="dxa"/>
            <w:shd w:val="clear" w:color="auto" w:fill="auto"/>
          </w:tcPr>
          <w:p w14:paraId="47BD2D33" w14:textId="77777777" w:rsidR="001D503E" w:rsidRPr="00013D66" w:rsidRDefault="001D503E" w:rsidP="001D503E">
            <w:pPr>
              <w:spacing w:after="0" w:line="240" w:lineRule="auto"/>
              <w:rPr>
                <w:rFonts w:ascii="Arial" w:eastAsia="Times New Roman" w:hAnsi="Arial" w:cs="Arial"/>
                <w:szCs w:val="24"/>
                <w:lang w:val="en-GB" w:eastAsia="de-DE"/>
              </w:rPr>
            </w:pPr>
            <w:r w:rsidRPr="00013D66">
              <w:rPr>
                <w:rFonts w:ascii="Arial" w:eastAsia="Times New Roman" w:hAnsi="Arial" w:cs="Arial"/>
                <w:szCs w:val="24"/>
                <w:lang w:val="en-GB" w:eastAsia="de-DE"/>
              </w:rPr>
              <w:t>Activity</w:t>
            </w:r>
          </w:p>
        </w:tc>
        <w:tc>
          <w:tcPr>
            <w:tcW w:w="5595" w:type="dxa"/>
            <w:shd w:val="clear" w:color="auto" w:fill="auto"/>
          </w:tcPr>
          <w:p w14:paraId="3F7BD4AB" w14:textId="1817C94F" w:rsidR="001D503E" w:rsidRPr="00013D66" w:rsidRDefault="00A7571B" w:rsidP="001D503E">
            <w:pPr>
              <w:spacing w:after="0" w:line="240" w:lineRule="auto"/>
              <w:rPr>
                <w:rFonts w:ascii="Arial" w:eastAsia="Times New Roman" w:hAnsi="Arial" w:cs="Arial"/>
                <w:sz w:val="20"/>
                <w:szCs w:val="24"/>
                <w:lang w:val="en-GB" w:eastAsia="de-DE"/>
              </w:rPr>
            </w:pPr>
            <w:sdt>
              <w:sdtPr>
                <w:rPr>
                  <w:rFonts w:ascii="Arial" w:eastAsia="Times New Roman" w:hAnsi="Arial" w:cs="Arial"/>
                  <w:sz w:val="20"/>
                  <w:szCs w:val="24"/>
                  <w:lang w:val="en-GB" w:eastAsia="de-DE"/>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1491A">
                  <w:rPr>
                    <w:rFonts w:ascii="Arial" w:eastAsia="Times New Roman" w:hAnsi="Arial" w:cs="Arial"/>
                    <w:sz w:val="20"/>
                    <w:szCs w:val="24"/>
                    <w:lang w:val="en-GB" w:eastAsia="de-DE"/>
                  </w:rPr>
                  <w:t>Regulated markets/Exchanges/Trading Systems</w:t>
                </w:r>
              </w:sdtContent>
            </w:sdt>
          </w:p>
        </w:tc>
      </w:tr>
      <w:tr w:rsidR="001D503E" w:rsidRPr="00013D66" w14:paraId="4437AB28" w14:textId="77777777" w:rsidTr="00B80C0E">
        <w:tc>
          <w:tcPr>
            <w:tcW w:w="3929" w:type="dxa"/>
            <w:shd w:val="clear" w:color="auto" w:fill="auto"/>
          </w:tcPr>
          <w:p w14:paraId="1F4C279E" w14:textId="77777777" w:rsidR="001D503E" w:rsidRPr="00013D66" w:rsidRDefault="001D503E" w:rsidP="001D503E">
            <w:pPr>
              <w:spacing w:after="0" w:line="240" w:lineRule="auto"/>
              <w:rPr>
                <w:rFonts w:ascii="Arial" w:eastAsia="Times New Roman" w:hAnsi="Arial" w:cs="Arial"/>
                <w:szCs w:val="24"/>
                <w:lang w:val="en-GB" w:eastAsia="de-DE"/>
              </w:rPr>
            </w:pPr>
            <w:r w:rsidRPr="00013D66">
              <w:rPr>
                <w:rFonts w:ascii="Arial" w:eastAsia="Times New Roman" w:hAnsi="Arial" w:cs="Arial"/>
                <w:szCs w:val="24"/>
                <w:lang w:val="en-GB" w:eastAsia="de-DE"/>
              </w:rPr>
              <w:t>Are you representing an association?</w:t>
            </w:r>
          </w:p>
        </w:tc>
        <w:sdt>
          <w:sdtPr>
            <w:rPr>
              <w:rFonts w:ascii="Arial" w:eastAsia="Times New Roman" w:hAnsi="Arial" w:cs="Arial"/>
              <w:sz w:val="20"/>
              <w:szCs w:val="24"/>
              <w:lang w:val="en-GB" w:eastAsia="de-DE"/>
            </w:rPr>
            <w:id w:val="-226150188"/>
            <w14:checkbox>
              <w14:checked w14:val="0"/>
              <w14:checkedState w14:val="2612" w14:font="MS Gothic"/>
              <w14:uncheckedState w14:val="2610" w14:font="MS Gothic"/>
            </w14:checkbox>
          </w:sdtPr>
          <w:sdtEndPr/>
          <w:sdtContent>
            <w:tc>
              <w:tcPr>
                <w:tcW w:w="5595" w:type="dxa"/>
                <w:shd w:val="clear" w:color="auto" w:fill="auto"/>
              </w:tcPr>
              <w:p w14:paraId="47989923"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Segoe UI Symbol" w:eastAsia="Times New Roman" w:hAnsi="Segoe UI Symbol" w:cs="Segoe UI Symbol"/>
                    <w:sz w:val="20"/>
                    <w:szCs w:val="24"/>
                    <w:lang w:val="en-GB" w:eastAsia="de-DE"/>
                  </w:rPr>
                  <w:t>☐</w:t>
                </w:r>
              </w:p>
            </w:tc>
          </w:sdtContent>
        </w:sdt>
      </w:tr>
      <w:tr w:rsidR="001D503E" w:rsidRPr="00013D66" w14:paraId="755A88E2" w14:textId="77777777" w:rsidTr="00B80C0E">
        <w:tc>
          <w:tcPr>
            <w:tcW w:w="3929" w:type="dxa"/>
            <w:shd w:val="clear" w:color="auto" w:fill="auto"/>
          </w:tcPr>
          <w:p w14:paraId="26ADF666" w14:textId="77777777" w:rsidR="001D503E" w:rsidRPr="00013D66" w:rsidRDefault="001D503E" w:rsidP="001D503E">
            <w:pPr>
              <w:spacing w:after="0" w:line="240" w:lineRule="auto"/>
              <w:rPr>
                <w:rFonts w:ascii="Arial" w:eastAsia="Times New Roman" w:hAnsi="Arial" w:cs="Arial"/>
                <w:szCs w:val="24"/>
                <w:lang w:val="en-GB" w:eastAsia="de-DE"/>
              </w:rPr>
            </w:pPr>
            <w:r w:rsidRPr="00013D66">
              <w:rPr>
                <w:rFonts w:ascii="Arial" w:eastAsia="Times New Roman" w:hAnsi="Arial" w:cs="Arial"/>
                <w:szCs w:val="24"/>
                <w:lang w:val="en-GB" w:eastAsia="de-DE"/>
              </w:rPr>
              <w:t>Country/Region</w:t>
            </w:r>
          </w:p>
        </w:tc>
        <w:sdt>
          <w:sdtPr>
            <w:rPr>
              <w:rFonts w:ascii="Arial" w:eastAsia="Times New Roman" w:hAnsi="Arial" w:cs="Arial"/>
              <w:sz w:val="20"/>
              <w:szCs w:val="24"/>
              <w:lang w:val="en-GB" w:eastAsia="de-DE"/>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7AD26ADD" w14:textId="090DBFBB" w:rsidR="001D503E" w:rsidRPr="00013D66" w:rsidRDefault="00E1491A" w:rsidP="001D503E">
                <w:pPr>
                  <w:spacing w:after="0" w:line="240" w:lineRule="auto"/>
                  <w:rPr>
                    <w:rFonts w:ascii="Arial" w:eastAsia="Times New Roman" w:hAnsi="Arial" w:cs="Arial"/>
                    <w:sz w:val="20"/>
                    <w:szCs w:val="24"/>
                    <w:lang w:val="en-GB" w:eastAsia="de-DE"/>
                  </w:rPr>
                </w:pPr>
                <w:r>
                  <w:rPr>
                    <w:rFonts w:ascii="Arial" w:eastAsia="Times New Roman" w:hAnsi="Arial" w:cs="Arial"/>
                    <w:sz w:val="20"/>
                    <w:szCs w:val="24"/>
                    <w:lang w:val="en-GB" w:eastAsia="de-DE"/>
                  </w:rPr>
                  <w:t>Germany</w:t>
                </w:r>
              </w:p>
            </w:tc>
          </w:sdtContent>
        </w:sdt>
      </w:tr>
    </w:tbl>
    <w:p w14:paraId="2D4235D2" w14:textId="77777777" w:rsidR="001D503E" w:rsidRPr="00013D66" w:rsidRDefault="001D503E" w:rsidP="001D503E">
      <w:pPr>
        <w:spacing w:after="120" w:line="264" w:lineRule="auto"/>
        <w:rPr>
          <w:rFonts w:ascii="Arial" w:eastAsia="Times New Roman" w:hAnsi="Arial" w:cs="Arial"/>
          <w:sz w:val="20"/>
          <w:szCs w:val="24"/>
          <w:lang w:val="en-GB" w:eastAsia="de-DE"/>
        </w:rPr>
      </w:pPr>
    </w:p>
    <w:p w14:paraId="60178C88" w14:textId="77777777" w:rsidR="001D503E" w:rsidRPr="00013D66" w:rsidRDefault="001D503E" w:rsidP="001D503E">
      <w:pPr>
        <w:spacing w:after="120" w:line="264" w:lineRule="auto"/>
        <w:rPr>
          <w:rFonts w:ascii="Arial" w:eastAsia="Times New Roman" w:hAnsi="Arial" w:cs="Arial"/>
          <w:sz w:val="20"/>
          <w:szCs w:val="24"/>
          <w:lang w:val="en-GB" w:eastAsia="de-DE"/>
        </w:rPr>
      </w:pPr>
    </w:p>
    <w:p w14:paraId="0277360B" w14:textId="77777777" w:rsidR="001D503E" w:rsidRPr="00013D66" w:rsidRDefault="001D503E" w:rsidP="001D503E">
      <w:pPr>
        <w:keepNext/>
        <w:spacing w:before="240" w:after="60" w:line="240" w:lineRule="auto"/>
        <w:ind w:left="431" w:hanging="431"/>
        <w:outlineLvl w:val="0"/>
        <w:rPr>
          <w:rFonts w:ascii="Arial" w:eastAsia="Times New Roman" w:hAnsi="Arial" w:cs="Arial"/>
          <w:b/>
          <w:bCs/>
          <w:kern w:val="32"/>
          <w:sz w:val="24"/>
          <w:szCs w:val="32"/>
          <w:lang w:val="en-GB" w:eastAsia="de-DE"/>
        </w:rPr>
      </w:pPr>
      <w:r w:rsidRPr="00013D66">
        <w:rPr>
          <w:rFonts w:ascii="Arial" w:eastAsia="Times New Roman" w:hAnsi="Arial" w:cs="Arial"/>
          <w:b/>
          <w:bCs/>
          <w:kern w:val="32"/>
          <w:sz w:val="24"/>
          <w:szCs w:val="32"/>
          <w:lang w:val="en-GB" w:eastAsia="de-DE"/>
        </w:rPr>
        <w:t>Introduction</w:t>
      </w:r>
    </w:p>
    <w:p w14:paraId="32610868" w14:textId="77777777" w:rsidR="001D503E" w:rsidRPr="00013D66" w:rsidRDefault="001D503E" w:rsidP="001D503E">
      <w:pPr>
        <w:spacing w:after="0" w:line="240" w:lineRule="auto"/>
        <w:rPr>
          <w:rFonts w:ascii="Arial" w:eastAsia="Times New Roman" w:hAnsi="Arial" w:cs="Arial"/>
          <w:b/>
          <w:bCs/>
          <w:i/>
          <w:iCs/>
          <w:sz w:val="20"/>
          <w:szCs w:val="24"/>
          <w:lang w:val="en-GB" w:eastAsia="de-DE"/>
        </w:rPr>
      </w:pPr>
      <w:r w:rsidRPr="00013D66">
        <w:rPr>
          <w:rFonts w:ascii="Arial" w:eastAsia="Times New Roman" w:hAnsi="Arial" w:cs="Arial"/>
          <w:b/>
          <w:bCs/>
          <w:i/>
          <w:iCs/>
          <w:sz w:val="20"/>
          <w:szCs w:val="24"/>
          <w:lang w:val="en-GB" w:eastAsia="de-DE"/>
        </w:rPr>
        <w:t>Please make your introductory comments below, if any:</w:t>
      </w:r>
    </w:p>
    <w:p w14:paraId="4F8C5167"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551BC22B" w14:textId="799A0342" w:rsidR="001D503E" w:rsidRDefault="001D503E" w:rsidP="001D503E">
      <w:pPr>
        <w:spacing w:after="0" w:line="240" w:lineRule="auto"/>
        <w:rPr>
          <w:rFonts w:ascii="Arial" w:eastAsia="Times New Roman" w:hAnsi="Arial" w:cs="Arial"/>
          <w:sz w:val="20"/>
          <w:szCs w:val="24"/>
          <w:lang w:val="en-US" w:eastAsia="de-DE"/>
        </w:rPr>
      </w:pPr>
      <w:r w:rsidRPr="00D120CC">
        <w:rPr>
          <w:rFonts w:ascii="Arial" w:eastAsia="Times New Roman" w:hAnsi="Arial" w:cs="Arial"/>
          <w:sz w:val="20"/>
          <w:szCs w:val="24"/>
          <w:lang w:val="en-US" w:eastAsia="de-DE"/>
        </w:rPr>
        <w:t>&lt;ESMA_COMMENT_CP_MIFID_NQT_1&gt;</w:t>
      </w:r>
    </w:p>
    <w:p w14:paraId="247BE214" w14:textId="77777777" w:rsidR="00A7571B" w:rsidRPr="00D120CC" w:rsidRDefault="00A7571B" w:rsidP="001D503E">
      <w:pPr>
        <w:spacing w:after="0" w:line="240" w:lineRule="auto"/>
        <w:rPr>
          <w:rFonts w:ascii="Arial" w:eastAsia="Times New Roman" w:hAnsi="Arial" w:cs="Arial"/>
          <w:sz w:val="20"/>
          <w:szCs w:val="24"/>
          <w:lang w:val="en-US" w:eastAsia="de-DE"/>
        </w:rPr>
      </w:pPr>
      <w:bookmarkStart w:id="3" w:name="_GoBack"/>
      <w:bookmarkEnd w:id="3"/>
    </w:p>
    <w:p w14:paraId="17E40D2A" w14:textId="12C37E57" w:rsidR="008667F5" w:rsidRPr="00E1491A" w:rsidRDefault="00E1491A" w:rsidP="00AA02D7">
      <w:pPr>
        <w:spacing w:after="0" w:line="240" w:lineRule="auto"/>
        <w:jc w:val="both"/>
        <w:rPr>
          <w:rFonts w:ascii="Arial" w:eastAsia="Times New Roman" w:hAnsi="Arial" w:cs="Arial"/>
          <w:sz w:val="20"/>
          <w:szCs w:val="24"/>
          <w:lang w:val="en-US" w:eastAsia="de-DE"/>
        </w:rPr>
      </w:pPr>
      <w:r w:rsidRPr="00E1491A">
        <w:rPr>
          <w:rFonts w:ascii="Arial" w:eastAsia="Times New Roman" w:hAnsi="Arial" w:cs="Arial"/>
          <w:sz w:val="20"/>
          <w:szCs w:val="24"/>
          <w:lang w:val="en-US" w:eastAsia="de-DE"/>
        </w:rPr>
        <w:t>Deutsche Börse Group (DBG) appreciates th</w:t>
      </w:r>
      <w:r>
        <w:rPr>
          <w:rFonts w:ascii="Arial" w:eastAsia="Times New Roman" w:hAnsi="Arial" w:cs="Arial"/>
          <w:sz w:val="20"/>
          <w:szCs w:val="24"/>
          <w:lang w:val="en-US" w:eastAsia="de-DE"/>
        </w:rPr>
        <w:t xml:space="preserve">e opportunity to respond to ESMA’s consultation on its MiFID II/MiFIR review report on </w:t>
      </w:r>
      <w:r w:rsidRPr="00E1491A">
        <w:rPr>
          <w:rFonts w:ascii="Arial" w:eastAsia="Times New Roman" w:hAnsi="Arial" w:cs="Arial"/>
          <w:sz w:val="20"/>
          <w:szCs w:val="24"/>
          <w:lang w:val="en-US" w:eastAsia="de-DE"/>
        </w:rPr>
        <w:t>the transparency regime for non-equity and the trading obligations for derivatives</w:t>
      </w:r>
      <w:r>
        <w:rPr>
          <w:rFonts w:ascii="Arial" w:eastAsia="Times New Roman" w:hAnsi="Arial" w:cs="Arial"/>
          <w:sz w:val="20"/>
          <w:szCs w:val="24"/>
          <w:lang w:val="en-US" w:eastAsia="de-DE"/>
        </w:rPr>
        <w:t xml:space="preserve">. </w:t>
      </w:r>
      <w:r w:rsidRPr="00E1491A">
        <w:rPr>
          <w:rFonts w:ascii="Arial" w:eastAsia="Times New Roman" w:hAnsi="Arial" w:cs="Arial"/>
          <w:sz w:val="20"/>
          <w:szCs w:val="24"/>
          <w:lang w:val="en-US" w:eastAsia="de-DE"/>
        </w:rPr>
        <w:t xml:space="preserve">In general, </w:t>
      </w:r>
      <w:r>
        <w:rPr>
          <w:rFonts w:ascii="Arial" w:eastAsia="Times New Roman" w:hAnsi="Arial" w:cs="Arial"/>
          <w:sz w:val="20"/>
          <w:szCs w:val="24"/>
          <w:lang w:val="en-US" w:eastAsia="de-DE"/>
        </w:rPr>
        <w:t xml:space="preserve">we agree with ESMA’s conclusion that the objective of MiFID II/MiFIR to increase transparency has not yet fully materialized when looking at the market share of transactions being made off-venue or </w:t>
      </w:r>
      <w:r w:rsidR="00862AB9">
        <w:rPr>
          <w:rFonts w:ascii="Arial" w:eastAsia="Times New Roman" w:hAnsi="Arial" w:cs="Arial"/>
          <w:sz w:val="20"/>
          <w:szCs w:val="24"/>
          <w:lang w:val="en-US" w:eastAsia="de-DE"/>
        </w:rPr>
        <w:t>subject to a waiver or respectively deferred publication</w:t>
      </w:r>
      <w:r>
        <w:rPr>
          <w:rFonts w:ascii="Arial" w:eastAsia="Times New Roman" w:hAnsi="Arial" w:cs="Arial"/>
          <w:sz w:val="20"/>
          <w:szCs w:val="24"/>
          <w:lang w:val="en-US" w:eastAsia="de-DE"/>
        </w:rPr>
        <w:t xml:space="preserve">. </w:t>
      </w:r>
      <w:r w:rsidR="00803969">
        <w:rPr>
          <w:rFonts w:ascii="Arial" w:eastAsia="Times New Roman" w:hAnsi="Arial" w:cs="Arial"/>
          <w:sz w:val="20"/>
          <w:szCs w:val="24"/>
          <w:lang w:val="en-US" w:eastAsia="de-DE"/>
        </w:rPr>
        <w:t>Furthermore, i</w:t>
      </w:r>
      <w:r w:rsidR="00D120CC">
        <w:rPr>
          <w:rFonts w:ascii="Arial" w:eastAsia="Times New Roman" w:hAnsi="Arial" w:cs="Arial"/>
          <w:sz w:val="20"/>
          <w:szCs w:val="24"/>
          <w:lang w:val="en-US" w:eastAsia="de-DE"/>
        </w:rPr>
        <w:t>n certain asset classes, particularly bonds</w:t>
      </w:r>
      <w:r w:rsidR="00D208EA">
        <w:rPr>
          <w:rFonts w:ascii="Arial" w:eastAsia="Times New Roman" w:hAnsi="Arial" w:cs="Arial"/>
          <w:sz w:val="20"/>
          <w:szCs w:val="24"/>
          <w:lang w:val="en-US" w:eastAsia="de-DE"/>
        </w:rPr>
        <w:t xml:space="preserve"> and commodity derivatives</w:t>
      </w:r>
      <w:r w:rsidR="00D120CC">
        <w:rPr>
          <w:rFonts w:ascii="Arial" w:eastAsia="Times New Roman" w:hAnsi="Arial" w:cs="Arial"/>
          <w:sz w:val="20"/>
          <w:szCs w:val="24"/>
          <w:lang w:val="en-US" w:eastAsia="de-DE"/>
        </w:rPr>
        <w:t>,</w:t>
      </w:r>
      <w:r w:rsidR="00862AB9">
        <w:rPr>
          <w:rFonts w:ascii="Arial" w:eastAsia="Times New Roman" w:hAnsi="Arial" w:cs="Arial"/>
          <w:sz w:val="20"/>
          <w:szCs w:val="24"/>
          <w:lang w:val="en-GB" w:eastAsia="de-DE"/>
        </w:rPr>
        <w:t xml:space="preserve"> t</w:t>
      </w:r>
      <w:r w:rsidR="00862AB9" w:rsidRPr="0051116D">
        <w:rPr>
          <w:rFonts w:ascii="Arial" w:eastAsia="Times New Roman" w:hAnsi="Arial" w:cs="Arial"/>
          <w:sz w:val="20"/>
          <w:szCs w:val="24"/>
          <w:lang w:val="en-GB" w:eastAsia="de-DE"/>
        </w:rPr>
        <w:t xml:space="preserve">he overall pre- and post-trade transparency regime is </w:t>
      </w:r>
      <w:r w:rsidR="00862AB9">
        <w:rPr>
          <w:rFonts w:ascii="Arial" w:eastAsia="Times New Roman" w:hAnsi="Arial" w:cs="Arial"/>
          <w:sz w:val="20"/>
          <w:szCs w:val="24"/>
          <w:lang w:val="en-GB" w:eastAsia="de-DE"/>
        </w:rPr>
        <w:t xml:space="preserve">currently </w:t>
      </w:r>
      <w:r w:rsidR="00862AB9" w:rsidRPr="0051116D">
        <w:rPr>
          <w:rFonts w:ascii="Arial" w:eastAsia="Times New Roman" w:hAnsi="Arial" w:cs="Arial"/>
          <w:sz w:val="20"/>
          <w:szCs w:val="24"/>
          <w:lang w:val="en-GB" w:eastAsia="de-DE"/>
        </w:rPr>
        <w:t xml:space="preserve">not effective as </w:t>
      </w:r>
      <w:r w:rsidR="00862AB9">
        <w:rPr>
          <w:rFonts w:ascii="Arial" w:eastAsia="Times New Roman" w:hAnsi="Arial" w:cs="Arial"/>
          <w:sz w:val="20"/>
          <w:szCs w:val="24"/>
          <w:lang w:val="en-GB" w:eastAsia="de-DE"/>
        </w:rPr>
        <w:t xml:space="preserve">the qualification of </w:t>
      </w:r>
      <w:r w:rsidR="00862AB9" w:rsidRPr="0051116D">
        <w:rPr>
          <w:rFonts w:ascii="Arial" w:eastAsia="Times New Roman" w:hAnsi="Arial" w:cs="Arial"/>
          <w:sz w:val="20"/>
          <w:szCs w:val="24"/>
          <w:lang w:val="en-GB" w:eastAsia="de-DE"/>
        </w:rPr>
        <w:t xml:space="preserve">too many </w:t>
      </w:r>
      <w:r w:rsidR="00AA02D7">
        <w:rPr>
          <w:rFonts w:ascii="Arial" w:eastAsia="Times New Roman" w:hAnsi="Arial" w:cs="Arial"/>
          <w:sz w:val="20"/>
          <w:szCs w:val="24"/>
          <w:lang w:val="en-GB" w:eastAsia="de-DE"/>
        </w:rPr>
        <w:t>instruments</w:t>
      </w:r>
      <w:r w:rsidR="00862AB9" w:rsidRPr="0051116D">
        <w:rPr>
          <w:rFonts w:ascii="Arial" w:eastAsia="Times New Roman" w:hAnsi="Arial" w:cs="Arial"/>
          <w:sz w:val="20"/>
          <w:szCs w:val="24"/>
          <w:lang w:val="en-GB" w:eastAsia="de-DE"/>
        </w:rPr>
        <w:t xml:space="preserve"> as liquid or illiquid</w:t>
      </w:r>
      <w:r w:rsidR="00862AB9">
        <w:rPr>
          <w:rFonts w:ascii="Arial" w:eastAsia="Times New Roman" w:hAnsi="Arial" w:cs="Arial"/>
          <w:sz w:val="20"/>
          <w:szCs w:val="24"/>
          <w:lang w:val="en-GB" w:eastAsia="de-DE"/>
        </w:rPr>
        <w:t xml:space="preserve"> is false</w:t>
      </w:r>
      <w:r w:rsidR="00862AB9" w:rsidRPr="0051116D">
        <w:rPr>
          <w:rFonts w:ascii="Arial" w:eastAsia="Times New Roman" w:hAnsi="Arial" w:cs="Arial"/>
          <w:sz w:val="20"/>
          <w:szCs w:val="24"/>
          <w:lang w:val="en-GB" w:eastAsia="de-DE"/>
        </w:rPr>
        <w:t xml:space="preserve">. </w:t>
      </w:r>
      <w:r w:rsidR="00862AB9">
        <w:rPr>
          <w:rFonts w:ascii="Arial" w:eastAsia="Times New Roman" w:hAnsi="Arial" w:cs="Arial"/>
          <w:sz w:val="20"/>
          <w:szCs w:val="24"/>
          <w:lang w:val="en-US" w:eastAsia="de-DE"/>
        </w:rPr>
        <w:t xml:space="preserve">Thus, </w:t>
      </w:r>
      <w:r w:rsidRPr="00E1491A">
        <w:rPr>
          <w:rFonts w:ascii="Arial" w:eastAsia="Times New Roman" w:hAnsi="Arial" w:cs="Arial"/>
          <w:sz w:val="20"/>
          <w:szCs w:val="24"/>
          <w:lang w:val="en-US" w:eastAsia="de-DE"/>
        </w:rPr>
        <w:t xml:space="preserve">DBG welcomes ESMA’s proposals to make the transparency regime for </w:t>
      </w:r>
      <w:r>
        <w:rPr>
          <w:rFonts w:ascii="Arial" w:eastAsia="Times New Roman" w:hAnsi="Arial" w:cs="Arial"/>
          <w:sz w:val="20"/>
          <w:szCs w:val="24"/>
          <w:lang w:val="en-US" w:eastAsia="de-DE"/>
        </w:rPr>
        <w:t>non-equities</w:t>
      </w:r>
      <w:r w:rsidRPr="00E1491A">
        <w:rPr>
          <w:rFonts w:ascii="Arial" w:eastAsia="Times New Roman" w:hAnsi="Arial" w:cs="Arial"/>
          <w:sz w:val="20"/>
          <w:szCs w:val="24"/>
          <w:lang w:val="en-US" w:eastAsia="de-DE"/>
        </w:rPr>
        <w:t xml:space="preserve"> more efficient</w:t>
      </w:r>
      <w:r>
        <w:rPr>
          <w:rFonts w:ascii="Arial" w:eastAsia="Times New Roman" w:hAnsi="Arial" w:cs="Arial"/>
          <w:sz w:val="20"/>
          <w:szCs w:val="24"/>
          <w:lang w:val="en-US" w:eastAsia="de-DE"/>
        </w:rPr>
        <w:t>. However, any</w:t>
      </w:r>
      <w:r w:rsidRPr="00E1491A">
        <w:rPr>
          <w:rFonts w:ascii="Arial" w:eastAsia="Times New Roman" w:hAnsi="Arial" w:cs="Arial"/>
          <w:sz w:val="20"/>
          <w:szCs w:val="24"/>
          <w:lang w:val="en-US" w:eastAsia="de-DE"/>
        </w:rPr>
        <w:t xml:space="preserve"> changes to </w:t>
      </w:r>
      <w:r>
        <w:rPr>
          <w:rFonts w:ascii="Arial" w:eastAsia="Times New Roman" w:hAnsi="Arial" w:cs="Arial"/>
          <w:sz w:val="20"/>
          <w:szCs w:val="24"/>
          <w:lang w:val="en-US" w:eastAsia="de-DE"/>
        </w:rPr>
        <w:t>pre- and post-trade</w:t>
      </w:r>
      <w:r w:rsidRPr="00E1491A">
        <w:rPr>
          <w:rFonts w:ascii="Arial" w:eastAsia="Times New Roman" w:hAnsi="Arial" w:cs="Arial"/>
          <w:sz w:val="20"/>
          <w:szCs w:val="24"/>
          <w:lang w:val="en-US" w:eastAsia="de-DE"/>
        </w:rPr>
        <w:t xml:space="preserve"> requirements should cater for a level playing field </w:t>
      </w:r>
      <w:r>
        <w:rPr>
          <w:rFonts w:ascii="Arial" w:eastAsia="Times New Roman" w:hAnsi="Arial" w:cs="Arial"/>
          <w:sz w:val="20"/>
          <w:szCs w:val="24"/>
          <w:lang w:val="en-US" w:eastAsia="de-DE"/>
        </w:rPr>
        <w:t>regarding the</w:t>
      </w:r>
      <w:r w:rsidRPr="00E1491A">
        <w:rPr>
          <w:rFonts w:ascii="Arial" w:eastAsia="Times New Roman" w:hAnsi="Arial" w:cs="Arial"/>
          <w:sz w:val="20"/>
          <w:szCs w:val="24"/>
          <w:lang w:val="en-US" w:eastAsia="de-DE"/>
        </w:rPr>
        <w:t xml:space="preserve"> transparency provided by </w:t>
      </w:r>
      <w:r>
        <w:rPr>
          <w:rFonts w:ascii="Arial" w:eastAsia="Times New Roman" w:hAnsi="Arial" w:cs="Arial"/>
          <w:sz w:val="20"/>
          <w:szCs w:val="24"/>
          <w:lang w:val="en-US" w:eastAsia="de-DE"/>
        </w:rPr>
        <w:t xml:space="preserve">bilateral compared to </w:t>
      </w:r>
      <w:r w:rsidRPr="00E1491A">
        <w:rPr>
          <w:rFonts w:ascii="Arial" w:eastAsia="Times New Roman" w:hAnsi="Arial" w:cs="Arial"/>
          <w:sz w:val="20"/>
          <w:szCs w:val="24"/>
          <w:lang w:val="en-US" w:eastAsia="de-DE"/>
        </w:rPr>
        <w:t>multilateral venues.</w:t>
      </w:r>
    </w:p>
    <w:p w14:paraId="19474C7C" w14:textId="77777777" w:rsidR="008667F5" w:rsidRPr="00E1491A" w:rsidRDefault="008667F5" w:rsidP="008667F5">
      <w:pPr>
        <w:spacing w:after="0" w:line="240" w:lineRule="auto"/>
        <w:rPr>
          <w:rFonts w:ascii="Arial" w:eastAsia="Times New Roman" w:hAnsi="Arial" w:cs="Arial"/>
          <w:sz w:val="20"/>
          <w:szCs w:val="24"/>
          <w:lang w:val="en-US" w:eastAsia="de-DE"/>
        </w:rPr>
      </w:pPr>
    </w:p>
    <w:p w14:paraId="2F92FAB3" w14:textId="1BE3828F" w:rsidR="0051116D" w:rsidRDefault="00862AB9" w:rsidP="00AA02D7">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In this context, w</w:t>
      </w:r>
      <w:r w:rsidR="0051116D" w:rsidRPr="0051116D">
        <w:rPr>
          <w:rFonts w:ascii="Arial" w:eastAsia="Times New Roman" w:hAnsi="Arial" w:cs="Arial"/>
          <w:sz w:val="20"/>
          <w:szCs w:val="24"/>
          <w:lang w:val="en-GB" w:eastAsia="de-DE"/>
        </w:rPr>
        <w:t xml:space="preserve">e would like to express our support for several of ESMA’s proposals: </w:t>
      </w:r>
    </w:p>
    <w:p w14:paraId="29992E21" w14:textId="77777777" w:rsidR="005710E2" w:rsidRPr="0051116D" w:rsidRDefault="005710E2" w:rsidP="00AA02D7">
      <w:pPr>
        <w:spacing w:after="0" w:line="240" w:lineRule="auto"/>
        <w:jc w:val="both"/>
        <w:rPr>
          <w:rFonts w:ascii="Arial" w:eastAsia="Times New Roman" w:hAnsi="Arial" w:cs="Arial"/>
          <w:sz w:val="20"/>
          <w:szCs w:val="24"/>
          <w:lang w:val="en-GB" w:eastAsia="de-DE"/>
        </w:rPr>
      </w:pPr>
      <w:bookmarkStart w:id="4" w:name="_Hlk36220840"/>
    </w:p>
    <w:p w14:paraId="45D5D52C" w14:textId="72A32635" w:rsidR="00AC5C73" w:rsidRPr="00AC5C73" w:rsidRDefault="00AC5C73" w:rsidP="00AA02D7">
      <w:pPr>
        <w:spacing w:after="0" w:line="240" w:lineRule="auto"/>
        <w:jc w:val="both"/>
        <w:rPr>
          <w:rFonts w:ascii="Arial" w:eastAsia="Times New Roman" w:hAnsi="Arial" w:cs="Arial"/>
          <w:b/>
          <w:bCs/>
          <w:sz w:val="20"/>
          <w:szCs w:val="24"/>
          <w:u w:val="single"/>
          <w:lang w:val="en-GB" w:eastAsia="de-DE"/>
        </w:rPr>
      </w:pPr>
      <w:r w:rsidRPr="00AC5C73">
        <w:rPr>
          <w:rFonts w:ascii="Arial" w:eastAsia="Times New Roman" w:hAnsi="Arial" w:cs="Arial"/>
          <w:b/>
          <w:bCs/>
          <w:sz w:val="20"/>
          <w:szCs w:val="24"/>
          <w:u w:val="single"/>
          <w:lang w:val="en-GB" w:eastAsia="de-DE"/>
        </w:rPr>
        <w:t>Adaption of the waiver regime:</w:t>
      </w:r>
    </w:p>
    <w:p w14:paraId="133097E4" w14:textId="40C6B1CA" w:rsidR="00D30ECC" w:rsidRDefault="0051116D" w:rsidP="00AA02D7">
      <w:pPr>
        <w:spacing w:after="0" w:line="240" w:lineRule="auto"/>
        <w:jc w:val="both"/>
        <w:rPr>
          <w:rFonts w:ascii="Arial" w:eastAsia="Times New Roman" w:hAnsi="Arial" w:cs="Arial"/>
          <w:sz w:val="20"/>
          <w:szCs w:val="24"/>
          <w:lang w:val="en-GB" w:eastAsia="de-DE"/>
        </w:rPr>
      </w:pPr>
      <w:r w:rsidRPr="0051116D">
        <w:rPr>
          <w:rFonts w:ascii="Arial" w:eastAsia="Times New Roman" w:hAnsi="Arial" w:cs="Arial"/>
          <w:sz w:val="20"/>
          <w:szCs w:val="24"/>
          <w:lang w:val="en-GB" w:eastAsia="de-DE"/>
        </w:rPr>
        <w:t xml:space="preserve">Generally, </w:t>
      </w:r>
      <w:r w:rsidR="002904FE">
        <w:rPr>
          <w:rFonts w:ascii="Arial" w:eastAsia="Times New Roman" w:hAnsi="Arial" w:cs="Arial"/>
          <w:sz w:val="20"/>
          <w:szCs w:val="24"/>
          <w:lang w:val="en-GB" w:eastAsia="de-DE"/>
        </w:rPr>
        <w:t xml:space="preserve">we agree with ESMA that </w:t>
      </w:r>
      <w:r w:rsidRPr="0051116D">
        <w:rPr>
          <w:rFonts w:ascii="Arial" w:eastAsia="Times New Roman" w:hAnsi="Arial" w:cs="Arial"/>
          <w:sz w:val="20"/>
          <w:szCs w:val="24"/>
          <w:lang w:val="en-GB" w:eastAsia="de-DE"/>
        </w:rPr>
        <w:t>a reasonable step to support the simplification of the pre-</w:t>
      </w:r>
      <w:r w:rsidR="005D03C1">
        <w:rPr>
          <w:rFonts w:ascii="Arial" w:eastAsia="Times New Roman" w:hAnsi="Arial" w:cs="Arial"/>
          <w:sz w:val="20"/>
          <w:szCs w:val="24"/>
          <w:lang w:val="en-GB" w:eastAsia="de-DE"/>
        </w:rPr>
        <w:t xml:space="preserve"> and post-</w:t>
      </w:r>
      <w:r w:rsidRPr="0051116D">
        <w:rPr>
          <w:rFonts w:ascii="Arial" w:eastAsia="Times New Roman" w:hAnsi="Arial" w:cs="Arial"/>
          <w:sz w:val="20"/>
          <w:szCs w:val="24"/>
          <w:lang w:val="en-GB" w:eastAsia="de-DE"/>
        </w:rPr>
        <w:t>trade transparency regime</w:t>
      </w:r>
      <w:r w:rsidR="005D03C1">
        <w:rPr>
          <w:rFonts w:ascii="Arial" w:eastAsia="Times New Roman" w:hAnsi="Arial" w:cs="Arial"/>
          <w:sz w:val="20"/>
          <w:szCs w:val="24"/>
          <w:lang w:val="en-GB" w:eastAsia="de-DE"/>
        </w:rPr>
        <w:t>s</w:t>
      </w:r>
      <w:r w:rsidRPr="0051116D">
        <w:rPr>
          <w:rFonts w:ascii="Arial" w:eastAsia="Times New Roman" w:hAnsi="Arial" w:cs="Arial"/>
          <w:sz w:val="20"/>
          <w:szCs w:val="24"/>
          <w:lang w:val="en-GB" w:eastAsia="de-DE"/>
        </w:rPr>
        <w:t xml:space="preserve"> is removing the SSTI waiver. </w:t>
      </w:r>
      <w:r w:rsidR="005F6C90" w:rsidRPr="0051116D">
        <w:rPr>
          <w:rFonts w:ascii="Arial" w:eastAsia="Times New Roman" w:hAnsi="Arial" w:cs="Arial"/>
          <w:sz w:val="20"/>
          <w:szCs w:val="24"/>
          <w:lang w:val="en-GB" w:eastAsia="de-DE"/>
        </w:rPr>
        <w:t>This should be accompanied by removing the SSTI-concept also for the SI-quoting obligation and replacing it by a reference to</w:t>
      </w:r>
      <w:r w:rsidR="005F6C90">
        <w:rPr>
          <w:rFonts w:ascii="Arial" w:eastAsia="Times New Roman" w:hAnsi="Arial" w:cs="Arial"/>
          <w:sz w:val="20"/>
          <w:szCs w:val="24"/>
          <w:lang w:val="en-GB" w:eastAsia="de-DE"/>
        </w:rPr>
        <w:t xml:space="preserve"> (a high percentage of)</w:t>
      </w:r>
      <w:r w:rsidR="005F6C90" w:rsidRPr="0051116D">
        <w:rPr>
          <w:rFonts w:ascii="Arial" w:eastAsia="Times New Roman" w:hAnsi="Arial" w:cs="Arial"/>
          <w:sz w:val="20"/>
          <w:szCs w:val="24"/>
          <w:lang w:val="en-GB" w:eastAsia="de-DE"/>
        </w:rPr>
        <w:t xml:space="preserve"> the LIS threshold.</w:t>
      </w:r>
    </w:p>
    <w:p w14:paraId="15AF3AA2" w14:textId="77777777" w:rsidR="00D30ECC" w:rsidRDefault="00D30ECC" w:rsidP="00AA02D7">
      <w:pPr>
        <w:spacing w:after="0" w:line="240" w:lineRule="auto"/>
        <w:jc w:val="both"/>
        <w:rPr>
          <w:rFonts w:ascii="Arial" w:eastAsia="Times New Roman" w:hAnsi="Arial" w:cs="Arial"/>
          <w:sz w:val="20"/>
          <w:szCs w:val="24"/>
          <w:lang w:val="en-GB" w:eastAsia="de-DE"/>
        </w:rPr>
      </w:pPr>
    </w:p>
    <w:p w14:paraId="5FA25A67" w14:textId="34A0E18C" w:rsidR="00DB48D6" w:rsidRDefault="005F6C90" w:rsidP="00AA02D7">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However,</w:t>
      </w:r>
      <w:r w:rsidR="00DB48D6">
        <w:rPr>
          <w:rFonts w:ascii="Arial" w:eastAsia="Times New Roman" w:hAnsi="Arial" w:cs="Arial"/>
          <w:sz w:val="20"/>
          <w:szCs w:val="24"/>
          <w:lang w:val="en-GB" w:eastAsia="de-DE"/>
        </w:rPr>
        <w:t xml:space="preserve"> DBG</w:t>
      </w:r>
      <w:r w:rsidR="00DB48D6" w:rsidRPr="00DB48D6">
        <w:rPr>
          <w:rFonts w:ascii="Arial" w:eastAsia="Times New Roman" w:hAnsi="Arial" w:cs="Arial"/>
          <w:sz w:val="20"/>
          <w:szCs w:val="24"/>
          <w:lang w:val="en-GB" w:eastAsia="de-DE"/>
        </w:rPr>
        <w:t xml:space="preserve"> calls to keep package order waivers and OMF waivers available to further complement LIS and Illiquid waivers, which are the most essential ones to mitigate adverse </w:t>
      </w:r>
      <w:r w:rsidR="00D30ECC">
        <w:rPr>
          <w:rFonts w:ascii="Arial" w:eastAsia="Times New Roman" w:hAnsi="Arial" w:cs="Arial"/>
          <w:sz w:val="20"/>
          <w:szCs w:val="24"/>
          <w:lang w:val="en-GB" w:eastAsia="de-DE"/>
        </w:rPr>
        <w:t>e</w:t>
      </w:r>
      <w:r w:rsidR="00DB48D6" w:rsidRPr="00DB48D6">
        <w:rPr>
          <w:rFonts w:ascii="Arial" w:eastAsia="Times New Roman" w:hAnsi="Arial" w:cs="Arial"/>
          <w:sz w:val="20"/>
          <w:szCs w:val="24"/>
          <w:lang w:val="en-GB" w:eastAsia="de-DE"/>
        </w:rPr>
        <w:t>ffects in the order book from large sizes</w:t>
      </w:r>
      <w:r w:rsidR="00DB48D6">
        <w:rPr>
          <w:rFonts w:ascii="Arial" w:eastAsia="Times New Roman" w:hAnsi="Arial" w:cs="Arial"/>
          <w:sz w:val="20"/>
          <w:szCs w:val="24"/>
          <w:lang w:val="en-GB" w:eastAsia="de-DE"/>
        </w:rPr>
        <w:t xml:space="preserve">. </w:t>
      </w:r>
      <w:r w:rsidR="00D30ECC" w:rsidRPr="00D30ECC">
        <w:rPr>
          <w:rFonts w:ascii="Arial" w:eastAsia="Times New Roman" w:hAnsi="Arial" w:cs="Arial"/>
          <w:sz w:val="20"/>
          <w:szCs w:val="24"/>
          <w:lang w:val="en-GB" w:eastAsia="de-DE"/>
        </w:rPr>
        <w:t>In the broader context, waivers shall support the transfer of products traded OTC, to central infrastructures, as envisaged by the G20 in 2009.</w:t>
      </w:r>
      <w:r w:rsidR="00D30ECC">
        <w:rPr>
          <w:rFonts w:ascii="Arial" w:eastAsia="Times New Roman" w:hAnsi="Arial" w:cs="Arial"/>
          <w:sz w:val="20"/>
          <w:szCs w:val="24"/>
          <w:lang w:val="en-GB" w:eastAsia="de-DE"/>
        </w:rPr>
        <w:t xml:space="preserve"> </w:t>
      </w:r>
      <w:r w:rsidR="00DB48D6" w:rsidRPr="00DB48D6">
        <w:rPr>
          <w:rFonts w:ascii="Arial" w:eastAsia="Times New Roman" w:hAnsi="Arial" w:cs="Arial"/>
          <w:sz w:val="20"/>
          <w:szCs w:val="24"/>
          <w:lang w:val="en-GB" w:eastAsia="de-DE"/>
        </w:rPr>
        <w:t xml:space="preserve">In addition to allowing market </w:t>
      </w:r>
      <w:r w:rsidR="0019109B">
        <w:rPr>
          <w:rFonts w:ascii="Arial" w:eastAsia="Times New Roman" w:hAnsi="Arial" w:cs="Arial"/>
          <w:sz w:val="20"/>
          <w:szCs w:val="24"/>
          <w:lang w:val="en-GB" w:eastAsia="de-DE"/>
        </w:rPr>
        <w:t xml:space="preserve">participants </w:t>
      </w:r>
      <w:r w:rsidR="00DB48D6" w:rsidRPr="00DB48D6">
        <w:rPr>
          <w:rFonts w:ascii="Arial" w:eastAsia="Times New Roman" w:hAnsi="Arial" w:cs="Arial"/>
          <w:sz w:val="20"/>
          <w:szCs w:val="24"/>
          <w:lang w:val="en-GB" w:eastAsia="de-DE"/>
        </w:rPr>
        <w:t xml:space="preserve">to </w:t>
      </w:r>
      <w:r w:rsidR="0019109B">
        <w:rPr>
          <w:rFonts w:ascii="Arial" w:eastAsia="Times New Roman" w:hAnsi="Arial" w:cs="Arial"/>
          <w:sz w:val="20"/>
          <w:szCs w:val="24"/>
          <w:lang w:val="en-GB" w:eastAsia="de-DE"/>
        </w:rPr>
        <w:t xml:space="preserve">benefit from </w:t>
      </w:r>
      <w:r w:rsidR="00DB48D6" w:rsidRPr="00DB48D6">
        <w:rPr>
          <w:rFonts w:ascii="Arial" w:eastAsia="Times New Roman" w:hAnsi="Arial" w:cs="Arial"/>
          <w:sz w:val="20"/>
          <w:szCs w:val="24"/>
          <w:lang w:val="en-GB" w:eastAsia="de-DE"/>
        </w:rPr>
        <w:t xml:space="preserve">already established </w:t>
      </w:r>
      <w:r w:rsidR="0019109B">
        <w:rPr>
          <w:rFonts w:ascii="Arial" w:eastAsia="Times New Roman" w:hAnsi="Arial" w:cs="Arial"/>
          <w:sz w:val="20"/>
          <w:szCs w:val="24"/>
          <w:lang w:val="en-GB" w:eastAsia="de-DE"/>
        </w:rPr>
        <w:t xml:space="preserve">trading patterns/models </w:t>
      </w:r>
      <w:r w:rsidR="00DB48D6" w:rsidRPr="00DB48D6">
        <w:rPr>
          <w:rFonts w:ascii="Arial" w:eastAsia="Times New Roman" w:hAnsi="Arial" w:cs="Arial"/>
          <w:sz w:val="20"/>
          <w:szCs w:val="24"/>
          <w:lang w:val="en-GB" w:eastAsia="de-DE"/>
        </w:rPr>
        <w:t xml:space="preserve">on </w:t>
      </w:r>
      <w:r w:rsidR="0019109B">
        <w:rPr>
          <w:rFonts w:ascii="Arial" w:eastAsia="Times New Roman" w:hAnsi="Arial" w:cs="Arial"/>
          <w:sz w:val="20"/>
          <w:szCs w:val="24"/>
          <w:lang w:val="en-GB" w:eastAsia="de-DE"/>
        </w:rPr>
        <w:t>exchanges (including the use of</w:t>
      </w:r>
      <w:r w:rsidR="00DB48D6" w:rsidRPr="00DB48D6">
        <w:rPr>
          <w:rFonts w:ascii="Arial" w:eastAsia="Times New Roman" w:hAnsi="Arial" w:cs="Arial"/>
          <w:sz w:val="20"/>
          <w:szCs w:val="24"/>
          <w:lang w:val="en-GB" w:eastAsia="de-DE"/>
        </w:rPr>
        <w:t xml:space="preserve"> waivers</w:t>
      </w:r>
      <w:r w:rsidR="0019109B">
        <w:rPr>
          <w:rFonts w:ascii="Arial" w:eastAsia="Times New Roman" w:hAnsi="Arial" w:cs="Arial"/>
          <w:sz w:val="20"/>
          <w:szCs w:val="24"/>
          <w:lang w:val="en-GB" w:eastAsia="de-DE"/>
        </w:rPr>
        <w:t>)</w:t>
      </w:r>
      <w:r w:rsidR="00DB48D6" w:rsidRPr="00DB48D6">
        <w:rPr>
          <w:rFonts w:ascii="Arial" w:eastAsia="Times New Roman" w:hAnsi="Arial" w:cs="Arial"/>
          <w:sz w:val="20"/>
          <w:szCs w:val="24"/>
          <w:lang w:val="en-GB" w:eastAsia="de-DE"/>
        </w:rPr>
        <w:t>, it is also imperative for exchanges to support the</w:t>
      </w:r>
      <w:r w:rsidR="0019109B">
        <w:rPr>
          <w:rFonts w:ascii="Arial" w:eastAsia="Times New Roman" w:hAnsi="Arial" w:cs="Arial"/>
          <w:sz w:val="20"/>
          <w:szCs w:val="24"/>
          <w:lang w:val="en-GB" w:eastAsia="de-DE"/>
        </w:rPr>
        <w:t xml:space="preserve"> migration of OTC derivatives markets to a regulated trading environment and central clearing by</w:t>
      </w:r>
      <w:r w:rsidR="00DB48D6" w:rsidRPr="00DB48D6">
        <w:rPr>
          <w:rFonts w:ascii="Arial" w:eastAsia="Times New Roman" w:hAnsi="Arial" w:cs="Arial"/>
          <w:sz w:val="20"/>
          <w:szCs w:val="24"/>
          <w:lang w:val="en-GB" w:eastAsia="de-DE"/>
        </w:rPr>
        <w:t xml:space="preserve"> product development and</w:t>
      </w:r>
      <w:r w:rsidR="0019109B">
        <w:rPr>
          <w:rFonts w:ascii="Arial" w:eastAsia="Times New Roman" w:hAnsi="Arial" w:cs="Arial"/>
          <w:sz w:val="20"/>
          <w:szCs w:val="24"/>
          <w:lang w:val="en-GB" w:eastAsia="de-DE"/>
        </w:rPr>
        <w:t xml:space="preserve"> well-integrated</w:t>
      </w:r>
      <w:r w:rsidR="00DB48D6" w:rsidRPr="00DB48D6">
        <w:rPr>
          <w:rFonts w:ascii="Arial" w:eastAsia="Times New Roman" w:hAnsi="Arial" w:cs="Arial"/>
          <w:sz w:val="20"/>
          <w:szCs w:val="24"/>
          <w:lang w:val="en-GB" w:eastAsia="de-DE"/>
        </w:rPr>
        <w:t xml:space="preserve"> trading </w:t>
      </w:r>
      <w:r w:rsidR="0019109B">
        <w:rPr>
          <w:rFonts w:ascii="Arial" w:eastAsia="Times New Roman" w:hAnsi="Arial" w:cs="Arial"/>
          <w:sz w:val="20"/>
          <w:szCs w:val="24"/>
          <w:lang w:val="en-GB" w:eastAsia="de-DE"/>
        </w:rPr>
        <w:t xml:space="preserve">and clearing </w:t>
      </w:r>
      <w:r w:rsidR="00DB48D6" w:rsidRPr="00DB48D6">
        <w:rPr>
          <w:rFonts w:ascii="Arial" w:eastAsia="Times New Roman" w:hAnsi="Arial" w:cs="Arial"/>
          <w:sz w:val="20"/>
          <w:szCs w:val="24"/>
          <w:lang w:val="en-GB" w:eastAsia="de-DE"/>
        </w:rPr>
        <w:t>practices</w:t>
      </w:r>
      <w:r w:rsidR="005C1D37">
        <w:rPr>
          <w:rFonts w:ascii="Arial" w:eastAsia="Times New Roman" w:hAnsi="Arial" w:cs="Arial"/>
          <w:sz w:val="20"/>
          <w:szCs w:val="24"/>
          <w:lang w:val="en-GB" w:eastAsia="de-DE"/>
        </w:rPr>
        <w:t xml:space="preserve"> which cater for the specific liquidity profiles and needs of the concerned products</w:t>
      </w:r>
      <w:r w:rsidR="00DB48D6">
        <w:rPr>
          <w:rFonts w:ascii="Arial" w:eastAsia="Times New Roman" w:hAnsi="Arial" w:cs="Arial"/>
          <w:sz w:val="20"/>
          <w:szCs w:val="24"/>
          <w:lang w:val="en-GB" w:eastAsia="de-DE"/>
        </w:rPr>
        <w:t>, for example regarding FX derivatives via futurization</w:t>
      </w:r>
      <w:r w:rsidR="00DB48D6" w:rsidRPr="00DB48D6">
        <w:rPr>
          <w:rFonts w:ascii="Arial" w:eastAsia="Times New Roman" w:hAnsi="Arial" w:cs="Arial"/>
          <w:sz w:val="20"/>
          <w:szCs w:val="24"/>
          <w:lang w:val="en-GB" w:eastAsia="de-DE"/>
        </w:rPr>
        <w:t xml:space="preserve">. </w:t>
      </w:r>
    </w:p>
    <w:p w14:paraId="7D35EFFF" w14:textId="77777777" w:rsidR="00DB48D6" w:rsidRDefault="00DB48D6" w:rsidP="00AA02D7">
      <w:pPr>
        <w:spacing w:after="0" w:line="240" w:lineRule="auto"/>
        <w:jc w:val="both"/>
        <w:rPr>
          <w:rFonts w:ascii="Arial" w:eastAsia="Times New Roman" w:hAnsi="Arial" w:cs="Arial"/>
          <w:sz w:val="20"/>
          <w:szCs w:val="24"/>
          <w:lang w:val="en-GB" w:eastAsia="de-DE"/>
        </w:rPr>
      </w:pPr>
    </w:p>
    <w:p w14:paraId="58962C11" w14:textId="55AD7B77" w:rsidR="00AC5C73" w:rsidRPr="00AC5C73" w:rsidRDefault="00AC5C73" w:rsidP="00AA02D7">
      <w:pPr>
        <w:spacing w:after="0" w:line="240" w:lineRule="auto"/>
        <w:jc w:val="both"/>
        <w:rPr>
          <w:rFonts w:ascii="Arial" w:eastAsia="Times New Roman" w:hAnsi="Arial" w:cs="Arial"/>
          <w:b/>
          <w:bCs/>
          <w:sz w:val="20"/>
          <w:szCs w:val="24"/>
          <w:u w:val="single"/>
          <w:lang w:val="en-GB" w:eastAsia="de-DE"/>
        </w:rPr>
      </w:pPr>
      <w:r w:rsidRPr="00AC5C73">
        <w:rPr>
          <w:rFonts w:ascii="Arial" w:eastAsia="Times New Roman" w:hAnsi="Arial" w:cs="Arial"/>
          <w:b/>
          <w:bCs/>
          <w:sz w:val="20"/>
          <w:szCs w:val="24"/>
          <w:u w:val="single"/>
          <w:lang w:val="en-GB" w:eastAsia="de-DE"/>
        </w:rPr>
        <w:t>Adaption of LIS thresholds:</w:t>
      </w:r>
    </w:p>
    <w:p w14:paraId="037A29F8" w14:textId="25F47BA7" w:rsidR="005F6C90" w:rsidRDefault="00AC5C73" w:rsidP="00AA02D7">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DBG is</w:t>
      </w:r>
      <w:r w:rsidR="0051116D" w:rsidRPr="0051116D">
        <w:rPr>
          <w:rFonts w:ascii="Arial" w:eastAsia="Times New Roman" w:hAnsi="Arial" w:cs="Arial"/>
          <w:sz w:val="20"/>
          <w:szCs w:val="24"/>
          <w:lang w:val="en-GB" w:eastAsia="de-DE"/>
        </w:rPr>
        <w:t xml:space="preserve"> not of the view that there should be a </w:t>
      </w:r>
      <w:r w:rsidR="0051116D" w:rsidRPr="005D03C1">
        <w:rPr>
          <w:rFonts w:ascii="Arial" w:eastAsia="Times New Roman" w:hAnsi="Arial" w:cs="Arial"/>
          <w:sz w:val="20"/>
          <w:szCs w:val="24"/>
          <w:lang w:val="en-GB" w:eastAsia="de-DE"/>
        </w:rPr>
        <w:t>uniform</w:t>
      </w:r>
      <w:r w:rsidR="0051116D" w:rsidRPr="0051116D">
        <w:rPr>
          <w:rFonts w:ascii="Arial" w:eastAsia="Times New Roman" w:hAnsi="Arial" w:cs="Arial"/>
          <w:sz w:val="20"/>
          <w:szCs w:val="24"/>
          <w:lang w:val="en-GB" w:eastAsia="de-DE"/>
        </w:rPr>
        <w:t xml:space="preserve"> reduction of the LIS threshold</w:t>
      </w:r>
      <w:r w:rsidR="003B4313">
        <w:rPr>
          <w:rFonts w:ascii="Arial" w:eastAsia="Times New Roman" w:hAnsi="Arial" w:cs="Arial"/>
          <w:sz w:val="20"/>
          <w:szCs w:val="24"/>
          <w:lang w:val="en-GB" w:eastAsia="de-DE"/>
        </w:rPr>
        <w:t>s</w:t>
      </w:r>
      <w:r w:rsidR="0051116D" w:rsidRPr="0051116D">
        <w:rPr>
          <w:rFonts w:ascii="Arial" w:eastAsia="Times New Roman" w:hAnsi="Arial" w:cs="Arial"/>
          <w:sz w:val="20"/>
          <w:szCs w:val="24"/>
          <w:lang w:val="en-GB" w:eastAsia="de-DE"/>
        </w:rPr>
        <w:t xml:space="preserve"> </w:t>
      </w:r>
      <w:r w:rsidR="004774A3">
        <w:rPr>
          <w:rFonts w:ascii="Arial" w:eastAsia="Times New Roman" w:hAnsi="Arial" w:cs="Arial"/>
          <w:sz w:val="20"/>
          <w:szCs w:val="24"/>
          <w:lang w:val="en-GB" w:eastAsia="de-DE"/>
        </w:rPr>
        <w:t xml:space="preserve">across asset classes </w:t>
      </w:r>
      <w:r w:rsidR="00DB48D6">
        <w:rPr>
          <w:rFonts w:ascii="Arial" w:eastAsia="Times New Roman" w:hAnsi="Arial" w:cs="Arial"/>
          <w:sz w:val="20"/>
          <w:szCs w:val="24"/>
          <w:lang w:val="en-GB" w:eastAsia="de-DE"/>
        </w:rPr>
        <w:t xml:space="preserve">to mitigate the removal of the SSTI waiver </w:t>
      </w:r>
      <w:r w:rsidR="0051116D" w:rsidRPr="0051116D">
        <w:rPr>
          <w:rFonts w:ascii="Arial" w:eastAsia="Times New Roman" w:hAnsi="Arial" w:cs="Arial"/>
          <w:sz w:val="20"/>
          <w:szCs w:val="24"/>
          <w:lang w:val="en-GB" w:eastAsia="de-DE"/>
        </w:rPr>
        <w:t>but rather a re-calibration of the existing methodology to determine LIS-thresholds</w:t>
      </w:r>
      <w:r w:rsidR="008F47FF">
        <w:rPr>
          <w:rFonts w:ascii="Arial" w:eastAsia="Times New Roman" w:hAnsi="Arial" w:cs="Arial"/>
          <w:sz w:val="20"/>
          <w:szCs w:val="24"/>
          <w:lang w:val="en-GB" w:eastAsia="de-DE"/>
        </w:rPr>
        <w:t xml:space="preserve"> where appropriate</w:t>
      </w:r>
      <w:r>
        <w:rPr>
          <w:rFonts w:ascii="Arial" w:eastAsia="Times New Roman" w:hAnsi="Arial" w:cs="Arial"/>
          <w:sz w:val="20"/>
          <w:szCs w:val="24"/>
          <w:lang w:val="en-GB" w:eastAsia="de-DE"/>
        </w:rPr>
        <w:t xml:space="preserve">. </w:t>
      </w:r>
    </w:p>
    <w:p w14:paraId="5E8A8A56" w14:textId="66743D34" w:rsidR="00AC5C73" w:rsidRDefault="0087430B" w:rsidP="00AA02D7">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While</w:t>
      </w:r>
      <w:r w:rsidR="00AC5C73">
        <w:rPr>
          <w:rFonts w:ascii="Arial" w:eastAsia="Times New Roman" w:hAnsi="Arial" w:cs="Arial"/>
          <w:sz w:val="20"/>
          <w:szCs w:val="24"/>
          <w:lang w:val="en-GB" w:eastAsia="de-DE"/>
        </w:rPr>
        <w:t xml:space="preserve"> we </w:t>
      </w:r>
      <w:r w:rsidR="00DF0DDD" w:rsidRPr="0087430B">
        <w:rPr>
          <w:rFonts w:ascii="Arial" w:eastAsia="Times New Roman" w:hAnsi="Arial" w:cs="Arial"/>
          <w:sz w:val="20"/>
          <w:szCs w:val="24"/>
          <w:lang w:val="en-GB" w:eastAsia="de-DE"/>
        </w:rPr>
        <w:t>suggest maintaining the current levels of post-trade LIS-thresholds</w:t>
      </w:r>
      <w:r w:rsidR="00DF0DDD">
        <w:rPr>
          <w:rFonts w:ascii="Arial" w:eastAsia="Times New Roman" w:hAnsi="Arial" w:cs="Arial"/>
          <w:sz w:val="20"/>
          <w:szCs w:val="24"/>
          <w:lang w:val="en-GB" w:eastAsia="de-DE"/>
        </w:rPr>
        <w:t xml:space="preserve">, we </w:t>
      </w:r>
      <w:r w:rsidR="00AC5C73">
        <w:rPr>
          <w:rFonts w:ascii="Arial" w:eastAsia="Times New Roman" w:hAnsi="Arial" w:cs="Arial"/>
          <w:sz w:val="20"/>
          <w:szCs w:val="24"/>
          <w:lang w:val="en-GB" w:eastAsia="de-DE"/>
        </w:rPr>
        <w:t>agree with ESMA that</w:t>
      </w:r>
      <w:r w:rsidR="0051116D" w:rsidRPr="0051116D">
        <w:rPr>
          <w:rFonts w:ascii="Arial" w:eastAsia="Times New Roman" w:hAnsi="Arial" w:cs="Arial"/>
          <w:sz w:val="20"/>
          <w:szCs w:val="24"/>
          <w:lang w:val="en-GB" w:eastAsia="de-DE"/>
        </w:rPr>
        <w:t xml:space="preserve"> a reduction </w:t>
      </w:r>
      <w:r w:rsidR="00C751A2">
        <w:rPr>
          <w:rFonts w:ascii="Arial" w:eastAsia="Times New Roman" w:hAnsi="Arial" w:cs="Arial"/>
          <w:sz w:val="20"/>
          <w:szCs w:val="24"/>
          <w:lang w:val="en-GB" w:eastAsia="de-DE"/>
        </w:rPr>
        <w:t xml:space="preserve">of </w:t>
      </w:r>
      <w:r>
        <w:rPr>
          <w:rFonts w:ascii="Arial" w:eastAsia="Times New Roman" w:hAnsi="Arial" w:cs="Arial"/>
          <w:sz w:val="20"/>
          <w:szCs w:val="24"/>
          <w:lang w:val="en-GB" w:eastAsia="de-DE"/>
        </w:rPr>
        <w:t xml:space="preserve">pre-trade </w:t>
      </w:r>
      <w:r w:rsidR="00C751A2">
        <w:rPr>
          <w:rFonts w:ascii="Arial" w:eastAsia="Times New Roman" w:hAnsi="Arial" w:cs="Arial"/>
          <w:sz w:val="20"/>
          <w:szCs w:val="24"/>
          <w:lang w:val="en-GB" w:eastAsia="de-DE"/>
        </w:rPr>
        <w:t xml:space="preserve">LIS thresholds </w:t>
      </w:r>
      <w:r w:rsidR="0051116D" w:rsidRPr="0051116D">
        <w:rPr>
          <w:rFonts w:ascii="Arial" w:eastAsia="Times New Roman" w:hAnsi="Arial" w:cs="Arial"/>
          <w:sz w:val="20"/>
          <w:szCs w:val="24"/>
          <w:lang w:val="en-GB" w:eastAsia="de-DE"/>
        </w:rPr>
        <w:t xml:space="preserve">in some asset classes would help to mitigate the adaption of waivers. </w:t>
      </w:r>
    </w:p>
    <w:bookmarkEnd w:id="4"/>
    <w:p w14:paraId="5C23601E" w14:textId="0C6315C0" w:rsidR="00AC5C73" w:rsidRDefault="00DF0DDD" w:rsidP="00AC5C73">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In this context,</w:t>
      </w:r>
      <w:r w:rsidR="00874A5E">
        <w:rPr>
          <w:rFonts w:ascii="Arial" w:eastAsia="Times New Roman" w:hAnsi="Arial" w:cs="Arial"/>
          <w:sz w:val="20"/>
          <w:szCs w:val="24"/>
          <w:lang w:val="en-GB" w:eastAsia="de-DE"/>
        </w:rPr>
        <w:t xml:space="preserve"> </w:t>
      </w:r>
      <w:r w:rsidR="00AC5C73">
        <w:rPr>
          <w:rFonts w:ascii="Arial" w:eastAsia="Times New Roman" w:hAnsi="Arial" w:cs="Arial"/>
          <w:sz w:val="20"/>
          <w:szCs w:val="24"/>
          <w:lang w:val="en-GB" w:eastAsia="de-DE"/>
        </w:rPr>
        <w:t xml:space="preserve">DBG advocates that </w:t>
      </w:r>
      <w:r w:rsidR="0087430B">
        <w:rPr>
          <w:rFonts w:ascii="Arial" w:eastAsia="Times New Roman" w:hAnsi="Arial" w:cs="Arial"/>
          <w:sz w:val="20"/>
          <w:szCs w:val="24"/>
          <w:lang w:val="en-GB" w:eastAsia="de-DE"/>
        </w:rPr>
        <w:t xml:space="preserve">pre-trade </w:t>
      </w:r>
      <w:r w:rsidR="00AC5C73" w:rsidRPr="00AC5C73">
        <w:rPr>
          <w:rFonts w:ascii="Arial" w:eastAsia="Times New Roman" w:hAnsi="Arial" w:cs="Arial"/>
          <w:sz w:val="20"/>
          <w:szCs w:val="24"/>
          <w:lang w:val="en-GB" w:eastAsia="de-DE"/>
        </w:rPr>
        <w:t>LIS thresholds should only be adjusted, if there is an observed problem with prevailing LIS-thresholds</w:t>
      </w:r>
      <w:r w:rsidR="005F6C90">
        <w:rPr>
          <w:rFonts w:ascii="Arial" w:eastAsia="Times New Roman" w:hAnsi="Arial" w:cs="Arial"/>
          <w:sz w:val="20"/>
          <w:szCs w:val="24"/>
          <w:lang w:val="en-GB" w:eastAsia="de-DE"/>
        </w:rPr>
        <w:t xml:space="preserve"> per asset class</w:t>
      </w:r>
      <w:r w:rsidR="00874A5E">
        <w:rPr>
          <w:rFonts w:ascii="Arial" w:eastAsia="Times New Roman" w:hAnsi="Arial" w:cs="Arial"/>
          <w:sz w:val="20"/>
          <w:szCs w:val="24"/>
          <w:lang w:val="en-GB" w:eastAsia="de-DE"/>
        </w:rPr>
        <w:t>:</w:t>
      </w:r>
    </w:p>
    <w:p w14:paraId="18FE7E67" w14:textId="77777777" w:rsidR="00AC5C73" w:rsidRDefault="00AC5C73" w:rsidP="00AC5C73">
      <w:pPr>
        <w:spacing w:after="0" w:line="240" w:lineRule="auto"/>
        <w:jc w:val="both"/>
        <w:rPr>
          <w:rFonts w:ascii="Arial" w:eastAsia="Times New Roman" w:hAnsi="Arial" w:cs="Arial"/>
          <w:sz w:val="20"/>
          <w:szCs w:val="24"/>
          <w:lang w:val="en-GB" w:eastAsia="de-DE"/>
        </w:rPr>
      </w:pPr>
    </w:p>
    <w:p w14:paraId="20262055" w14:textId="15977A5C" w:rsidR="00B061ED" w:rsidRDefault="00874A5E" w:rsidP="00AC5C73">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When looking at exchange traded derivatives (ETDs),</w:t>
      </w:r>
      <w:r w:rsidR="00AC5C73">
        <w:rPr>
          <w:rFonts w:ascii="Arial" w:eastAsia="Times New Roman" w:hAnsi="Arial" w:cs="Arial"/>
          <w:sz w:val="20"/>
          <w:szCs w:val="24"/>
          <w:lang w:val="en-GB" w:eastAsia="de-DE"/>
        </w:rPr>
        <w:t xml:space="preserve"> we agree in general with the methodology for the determination of LIS thresholds</w:t>
      </w:r>
      <w:r>
        <w:rPr>
          <w:rFonts w:ascii="Arial" w:eastAsia="Times New Roman" w:hAnsi="Arial" w:cs="Arial"/>
          <w:sz w:val="20"/>
          <w:szCs w:val="24"/>
          <w:lang w:val="en-GB" w:eastAsia="de-DE"/>
        </w:rPr>
        <w:t xml:space="preserve">. However, for </w:t>
      </w:r>
      <w:r w:rsidRPr="00874A5E">
        <w:rPr>
          <w:rFonts w:ascii="Arial" w:eastAsia="Times New Roman" w:hAnsi="Arial" w:cs="Arial"/>
          <w:sz w:val="20"/>
          <w:szCs w:val="24"/>
          <w:lang w:val="en-GB" w:eastAsia="de-DE"/>
        </w:rPr>
        <w:t>certain ETD products or sub-asset classes</w:t>
      </w:r>
      <w:r w:rsidR="00AC5C73">
        <w:rPr>
          <w:rFonts w:ascii="Arial" w:eastAsia="Times New Roman" w:hAnsi="Arial" w:cs="Arial"/>
          <w:sz w:val="20"/>
          <w:szCs w:val="24"/>
          <w:lang w:val="en-GB" w:eastAsia="de-DE"/>
        </w:rPr>
        <w:t xml:space="preserve">, the current LIS thresholds </w:t>
      </w:r>
      <w:r w:rsidRPr="00874A5E">
        <w:rPr>
          <w:rFonts w:ascii="Arial" w:eastAsia="Times New Roman" w:hAnsi="Arial" w:cs="Arial"/>
          <w:sz w:val="20"/>
          <w:szCs w:val="24"/>
          <w:lang w:val="en-GB" w:eastAsia="de-DE"/>
        </w:rPr>
        <w:t xml:space="preserve">have detrimentally impacted the liquidity of these products. In the respective products, higher </w:t>
      </w:r>
      <w:r w:rsidRPr="00874A5E">
        <w:rPr>
          <w:rFonts w:ascii="Arial" w:eastAsia="Times New Roman" w:hAnsi="Arial" w:cs="Arial"/>
          <w:sz w:val="20"/>
          <w:szCs w:val="24"/>
          <w:lang w:val="en-GB" w:eastAsia="de-DE"/>
        </w:rPr>
        <w:lastRenderedPageBreak/>
        <w:t>thresholds for off-book on-exchange trading, compared to pre-MiFID II conditions, have moved trading volumes away from exchanges and into the OTC market</w:t>
      </w:r>
      <w:r w:rsidR="00AC5C73">
        <w:rPr>
          <w:rFonts w:ascii="Arial" w:eastAsia="Times New Roman" w:hAnsi="Arial" w:cs="Arial"/>
          <w:sz w:val="20"/>
          <w:szCs w:val="24"/>
          <w:lang w:val="en-GB" w:eastAsia="de-DE"/>
        </w:rPr>
        <w:t>.</w:t>
      </w:r>
      <w:r w:rsidR="008471CF">
        <w:rPr>
          <w:rFonts w:ascii="Arial" w:eastAsia="Times New Roman" w:hAnsi="Arial" w:cs="Arial"/>
          <w:sz w:val="20"/>
          <w:szCs w:val="24"/>
          <w:lang w:val="en-GB" w:eastAsia="de-DE"/>
        </w:rPr>
        <w:t xml:space="preserve"> </w:t>
      </w:r>
      <w:r>
        <w:rPr>
          <w:rFonts w:ascii="Arial" w:eastAsia="Times New Roman" w:hAnsi="Arial" w:cs="Arial"/>
          <w:sz w:val="20"/>
          <w:szCs w:val="24"/>
          <w:lang w:val="en-GB" w:eastAsia="de-DE"/>
        </w:rPr>
        <w:t>Therefore</w:t>
      </w:r>
      <w:r w:rsidR="008471CF">
        <w:rPr>
          <w:rFonts w:ascii="Arial" w:eastAsia="Times New Roman" w:hAnsi="Arial" w:cs="Arial"/>
          <w:sz w:val="20"/>
          <w:szCs w:val="24"/>
          <w:lang w:val="en-GB" w:eastAsia="de-DE"/>
        </w:rPr>
        <w:t>,</w:t>
      </w:r>
      <w:r>
        <w:rPr>
          <w:rFonts w:ascii="Arial" w:eastAsia="Times New Roman" w:hAnsi="Arial" w:cs="Arial"/>
          <w:sz w:val="20"/>
          <w:szCs w:val="24"/>
          <w:lang w:val="en-GB" w:eastAsia="de-DE"/>
        </w:rPr>
        <w:t xml:space="preserve"> the</w:t>
      </w:r>
      <w:r w:rsidR="00AC5C73">
        <w:rPr>
          <w:rFonts w:ascii="Arial" w:eastAsia="Times New Roman" w:hAnsi="Arial" w:cs="Arial"/>
          <w:sz w:val="20"/>
          <w:szCs w:val="24"/>
          <w:lang w:val="en-GB" w:eastAsia="de-DE"/>
        </w:rPr>
        <w:t xml:space="preserve"> recalibration</w:t>
      </w:r>
      <w:r>
        <w:rPr>
          <w:rFonts w:ascii="Arial" w:eastAsia="Times New Roman" w:hAnsi="Arial" w:cs="Arial"/>
          <w:sz w:val="20"/>
          <w:szCs w:val="24"/>
          <w:lang w:val="en-GB" w:eastAsia="de-DE"/>
        </w:rPr>
        <w:t xml:space="preserve"> of LIS thresholds for ETDs</w:t>
      </w:r>
      <w:r w:rsidR="00AC5C73">
        <w:rPr>
          <w:rFonts w:ascii="Arial" w:eastAsia="Times New Roman" w:hAnsi="Arial" w:cs="Arial"/>
          <w:sz w:val="20"/>
          <w:szCs w:val="24"/>
          <w:lang w:val="en-GB" w:eastAsia="de-DE"/>
        </w:rPr>
        <w:t xml:space="preserve"> should address </w:t>
      </w:r>
      <w:r>
        <w:rPr>
          <w:rFonts w:ascii="Arial" w:eastAsia="Times New Roman" w:hAnsi="Arial" w:cs="Arial"/>
          <w:sz w:val="20"/>
          <w:szCs w:val="24"/>
          <w:lang w:val="en-GB" w:eastAsia="de-DE"/>
        </w:rPr>
        <w:t xml:space="preserve">in particular </w:t>
      </w:r>
      <w:r w:rsidR="00AC5C73">
        <w:rPr>
          <w:rFonts w:ascii="Arial" w:eastAsia="Times New Roman" w:hAnsi="Arial" w:cs="Arial"/>
          <w:sz w:val="20"/>
          <w:szCs w:val="24"/>
          <w:lang w:val="en-GB" w:eastAsia="de-DE"/>
        </w:rPr>
        <w:t xml:space="preserve">the launch </w:t>
      </w:r>
      <w:r w:rsidR="00B061ED">
        <w:rPr>
          <w:rFonts w:ascii="Arial" w:eastAsia="Times New Roman" w:hAnsi="Arial" w:cs="Arial"/>
          <w:sz w:val="20"/>
          <w:szCs w:val="24"/>
          <w:lang w:val="en-GB" w:eastAsia="de-DE"/>
        </w:rPr>
        <w:t xml:space="preserve">of new products on trading venues, and the time and measures needed to establish exchange trading as viable alternative to the OTC market, where these or similar products might currently be traded. </w:t>
      </w:r>
    </w:p>
    <w:p w14:paraId="0183B6D3" w14:textId="77777777" w:rsidR="00B061ED" w:rsidRDefault="00B061ED" w:rsidP="00AC5C73">
      <w:pPr>
        <w:spacing w:after="0" w:line="240" w:lineRule="auto"/>
        <w:jc w:val="both"/>
        <w:rPr>
          <w:rFonts w:ascii="Arial" w:eastAsia="Times New Roman" w:hAnsi="Arial" w:cs="Arial"/>
          <w:sz w:val="20"/>
          <w:szCs w:val="24"/>
          <w:lang w:val="en-GB" w:eastAsia="de-DE"/>
        </w:rPr>
      </w:pPr>
    </w:p>
    <w:p w14:paraId="649A6B2D" w14:textId="70D27F8F" w:rsidR="008471CF" w:rsidRDefault="008471CF" w:rsidP="00AC5C73">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When it comes to commodity derivatives</w:t>
      </w:r>
      <w:r w:rsidRPr="008471CF">
        <w:rPr>
          <w:rFonts w:ascii="Arial" w:eastAsia="Times New Roman" w:hAnsi="Arial" w:cs="Arial"/>
          <w:sz w:val="20"/>
          <w:szCs w:val="24"/>
          <w:lang w:val="en-GB" w:eastAsia="de-DE"/>
        </w:rPr>
        <w:t xml:space="preserve">, </w:t>
      </w:r>
      <w:r w:rsidR="00B061ED">
        <w:rPr>
          <w:rFonts w:ascii="Arial" w:eastAsia="Times New Roman" w:hAnsi="Arial" w:cs="Arial"/>
          <w:sz w:val="20"/>
          <w:szCs w:val="24"/>
          <w:lang w:val="en-GB" w:eastAsia="de-DE"/>
        </w:rPr>
        <w:t xml:space="preserve">we see the </w:t>
      </w:r>
      <w:r w:rsidR="00B061ED" w:rsidRPr="00B061ED">
        <w:rPr>
          <w:rFonts w:ascii="Arial" w:eastAsia="Times New Roman" w:hAnsi="Arial" w:cs="Arial"/>
          <w:sz w:val="20"/>
          <w:szCs w:val="24"/>
          <w:lang w:val="en-GB" w:eastAsia="de-DE"/>
        </w:rPr>
        <w:t xml:space="preserve">need to tailor the </w:t>
      </w:r>
      <w:r w:rsidR="00B061ED">
        <w:rPr>
          <w:rFonts w:ascii="Arial" w:eastAsia="Times New Roman" w:hAnsi="Arial" w:cs="Arial"/>
          <w:sz w:val="20"/>
          <w:szCs w:val="24"/>
          <w:lang w:val="en-GB" w:eastAsia="de-DE"/>
        </w:rPr>
        <w:t xml:space="preserve">current </w:t>
      </w:r>
      <w:r w:rsidR="00B061ED" w:rsidRPr="00B061ED">
        <w:rPr>
          <w:rFonts w:ascii="Arial" w:eastAsia="Times New Roman" w:hAnsi="Arial" w:cs="Arial"/>
          <w:sz w:val="20"/>
          <w:szCs w:val="24"/>
          <w:lang w:val="en-GB" w:eastAsia="de-DE"/>
        </w:rPr>
        <w:t>LIS</w:t>
      </w:r>
      <w:r w:rsidR="004653BD">
        <w:rPr>
          <w:rFonts w:ascii="Arial" w:eastAsia="Times New Roman" w:hAnsi="Arial" w:cs="Arial"/>
          <w:sz w:val="20"/>
          <w:szCs w:val="24"/>
          <w:lang w:val="en-GB" w:eastAsia="de-DE"/>
        </w:rPr>
        <w:t xml:space="preserve"> (as well as IL)</w:t>
      </w:r>
      <w:r w:rsidR="00B061ED" w:rsidRPr="00B061ED">
        <w:rPr>
          <w:rFonts w:ascii="Arial" w:eastAsia="Times New Roman" w:hAnsi="Arial" w:cs="Arial"/>
          <w:sz w:val="20"/>
          <w:szCs w:val="24"/>
          <w:lang w:val="en-GB" w:eastAsia="de-DE"/>
        </w:rPr>
        <w:t xml:space="preserve"> threshold </w:t>
      </w:r>
      <w:r w:rsidR="004653BD">
        <w:rPr>
          <w:rFonts w:ascii="Arial" w:eastAsia="Times New Roman" w:hAnsi="Arial" w:cs="Arial"/>
          <w:sz w:val="20"/>
          <w:szCs w:val="24"/>
          <w:lang w:val="en-GB" w:eastAsia="de-DE"/>
        </w:rPr>
        <w:t>and</w:t>
      </w:r>
      <w:r w:rsidR="00B061ED" w:rsidRPr="00B061ED">
        <w:rPr>
          <w:rFonts w:ascii="Arial" w:eastAsia="Times New Roman" w:hAnsi="Arial" w:cs="Arial"/>
          <w:sz w:val="20"/>
          <w:szCs w:val="24"/>
          <w:lang w:val="en-GB" w:eastAsia="de-DE"/>
        </w:rPr>
        <w:t xml:space="preserve"> threshold calculation methodology to the specifics of commodity derivatives markets</w:t>
      </w:r>
      <w:r w:rsidR="000B45A5">
        <w:rPr>
          <w:rFonts w:ascii="Arial" w:eastAsia="Times New Roman" w:hAnsi="Arial" w:cs="Arial"/>
          <w:sz w:val="20"/>
          <w:szCs w:val="24"/>
          <w:lang w:val="en-GB" w:eastAsia="de-DE"/>
        </w:rPr>
        <w:t>.</w:t>
      </w:r>
      <w:r w:rsidR="00B061ED">
        <w:rPr>
          <w:rFonts w:ascii="Arial" w:eastAsia="Times New Roman" w:hAnsi="Arial" w:cs="Arial"/>
          <w:sz w:val="20"/>
          <w:szCs w:val="24"/>
          <w:lang w:val="en-GB" w:eastAsia="de-DE"/>
        </w:rPr>
        <w:t xml:space="preserve"> </w:t>
      </w:r>
      <w:r w:rsidR="000B45A5">
        <w:rPr>
          <w:rFonts w:ascii="Arial" w:eastAsia="Times New Roman" w:hAnsi="Arial" w:cs="Arial"/>
          <w:sz w:val="20"/>
          <w:szCs w:val="24"/>
          <w:lang w:val="en-GB" w:eastAsia="de-DE"/>
        </w:rPr>
        <w:t xml:space="preserve">The </w:t>
      </w:r>
      <w:r w:rsidR="00B061ED" w:rsidRPr="00B061ED">
        <w:rPr>
          <w:rFonts w:ascii="Arial" w:eastAsia="Times New Roman" w:hAnsi="Arial" w:cs="Arial"/>
          <w:sz w:val="20"/>
          <w:szCs w:val="24"/>
          <w:lang w:val="en-GB" w:eastAsia="de-DE"/>
        </w:rPr>
        <w:t>current threshold</w:t>
      </w:r>
      <w:r w:rsidR="00803969">
        <w:rPr>
          <w:rFonts w:ascii="Arial" w:eastAsia="Times New Roman" w:hAnsi="Arial" w:cs="Arial"/>
          <w:sz w:val="20"/>
          <w:szCs w:val="24"/>
          <w:lang w:val="en-GB" w:eastAsia="de-DE"/>
        </w:rPr>
        <w:t>s</w:t>
      </w:r>
      <w:r w:rsidR="00B061ED" w:rsidRPr="00B061ED">
        <w:rPr>
          <w:rFonts w:ascii="Arial" w:eastAsia="Times New Roman" w:hAnsi="Arial" w:cs="Arial"/>
          <w:sz w:val="20"/>
          <w:szCs w:val="24"/>
          <w:lang w:val="en-GB" w:eastAsia="de-DE"/>
        </w:rPr>
        <w:t xml:space="preserve"> and methodology ha</w:t>
      </w:r>
      <w:r w:rsidR="00B061ED">
        <w:rPr>
          <w:rFonts w:ascii="Arial" w:eastAsia="Times New Roman" w:hAnsi="Arial" w:cs="Arial"/>
          <w:sz w:val="20"/>
          <w:szCs w:val="24"/>
          <w:lang w:val="en-GB" w:eastAsia="de-DE"/>
        </w:rPr>
        <w:t>ve</w:t>
      </w:r>
      <w:r w:rsidR="00B061ED" w:rsidRPr="00B061ED">
        <w:rPr>
          <w:rFonts w:ascii="Arial" w:eastAsia="Times New Roman" w:hAnsi="Arial" w:cs="Arial"/>
          <w:sz w:val="20"/>
          <w:szCs w:val="24"/>
          <w:lang w:val="en-GB" w:eastAsia="de-DE"/>
        </w:rPr>
        <w:t xml:space="preserve"> led to a mis-classification </w:t>
      </w:r>
      <w:r w:rsidR="000B45A5">
        <w:rPr>
          <w:rFonts w:ascii="Arial" w:eastAsia="Times New Roman" w:hAnsi="Arial" w:cs="Arial"/>
          <w:sz w:val="20"/>
          <w:szCs w:val="24"/>
          <w:lang w:val="en-GB" w:eastAsia="de-DE"/>
        </w:rPr>
        <w:t>of a</w:t>
      </w:r>
      <w:r w:rsidR="000B45A5" w:rsidRPr="000B45A5">
        <w:rPr>
          <w:rFonts w:ascii="Arial" w:eastAsia="Times New Roman" w:hAnsi="Arial" w:cs="Arial"/>
          <w:sz w:val="20"/>
          <w:szCs w:val="24"/>
          <w:lang w:val="en-GB" w:eastAsia="de-DE"/>
        </w:rPr>
        <w:t xml:space="preserve"> significant number of niche and nascent products as liquid, and thus becoming subject to significantly broader transparency requirements, which were previously reserved for developed markets</w:t>
      </w:r>
      <w:r w:rsidR="000B45A5">
        <w:rPr>
          <w:rFonts w:ascii="Arial" w:eastAsia="Times New Roman" w:hAnsi="Arial" w:cs="Arial"/>
          <w:sz w:val="20"/>
          <w:szCs w:val="24"/>
          <w:lang w:val="en-GB" w:eastAsia="de-DE"/>
        </w:rPr>
        <w:t>. A</w:t>
      </w:r>
      <w:r w:rsidR="00B061ED">
        <w:rPr>
          <w:rFonts w:ascii="Arial" w:eastAsia="Times New Roman" w:hAnsi="Arial" w:cs="Arial"/>
          <w:sz w:val="20"/>
          <w:szCs w:val="24"/>
          <w:lang w:val="en-GB" w:eastAsia="de-DE"/>
        </w:rPr>
        <w:t xml:space="preserve"> recalibration to the market reality of commodity derivative</w:t>
      </w:r>
      <w:r w:rsidR="00EC2D2A">
        <w:rPr>
          <w:rFonts w:ascii="Arial" w:eastAsia="Times New Roman" w:hAnsi="Arial" w:cs="Arial"/>
          <w:sz w:val="20"/>
          <w:szCs w:val="24"/>
          <w:lang w:val="en-GB" w:eastAsia="de-DE"/>
        </w:rPr>
        <w:t>s by</w:t>
      </w:r>
      <w:r w:rsidR="000B45A5">
        <w:rPr>
          <w:lang w:val="en-US"/>
        </w:rPr>
        <w:t xml:space="preserve"> </w:t>
      </w:r>
      <w:r w:rsidR="000B45A5" w:rsidRPr="000B45A5">
        <w:rPr>
          <w:rFonts w:ascii="Arial" w:eastAsia="Times New Roman" w:hAnsi="Arial" w:cs="Arial"/>
          <w:sz w:val="20"/>
          <w:szCs w:val="24"/>
          <w:lang w:val="en-GB" w:eastAsia="de-DE"/>
        </w:rPr>
        <w:t>remov</w:t>
      </w:r>
      <w:r w:rsidR="000B45A5">
        <w:rPr>
          <w:rFonts w:ascii="Arial" w:eastAsia="Times New Roman" w:hAnsi="Arial" w:cs="Arial"/>
          <w:sz w:val="20"/>
          <w:szCs w:val="24"/>
          <w:lang w:val="en-GB" w:eastAsia="de-DE"/>
        </w:rPr>
        <w:t>ing</w:t>
      </w:r>
      <w:r w:rsidR="000B45A5" w:rsidRPr="000B45A5">
        <w:rPr>
          <w:rFonts w:ascii="Arial" w:eastAsia="Times New Roman" w:hAnsi="Arial" w:cs="Arial"/>
          <w:sz w:val="20"/>
          <w:szCs w:val="24"/>
          <w:lang w:val="en-GB" w:eastAsia="de-DE"/>
        </w:rPr>
        <w:t xml:space="preserve"> the current factors leading to inappropriate thresholds for commodity derivatives (e.g. using notional values which are highly reliant on market prices)</w:t>
      </w:r>
      <w:r w:rsidRPr="008471CF">
        <w:rPr>
          <w:rFonts w:ascii="Arial" w:eastAsia="Times New Roman" w:hAnsi="Arial" w:cs="Arial"/>
          <w:sz w:val="20"/>
          <w:szCs w:val="24"/>
          <w:lang w:val="en-GB" w:eastAsia="de-DE"/>
        </w:rPr>
        <w:t>, the regime would allow for pre-negotiated trades of the most illiquid and new contracts to be brought to an exchange and subsequently familiarize commodity traders with the beneficial features of increased transparency and security of orderbook on-venue trading.</w:t>
      </w:r>
    </w:p>
    <w:p w14:paraId="2FA59F97" w14:textId="77777777" w:rsidR="008471CF" w:rsidRDefault="008471CF" w:rsidP="00AC5C73">
      <w:pPr>
        <w:spacing w:after="0" w:line="240" w:lineRule="auto"/>
        <w:jc w:val="both"/>
        <w:rPr>
          <w:rFonts w:ascii="Arial" w:eastAsia="Times New Roman" w:hAnsi="Arial" w:cs="Arial"/>
          <w:sz w:val="20"/>
          <w:szCs w:val="24"/>
          <w:lang w:val="en-GB" w:eastAsia="de-DE"/>
        </w:rPr>
      </w:pPr>
    </w:p>
    <w:p w14:paraId="367D73EC" w14:textId="77DB2690" w:rsidR="000B45A5" w:rsidRDefault="000B45A5" w:rsidP="000B45A5">
      <w:pPr>
        <w:spacing w:after="12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 xml:space="preserve">For the special case of bonds, we recommend </w:t>
      </w:r>
      <w:r w:rsidRPr="000B45A5">
        <w:rPr>
          <w:rFonts w:ascii="Arial" w:eastAsia="Times New Roman" w:hAnsi="Arial" w:cs="Arial"/>
          <w:sz w:val="20"/>
          <w:szCs w:val="24"/>
          <w:lang w:val="en-GB" w:eastAsia="de-DE"/>
        </w:rPr>
        <w:t>lower</w:t>
      </w:r>
      <w:r>
        <w:rPr>
          <w:rFonts w:ascii="Arial" w:eastAsia="Times New Roman" w:hAnsi="Arial" w:cs="Arial"/>
          <w:sz w:val="20"/>
          <w:szCs w:val="24"/>
          <w:lang w:val="en-GB" w:eastAsia="de-DE"/>
        </w:rPr>
        <w:t>ing</w:t>
      </w:r>
      <w:r w:rsidRPr="000B45A5">
        <w:rPr>
          <w:rFonts w:ascii="Arial" w:eastAsia="Times New Roman" w:hAnsi="Arial" w:cs="Arial"/>
          <w:sz w:val="20"/>
          <w:szCs w:val="24"/>
          <w:lang w:val="en-GB" w:eastAsia="de-DE"/>
        </w:rPr>
        <w:t xml:space="preserve"> the current LIS threshold and to use the 100,000 EUR denomination threshold in order to delineate lit trading from dark trading.</w:t>
      </w:r>
    </w:p>
    <w:p w14:paraId="67C9E17E" w14:textId="1F590E11" w:rsidR="000B45A5" w:rsidRPr="00013D66" w:rsidRDefault="000B45A5" w:rsidP="000B45A5">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A re-calibration of the existing </w:t>
      </w:r>
      <w:r>
        <w:rPr>
          <w:rFonts w:ascii="Arial" w:eastAsia="Times New Roman" w:hAnsi="Arial" w:cs="Arial"/>
          <w:sz w:val="20"/>
          <w:szCs w:val="24"/>
          <w:lang w:val="en-GB" w:eastAsia="de-DE"/>
        </w:rPr>
        <w:t xml:space="preserve">LIS calculation </w:t>
      </w:r>
      <w:r w:rsidRPr="00013D66">
        <w:rPr>
          <w:rFonts w:ascii="Arial" w:eastAsia="Times New Roman" w:hAnsi="Arial" w:cs="Arial"/>
          <w:sz w:val="20"/>
          <w:szCs w:val="24"/>
          <w:lang w:val="en-GB" w:eastAsia="de-DE"/>
        </w:rPr>
        <w:t>methodology would allow ESMA to determine LIS thresholds, tiered even more specifically to individual market specifics</w:t>
      </w:r>
      <w:r w:rsidRPr="00C57B96">
        <w:rPr>
          <w:rFonts w:ascii="Arial" w:eastAsia="Times New Roman" w:hAnsi="Arial" w:cs="Arial"/>
          <w:sz w:val="20"/>
          <w:szCs w:val="24"/>
          <w:lang w:val="en-GB" w:eastAsia="de-DE"/>
        </w:rPr>
        <w:t xml:space="preserve"> </w:t>
      </w:r>
      <w:r>
        <w:rPr>
          <w:rFonts w:ascii="Arial" w:eastAsia="Times New Roman" w:hAnsi="Arial" w:cs="Arial"/>
          <w:sz w:val="20"/>
          <w:szCs w:val="24"/>
          <w:lang w:val="en-GB" w:eastAsia="de-DE"/>
        </w:rPr>
        <w:t>of each of the aforementioned asset classes</w:t>
      </w:r>
      <w:r w:rsidRPr="00013D66">
        <w:rPr>
          <w:rFonts w:ascii="Arial" w:eastAsia="Times New Roman" w:hAnsi="Arial" w:cs="Arial"/>
          <w:sz w:val="20"/>
          <w:szCs w:val="24"/>
          <w:lang w:val="en-GB" w:eastAsia="de-DE"/>
        </w:rPr>
        <w:t>, and to avoid unintended side effects, such as increasing the share of OTC trading.</w:t>
      </w:r>
    </w:p>
    <w:p w14:paraId="20B5BA85" w14:textId="77777777" w:rsidR="00AC5C73" w:rsidRDefault="00AC5C73" w:rsidP="00AC5C73">
      <w:pPr>
        <w:spacing w:after="0" w:line="240" w:lineRule="auto"/>
        <w:jc w:val="both"/>
        <w:rPr>
          <w:rFonts w:ascii="Arial" w:eastAsia="Times New Roman" w:hAnsi="Arial" w:cs="Arial"/>
          <w:sz w:val="20"/>
          <w:szCs w:val="24"/>
          <w:lang w:val="en-US" w:eastAsia="de-DE"/>
        </w:rPr>
      </w:pPr>
      <w:r w:rsidRPr="00EE5A6C">
        <w:rPr>
          <w:rFonts w:ascii="Arial" w:eastAsia="Times New Roman" w:hAnsi="Arial" w:cs="Arial"/>
          <w:sz w:val="20"/>
          <w:szCs w:val="24"/>
          <w:lang w:val="en-US" w:eastAsia="de-DE"/>
        </w:rPr>
        <w:t xml:space="preserve">Finally, </w:t>
      </w:r>
      <w:r>
        <w:rPr>
          <w:rFonts w:ascii="Arial" w:eastAsia="Times New Roman" w:hAnsi="Arial" w:cs="Arial"/>
          <w:sz w:val="20"/>
          <w:szCs w:val="24"/>
          <w:lang w:val="en-US" w:eastAsia="de-DE"/>
        </w:rPr>
        <w:t xml:space="preserve">in addition to the proposals made by ESMA and </w:t>
      </w:r>
      <w:r w:rsidRPr="00EE5A6C">
        <w:rPr>
          <w:rFonts w:ascii="Arial" w:eastAsia="Times New Roman" w:hAnsi="Arial" w:cs="Arial"/>
          <w:sz w:val="20"/>
          <w:szCs w:val="24"/>
          <w:lang w:val="en-US" w:eastAsia="de-DE"/>
        </w:rPr>
        <w:t>in light of t</w:t>
      </w:r>
      <w:r>
        <w:rPr>
          <w:rFonts w:ascii="Arial" w:eastAsia="Times New Roman" w:hAnsi="Arial" w:cs="Arial"/>
          <w:sz w:val="20"/>
          <w:szCs w:val="24"/>
          <w:lang w:val="en-US" w:eastAsia="de-DE"/>
        </w:rPr>
        <w:t xml:space="preserve">he actual application of transparency thresholds, we believe the overall market would benefit from a </w:t>
      </w:r>
      <w:r w:rsidRPr="00561D40">
        <w:rPr>
          <w:rFonts w:ascii="Arial" w:eastAsia="Times New Roman" w:hAnsi="Arial" w:cs="Arial"/>
          <w:sz w:val="20"/>
          <w:szCs w:val="24"/>
          <w:lang w:val="en-US" w:eastAsia="de-DE"/>
        </w:rPr>
        <w:t xml:space="preserve">clarification relating to the </w:t>
      </w:r>
      <w:r>
        <w:rPr>
          <w:rFonts w:ascii="Arial" w:eastAsia="Times New Roman" w:hAnsi="Arial" w:cs="Arial"/>
          <w:sz w:val="20"/>
          <w:szCs w:val="24"/>
          <w:lang w:val="en-US" w:eastAsia="de-DE"/>
        </w:rPr>
        <w:t xml:space="preserve">ESMA </w:t>
      </w:r>
      <w:r w:rsidRPr="00561D40">
        <w:rPr>
          <w:rFonts w:ascii="Arial" w:eastAsia="Times New Roman" w:hAnsi="Arial" w:cs="Arial"/>
          <w:sz w:val="20"/>
          <w:szCs w:val="24"/>
          <w:lang w:val="en-US" w:eastAsia="de-DE"/>
        </w:rPr>
        <w:t xml:space="preserve">transparency Q&amp;As, indicating that trading venues have the right to recalculate their conversion of nominal values into lot sizes using up to date market prices. Alternatively, </w:t>
      </w:r>
      <w:r>
        <w:rPr>
          <w:rFonts w:ascii="Arial" w:eastAsia="Times New Roman" w:hAnsi="Arial" w:cs="Arial"/>
          <w:sz w:val="20"/>
          <w:szCs w:val="24"/>
          <w:lang w:val="en-US" w:eastAsia="de-DE"/>
        </w:rPr>
        <w:t>on Level 2</w:t>
      </w:r>
      <w:r w:rsidRPr="00561D40">
        <w:rPr>
          <w:rFonts w:ascii="Arial" w:eastAsia="Times New Roman" w:hAnsi="Arial" w:cs="Arial"/>
          <w:sz w:val="20"/>
          <w:szCs w:val="24"/>
          <w:lang w:val="en-US" w:eastAsia="de-DE"/>
        </w:rPr>
        <w:t xml:space="preserve"> a certain discretion for trading venues to define the circumstances which would require a recalculation could be introduced</w:t>
      </w:r>
      <w:r>
        <w:rPr>
          <w:rFonts w:ascii="Arial" w:eastAsia="Times New Roman" w:hAnsi="Arial" w:cs="Arial"/>
          <w:sz w:val="20"/>
          <w:szCs w:val="24"/>
          <w:lang w:val="en-US" w:eastAsia="de-DE"/>
        </w:rPr>
        <w:t>.</w:t>
      </w:r>
    </w:p>
    <w:p w14:paraId="60A4AD7C" w14:textId="77777777" w:rsidR="005710E2" w:rsidRPr="0051116D" w:rsidRDefault="005710E2" w:rsidP="00AA02D7">
      <w:pPr>
        <w:spacing w:after="0" w:line="240" w:lineRule="auto"/>
        <w:jc w:val="both"/>
        <w:rPr>
          <w:rFonts w:ascii="Arial" w:eastAsia="Times New Roman" w:hAnsi="Arial" w:cs="Arial"/>
          <w:sz w:val="20"/>
          <w:szCs w:val="24"/>
          <w:lang w:val="en-GB" w:eastAsia="de-DE"/>
        </w:rPr>
      </w:pPr>
    </w:p>
    <w:p w14:paraId="0ABAB48D" w14:textId="02AB2EC7" w:rsidR="008471CF" w:rsidRPr="008471CF" w:rsidRDefault="008471CF" w:rsidP="00AA02D7">
      <w:pPr>
        <w:spacing w:after="0" w:line="240" w:lineRule="auto"/>
        <w:jc w:val="both"/>
        <w:rPr>
          <w:rFonts w:ascii="Arial" w:eastAsia="Times New Roman" w:hAnsi="Arial" w:cs="Arial"/>
          <w:b/>
          <w:sz w:val="20"/>
          <w:szCs w:val="24"/>
          <w:u w:val="single"/>
          <w:lang w:val="en-GB" w:eastAsia="de-DE"/>
        </w:rPr>
      </w:pPr>
      <w:r w:rsidRPr="008471CF">
        <w:rPr>
          <w:rFonts w:ascii="Arial" w:eastAsia="Times New Roman" w:hAnsi="Arial" w:cs="Arial"/>
          <w:b/>
          <w:sz w:val="20"/>
          <w:szCs w:val="24"/>
          <w:u w:val="single"/>
          <w:lang w:val="en-GB" w:eastAsia="de-DE"/>
        </w:rPr>
        <w:t xml:space="preserve">Adaptions to </w:t>
      </w:r>
      <w:r w:rsidR="005C22D6">
        <w:rPr>
          <w:rFonts w:ascii="Arial" w:eastAsia="Times New Roman" w:hAnsi="Arial" w:cs="Arial"/>
          <w:b/>
          <w:sz w:val="20"/>
          <w:szCs w:val="24"/>
          <w:u w:val="single"/>
          <w:lang w:val="en-GB" w:eastAsia="de-DE"/>
        </w:rPr>
        <w:t>increase the level of</w:t>
      </w:r>
      <w:r w:rsidRPr="008471CF">
        <w:rPr>
          <w:rFonts w:ascii="Arial" w:eastAsia="Times New Roman" w:hAnsi="Arial" w:cs="Arial"/>
          <w:b/>
          <w:sz w:val="20"/>
          <w:szCs w:val="24"/>
          <w:u w:val="single"/>
          <w:lang w:val="en-GB" w:eastAsia="de-DE"/>
        </w:rPr>
        <w:t xml:space="preserve"> pre- and post-trade data available:</w:t>
      </w:r>
    </w:p>
    <w:p w14:paraId="3BDBDB52" w14:textId="1D02AD2F" w:rsidR="0051116D" w:rsidRDefault="0051116D" w:rsidP="00AA02D7">
      <w:pPr>
        <w:spacing w:after="0" w:line="240" w:lineRule="auto"/>
        <w:jc w:val="both"/>
        <w:rPr>
          <w:rFonts w:ascii="Arial" w:eastAsia="Times New Roman" w:hAnsi="Arial" w:cs="Arial"/>
          <w:sz w:val="20"/>
          <w:szCs w:val="24"/>
          <w:lang w:val="en-GB" w:eastAsia="de-DE"/>
        </w:rPr>
      </w:pPr>
      <w:r w:rsidRPr="0051116D">
        <w:rPr>
          <w:rFonts w:ascii="Arial" w:eastAsia="Times New Roman" w:hAnsi="Arial" w:cs="Arial"/>
          <w:sz w:val="20"/>
          <w:szCs w:val="24"/>
          <w:lang w:val="en-GB" w:eastAsia="de-DE"/>
        </w:rPr>
        <w:t xml:space="preserve">We also support ESMA’s approach to further define requirements for making pre-trade transparency information more accessible and comparable. </w:t>
      </w:r>
      <w:r w:rsidR="00E1491A" w:rsidRPr="00013D66">
        <w:rPr>
          <w:rFonts w:ascii="Arial" w:eastAsia="Times New Roman" w:hAnsi="Arial" w:cs="Arial"/>
          <w:sz w:val="20"/>
          <w:szCs w:val="24"/>
          <w:lang w:val="en-GB" w:eastAsia="de-DE"/>
        </w:rPr>
        <w:t>Given that there are no concerns or complaints relating to the pre-trade transparency related fields currently published by trading venues, ESMA’s technical standards should primarily aim to align existing reported data, rather than fundamentally changing or increasing fields that should be published</w:t>
      </w:r>
      <w:r w:rsidR="00E1491A">
        <w:rPr>
          <w:rFonts w:ascii="Arial" w:eastAsia="Times New Roman" w:hAnsi="Arial" w:cs="Arial"/>
          <w:sz w:val="20"/>
          <w:szCs w:val="24"/>
          <w:lang w:val="en-GB" w:eastAsia="de-DE"/>
        </w:rPr>
        <w:t xml:space="preserve">. </w:t>
      </w:r>
      <w:r w:rsidRPr="00F50629">
        <w:rPr>
          <w:rFonts w:ascii="Arial" w:eastAsia="Times New Roman" w:hAnsi="Arial" w:cs="Arial"/>
          <w:sz w:val="20"/>
          <w:szCs w:val="24"/>
          <w:lang w:val="en-GB" w:eastAsia="de-DE"/>
        </w:rPr>
        <w:t>However, in order to ensure a level playing field across venues and increase transparency especially regarding SI trading, which is still very opaque, the proposed standardization of pre-trade information should be applicable to all types of venues, including SIs. Together with the requirement for SIs to publish their quotes free of charge after 15 minutes this measure would be a significant step forward to increase pre-trade transparency.</w:t>
      </w:r>
      <w:r w:rsidRPr="0051116D">
        <w:rPr>
          <w:rFonts w:ascii="Arial" w:eastAsia="Times New Roman" w:hAnsi="Arial" w:cs="Arial"/>
          <w:sz w:val="20"/>
          <w:szCs w:val="24"/>
          <w:lang w:val="en-GB" w:eastAsia="de-DE"/>
        </w:rPr>
        <w:t xml:space="preserve"> </w:t>
      </w:r>
    </w:p>
    <w:p w14:paraId="53B81B37" w14:textId="77777777" w:rsidR="005710E2" w:rsidRPr="0051116D" w:rsidRDefault="005710E2" w:rsidP="00AA02D7">
      <w:pPr>
        <w:spacing w:after="0" w:line="240" w:lineRule="auto"/>
        <w:jc w:val="both"/>
        <w:rPr>
          <w:rFonts w:ascii="Arial" w:eastAsia="Times New Roman" w:hAnsi="Arial" w:cs="Arial"/>
          <w:sz w:val="20"/>
          <w:szCs w:val="24"/>
          <w:lang w:val="en-GB" w:eastAsia="de-DE"/>
        </w:rPr>
      </w:pPr>
    </w:p>
    <w:p w14:paraId="598E2FD4" w14:textId="5CF87A49" w:rsidR="0051116D" w:rsidRDefault="0051116D" w:rsidP="00AA02D7">
      <w:pPr>
        <w:spacing w:after="0" w:line="240" w:lineRule="auto"/>
        <w:jc w:val="both"/>
        <w:rPr>
          <w:rFonts w:ascii="Arial" w:eastAsia="Times New Roman" w:hAnsi="Arial" w:cs="Arial"/>
          <w:sz w:val="20"/>
          <w:szCs w:val="24"/>
          <w:lang w:val="en-GB" w:eastAsia="de-DE"/>
        </w:rPr>
      </w:pPr>
      <w:r w:rsidRPr="0051116D">
        <w:rPr>
          <w:rFonts w:ascii="Arial" w:eastAsia="Times New Roman" w:hAnsi="Arial" w:cs="Arial"/>
          <w:sz w:val="20"/>
          <w:szCs w:val="24"/>
          <w:lang w:val="en-GB" w:eastAsia="de-DE"/>
        </w:rPr>
        <w:t xml:space="preserve">Further, we agree with ESMA that post-trade transparency information should be made available </w:t>
      </w:r>
      <w:r w:rsidR="009D2314">
        <w:rPr>
          <w:rFonts w:ascii="Arial" w:eastAsia="Times New Roman" w:hAnsi="Arial" w:cs="Arial"/>
          <w:sz w:val="20"/>
          <w:szCs w:val="24"/>
          <w:lang w:val="en-GB" w:eastAsia="de-DE"/>
        </w:rPr>
        <w:t>timelier</w:t>
      </w:r>
      <w:r w:rsidR="00A629A6">
        <w:rPr>
          <w:rFonts w:ascii="Arial" w:eastAsia="Times New Roman" w:hAnsi="Arial" w:cs="Arial"/>
          <w:sz w:val="20"/>
          <w:szCs w:val="24"/>
          <w:lang w:val="en-GB" w:eastAsia="de-DE"/>
        </w:rPr>
        <w:t xml:space="preserve"> </w:t>
      </w:r>
      <w:r w:rsidRPr="0051116D">
        <w:rPr>
          <w:rFonts w:ascii="Arial" w:eastAsia="Times New Roman" w:hAnsi="Arial" w:cs="Arial"/>
          <w:sz w:val="20"/>
          <w:szCs w:val="24"/>
          <w:lang w:val="en-GB" w:eastAsia="de-DE"/>
        </w:rPr>
        <w:t xml:space="preserve">to enhance competition among market participants, reduce information asymmetries and deliver high quality information for market users to enable them to make better informed investment decisions. Only a minor fraction of all transactions in non-equities, especially in exchange traded derivatives, should be eligible for deferred publication to maximize post-trade transparency. In addition, timely post trade transparency, meaning a publication after 15 minutes and 5 minutes in the future, should be further improved by increasing the amount of transaction data published. Further, we suggest reducing the complexity of the current framework by only allowing one timeframe for deferred publication, no matter which waiver was used. Deferral periods of up to four weeks immensely decrease the value of the respective data for market participants, as data will be outdated and thus irrelevant. Hence, we support a single </w:t>
      </w:r>
      <w:r w:rsidR="00D30ECC">
        <w:rPr>
          <w:rFonts w:ascii="Arial" w:eastAsia="Times New Roman" w:hAnsi="Arial" w:cs="Arial"/>
          <w:sz w:val="20"/>
          <w:szCs w:val="24"/>
          <w:lang w:val="en-GB" w:eastAsia="de-DE"/>
        </w:rPr>
        <w:t xml:space="preserve">deferral </w:t>
      </w:r>
      <w:r w:rsidRPr="0051116D">
        <w:rPr>
          <w:rFonts w:ascii="Arial" w:eastAsia="Times New Roman" w:hAnsi="Arial" w:cs="Arial"/>
          <w:sz w:val="20"/>
          <w:szCs w:val="24"/>
          <w:lang w:val="en-GB" w:eastAsia="de-DE"/>
        </w:rPr>
        <w:t xml:space="preserve">regime, requiring the publication of all transaction related data </w:t>
      </w:r>
      <w:r w:rsidR="00D30ECC" w:rsidRPr="00D30ECC">
        <w:rPr>
          <w:rFonts w:ascii="Arial" w:eastAsia="Times New Roman" w:hAnsi="Arial" w:cs="Arial"/>
          <w:sz w:val="20"/>
          <w:szCs w:val="24"/>
          <w:lang w:val="en-GB" w:eastAsia="de-DE"/>
        </w:rPr>
        <w:t>by the next business day</w:t>
      </w:r>
      <w:r w:rsidR="00813771">
        <w:rPr>
          <w:rFonts w:ascii="Arial" w:eastAsia="Times New Roman" w:hAnsi="Arial" w:cs="Arial"/>
          <w:sz w:val="20"/>
          <w:szCs w:val="24"/>
          <w:lang w:val="en-GB" w:eastAsia="de-DE"/>
        </w:rPr>
        <w:t xml:space="preserve"> (</w:t>
      </w:r>
      <w:r w:rsidR="00813771" w:rsidRPr="00813771">
        <w:rPr>
          <w:rFonts w:ascii="Arial" w:eastAsia="Times New Roman" w:hAnsi="Arial" w:cs="Arial"/>
          <w:sz w:val="20"/>
          <w:szCs w:val="24"/>
          <w:lang w:val="en-GB" w:eastAsia="de-DE"/>
        </w:rPr>
        <w:t>and no later than t+2</w:t>
      </w:r>
      <w:r w:rsidR="00813771">
        <w:rPr>
          <w:rFonts w:ascii="Arial" w:eastAsia="Times New Roman" w:hAnsi="Arial" w:cs="Arial"/>
          <w:sz w:val="20"/>
          <w:szCs w:val="24"/>
          <w:lang w:val="en-GB" w:eastAsia="de-DE"/>
        </w:rPr>
        <w:t>)</w:t>
      </w:r>
      <w:r w:rsidRPr="0051116D">
        <w:rPr>
          <w:rFonts w:ascii="Arial" w:eastAsia="Times New Roman" w:hAnsi="Arial" w:cs="Arial"/>
          <w:sz w:val="20"/>
          <w:szCs w:val="24"/>
          <w:lang w:val="en-GB" w:eastAsia="de-DE"/>
        </w:rPr>
        <w:t xml:space="preserve">. </w:t>
      </w:r>
    </w:p>
    <w:p w14:paraId="633DA815" w14:textId="4F661900" w:rsidR="00F9416A" w:rsidRDefault="00F9416A" w:rsidP="00AA02D7">
      <w:pPr>
        <w:spacing w:after="0" w:line="240" w:lineRule="auto"/>
        <w:jc w:val="both"/>
        <w:rPr>
          <w:rFonts w:ascii="Arial" w:eastAsia="Times New Roman" w:hAnsi="Arial" w:cs="Arial"/>
          <w:sz w:val="20"/>
          <w:szCs w:val="24"/>
          <w:lang w:val="en-GB" w:eastAsia="de-DE"/>
        </w:rPr>
      </w:pPr>
    </w:p>
    <w:p w14:paraId="0C2ECC23" w14:textId="4107B0B8" w:rsidR="00F9416A" w:rsidRDefault="00F9416A" w:rsidP="00AA02D7">
      <w:pPr>
        <w:spacing w:after="0" w:line="240" w:lineRule="auto"/>
        <w:jc w:val="both"/>
        <w:rPr>
          <w:rFonts w:ascii="Arial" w:eastAsia="Times New Roman" w:hAnsi="Arial" w:cs="Arial"/>
          <w:sz w:val="20"/>
          <w:szCs w:val="24"/>
          <w:lang w:val="en-US" w:eastAsia="de-DE"/>
        </w:rPr>
      </w:pPr>
      <w:r>
        <w:rPr>
          <w:rFonts w:ascii="Arial" w:eastAsia="Times New Roman" w:hAnsi="Arial" w:cs="Arial"/>
          <w:sz w:val="20"/>
          <w:szCs w:val="24"/>
          <w:lang w:val="en-GB" w:eastAsia="de-DE"/>
        </w:rPr>
        <w:t>In light of our recommendations to</w:t>
      </w:r>
      <w:r w:rsidRPr="007A15FC">
        <w:rPr>
          <w:rFonts w:ascii="Arial" w:eastAsia="Times New Roman" w:hAnsi="Arial" w:cs="Arial"/>
          <w:sz w:val="20"/>
          <w:szCs w:val="24"/>
          <w:lang w:val="en-GB" w:eastAsia="de-DE"/>
        </w:rPr>
        <w:t xml:space="preserve"> maximise the </w:t>
      </w:r>
      <w:r w:rsidR="0061141F">
        <w:rPr>
          <w:rFonts w:ascii="Arial" w:eastAsia="Times New Roman" w:hAnsi="Arial" w:cs="Arial"/>
          <w:sz w:val="20"/>
          <w:szCs w:val="24"/>
          <w:lang w:val="en-GB" w:eastAsia="de-DE"/>
        </w:rPr>
        <w:t xml:space="preserve">availability of </w:t>
      </w:r>
      <w:r w:rsidRPr="007A15FC">
        <w:rPr>
          <w:rFonts w:ascii="Arial" w:eastAsia="Times New Roman" w:hAnsi="Arial" w:cs="Arial"/>
          <w:sz w:val="20"/>
          <w:szCs w:val="24"/>
          <w:lang w:val="en-GB" w:eastAsia="de-DE"/>
        </w:rPr>
        <w:t>post-trade data</w:t>
      </w:r>
      <w:r>
        <w:rPr>
          <w:rFonts w:ascii="Arial" w:eastAsia="Times New Roman" w:hAnsi="Arial" w:cs="Arial"/>
          <w:sz w:val="20"/>
          <w:szCs w:val="24"/>
          <w:lang w:val="en-GB" w:eastAsia="de-DE"/>
        </w:rPr>
        <w:t xml:space="preserve">, we would like to highlight that we are not of the view that the </w:t>
      </w:r>
      <w:r w:rsidR="0061141F">
        <w:rPr>
          <w:rFonts w:ascii="Arial" w:eastAsia="Times New Roman" w:hAnsi="Arial" w:cs="Arial"/>
          <w:sz w:val="20"/>
          <w:szCs w:val="24"/>
          <w:lang w:val="en-GB" w:eastAsia="de-DE"/>
        </w:rPr>
        <w:t>additional set-up</w:t>
      </w:r>
      <w:r>
        <w:rPr>
          <w:rFonts w:ascii="Arial" w:eastAsia="Times New Roman" w:hAnsi="Arial" w:cs="Arial"/>
          <w:sz w:val="20"/>
          <w:szCs w:val="24"/>
          <w:lang w:val="en-GB" w:eastAsia="de-DE"/>
        </w:rPr>
        <w:t xml:space="preserve"> of a </w:t>
      </w:r>
      <w:r w:rsidRPr="007A15FC">
        <w:rPr>
          <w:rFonts w:ascii="Arial" w:eastAsia="Times New Roman" w:hAnsi="Arial" w:cs="Arial"/>
          <w:sz w:val="20"/>
          <w:szCs w:val="24"/>
          <w:lang w:val="en-US" w:eastAsia="de-DE"/>
        </w:rPr>
        <w:t>con</w:t>
      </w:r>
      <w:r>
        <w:rPr>
          <w:rFonts w:ascii="Arial" w:eastAsia="Times New Roman" w:hAnsi="Arial" w:cs="Arial"/>
          <w:sz w:val="20"/>
          <w:szCs w:val="24"/>
          <w:lang w:val="en-US" w:eastAsia="de-DE"/>
        </w:rPr>
        <w:t>solidated tape (CT) would help to increase transparency</w:t>
      </w:r>
      <w:r w:rsidR="00AA02D7">
        <w:rPr>
          <w:rFonts w:ascii="Arial" w:eastAsia="Times New Roman" w:hAnsi="Arial" w:cs="Arial"/>
          <w:sz w:val="20"/>
          <w:szCs w:val="24"/>
          <w:lang w:val="en-US" w:eastAsia="de-DE"/>
        </w:rPr>
        <w:t xml:space="preserve"> of EU markets per se</w:t>
      </w:r>
      <w:r>
        <w:rPr>
          <w:rFonts w:ascii="Arial" w:eastAsia="Times New Roman" w:hAnsi="Arial" w:cs="Arial"/>
          <w:sz w:val="20"/>
          <w:szCs w:val="24"/>
          <w:lang w:val="en-US" w:eastAsia="de-DE"/>
        </w:rPr>
        <w:t xml:space="preserve">. </w:t>
      </w:r>
      <w:r w:rsidR="00DE06EC">
        <w:rPr>
          <w:rFonts w:ascii="Arial" w:eastAsia="Times New Roman" w:hAnsi="Arial" w:cs="Arial"/>
          <w:sz w:val="20"/>
          <w:szCs w:val="24"/>
          <w:lang w:val="en-US" w:eastAsia="de-DE"/>
        </w:rPr>
        <w:t xml:space="preserve">Hence, </w:t>
      </w:r>
      <w:r>
        <w:rPr>
          <w:rFonts w:ascii="Arial" w:eastAsia="Times New Roman" w:hAnsi="Arial" w:cs="Arial"/>
          <w:sz w:val="20"/>
          <w:szCs w:val="24"/>
          <w:lang w:val="en-US" w:eastAsia="de-DE"/>
        </w:rPr>
        <w:t>DBG would like to point out that we do</w:t>
      </w:r>
      <w:r w:rsidRPr="007A15FC">
        <w:rPr>
          <w:rFonts w:ascii="Arial" w:eastAsia="Times New Roman" w:hAnsi="Arial" w:cs="Arial"/>
          <w:sz w:val="20"/>
          <w:szCs w:val="24"/>
          <w:lang w:val="en-US" w:eastAsia="de-DE"/>
        </w:rPr>
        <w:t xml:space="preserve"> not support a real-time pre- </w:t>
      </w:r>
      <w:r>
        <w:rPr>
          <w:rFonts w:ascii="Arial" w:eastAsia="Times New Roman" w:hAnsi="Arial" w:cs="Arial"/>
          <w:sz w:val="20"/>
          <w:szCs w:val="24"/>
          <w:lang w:val="en-US" w:eastAsia="de-DE"/>
        </w:rPr>
        <w:t>or</w:t>
      </w:r>
      <w:r w:rsidRPr="007A15FC">
        <w:rPr>
          <w:rFonts w:ascii="Arial" w:eastAsia="Times New Roman" w:hAnsi="Arial" w:cs="Arial"/>
          <w:sz w:val="20"/>
          <w:szCs w:val="24"/>
          <w:lang w:val="en-US" w:eastAsia="de-DE"/>
        </w:rPr>
        <w:t xml:space="preserve"> post-trade CT for </w:t>
      </w:r>
      <w:r>
        <w:rPr>
          <w:rFonts w:ascii="Arial" w:eastAsia="Times New Roman" w:hAnsi="Arial" w:cs="Arial"/>
          <w:sz w:val="20"/>
          <w:szCs w:val="24"/>
          <w:lang w:val="en-US" w:eastAsia="de-DE"/>
        </w:rPr>
        <w:t>any</w:t>
      </w:r>
      <w:r w:rsidRPr="007A15FC">
        <w:rPr>
          <w:rFonts w:ascii="Arial" w:eastAsia="Times New Roman" w:hAnsi="Arial" w:cs="Arial"/>
          <w:sz w:val="20"/>
          <w:szCs w:val="24"/>
          <w:lang w:val="en-US" w:eastAsia="de-DE"/>
        </w:rPr>
        <w:t xml:space="preserve"> asset class</w:t>
      </w:r>
      <w:r>
        <w:rPr>
          <w:rFonts w:ascii="Arial" w:eastAsia="Times New Roman" w:hAnsi="Arial" w:cs="Arial"/>
          <w:sz w:val="20"/>
          <w:szCs w:val="24"/>
          <w:lang w:val="en-US" w:eastAsia="de-DE"/>
        </w:rPr>
        <w:t xml:space="preserve">. </w:t>
      </w:r>
      <w:r w:rsidRPr="007A15FC">
        <w:rPr>
          <w:rFonts w:ascii="Arial" w:eastAsia="Times New Roman" w:hAnsi="Arial" w:cs="Arial"/>
          <w:sz w:val="20"/>
          <w:szCs w:val="24"/>
          <w:lang w:val="en-US" w:eastAsia="de-DE"/>
        </w:rPr>
        <w:t>Rather</w:t>
      </w:r>
      <w:r>
        <w:rPr>
          <w:rFonts w:ascii="Arial" w:eastAsia="Times New Roman" w:hAnsi="Arial" w:cs="Arial"/>
          <w:sz w:val="20"/>
          <w:szCs w:val="24"/>
          <w:lang w:val="en-US" w:eastAsia="de-DE"/>
        </w:rPr>
        <w:t xml:space="preserve"> than any CT</w:t>
      </w:r>
      <w:r w:rsidRPr="007A15FC">
        <w:rPr>
          <w:rFonts w:ascii="Arial" w:eastAsia="Times New Roman" w:hAnsi="Arial" w:cs="Arial"/>
          <w:sz w:val="20"/>
          <w:szCs w:val="24"/>
          <w:lang w:val="en-US" w:eastAsia="de-DE"/>
        </w:rPr>
        <w:t xml:space="preserve">, we consider the improvement of off-venue </w:t>
      </w:r>
      <w:r w:rsidRPr="007A15FC">
        <w:rPr>
          <w:rFonts w:ascii="Arial" w:eastAsia="Times New Roman" w:hAnsi="Arial" w:cs="Arial"/>
          <w:sz w:val="20"/>
          <w:szCs w:val="24"/>
          <w:lang w:val="en-US" w:eastAsia="de-DE"/>
        </w:rPr>
        <w:lastRenderedPageBreak/>
        <w:t xml:space="preserve">data quality </w:t>
      </w:r>
      <w:r w:rsidR="0061141F">
        <w:rPr>
          <w:rFonts w:ascii="Arial" w:eastAsia="Times New Roman" w:hAnsi="Arial" w:cs="Arial"/>
          <w:sz w:val="20"/>
          <w:szCs w:val="24"/>
          <w:lang w:val="en-US" w:eastAsia="de-DE"/>
        </w:rPr>
        <w:t xml:space="preserve">and timely availability </w:t>
      </w:r>
      <w:r w:rsidRPr="005D43BF">
        <w:rPr>
          <w:rFonts w:ascii="Arial" w:eastAsia="Times New Roman" w:hAnsi="Arial" w:cs="Arial"/>
          <w:sz w:val="20"/>
          <w:szCs w:val="24"/>
          <w:lang w:val="en-US" w:eastAsia="de-DE"/>
        </w:rPr>
        <w:t xml:space="preserve">in the parts of the markets </w:t>
      </w:r>
      <w:r>
        <w:rPr>
          <w:rFonts w:ascii="Arial" w:eastAsia="Times New Roman" w:hAnsi="Arial" w:cs="Arial"/>
          <w:sz w:val="20"/>
          <w:szCs w:val="24"/>
          <w:lang w:val="en-US" w:eastAsia="de-DE"/>
        </w:rPr>
        <w:t xml:space="preserve">that are still highly opaque today </w:t>
      </w:r>
      <w:r w:rsidRPr="007A15FC">
        <w:rPr>
          <w:rFonts w:ascii="Arial" w:eastAsia="Times New Roman" w:hAnsi="Arial" w:cs="Arial"/>
          <w:sz w:val="20"/>
          <w:szCs w:val="24"/>
          <w:lang w:val="en-US" w:eastAsia="de-DE"/>
        </w:rPr>
        <w:t xml:space="preserve">as an essential element to bring transparency in equity and non-equity markets forward. </w:t>
      </w:r>
      <w:r w:rsidRPr="00C003A9">
        <w:rPr>
          <w:rFonts w:ascii="Arial" w:eastAsia="Times New Roman" w:hAnsi="Arial" w:cs="Arial"/>
          <w:sz w:val="20"/>
          <w:szCs w:val="24"/>
          <w:lang w:val="en-US" w:eastAsia="de-DE"/>
        </w:rPr>
        <w:t>While on-venue data is unrivalled in terms of quality, timeliness and depth</w:t>
      </w:r>
      <w:r>
        <w:rPr>
          <w:rFonts w:ascii="Arial" w:eastAsia="Times New Roman" w:hAnsi="Arial" w:cs="Arial"/>
          <w:sz w:val="20"/>
          <w:szCs w:val="24"/>
          <w:lang w:val="en-US" w:eastAsia="de-DE"/>
        </w:rPr>
        <w:t xml:space="preserve">, one of the current major impediments to any tape is the </w:t>
      </w:r>
      <w:r w:rsidRPr="005D43BF">
        <w:rPr>
          <w:rFonts w:ascii="Arial" w:eastAsia="Times New Roman" w:hAnsi="Arial" w:cs="Arial"/>
          <w:sz w:val="20"/>
          <w:szCs w:val="24"/>
          <w:lang w:val="en-US" w:eastAsia="de-DE"/>
        </w:rPr>
        <w:t>lacking availability of off-venue data</w:t>
      </w:r>
      <w:r w:rsidR="00AA02D7">
        <w:rPr>
          <w:rFonts w:ascii="Arial" w:eastAsia="Times New Roman" w:hAnsi="Arial" w:cs="Arial"/>
          <w:sz w:val="20"/>
          <w:szCs w:val="24"/>
          <w:lang w:val="en-US" w:eastAsia="de-DE"/>
        </w:rPr>
        <w:t>,</w:t>
      </w:r>
      <w:r w:rsidRPr="005D43BF">
        <w:rPr>
          <w:rFonts w:ascii="Arial" w:eastAsia="Times New Roman" w:hAnsi="Arial" w:cs="Arial"/>
          <w:sz w:val="20"/>
          <w:szCs w:val="24"/>
          <w:lang w:val="en-US" w:eastAsia="de-DE"/>
        </w:rPr>
        <w:t xml:space="preserve"> which is of sufficient quality</w:t>
      </w:r>
      <w:r w:rsidR="00AA02D7">
        <w:rPr>
          <w:rFonts w:ascii="Arial" w:eastAsia="Times New Roman" w:hAnsi="Arial" w:cs="Arial"/>
          <w:sz w:val="20"/>
          <w:szCs w:val="24"/>
          <w:lang w:val="en-US" w:eastAsia="de-DE"/>
        </w:rPr>
        <w:t>,</w:t>
      </w:r>
      <w:r w:rsidRPr="005D43BF">
        <w:rPr>
          <w:rFonts w:ascii="Arial" w:eastAsia="Times New Roman" w:hAnsi="Arial" w:cs="Arial"/>
          <w:sz w:val="20"/>
          <w:szCs w:val="24"/>
          <w:lang w:val="en-US" w:eastAsia="de-DE"/>
        </w:rPr>
        <w:t xml:space="preserve"> and data of certain instruments. </w:t>
      </w:r>
      <w:r>
        <w:rPr>
          <w:rFonts w:ascii="Arial" w:eastAsia="Times New Roman" w:hAnsi="Arial" w:cs="Arial"/>
          <w:sz w:val="20"/>
          <w:szCs w:val="24"/>
          <w:lang w:val="en-US" w:eastAsia="de-DE"/>
        </w:rPr>
        <w:t>In this context, i</w:t>
      </w:r>
      <w:r w:rsidRPr="005D43BF">
        <w:rPr>
          <w:rFonts w:ascii="Arial" w:eastAsia="Times New Roman" w:hAnsi="Arial" w:cs="Arial"/>
          <w:sz w:val="20"/>
          <w:szCs w:val="24"/>
          <w:lang w:val="en-US" w:eastAsia="de-DE"/>
        </w:rPr>
        <w:t>t is of essence that the relevant data is made available to the public at a reliable and timely quality</w:t>
      </w:r>
      <w:r>
        <w:rPr>
          <w:rFonts w:ascii="Arial" w:eastAsia="Times New Roman" w:hAnsi="Arial" w:cs="Arial"/>
          <w:sz w:val="20"/>
          <w:szCs w:val="24"/>
          <w:lang w:val="en-US" w:eastAsia="de-DE"/>
        </w:rPr>
        <w:t>,</w:t>
      </w:r>
      <w:r w:rsidRPr="00C003A9">
        <w:rPr>
          <w:lang w:val="en-US"/>
        </w:rPr>
        <w:t xml:space="preserve"> </w:t>
      </w:r>
      <w:r w:rsidRPr="00C003A9">
        <w:rPr>
          <w:rFonts w:ascii="Arial" w:eastAsia="Times New Roman" w:hAnsi="Arial" w:cs="Arial"/>
          <w:sz w:val="20"/>
          <w:szCs w:val="24"/>
          <w:lang w:val="en-US" w:eastAsia="de-DE"/>
        </w:rPr>
        <w:t>across asset classes and across all execution venues (</w:t>
      </w:r>
      <w:r>
        <w:rPr>
          <w:rFonts w:ascii="Arial" w:eastAsia="Times New Roman" w:hAnsi="Arial" w:cs="Arial"/>
          <w:sz w:val="20"/>
          <w:szCs w:val="24"/>
          <w:lang w:val="en-US" w:eastAsia="de-DE"/>
        </w:rPr>
        <w:t>particularly</w:t>
      </w:r>
      <w:r w:rsidRPr="00C003A9">
        <w:rPr>
          <w:rFonts w:ascii="Arial" w:eastAsia="Times New Roman" w:hAnsi="Arial" w:cs="Arial"/>
          <w:sz w:val="20"/>
          <w:szCs w:val="24"/>
          <w:lang w:val="en-US" w:eastAsia="de-DE"/>
        </w:rPr>
        <w:t xml:space="preserve"> SIs and OTC)</w:t>
      </w:r>
      <w:r>
        <w:rPr>
          <w:rFonts w:ascii="Arial" w:eastAsia="Times New Roman" w:hAnsi="Arial" w:cs="Arial"/>
          <w:sz w:val="20"/>
          <w:szCs w:val="24"/>
          <w:lang w:val="en-US" w:eastAsia="de-DE"/>
        </w:rPr>
        <w:t>.</w:t>
      </w:r>
      <w:r w:rsidRPr="005D43BF">
        <w:rPr>
          <w:rFonts w:ascii="Arial" w:eastAsia="Times New Roman" w:hAnsi="Arial" w:cs="Arial"/>
          <w:sz w:val="20"/>
          <w:szCs w:val="24"/>
          <w:lang w:val="en-US" w:eastAsia="de-DE"/>
        </w:rPr>
        <w:t xml:space="preserve"> </w:t>
      </w:r>
    </w:p>
    <w:p w14:paraId="7A5A2497" w14:textId="77777777" w:rsidR="00F9416A" w:rsidRDefault="00F9416A" w:rsidP="00AA02D7">
      <w:pPr>
        <w:spacing w:after="0" w:line="240" w:lineRule="auto"/>
        <w:jc w:val="both"/>
        <w:rPr>
          <w:rFonts w:ascii="Arial" w:eastAsia="Times New Roman" w:hAnsi="Arial" w:cs="Arial"/>
          <w:sz w:val="20"/>
          <w:szCs w:val="24"/>
          <w:lang w:val="en-US" w:eastAsia="de-DE"/>
        </w:rPr>
      </w:pPr>
    </w:p>
    <w:p w14:paraId="6F3AB8CD" w14:textId="18F0C99C" w:rsidR="00F9416A" w:rsidRPr="00510E6E" w:rsidRDefault="00F9416A" w:rsidP="00D30ECC">
      <w:pPr>
        <w:spacing w:after="0" w:line="240" w:lineRule="auto"/>
        <w:jc w:val="both"/>
        <w:rPr>
          <w:rFonts w:ascii="Arial" w:eastAsia="Times New Roman" w:hAnsi="Arial" w:cs="Arial"/>
          <w:sz w:val="20"/>
          <w:szCs w:val="20"/>
          <w:lang w:val="en-US" w:eastAsia="de-DE"/>
        </w:rPr>
      </w:pPr>
      <w:r w:rsidRPr="007A15FC">
        <w:rPr>
          <w:rFonts w:ascii="Arial" w:eastAsia="Times New Roman" w:hAnsi="Arial" w:cs="Arial"/>
          <w:sz w:val="20"/>
          <w:szCs w:val="24"/>
          <w:lang w:val="en-US" w:eastAsia="de-DE"/>
        </w:rPr>
        <w:t>Based on improved off-venue data quality, DBG recommends a Tape of Record as a viable alternative which would be a significantly less complex and costly technical set-up, while providing a comprehensive database to the benefit of the entire industry</w:t>
      </w:r>
      <w:r>
        <w:rPr>
          <w:rFonts w:ascii="Arial" w:eastAsia="Times New Roman" w:hAnsi="Arial" w:cs="Arial"/>
          <w:sz w:val="20"/>
          <w:szCs w:val="24"/>
          <w:lang w:val="en-US" w:eastAsia="de-DE"/>
        </w:rPr>
        <w:t>. I</w:t>
      </w:r>
      <w:r w:rsidRPr="00C003A9">
        <w:rPr>
          <w:rFonts w:ascii="Arial" w:eastAsia="Times New Roman" w:hAnsi="Arial" w:cs="Arial"/>
          <w:sz w:val="20"/>
          <w:szCs w:val="24"/>
          <w:lang w:val="en-US" w:eastAsia="de-DE"/>
        </w:rPr>
        <w:t xml:space="preserve">n case a </w:t>
      </w:r>
      <w:r>
        <w:rPr>
          <w:rFonts w:ascii="Arial" w:eastAsia="Times New Roman" w:hAnsi="Arial" w:cs="Arial"/>
          <w:sz w:val="20"/>
          <w:szCs w:val="24"/>
          <w:lang w:val="en-US" w:eastAsia="de-DE"/>
        </w:rPr>
        <w:t>such a tape</w:t>
      </w:r>
      <w:r w:rsidRPr="00C003A9">
        <w:rPr>
          <w:rFonts w:ascii="Arial" w:eastAsia="Times New Roman" w:hAnsi="Arial" w:cs="Arial"/>
          <w:sz w:val="20"/>
          <w:szCs w:val="24"/>
          <w:lang w:val="en-US" w:eastAsia="de-DE"/>
        </w:rPr>
        <w:t xml:space="preserve"> should be created, we would deem it most sensible to consider starting in those </w:t>
      </w:r>
      <w:r>
        <w:rPr>
          <w:rFonts w:ascii="Arial" w:eastAsia="Times New Roman" w:hAnsi="Arial" w:cs="Arial"/>
          <w:sz w:val="20"/>
          <w:szCs w:val="24"/>
          <w:lang w:val="en-US" w:eastAsia="de-DE"/>
        </w:rPr>
        <w:t xml:space="preserve">market </w:t>
      </w:r>
      <w:r w:rsidRPr="00C003A9">
        <w:rPr>
          <w:rFonts w:ascii="Arial" w:eastAsia="Times New Roman" w:hAnsi="Arial" w:cs="Arial"/>
          <w:sz w:val="20"/>
          <w:szCs w:val="24"/>
          <w:lang w:val="en-US" w:eastAsia="de-DE"/>
        </w:rPr>
        <w:t>areas where there is currently no or hardly any transparency, and where information is important as well for funding of the economy, such as for example bonds</w:t>
      </w:r>
      <w:r w:rsidR="00D30ECC" w:rsidRPr="00813771">
        <w:rPr>
          <w:rFonts w:ascii="Arial" w:hAnsi="Arial" w:cs="Arial"/>
          <w:sz w:val="20"/>
          <w:szCs w:val="20"/>
          <w:lang w:val="en-US"/>
        </w:rPr>
        <w:t>, whereas</w:t>
      </w:r>
      <w:r w:rsidR="00D30ECC" w:rsidRPr="00813771">
        <w:rPr>
          <w:rFonts w:ascii="Arial" w:eastAsia="Times New Roman" w:hAnsi="Arial" w:cs="Arial"/>
          <w:sz w:val="20"/>
          <w:szCs w:val="20"/>
          <w:lang w:val="en-US" w:eastAsia="de-DE"/>
        </w:rPr>
        <w:t xml:space="preserve"> where instruments are “unique” such as in</w:t>
      </w:r>
      <w:r w:rsidR="00D30ECC" w:rsidRPr="00510E6E">
        <w:rPr>
          <w:rFonts w:ascii="Arial" w:eastAsia="Times New Roman" w:hAnsi="Arial" w:cs="Arial"/>
          <w:sz w:val="20"/>
          <w:szCs w:val="20"/>
          <w:lang w:val="en-US" w:eastAsia="de-DE"/>
        </w:rPr>
        <w:t xml:space="preserve"> a large part of the derivatives markets, a consolidated view is probably not sensible at all.</w:t>
      </w:r>
    </w:p>
    <w:p w14:paraId="5962E41E" w14:textId="77777777" w:rsidR="005710E2" w:rsidRPr="0051116D" w:rsidRDefault="005710E2" w:rsidP="00AA02D7">
      <w:pPr>
        <w:spacing w:after="0" w:line="240" w:lineRule="auto"/>
        <w:jc w:val="both"/>
        <w:rPr>
          <w:rFonts w:ascii="Arial" w:eastAsia="Times New Roman" w:hAnsi="Arial" w:cs="Arial"/>
          <w:sz w:val="20"/>
          <w:szCs w:val="24"/>
          <w:lang w:val="en-GB" w:eastAsia="de-DE"/>
        </w:rPr>
      </w:pPr>
    </w:p>
    <w:p w14:paraId="3759F29A" w14:textId="353BE150" w:rsidR="008471CF" w:rsidRPr="008471CF" w:rsidRDefault="008471CF" w:rsidP="008471CF">
      <w:pPr>
        <w:spacing w:after="0" w:line="240" w:lineRule="auto"/>
        <w:jc w:val="both"/>
        <w:rPr>
          <w:rFonts w:ascii="Arial" w:eastAsia="Times New Roman" w:hAnsi="Arial" w:cs="Arial"/>
          <w:b/>
          <w:sz w:val="20"/>
          <w:szCs w:val="24"/>
          <w:u w:val="single"/>
          <w:lang w:val="en-GB" w:eastAsia="de-DE"/>
        </w:rPr>
      </w:pPr>
      <w:r w:rsidRPr="008471CF">
        <w:rPr>
          <w:rFonts w:ascii="Arial" w:eastAsia="Times New Roman" w:hAnsi="Arial" w:cs="Arial"/>
          <w:b/>
          <w:sz w:val="20"/>
          <w:szCs w:val="24"/>
          <w:u w:val="single"/>
          <w:lang w:val="en-GB" w:eastAsia="de-DE"/>
        </w:rPr>
        <w:t xml:space="preserve">Adaptions </w:t>
      </w:r>
      <w:r>
        <w:rPr>
          <w:rFonts w:ascii="Arial" w:eastAsia="Times New Roman" w:hAnsi="Arial" w:cs="Arial"/>
          <w:b/>
          <w:sz w:val="20"/>
          <w:szCs w:val="24"/>
          <w:u w:val="single"/>
          <w:lang w:val="en-GB" w:eastAsia="de-DE"/>
        </w:rPr>
        <w:t>to</w:t>
      </w:r>
      <w:r w:rsidRPr="008471CF">
        <w:rPr>
          <w:rFonts w:ascii="Arial" w:eastAsia="Times New Roman" w:hAnsi="Arial" w:cs="Arial"/>
          <w:b/>
          <w:sz w:val="20"/>
          <w:szCs w:val="24"/>
          <w:u w:val="single"/>
          <w:lang w:val="en-GB" w:eastAsia="de-DE"/>
        </w:rPr>
        <w:t xml:space="preserve"> the commodity derivatives regime:</w:t>
      </w:r>
    </w:p>
    <w:p w14:paraId="21432644" w14:textId="77777777" w:rsidR="000B45A5" w:rsidRDefault="008471CF" w:rsidP="008471CF">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In order to tailor the pre-trade transparency regime in particular to commodity derivatives, next to the review of the currently ill-calibrated methodology to determine LIS thresholds for most commodity derivatives</w:t>
      </w:r>
      <w:r w:rsidR="005C22D6">
        <w:rPr>
          <w:rFonts w:ascii="Arial" w:eastAsia="Times New Roman" w:hAnsi="Arial" w:cs="Arial"/>
          <w:sz w:val="20"/>
          <w:szCs w:val="24"/>
          <w:lang w:val="en-GB" w:eastAsia="de-DE"/>
        </w:rPr>
        <w:t xml:space="preserve"> mentioned above</w:t>
      </w:r>
      <w:r>
        <w:rPr>
          <w:rFonts w:ascii="Arial" w:eastAsia="Times New Roman" w:hAnsi="Arial" w:cs="Arial"/>
          <w:sz w:val="20"/>
          <w:szCs w:val="24"/>
          <w:lang w:val="en-GB" w:eastAsia="de-DE"/>
        </w:rPr>
        <w:t xml:space="preserve">, we support ESMA’s proposal to introduce a commodity specific pre-negotiated trade waiver. However, such a waiver should not replace the hedging exemption. </w:t>
      </w:r>
    </w:p>
    <w:p w14:paraId="6678B88C" w14:textId="77777777" w:rsidR="000B45A5" w:rsidRDefault="000B45A5" w:rsidP="008471CF">
      <w:pPr>
        <w:spacing w:after="0" w:line="240" w:lineRule="auto"/>
        <w:jc w:val="both"/>
        <w:rPr>
          <w:rFonts w:ascii="Arial" w:eastAsia="Times New Roman" w:hAnsi="Arial" w:cs="Arial"/>
          <w:sz w:val="20"/>
          <w:szCs w:val="24"/>
          <w:lang w:val="en-GB" w:eastAsia="de-DE"/>
        </w:rPr>
      </w:pPr>
    </w:p>
    <w:p w14:paraId="10BCE07B" w14:textId="281FC942" w:rsidR="008471CF" w:rsidRDefault="008471CF" w:rsidP="008471CF">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 xml:space="preserve">Rather, we recommend </w:t>
      </w:r>
      <w:r w:rsidRPr="0051116D">
        <w:rPr>
          <w:rFonts w:ascii="Arial" w:eastAsia="Times New Roman" w:hAnsi="Arial" w:cs="Arial"/>
          <w:sz w:val="20"/>
          <w:szCs w:val="24"/>
          <w:lang w:val="en-GB" w:eastAsia="de-DE"/>
        </w:rPr>
        <w:t>a widened hedging exemption for financial counterparties</w:t>
      </w:r>
      <w:r>
        <w:rPr>
          <w:rFonts w:ascii="Arial" w:eastAsia="Times New Roman" w:hAnsi="Arial" w:cs="Arial"/>
          <w:sz w:val="20"/>
          <w:szCs w:val="24"/>
          <w:lang w:val="en-GB" w:eastAsia="de-DE"/>
        </w:rPr>
        <w:t>, to</w:t>
      </w:r>
      <w:r w:rsidRPr="00A956C1">
        <w:rPr>
          <w:rFonts w:ascii="Arial" w:eastAsia="Times New Roman" w:hAnsi="Arial" w:cs="Arial"/>
          <w:sz w:val="20"/>
          <w:szCs w:val="24"/>
          <w:lang w:val="en-GB" w:eastAsia="de-DE"/>
        </w:rPr>
        <w:t xml:space="preserve"> allow </w:t>
      </w:r>
      <w:r>
        <w:rPr>
          <w:rFonts w:ascii="Arial" w:eastAsia="Times New Roman" w:hAnsi="Arial" w:cs="Arial"/>
          <w:sz w:val="20"/>
          <w:szCs w:val="24"/>
          <w:lang w:val="en-GB" w:eastAsia="de-DE"/>
        </w:rPr>
        <w:t>for the continued formation</w:t>
      </w:r>
      <w:r w:rsidRPr="00A956C1">
        <w:rPr>
          <w:rFonts w:ascii="Arial" w:eastAsia="Times New Roman" w:hAnsi="Arial" w:cs="Arial"/>
          <w:sz w:val="20"/>
          <w:szCs w:val="24"/>
          <w:lang w:val="en-GB" w:eastAsia="de-DE"/>
        </w:rPr>
        <w:t xml:space="preserve"> of liquidity in the order book without jeopardizing the ability of commodity derivatives markets to fulfil their function</w:t>
      </w:r>
      <w:r>
        <w:rPr>
          <w:rFonts w:ascii="Arial" w:eastAsia="Times New Roman" w:hAnsi="Arial" w:cs="Arial"/>
          <w:sz w:val="20"/>
          <w:szCs w:val="24"/>
          <w:lang w:val="en-GB" w:eastAsia="de-DE"/>
        </w:rPr>
        <w:t>.</w:t>
      </w:r>
    </w:p>
    <w:p w14:paraId="49485A02" w14:textId="77777777" w:rsidR="008471CF" w:rsidRDefault="008471CF" w:rsidP="008471CF">
      <w:pPr>
        <w:spacing w:after="0" w:line="240" w:lineRule="auto"/>
        <w:jc w:val="both"/>
        <w:rPr>
          <w:rFonts w:ascii="Arial" w:eastAsia="Times New Roman" w:hAnsi="Arial" w:cs="Arial"/>
          <w:sz w:val="20"/>
          <w:szCs w:val="24"/>
          <w:lang w:val="en-GB" w:eastAsia="de-DE"/>
        </w:rPr>
      </w:pPr>
    </w:p>
    <w:p w14:paraId="69698553" w14:textId="1A8BE246" w:rsidR="008471CF" w:rsidRPr="008471CF" w:rsidRDefault="008471CF" w:rsidP="00AA02D7">
      <w:pPr>
        <w:spacing w:after="0" w:line="240" w:lineRule="auto"/>
        <w:jc w:val="both"/>
        <w:rPr>
          <w:rFonts w:ascii="Arial" w:eastAsia="Times New Roman" w:hAnsi="Arial" w:cs="Arial"/>
          <w:b/>
          <w:sz w:val="20"/>
          <w:szCs w:val="24"/>
          <w:u w:val="single"/>
          <w:lang w:val="en-GB" w:eastAsia="de-DE"/>
        </w:rPr>
      </w:pPr>
      <w:r w:rsidRPr="008471CF">
        <w:rPr>
          <w:rFonts w:ascii="Arial" w:eastAsia="Times New Roman" w:hAnsi="Arial" w:cs="Arial"/>
          <w:b/>
          <w:sz w:val="20"/>
          <w:szCs w:val="24"/>
          <w:u w:val="single"/>
          <w:lang w:val="en-GB" w:eastAsia="de-DE"/>
        </w:rPr>
        <w:t xml:space="preserve">Adaptions to the </w:t>
      </w:r>
      <w:r w:rsidR="000B45A5">
        <w:rPr>
          <w:rFonts w:ascii="Arial" w:eastAsia="Times New Roman" w:hAnsi="Arial" w:cs="Arial"/>
          <w:b/>
          <w:sz w:val="20"/>
          <w:szCs w:val="24"/>
          <w:u w:val="single"/>
          <w:lang w:val="en-GB" w:eastAsia="de-DE"/>
        </w:rPr>
        <w:t xml:space="preserve">transparency </w:t>
      </w:r>
      <w:r w:rsidRPr="008471CF">
        <w:rPr>
          <w:rFonts w:ascii="Arial" w:eastAsia="Times New Roman" w:hAnsi="Arial" w:cs="Arial"/>
          <w:b/>
          <w:sz w:val="20"/>
          <w:szCs w:val="24"/>
          <w:u w:val="single"/>
          <w:lang w:val="en-GB" w:eastAsia="de-DE"/>
        </w:rPr>
        <w:t>regime for bonds:</w:t>
      </w:r>
    </w:p>
    <w:p w14:paraId="4F42E6A8" w14:textId="34D4F937" w:rsidR="00314C10" w:rsidRDefault="0051116D" w:rsidP="00AA02D7">
      <w:pPr>
        <w:spacing w:after="0" w:line="240" w:lineRule="auto"/>
        <w:jc w:val="both"/>
        <w:rPr>
          <w:lang w:val="en-US"/>
        </w:rPr>
      </w:pPr>
      <w:r w:rsidRPr="0051116D">
        <w:rPr>
          <w:rFonts w:ascii="Arial" w:eastAsia="Times New Roman" w:hAnsi="Arial" w:cs="Arial"/>
          <w:sz w:val="20"/>
          <w:szCs w:val="24"/>
          <w:lang w:val="en-GB" w:eastAsia="de-DE"/>
        </w:rPr>
        <w:t xml:space="preserve">Regarding bonds, </w:t>
      </w:r>
      <w:r w:rsidR="00963CA1" w:rsidRPr="00963CA1">
        <w:rPr>
          <w:rFonts w:ascii="Arial" w:eastAsia="Times New Roman" w:hAnsi="Arial" w:cs="Arial"/>
          <w:sz w:val="20"/>
          <w:szCs w:val="24"/>
          <w:lang w:val="en-GB" w:eastAsia="de-DE"/>
        </w:rPr>
        <w:t xml:space="preserve">DBG agrees with ESMA’s assessment that </w:t>
      </w:r>
      <w:r w:rsidR="00963CA1">
        <w:rPr>
          <w:rFonts w:ascii="Arial" w:eastAsia="Times New Roman" w:hAnsi="Arial" w:cs="Arial"/>
          <w:sz w:val="20"/>
          <w:szCs w:val="24"/>
          <w:lang w:val="en-GB" w:eastAsia="de-DE"/>
        </w:rPr>
        <w:t xml:space="preserve">the </w:t>
      </w:r>
      <w:r w:rsidR="00963CA1" w:rsidRPr="00963CA1">
        <w:rPr>
          <w:rFonts w:ascii="Arial" w:eastAsia="Times New Roman" w:hAnsi="Arial" w:cs="Arial"/>
          <w:sz w:val="20"/>
          <w:szCs w:val="24"/>
          <w:lang w:val="en-GB" w:eastAsia="de-DE"/>
        </w:rPr>
        <w:t xml:space="preserve">current level of pre- and post-trade transparency for bonds is very low </w:t>
      </w:r>
      <w:r w:rsidR="00963CA1">
        <w:rPr>
          <w:rFonts w:ascii="Arial" w:eastAsia="Times New Roman" w:hAnsi="Arial" w:cs="Arial"/>
          <w:sz w:val="20"/>
          <w:szCs w:val="24"/>
          <w:lang w:val="en-GB" w:eastAsia="de-DE"/>
        </w:rPr>
        <w:t xml:space="preserve">given that </w:t>
      </w:r>
      <w:r w:rsidR="00963CA1" w:rsidRPr="00963CA1">
        <w:rPr>
          <w:rFonts w:ascii="Arial" w:eastAsia="Times New Roman" w:hAnsi="Arial" w:cs="Arial"/>
          <w:sz w:val="20"/>
          <w:szCs w:val="24"/>
          <w:lang w:val="en-GB" w:eastAsia="de-DE"/>
        </w:rPr>
        <w:t>too many bonds are defined as illiquid</w:t>
      </w:r>
      <w:r w:rsidR="00963CA1">
        <w:rPr>
          <w:rFonts w:ascii="Arial" w:eastAsia="Times New Roman" w:hAnsi="Arial" w:cs="Arial"/>
          <w:sz w:val="20"/>
          <w:szCs w:val="24"/>
          <w:lang w:val="en-GB" w:eastAsia="de-DE"/>
        </w:rPr>
        <w:t xml:space="preserve">. Therefore, we recommend a review of the liquidity assessment of bonds </w:t>
      </w:r>
      <w:r w:rsidR="00963CA1" w:rsidRPr="00963CA1">
        <w:rPr>
          <w:rFonts w:ascii="Arial" w:eastAsia="Times New Roman" w:hAnsi="Arial" w:cs="Arial"/>
          <w:sz w:val="20"/>
          <w:szCs w:val="24"/>
          <w:lang w:val="en-GB" w:eastAsia="de-DE"/>
        </w:rPr>
        <w:t>to increase the number of bonds that are deemed liquid and subject to the transparency requirements</w:t>
      </w:r>
      <w:r w:rsidR="00963CA1">
        <w:rPr>
          <w:rFonts w:ascii="Arial" w:eastAsia="Times New Roman" w:hAnsi="Arial" w:cs="Arial"/>
          <w:sz w:val="20"/>
          <w:szCs w:val="24"/>
          <w:lang w:val="en-GB" w:eastAsia="de-DE"/>
        </w:rPr>
        <w:t>. W</w:t>
      </w:r>
      <w:r w:rsidR="00C94413" w:rsidRPr="0051116D">
        <w:rPr>
          <w:rFonts w:ascii="Arial" w:eastAsia="Times New Roman" w:hAnsi="Arial" w:cs="Arial"/>
          <w:sz w:val="20"/>
          <w:szCs w:val="24"/>
          <w:lang w:val="en-GB" w:eastAsia="de-DE"/>
        </w:rPr>
        <w:t>e support</w:t>
      </w:r>
      <w:r w:rsidR="00963CA1">
        <w:rPr>
          <w:rFonts w:ascii="Arial" w:eastAsia="Times New Roman" w:hAnsi="Arial" w:cs="Arial"/>
          <w:sz w:val="20"/>
          <w:szCs w:val="24"/>
          <w:lang w:val="en-GB" w:eastAsia="de-DE"/>
        </w:rPr>
        <w:t xml:space="preserve"> in this context</w:t>
      </w:r>
      <w:r w:rsidR="00C94413" w:rsidRPr="0051116D">
        <w:rPr>
          <w:rFonts w:ascii="Arial" w:eastAsia="Times New Roman" w:hAnsi="Arial" w:cs="Arial"/>
          <w:sz w:val="20"/>
          <w:szCs w:val="24"/>
          <w:lang w:val="en-GB" w:eastAsia="de-DE"/>
        </w:rPr>
        <w:t xml:space="preserve"> ESMA’s proposal to move to the S2 phase for the liquidity test to increase the share of bonds defined as liquid, although </w:t>
      </w:r>
      <w:r w:rsidR="00AA02D7">
        <w:rPr>
          <w:rFonts w:ascii="Arial" w:eastAsia="Times New Roman" w:hAnsi="Arial" w:cs="Arial"/>
          <w:sz w:val="20"/>
          <w:szCs w:val="24"/>
          <w:lang w:val="en-GB" w:eastAsia="de-DE"/>
        </w:rPr>
        <w:t xml:space="preserve">this would increase the number of bonds deemed as liquid </w:t>
      </w:r>
      <w:r w:rsidR="00C94413" w:rsidRPr="0051116D">
        <w:rPr>
          <w:rFonts w:ascii="Arial" w:eastAsia="Times New Roman" w:hAnsi="Arial" w:cs="Arial"/>
          <w:sz w:val="20"/>
          <w:szCs w:val="24"/>
          <w:lang w:val="en-GB" w:eastAsia="de-DE"/>
        </w:rPr>
        <w:t xml:space="preserve">only in a very limited way (0.32-0.48% of total bonds under S2 compared to 0.21-0.31% of total bonds under S1). Furthermore, we would recommend including trades below 100.000 EUR into the liquidity test. We see no reason why a trade below 100.000 EUR on a regulated market </w:t>
      </w:r>
      <w:r w:rsidR="005C1D37">
        <w:rPr>
          <w:rFonts w:ascii="Arial" w:eastAsia="Times New Roman" w:hAnsi="Arial" w:cs="Arial"/>
          <w:sz w:val="20"/>
          <w:szCs w:val="24"/>
          <w:lang w:val="en-GB" w:eastAsia="de-DE"/>
        </w:rPr>
        <w:t>should not be considered for</w:t>
      </w:r>
      <w:r w:rsidR="00C94413" w:rsidRPr="0051116D">
        <w:rPr>
          <w:rFonts w:ascii="Arial" w:eastAsia="Times New Roman" w:hAnsi="Arial" w:cs="Arial"/>
          <w:sz w:val="20"/>
          <w:szCs w:val="24"/>
          <w:lang w:val="en-GB" w:eastAsia="de-DE"/>
        </w:rPr>
        <w:t xml:space="preserve"> the liquidity </w:t>
      </w:r>
      <w:r w:rsidR="005C1D37">
        <w:rPr>
          <w:rFonts w:ascii="Arial" w:eastAsia="Times New Roman" w:hAnsi="Arial" w:cs="Arial"/>
          <w:sz w:val="20"/>
          <w:szCs w:val="24"/>
          <w:lang w:val="en-GB" w:eastAsia="de-DE"/>
        </w:rPr>
        <w:t xml:space="preserve">assessment </w:t>
      </w:r>
      <w:r w:rsidR="00C94413" w:rsidRPr="0051116D">
        <w:rPr>
          <w:rFonts w:ascii="Arial" w:eastAsia="Times New Roman" w:hAnsi="Arial" w:cs="Arial"/>
          <w:sz w:val="20"/>
          <w:szCs w:val="24"/>
          <w:lang w:val="en-GB" w:eastAsia="de-DE"/>
        </w:rPr>
        <w:t xml:space="preserve">of a bond. </w:t>
      </w:r>
      <w:r w:rsidR="005147CC" w:rsidRPr="005147CC">
        <w:rPr>
          <w:lang w:val="en-US"/>
        </w:rPr>
        <w:t xml:space="preserve"> </w:t>
      </w:r>
    </w:p>
    <w:p w14:paraId="597E5AEB" w14:textId="77777777" w:rsidR="00314C10" w:rsidRDefault="00314C10" w:rsidP="00DB48D6">
      <w:pPr>
        <w:spacing w:after="0" w:line="240" w:lineRule="auto"/>
        <w:jc w:val="both"/>
        <w:rPr>
          <w:lang w:val="en-US"/>
        </w:rPr>
      </w:pPr>
    </w:p>
    <w:p w14:paraId="00D7A7D1" w14:textId="367F03FC" w:rsidR="00C94413" w:rsidRDefault="005147CC" w:rsidP="00735CFD">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Lastly, we</w:t>
      </w:r>
      <w:r w:rsidRPr="005147CC">
        <w:rPr>
          <w:rFonts w:ascii="Arial" w:eastAsia="Times New Roman" w:hAnsi="Arial" w:cs="Arial"/>
          <w:sz w:val="20"/>
          <w:szCs w:val="24"/>
          <w:lang w:val="en-GB" w:eastAsia="de-DE"/>
        </w:rPr>
        <w:t xml:space="preserve"> suggest trading in bonds of sizes below LIS to be executed on a transparent trading venue only. As the current LIS threshold for the special case of bonds is too high to require all trading below LIS to happen on an RM, MTF or OTF, </w:t>
      </w:r>
      <w:r w:rsidR="000B45A5">
        <w:rPr>
          <w:rFonts w:ascii="Arial" w:eastAsia="Times New Roman" w:hAnsi="Arial" w:cs="Arial"/>
          <w:sz w:val="20"/>
          <w:szCs w:val="24"/>
          <w:lang w:val="en-GB" w:eastAsia="de-DE"/>
        </w:rPr>
        <w:t xml:space="preserve">as mentioned above, </w:t>
      </w:r>
      <w:r w:rsidRPr="005147CC">
        <w:rPr>
          <w:rFonts w:ascii="Arial" w:eastAsia="Times New Roman" w:hAnsi="Arial" w:cs="Arial"/>
          <w:sz w:val="20"/>
          <w:szCs w:val="24"/>
          <w:lang w:val="en-GB" w:eastAsia="de-DE"/>
        </w:rPr>
        <w:t>we recommend using the 100,000 EUR denomination threshold to delineate lit (RM, MTF and OTF) trading from dark (OTC and SI) trading. Such an approach would significantly reduce market fragmentation, aggregate liquidity and increase pre- and post-trade transparency in particular for retail investors.</w:t>
      </w:r>
    </w:p>
    <w:p w14:paraId="3832B378" w14:textId="0C1BCE5A" w:rsidR="00AA02D7" w:rsidRDefault="00AA02D7" w:rsidP="00AA02D7">
      <w:pPr>
        <w:spacing w:after="0" w:line="240" w:lineRule="auto"/>
        <w:jc w:val="both"/>
        <w:rPr>
          <w:rFonts w:ascii="Arial" w:eastAsia="Times New Roman" w:hAnsi="Arial" w:cs="Arial"/>
          <w:sz w:val="20"/>
          <w:szCs w:val="24"/>
          <w:lang w:val="en-US" w:eastAsia="de-DE"/>
        </w:rPr>
      </w:pPr>
    </w:p>
    <w:p w14:paraId="21C7F850" w14:textId="0F3817F1" w:rsidR="00AA02D7" w:rsidRPr="00EE5A6C" w:rsidRDefault="00AA02D7" w:rsidP="00AA02D7">
      <w:pPr>
        <w:spacing w:after="0" w:line="240" w:lineRule="auto"/>
        <w:jc w:val="both"/>
        <w:rPr>
          <w:rFonts w:ascii="Arial" w:eastAsia="Times New Roman" w:hAnsi="Arial" w:cs="Arial"/>
          <w:sz w:val="20"/>
          <w:szCs w:val="24"/>
          <w:lang w:val="en-US" w:eastAsia="de-DE"/>
        </w:rPr>
      </w:pPr>
      <w:r>
        <w:rPr>
          <w:rFonts w:ascii="Arial" w:eastAsia="Times New Roman" w:hAnsi="Arial" w:cs="Arial"/>
          <w:sz w:val="20"/>
          <w:szCs w:val="24"/>
          <w:lang w:val="en-US" w:eastAsia="de-DE"/>
        </w:rPr>
        <w:t xml:space="preserve">DBG </w:t>
      </w:r>
      <w:r w:rsidRPr="00AA02D7">
        <w:rPr>
          <w:rFonts w:ascii="Arial" w:eastAsia="Times New Roman" w:hAnsi="Arial" w:cs="Arial"/>
          <w:sz w:val="20"/>
          <w:szCs w:val="24"/>
          <w:lang w:val="en-US" w:eastAsia="de-DE"/>
        </w:rPr>
        <w:t>trust</w:t>
      </w:r>
      <w:r>
        <w:rPr>
          <w:rFonts w:ascii="Arial" w:eastAsia="Times New Roman" w:hAnsi="Arial" w:cs="Arial"/>
          <w:sz w:val="20"/>
          <w:szCs w:val="24"/>
          <w:lang w:val="en-US" w:eastAsia="de-DE"/>
        </w:rPr>
        <w:t>s that</w:t>
      </w:r>
      <w:r w:rsidRPr="00AA02D7">
        <w:rPr>
          <w:rFonts w:ascii="Arial" w:eastAsia="Times New Roman" w:hAnsi="Arial" w:cs="Arial"/>
          <w:sz w:val="20"/>
          <w:szCs w:val="24"/>
          <w:lang w:val="en-US" w:eastAsia="de-DE"/>
        </w:rPr>
        <w:t xml:space="preserve"> our comments are seen as a useful contribution to </w:t>
      </w:r>
      <w:r w:rsidR="00514EC7">
        <w:rPr>
          <w:rFonts w:ascii="Arial" w:eastAsia="Times New Roman" w:hAnsi="Arial" w:cs="Arial"/>
          <w:sz w:val="20"/>
          <w:szCs w:val="24"/>
          <w:lang w:val="en-US" w:eastAsia="de-DE"/>
        </w:rPr>
        <w:t xml:space="preserve">increase the functioning and effectiveness of the transparency regime for non-equity instruments </w:t>
      </w:r>
      <w:r>
        <w:rPr>
          <w:rFonts w:ascii="Arial" w:eastAsia="Times New Roman" w:hAnsi="Arial" w:cs="Arial"/>
          <w:sz w:val="20"/>
          <w:szCs w:val="24"/>
          <w:lang w:val="en-US" w:eastAsia="de-DE"/>
        </w:rPr>
        <w:t xml:space="preserve">and </w:t>
      </w:r>
      <w:r w:rsidRPr="00AA02D7">
        <w:rPr>
          <w:rFonts w:ascii="Arial" w:eastAsia="Times New Roman" w:hAnsi="Arial" w:cs="Arial"/>
          <w:sz w:val="20"/>
          <w:szCs w:val="24"/>
          <w:lang w:val="en-US" w:eastAsia="de-DE"/>
        </w:rPr>
        <w:t xml:space="preserve">remain at the disposal of </w:t>
      </w:r>
      <w:r>
        <w:rPr>
          <w:rFonts w:ascii="Arial" w:eastAsia="Times New Roman" w:hAnsi="Arial" w:cs="Arial"/>
          <w:sz w:val="20"/>
          <w:szCs w:val="24"/>
          <w:lang w:val="en-US" w:eastAsia="de-DE"/>
        </w:rPr>
        <w:t>ESMA</w:t>
      </w:r>
      <w:r w:rsidRPr="00AA02D7">
        <w:rPr>
          <w:rFonts w:ascii="Arial" w:eastAsia="Times New Roman" w:hAnsi="Arial" w:cs="Arial"/>
          <w:sz w:val="20"/>
          <w:szCs w:val="24"/>
          <w:lang w:val="en-US" w:eastAsia="de-DE"/>
        </w:rPr>
        <w:t xml:space="preserve"> for any questions and additional feedback</w:t>
      </w:r>
      <w:r>
        <w:rPr>
          <w:rFonts w:ascii="Arial" w:eastAsia="Times New Roman" w:hAnsi="Arial" w:cs="Arial"/>
          <w:sz w:val="20"/>
          <w:szCs w:val="24"/>
          <w:lang w:val="en-US" w:eastAsia="de-DE"/>
        </w:rPr>
        <w:t>.</w:t>
      </w:r>
    </w:p>
    <w:p w14:paraId="4047F087" w14:textId="77777777" w:rsidR="00374A6F" w:rsidRPr="00EE5A6C" w:rsidRDefault="00374A6F" w:rsidP="001D503E">
      <w:pPr>
        <w:spacing w:after="0" w:line="240" w:lineRule="auto"/>
        <w:rPr>
          <w:rFonts w:ascii="Arial" w:eastAsia="Times New Roman" w:hAnsi="Arial" w:cs="Arial"/>
          <w:sz w:val="20"/>
          <w:szCs w:val="24"/>
          <w:lang w:val="en-US" w:eastAsia="de-DE"/>
        </w:rPr>
      </w:pPr>
    </w:p>
    <w:p w14:paraId="611F254F" w14:textId="1B868697" w:rsidR="001D503E" w:rsidRPr="00AA02D7" w:rsidRDefault="001D503E" w:rsidP="001D503E">
      <w:pPr>
        <w:spacing w:after="0" w:line="240" w:lineRule="auto"/>
        <w:rPr>
          <w:rFonts w:ascii="Arial" w:eastAsia="Times New Roman" w:hAnsi="Arial" w:cs="Arial"/>
          <w:sz w:val="20"/>
          <w:szCs w:val="24"/>
          <w:lang w:val="en-US" w:eastAsia="de-DE"/>
        </w:rPr>
      </w:pPr>
      <w:r w:rsidRPr="00AA02D7">
        <w:rPr>
          <w:rFonts w:ascii="Arial" w:eastAsia="Times New Roman" w:hAnsi="Arial" w:cs="Arial"/>
          <w:sz w:val="20"/>
          <w:szCs w:val="24"/>
          <w:lang w:val="en-US" w:eastAsia="de-DE"/>
        </w:rPr>
        <w:t>&lt;ESMA_COMMENT_CP_MIFID_NQT_1&gt;</w:t>
      </w:r>
    </w:p>
    <w:p w14:paraId="02E72B22" w14:textId="77777777" w:rsidR="001D503E" w:rsidRPr="00AA02D7" w:rsidRDefault="001D503E" w:rsidP="001D503E">
      <w:pPr>
        <w:spacing w:after="0" w:line="240" w:lineRule="auto"/>
        <w:rPr>
          <w:rFonts w:ascii="Arial" w:eastAsia="Times New Roman" w:hAnsi="Arial" w:cs="Arial"/>
          <w:b/>
          <w:szCs w:val="20"/>
          <w:lang w:val="en-US"/>
        </w:rPr>
      </w:pPr>
      <w:r w:rsidRPr="00AA02D7">
        <w:rPr>
          <w:rFonts w:ascii="Arial" w:eastAsia="Times New Roman" w:hAnsi="Arial" w:cs="Arial"/>
          <w:sz w:val="20"/>
          <w:szCs w:val="24"/>
          <w:lang w:val="en-US" w:eastAsia="de-DE"/>
        </w:rPr>
        <w:br w:type="page"/>
      </w:r>
    </w:p>
    <w:p w14:paraId="796E6C3F" w14:textId="43E6A613"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lastRenderedPageBreak/>
        <w:t>What benefits or impacts would you see in increased pre-trade transparency in the different non-equity markets? How could the benefits/impacts of such pre-trade transparency be achieved/be mitigated via changes of the Level 1 text?</w:t>
      </w:r>
    </w:p>
    <w:p w14:paraId="1C3BB63C"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&lt;ESMA_QUESTION_CP_MIFID_NQT_1&gt;</w:t>
      </w:r>
    </w:p>
    <w:p w14:paraId="5F411860" w14:textId="77777777" w:rsidR="004910E9" w:rsidRPr="00013D66" w:rsidRDefault="004910E9" w:rsidP="001D503E">
      <w:pPr>
        <w:spacing w:after="0" w:line="240" w:lineRule="auto"/>
        <w:rPr>
          <w:rFonts w:ascii="Arial" w:eastAsia="Times New Roman" w:hAnsi="Arial" w:cs="Arial"/>
          <w:sz w:val="20"/>
          <w:szCs w:val="24"/>
          <w:lang w:val="en-GB" w:eastAsia="de-DE"/>
        </w:rPr>
      </w:pPr>
    </w:p>
    <w:p w14:paraId="36550B5C" w14:textId="47FC5BF1" w:rsidR="0021213E" w:rsidRPr="00013D66" w:rsidRDefault="0021213E" w:rsidP="00A956C1">
      <w:pPr>
        <w:spacing w:after="120" w:line="240" w:lineRule="auto"/>
        <w:jc w:val="both"/>
        <w:rPr>
          <w:rFonts w:ascii="Arial" w:eastAsia="Times New Roman" w:hAnsi="Arial" w:cs="Arial"/>
          <w:sz w:val="20"/>
          <w:szCs w:val="20"/>
          <w:lang w:val="en-GB" w:eastAsia="de-DE"/>
        </w:rPr>
      </w:pPr>
      <w:r w:rsidRPr="00013D66">
        <w:rPr>
          <w:rFonts w:ascii="Arial" w:eastAsia="Times New Roman" w:hAnsi="Arial" w:cs="Arial"/>
          <w:sz w:val="20"/>
          <w:szCs w:val="20"/>
          <w:lang w:val="en-GB" w:eastAsia="de-DE"/>
        </w:rPr>
        <w:t>DBG appreciates the level 1 text of pre-trade transparency and the need for different waiver possibilities</w:t>
      </w:r>
      <w:r w:rsidR="00F923B7" w:rsidRPr="00013D66">
        <w:rPr>
          <w:rFonts w:ascii="Arial" w:eastAsia="Times New Roman" w:hAnsi="Arial" w:cs="Arial"/>
          <w:sz w:val="20"/>
          <w:szCs w:val="20"/>
          <w:lang w:val="en-GB" w:eastAsia="de-DE"/>
        </w:rPr>
        <w:t>. DBG also</w:t>
      </w:r>
      <w:r w:rsidRPr="00013D66">
        <w:rPr>
          <w:rFonts w:ascii="Arial" w:eastAsia="Times New Roman" w:hAnsi="Arial" w:cs="Arial"/>
          <w:sz w:val="20"/>
          <w:szCs w:val="20"/>
          <w:lang w:val="en-GB" w:eastAsia="de-DE"/>
        </w:rPr>
        <w:t xml:space="preserve"> acknowledges the degree of complexity that comes with the different waiver possibilities and understands that a simplification of the complex framework would bring benefits for market participants, infrastructure providers and regulators alike. In derivatives markets, we appreciate that already a more concise set of waivers </w:t>
      </w:r>
      <w:r w:rsidR="00F923B7" w:rsidRPr="00013D66">
        <w:rPr>
          <w:rFonts w:ascii="Arial" w:eastAsia="Times New Roman" w:hAnsi="Arial" w:cs="Arial"/>
          <w:sz w:val="20"/>
          <w:szCs w:val="20"/>
          <w:lang w:val="en-GB" w:eastAsia="de-DE"/>
        </w:rPr>
        <w:t>is</w:t>
      </w:r>
      <w:r w:rsidRPr="00013D66">
        <w:rPr>
          <w:rFonts w:ascii="Arial" w:eastAsia="Times New Roman" w:hAnsi="Arial" w:cs="Arial"/>
          <w:sz w:val="20"/>
          <w:szCs w:val="20"/>
          <w:lang w:val="en-GB" w:eastAsia="de-DE"/>
        </w:rPr>
        <w:t xml:space="preserve"> in place, in comparison to e.g. equities markets. While complexity reduction is welcome, it is of paramount importance for ESMA to keep a range of waiver types available to ensure certain products and trading strategies can continue to be used by market participants to manage their risk exposure, even if the volumes under certain waiver types appear to be small. A range of waivers allows risk transfer markets, in contrast to capital allocation markets, to fine tune the nuanced market needs in risk management. Apart from LIS waivers and illiquid waivers, which are the most essential one</w:t>
      </w:r>
      <w:r w:rsidR="00662C39">
        <w:rPr>
          <w:rFonts w:ascii="Arial" w:eastAsia="Times New Roman" w:hAnsi="Arial" w:cs="Arial"/>
          <w:sz w:val="20"/>
          <w:szCs w:val="20"/>
          <w:lang w:val="en-GB" w:eastAsia="de-DE"/>
        </w:rPr>
        <w:t>s</w:t>
      </w:r>
      <w:r w:rsidRPr="00013D66">
        <w:rPr>
          <w:rFonts w:ascii="Arial" w:eastAsia="Times New Roman" w:hAnsi="Arial" w:cs="Arial"/>
          <w:sz w:val="20"/>
          <w:szCs w:val="20"/>
          <w:lang w:val="en-GB" w:eastAsia="de-DE"/>
        </w:rPr>
        <w:t xml:space="preserve"> to mitigate adverse </w:t>
      </w:r>
      <w:r w:rsidR="00B0001E">
        <w:rPr>
          <w:rFonts w:ascii="Arial" w:eastAsia="Times New Roman" w:hAnsi="Arial" w:cs="Arial"/>
          <w:sz w:val="20"/>
          <w:szCs w:val="20"/>
          <w:lang w:val="en-GB" w:eastAsia="de-DE"/>
        </w:rPr>
        <w:t>e</w:t>
      </w:r>
      <w:r w:rsidRPr="00013D66">
        <w:rPr>
          <w:rFonts w:ascii="Arial" w:eastAsia="Times New Roman" w:hAnsi="Arial" w:cs="Arial"/>
          <w:sz w:val="20"/>
          <w:szCs w:val="20"/>
          <w:lang w:val="en-GB" w:eastAsia="de-DE"/>
        </w:rPr>
        <w:t xml:space="preserve">ffects in the order book from large sizes, a second and third very important element in derivatives markets are complex trading strategies and </w:t>
      </w:r>
      <w:r w:rsidR="0025084F">
        <w:rPr>
          <w:rFonts w:ascii="Arial" w:eastAsia="Times New Roman" w:hAnsi="Arial" w:cs="Arial"/>
          <w:sz w:val="20"/>
          <w:szCs w:val="20"/>
          <w:lang w:val="en-GB" w:eastAsia="de-DE"/>
        </w:rPr>
        <w:t xml:space="preserve">complex </w:t>
      </w:r>
      <w:r w:rsidRPr="00013D66">
        <w:rPr>
          <w:rFonts w:ascii="Arial" w:eastAsia="Times New Roman" w:hAnsi="Arial" w:cs="Arial"/>
          <w:sz w:val="20"/>
          <w:szCs w:val="20"/>
          <w:lang w:val="en-GB" w:eastAsia="de-DE"/>
        </w:rPr>
        <w:t>order types. In order to support the market further</w:t>
      </w:r>
      <w:r w:rsidR="0025084F">
        <w:rPr>
          <w:rFonts w:ascii="Arial" w:eastAsia="Times New Roman" w:hAnsi="Arial" w:cs="Arial"/>
          <w:sz w:val="20"/>
          <w:szCs w:val="20"/>
          <w:lang w:val="en-GB" w:eastAsia="de-DE"/>
        </w:rPr>
        <w:t>,</w:t>
      </w:r>
      <w:r w:rsidRPr="00013D66">
        <w:rPr>
          <w:rFonts w:ascii="Arial" w:eastAsia="Times New Roman" w:hAnsi="Arial" w:cs="Arial"/>
          <w:sz w:val="20"/>
          <w:szCs w:val="20"/>
          <w:lang w:val="en-GB" w:eastAsia="de-DE"/>
        </w:rPr>
        <w:t xml:space="preserve"> waivers can absorb this need in market risk management, i.e. the need to trade derivatives. Among those waivers:</w:t>
      </w:r>
    </w:p>
    <w:p w14:paraId="77A1AA33" w14:textId="7E82B9F9" w:rsidR="0021213E" w:rsidRPr="00862AB9" w:rsidRDefault="0021213E" w:rsidP="00A956C1">
      <w:pPr>
        <w:pStyle w:val="Listenabsatz"/>
        <w:numPr>
          <w:ilvl w:val="0"/>
          <w:numId w:val="8"/>
        </w:numPr>
        <w:spacing w:after="120" w:line="240" w:lineRule="auto"/>
        <w:jc w:val="both"/>
        <w:rPr>
          <w:rFonts w:ascii="Arial" w:eastAsia="Times New Roman" w:hAnsi="Arial" w:cs="Arial"/>
          <w:sz w:val="20"/>
          <w:szCs w:val="20"/>
          <w:lang w:val="en-GB" w:eastAsia="de-DE"/>
        </w:rPr>
      </w:pPr>
      <w:r w:rsidRPr="00862AB9">
        <w:rPr>
          <w:rFonts w:ascii="Arial" w:eastAsia="Times New Roman" w:hAnsi="Arial" w:cs="Arial"/>
          <w:sz w:val="20"/>
          <w:szCs w:val="20"/>
          <w:lang w:val="en-GB" w:eastAsia="de-DE"/>
        </w:rPr>
        <w:t>Package order waivers are used to enable the trading of e.g. option or volatility strategies, which play a vital role in the risk-transfer of large orders, and other packages in variations. Being able to trade certain products as (hedged) packages ensures market participants can offer their customers, and liquidity providers can offer the market, their best possible prices. This holds true particularly for equity derivatives and interest rate derivatives, where trading in package orders account</w:t>
      </w:r>
      <w:r w:rsidR="00400D28">
        <w:rPr>
          <w:rFonts w:ascii="Arial" w:eastAsia="Times New Roman" w:hAnsi="Arial" w:cs="Arial"/>
          <w:sz w:val="20"/>
          <w:szCs w:val="20"/>
          <w:lang w:val="en-GB" w:eastAsia="de-DE"/>
        </w:rPr>
        <w:t>ed</w:t>
      </w:r>
      <w:r w:rsidRPr="00862AB9">
        <w:rPr>
          <w:rFonts w:ascii="Arial" w:eastAsia="Times New Roman" w:hAnsi="Arial" w:cs="Arial"/>
          <w:sz w:val="20"/>
          <w:szCs w:val="20"/>
          <w:lang w:val="en-GB" w:eastAsia="de-DE"/>
        </w:rPr>
        <w:t xml:space="preserve"> for </w:t>
      </w:r>
      <w:r w:rsidR="00B0001E">
        <w:rPr>
          <w:rFonts w:ascii="Arial" w:eastAsia="Times New Roman" w:hAnsi="Arial" w:cs="Arial"/>
          <w:sz w:val="20"/>
          <w:szCs w:val="20"/>
          <w:lang w:val="en-GB" w:eastAsia="de-DE"/>
        </w:rPr>
        <w:t>considerable</w:t>
      </w:r>
      <w:r w:rsidRPr="00862AB9">
        <w:rPr>
          <w:rFonts w:ascii="Arial" w:eastAsia="Times New Roman" w:hAnsi="Arial" w:cs="Arial"/>
          <w:sz w:val="20"/>
          <w:szCs w:val="20"/>
          <w:lang w:val="en-GB" w:eastAsia="de-DE"/>
        </w:rPr>
        <w:t xml:space="preserve"> off-book trading volumes in </w:t>
      </w:r>
      <w:r w:rsidR="00400D28">
        <w:rPr>
          <w:rFonts w:ascii="Arial" w:eastAsia="Times New Roman" w:hAnsi="Arial" w:cs="Arial"/>
          <w:sz w:val="20"/>
          <w:szCs w:val="20"/>
          <w:lang w:val="en-GB" w:eastAsia="de-DE"/>
        </w:rPr>
        <w:t>2019</w:t>
      </w:r>
      <w:r w:rsidRPr="00862AB9">
        <w:rPr>
          <w:rFonts w:ascii="Arial" w:eastAsia="Times New Roman" w:hAnsi="Arial" w:cs="Arial"/>
          <w:sz w:val="20"/>
          <w:szCs w:val="20"/>
          <w:lang w:val="en-GB" w:eastAsia="de-DE"/>
        </w:rPr>
        <w:t xml:space="preserve">. </w:t>
      </w:r>
      <w:r w:rsidR="00B0001E">
        <w:rPr>
          <w:rFonts w:ascii="Arial" w:eastAsia="Times New Roman" w:hAnsi="Arial" w:cs="Arial"/>
          <w:sz w:val="20"/>
          <w:szCs w:val="20"/>
          <w:lang w:val="en-GB" w:eastAsia="de-DE"/>
        </w:rPr>
        <w:t>R</w:t>
      </w:r>
      <w:r w:rsidR="00B0001E" w:rsidRPr="00B0001E">
        <w:rPr>
          <w:rFonts w:ascii="Arial" w:eastAsia="Times New Roman" w:hAnsi="Arial" w:cs="Arial"/>
          <w:sz w:val="20"/>
          <w:szCs w:val="20"/>
          <w:lang w:val="en-GB" w:eastAsia="de-DE"/>
        </w:rPr>
        <w:t>emoving this waiver type or restricting its usage may be detrimental as it may lead to these complex trades being conducted in the pure non-transparent OTC space</w:t>
      </w:r>
      <w:r w:rsidR="00B0001E">
        <w:rPr>
          <w:rFonts w:ascii="Arial" w:eastAsia="Times New Roman" w:hAnsi="Arial" w:cs="Arial"/>
          <w:sz w:val="20"/>
          <w:szCs w:val="20"/>
          <w:lang w:val="en-GB" w:eastAsia="de-DE"/>
        </w:rPr>
        <w:t>.</w:t>
      </w:r>
    </w:p>
    <w:p w14:paraId="100B684E" w14:textId="2C041184" w:rsidR="0021213E" w:rsidRPr="00862AB9" w:rsidRDefault="0021213E" w:rsidP="00A956C1">
      <w:pPr>
        <w:pStyle w:val="Listenabsatz"/>
        <w:numPr>
          <w:ilvl w:val="0"/>
          <w:numId w:val="8"/>
        </w:numPr>
        <w:spacing w:after="0" w:line="240" w:lineRule="auto"/>
        <w:jc w:val="both"/>
        <w:rPr>
          <w:rFonts w:ascii="Arial" w:eastAsia="Times New Roman" w:hAnsi="Arial" w:cs="Arial"/>
          <w:sz w:val="20"/>
          <w:szCs w:val="20"/>
          <w:lang w:val="en-GB" w:eastAsia="de-DE"/>
        </w:rPr>
      </w:pPr>
      <w:r w:rsidRPr="00862AB9">
        <w:rPr>
          <w:rFonts w:ascii="Arial" w:eastAsia="Times New Roman" w:hAnsi="Arial" w:cs="Arial"/>
          <w:sz w:val="20"/>
          <w:szCs w:val="20"/>
          <w:lang w:val="en-GB" w:eastAsia="de-DE"/>
        </w:rPr>
        <w:t xml:space="preserve">OMF-waivers are used for certain order types, which again provide essential risk-mitigation tools to all market participants. In particular, end-customers benefit from order types which by design can limit their trading exposure, depending on market movements. Ultimately, this also helps market participants by allowing them to provide liquidity or flow in a clearly calibrated way and credit institutions managing their liquidity exposures that needs to be capitalized.  </w:t>
      </w:r>
    </w:p>
    <w:p w14:paraId="20AD42E4" w14:textId="77777777" w:rsidR="0021213E" w:rsidRPr="00013D66" w:rsidRDefault="0021213E" w:rsidP="0021213E">
      <w:pPr>
        <w:spacing w:after="0" w:line="240" w:lineRule="auto"/>
        <w:rPr>
          <w:rFonts w:ascii="Arial" w:eastAsia="Times New Roman" w:hAnsi="Arial" w:cs="Arial"/>
          <w:sz w:val="20"/>
          <w:szCs w:val="20"/>
          <w:lang w:val="en-GB" w:eastAsia="de-DE"/>
        </w:rPr>
      </w:pPr>
    </w:p>
    <w:p w14:paraId="31EBF467" w14:textId="1DB4FC70" w:rsidR="0021213E" w:rsidRPr="00013D66" w:rsidRDefault="0021213E" w:rsidP="00A956C1">
      <w:pPr>
        <w:spacing w:after="0" w:line="240" w:lineRule="auto"/>
        <w:jc w:val="both"/>
        <w:rPr>
          <w:rFonts w:ascii="Arial" w:eastAsia="Times New Roman" w:hAnsi="Arial" w:cs="Arial"/>
          <w:sz w:val="20"/>
          <w:szCs w:val="20"/>
          <w:lang w:val="en-GB" w:eastAsia="de-DE"/>
        </w:rPr>
      </w:pPr>
      <w:r w:rsidRPr="00013D66">
        <w:rPr>
          <w:rFonts w:ascii="Arial" w:eastAsia="Times New Roman" w:hAnsi="Arial" w:cs="Arial"/>
          <w:sz w:val="20"/>
          <w:szCs w:val="20"/>
          <w:lang w:val="en-GB" w:eastAsia="de-DE"/>
        </w:rPr>
        <w:t>As such, DBG strongly advocates to keep package order waivers and OMF waivers available to further complement LIS and Illiquid waivers</w:t>
      </w:r>
      <w:r w:rsidR="0026401F">
        <w:rPr>
          <w:rFonts w:ascii="Arial" w:eastAsia="Times New Roman" w:hAnsi="Arial" w:cs="Arial"/>
          <w:sz w:val="20"/>
          <w:szCs w:val="20"/>
          <w:lang w:val="en-GB" w:eastAsia="de-DE"/>
        </w:rPr>
        <w:t>.</w:t>
      </w:r>
      <w:r w:rsidRPr="00013D66">
        <w:rPr>
          <w:rFonts w:ascii="Arial" w:eastAsia="Times New Roman" w:hAnsi="Arial" w:cs="Arial"/>
          <w:sz w:val="20"/>
          <w:szCs w:val="20"/>
          <w:lang w:val="en-GB" w:eastAsia="de-DE"/>
        </w:rPr>
        <w:t xml:space="preserve"> </w:t>
      </w:r>
    </w:p>
    <w:p w14:paraId="440BE983" w14:textId="77777777" w:rsidR="0021213E" w:rsidRPr="00013D66" w:rsidRDefault="0021213E" w:rsidP="0021213E">
      <w:pPr>
        <w:spacing w:after="0" w:line="240" w:lineRule="auto"/>
        <w:rPr>
          <w:rFonts w:ascii="Arial" w:eastAsia="Times New Roman" w:hAnsi="Arial" w:cs="Arial"/>
          <w:sz w:val="20"/>
          <w:szCs w:val="20"/>
          <w:lang w:val="en-GB" w:eastAsia="de-DE"/>
        </w:rPr>
      </w:pPr>
    </w:p>
    <w:p w14:paraId="180A151E" w14:textId="41BBFD50" w:rsidR="0021213E" w:rsidRPr="00013D66" w:rsidRDefault="0021213E" w:rsidP="00A956C1">
      <w:pPr>
        <w:spacing w:after="0" w:line="240" w:lineRule="auto"/>
        <w:jc w:val="both"/>
        <w:rPr>
          <w:rFonts w:ascii="Arial" w:eastAsia="Times New Roman" w:hAnsi="Arial" w:cs="Arial"/>
          <w:sz w:val="20"/>
          <w:szCs w:val="20"/>
          <w:lang w:val="en-GB" w:eastAsia="de-DE"/>
        </w:rPr>
      </w:pPr>
      <w:r w:rsidRPr="00013D66">
        <w:rPr>
          <w:rFonts w:ascii="Arial" w:eastAsia="Times New Roman" w:hAnsi="Arial" w:cs="Arial"/>
          <w:sz w:val="20"/>
          <w:szCs w:val="20"/>
          <w:lang w:val="en-GB" w:eastAsia="de-DE"/>
        </w:rPr>
        <w:t xml:space="preserve">In addition </w:t>
      </w:r>
      <w:r w:rsidR="00A629A6" w:rsidRPr="00A629A6">
        <w:rPr>
          <w:rFonts w:ascii="Arial" w:eastAsia="Times New Roman" w:hAnsi="Arial" w:cs="Arial"/>
          <w:sz w:val="20"/>
          <w:szCs w:val="20"/>
          <w:lang w:val="en-GB" w:eastAsia="de-DE"/>
        </w:rPr>
        <w:t>to allowing market participants to benefit from already established trading patterns/models on exchanges (including the use of waivers), it is also imperative for exchanges to support the migration of OTC derivatives markets to a regulated trading environment and central clearing by product development and well-integrated trading and clearing practices which cater for the specific liquidity profiles and needs of the concerned products</w:t>
      </w:r>
      <w:r w:rsidRPr="00013D66">
        <w:rPr>
          <w:rFonts w:ascii="Arial" w:eastAsia="Times New Roman" w:hAnsi="Arial" w:cs="Arial"/>
          <w:sz w:val="20"/>
          <w:szCs w:val="20"/>
          <w:lang w:val="en-GB" w:eastAsia="de-DE"/>
        </w:rPr>
        <w:t>. In order to support the shift from OTC to this standardized product and trading environment gaps need to be bridged, especially in the ‘futurization’ process, where previously OTC traded products need to be lifted into a new environment and this transfer would otherwise be limited, before the transparency regime could unfold in a second step. This is especially true where products and entire asset classes are prone to higher OTC shares.</w:t>
      </w:r>
    </w:p>
    <w:p w14:paraId="55D8E129" w14:textId="77777777" w:rsidR="0021213E" w:rsidRPr="00013D66" w:rsidRDefault="0021213E" w:rsidP="00A956C1">
      <w:pPr>
        <w:spacing w:after="0" w:line="240" w:lineRule="auto"/>
        <w:jc w:val="both"/>
        <w:rPr>
          <w:rFonts w:ascii="Arial" w:eastAsia="Times New Roman" w:hAnsi="Arial" w:cs="Arial"/>
          <w:sz w:val="20"/>
          <w:szCs w:val="20"/>
          <w:lang w:val="en-GB" w:eastAsia="de-DE"/>
        </w:rPr>
      </w:pPr>
    </w:p>
    <w:p w14:paraId="7C42C3BF" w14:textId="20725863" w:rsidR="0021213E" w:rsidRPr="00013D66" w:rsidRDefault="0021213E" w:rsidP="00A956C1">
      <w:pPr>
        <w:spacing w:after="120" w:line="240" w:lineRule="auto"/>
        <w:jc w:val="both"/>
        <w:rPr>
          <w:rFonts w:ascii="Arial" w:eastAsia="Times New Roman" w:hAnsi="Arial" w:cs="Arial"/>
          <w:sz w:val="20"/>
          <w:szCs w:val="20"/>
          <w:lang w:val="en-GB" w:eastAsia="de-DE"/>
        </w:rPr>
      </w:pPr>
      <w:r w:rsidRPr="00013D66">
        <w:rPr>
          <w:rFonts w:ascii="Arial" w:eastAsia="Times New Roman" w:hAnsi="Arial" w:cs="Arial"/>
          <w:sz w:val="20"/>
          <w:szCs w:val="20"/>
          <w:lang w:val="en-GB" w:eastAsia="de-DE"/>
        </w:rPr>
        <w:t>DBG acknowledges that the overwhelming majority of transactions in FX derivatives (roughly 98% globally</w:t>
      </w:r>
      <w:r w:rsidR="0000699B">
        <w:rPr>
          <w:rStyle w:val="Funotenzeichen"/>
          <w:rFonts w:ascii="Arial" w:eastAsia="Times New Roman" w:hAnsi="Arial" w:cs="Arial"/>
          <w:sz w:val="20"/>
          <w:szCs w:val="20"/>
          <w:lang w:val="en-GB" w:eastAsia="de-DE"/>
        </w:rPr>
        <w:footnoteReference w:id="2"/>
      </w:r>
      <w:r w:rsidRPr="00013D66">
        <w:rPr>
          <w:rFonts w:ascii="Arial" w:eastAsia="Times New Roman" w:hAnsi="Arial" w:cs="Arial"/>
          <w:sz w:val="20"/>
          <w:szCs w:val="20"/>
          <w:lang w:val="en-GB" w:eastAsia="de-DE"/>
        </w:rPr>
        <w:t xml:space="preserve">) is still conducted on non-transparent OTC-markets, contrary to the MiFID II policy objective. However, DBG does not share ESMA’s opinion that classifying FX derivatives as liquid instruments would necessarily lead </w:t>
      </w:r>
      <w:r w:rsidRPr="00013D66">
        <w:rPr>
          <w:rFonts w:ascii="Arial" w:eastAsia="Times New Roman" w:hAnsi="Arial" w:cs="Arial"/>
          <w:sz w:val="20"/>
          <w:szCs w:val="20"/>
          <w:lang w:val="en-GB" w:eastAsia="de-DE"/>
        </w:rPr>
        <w:lastRenderedPageBreak/>
        <w:t>to a bigger share of transactions being executed on exchanges, OTFs and MTFs, and hence increased pre-and post-trade transparency.</w:t>
      </w:r>
    </w:p>
    <w:p w14:paraId="285C7F22" w14:textId="354FF6C7" w:rsidR="0021213E" w:rsidRPr="00013D66" w:rsidRDefault="0021213E" w:rsidP="00A956C1">
      <w:pPr>
        <w:spacing w:after="120" w:line="240" w:lineRule="auto"/>
        <w:jc w:val="both"/>
        <w:rPr>
          <w:rFonts w:ascii="Arial" w:eastAsia="Times New Roman" w:hAnsi="Arial" w:cs="Arial"/>
          <w:sz w:val="20"/>
          <w:szCs w:val="20"/>
          <w:lang w:val="en-GB" w:eastAsia="de-DE"/>
        </w:rPr>
      </w:pPr>
      <w:r w:rsidRPr="00013D66">
        <w:rPr>
          <w:rFonts w:ascii="Arial" w:eastAsia="Times New Roman" w:hAnsi="Arial" w:cs="Arial"/>
          <w:sz w:val="20"/>
          <w:szCs w:val="20"/>
          <w:lang w:val="en-GB" w:eastAsia="de-DE"/>
        </w:rPr>
        <w:t>The current classification as illiquid provides trading venues with the necessary leeway to design their FX offering in a way such that the shift of trading volumes from OTC to trading venues can be actively supported. DBG has observed that market participants appreciate these efforts and as a result are gradually shifting their activities to trading venues, increasing overall transparency in the market. A re-classification of (some) FX derivatives as liquid, can only achieve the MiFID II policy objective of increased transparency</w:t>
      </w:r>
      <w:r w:rsidR="00976A1A">
        <w:rPr>
          <w:rFonts w:ascii="Arial" w:eastAsia="Times New Roman" w:hAnsi="Arial" w:cs="Arial"/>
          <w:sz w:val="20"/>
          <w:szCs w:val="20"/>
          <w:lang w:val="en-GB" w:eastAsia="de-DE"/>
        </w:rPr>
        <w:t xml:space="preserve"> </w:t>
      </w:r>
      <w:r w:rsidRPr="00013D66">
        <w:rPr>
          <w:rFonts w:ascii="Arial" w:eastAsia="Times New Roman" w:hAnsi="Arial" w:cs="Arial"/>
          <w:sz w:val="20"/>
          <w:szCs w:val="20"/>
          <w:lang w:val="en-GB" w:eastAsia="de-DE"/>
        </w:rPr>
        <w:t xml:space="preserve">after a sufficient share of trading volumes and hence a sufficient liquidity pool in respective products has been established on trading venues, to provide market participants with a convincing alternative to trading these products OTC. The same logic applies for new asset classes </w:t>
      </w:r>
      <w:r w:rsidR="000E4B55">
        <w:rPr>
          <w:rFonts w:ascii="Arial" w:eastAsia="Times New Roman" w:hAnsi="Arial" w:cs="Arial"/>
          <w:sz w:val="20"/>
          <w:szCs w:val="20"/>
          <w:lang w:val="en-GB" w:eastAsia="de-DE"/>
        </w:rPr>
        <w:t>o</w:t>
      </w:r>
      <w:r w:rsidRPr="00013D66">
        <w:rPr>
          <w:rFonts w:ascii="Arial" w:eastAsia="Times New Roman" w:hAnsi="Arial" w:cs="Arial"/>
          <w:sz w:val="20"/>
          <w:szCs w:val="20"/>
          <w:lang w:val="en-GB" w:eastAsia="de-DE"/>
        </w:rPr>
        <w:t>r product types particularly designed to offer an alternative to prevailing OTC trading.</w:t>
      </w:r>
    </w:p>
    <w:p w14:paraId="7F8601DB" w14:textId="61BF2C7D" w:rsidR="0021213E" w:rsidRPr="00013D66" w:rsidRDefault="0021213E" w:rsidP="00A956C1">
      <w:pPr>
        <w:spacing w:after="0" w:line="240" w:lineRule="auto"/>
        <w:jc w:val="both"/>
        <w:rPr>
          <w:rFonts w:ascii="Arial" w:eastAsia="Times New Roman" w:hAnsi="Arial" w:cs="Arial"/>
          <w:sz w:val="20"/>
          <w:szCs w:val="20"/>
          <w:lang w:val="en-GB" w:eastAsia="de-DE"/>
        </w:rPr>
      </w:pPr>
      <w:r w:rsidRPr="00013D66">
        <w:rPr>
          <w:rFonts w:ascii="Arial" w:eastAsia="Times New Roman" w:hAnsi="Arial" w:cs="Arial"/>
          <w:sz w:val="20"/>
          <w:szCs w:val="20"/>
          <w:lang w:val="en-GB" w:eastAsia="de-DE"/>
        </w:rPr>
        <w:t xml:space="preserve">As such, DBG does not believe that a re-classification of FX derivatives as liquid instruments at this point in time and with the prevailing share of OTC trading vs on exchange trading would lead to improved pre-trade transparency. </w:t>
      </w:r>
    </w:p>
    <w:p w14:paraId="7E1AACE5" w14:textId="77777777" w:rsidR="00F923B7" w:rsidRPr="00013D66" w:rsidRDefault="00F923B7" w:rsidP="0021213E">
      <w:pPr>
        <w:spacing w:after="0" w:line="240" w:lineRule="auto"/>
        <w:rPr>
          <w:rFonts w:ascii="Arial" w:eastAsia="Times New Roman" w:hAnsi="Arial" w:cs="Arial"/>
          <w:sz w:val="20"/>
          <w:szCs w:val="20"/>
          <w:lang w:val="en-GB" w:eastAsia="de-DE"/>
        </w:rPr>
      </w:pPr>
    </w:p>
    <w:p w14:paraId="72DAB9EC" w14:textId="7ED17FCD" w:rsidR="00F923B7" w:rsidRPr="00013D66" w:rsidRDefault="00F923B7" w:rsidP="00F923B7">
      <w:pPr>
        <w:jc w:val="both"/>
        <w:rPr>
          <w:rFonts w:ascii="Arial" w:eastAsia="Times New Roman" w:hAnsi="Arial" w:cs="Arial"/>
          <w:sz w:val="20"/>
          <w:szCs w:val="20"/>
          <w:lang w:val="en-GB" w:eastAsia="de-DE"/>
        </w:rPr>
      </w:pPr>
      <w:r w:rsidRPr="00013D66">
        <w:rPr>
          <w:rFonts w:ascii="Arial" w:hAnsi="Arial" w:cs="Arial"/>
          <w:sz w:val="20"/>
          <w:szCs w:val="20"/>
          <w:lang w:val="en-US"/>
        </w:rPr>
        <w:t>Moreover, from the perspective of DBG’s commodity derivatives markets served by EEX Group, we fully agree with the objectives of MiFID II/MiFIR and the G20 Pittsburg commitments to “improve the functioning and transparency of financial and commodity markets and address excessive commodity price volatility”. We therefore support the aim and implementation of the pre-trade transparency regime, however, believe the current calibration hampers a substantial increase in contracts traded on exchanges and cleared through central counterparties</w:t>
      </w:r>
      <w:r w:rsidR="00862AB9">
        <w:rPr>
          <w:rFonts w:ascii="Arial" w:hAnsi="Arial" w:cs="Arial"/>
          <w:sz w:val="20"/>
          <w:szCs w:val="20"/>
          <w:lang w:val="en-US"/>
        </w:rPr>
        <w:t xml:space="preserve"> (CCPs)</w:t>
      </w:r>
      <w:r w:rsidRPr="00013D66">
        <w:rPr>
          <w:rFonts w:ascii="Arial" w:hAnsi="Arial" w:cs="Arial"/>
          <w:sz w:val="20"/>
          <w:szCs w:val="20"/>
          <w:lang w:val="en-US"/>
        </w:rPr>
        <w:t xml:space="preserve">, hence being subject to a sufficient level of security and transparency. </w:t>
      </w:r>
      <w:r w:rsidRPr="00013D66">
        <w:rPr>
          <w:rFonts w:ascii="Arial" w:hAnsi="Arial" w:cs="Arial"/>
          <w:sz w:val="20"/>
          <w:szCs w:val="20"/>
          <w:lang w:val="en-GB"/>
        </w:rPr>
        <w:t xml:space="preserve">Therefore, </w:t>
      </w:r>
      <w:r w:rsidR="008C5A49" w:rsidRPr="00013D66">
        <w:rPr>
          <w:rFonts w:ascii="Arial" w:hAnsi="Arial" w:cs="Arial"/>
          <w:sz w:val="20"/>
          <w:szCs w:val="20"/>
          <w:lang w:val="en-US"/>
        </w:rPr>
        <w:t>against</w:t>
      </w:r>
      <w:r w:rsidRPr="00013D66">
        <w:rPr>
          <w:rFonts w:ascii="Arial" w:hAnsi="Arial" w:cs="Arial"/>
          <w:sz w:val="20"/>
          <w:szCs w:val="20"/>
          <w:lang w:val="en-US"/>
        </w:rPr>
        <w:t xml:space="preserve"> the background of the upcoming MiFID II/MiFIR review, we believe that transparency requirements need to be balanced to avoid damaging liquidity, undermining price discovery processes under exchanges’ rules and driving market participants towards more bilateral trading.</w:t>
      </w:r>
    </w:p>
    <w:p w14:paraId="4C1B9928" w14:textId="09CC3878" w:rsidR="00F923B7" w:rsidRPr="00013D66" w:rsidRDefault="00F923B7" w:rsidP="00F923B7">
      <w:pPr>
        <w:jc w:val="both"/>
        <w:rPr>
          <w:rFonts w:ascii="Arial" w:hAnsi="Arial" w:cs="Arial"/>
          <w:sz w:val="20"/>
          <w:szCs w:val="20"/>
          <w:lang w:val="en-US"/>
        </w:rPr>
      </w:pPr>
      <w:r w:rsidRPr="00013D66">
        <w:rPr>
          <w:rFonts w:ascii="Arial" w:hAnsi="Arial" w:cs="Arial"/>
          <w:sz w:val="20"/>
          <w:szCs w:val="20"/>
          <w:lang w:val="en-US"/>
        </w:rPr>
        <w:t xml:space="preserve">In sum, the pre-trade transparency regime should better take into account the fact that non-equity markets are fundamentally different from equity markets, and that there are significant differences across the underlying non-equity markets themselves. </w:t>
      </w:r>
      <w:r w:rsidRPr="00013D66">
        <w:rPr>
          <w:rFonts w:ascii="Arial" w:hAnsi="Arial" w:cs="Arial"/>
          <w:sz w:val="20"/>
          <w:szCs w:val="20"/>
          <w:lang w:val="en-GB"/>
        </w:rPr>
        <w:t xml:space="preserve">It is, for example, important to understand that commodity markets have specific characteristics and hence, often suffer from a one-size fits all regulatory approach to financial instruments. </w:t>
      </w:r>
      <w:r w:rsidRPr="00013D66">
        <w:rPr>
          <w:rFonts w:ascii="Arial" w:hAnsi="Arial" w:cs="Arial"/>
          <w:sz w:val="20"/>
          <w:szCs w:val="20"/>
          <w:lang w:val="en-US"/>
        </w:rPr>
        <w:t xml:space="preserve">As currently tailored, the pre-trade transparency regime limits pre-arranged trades from being submitted to exchanges, thereby </w:t>
      </w:r>
      <w:r w:rsidR="000D1F26">
        <w:rPr>
          <w:rFonts w:ascii="Arial" w:hAnsi="Arial" w:cs="Arial"/>
          <w:sz w:val="20"/>
          <w:szCs w:val="20"/>
          <w:lang w:val="en-US"/>
        </w:rPr>
        <w:t xml:space="preserve">limiting </w:t>
      </w:r>
      <w:r w:rsidRPr="00013D66">
        <w:rPr>
          <w:rFonts w:ascii="Arial" w:hAnsi="Arial" w:cs="Arial"/>
          <w:sz w:val="20"/>
          <w:szCs w:val="20"/>
          <w:lang w:val="en-US"/>
        </w:rPr>
        <w:t>the ability of market participants to hedge their commercial exposures on exchanges, directly in opposition to the G20 reforms ambitions of driving more OTC derivatives towards central-clearing. It is in the policy-makers’</w:t>
      </w:r>
      <w:r w:rsidR="006064BC">
        <w:rPr>
          <w:rFonts w:ascii="Arial" w:hAnsi="Arial" w:cs="Arial"/>
          <w:sz w:val="20"/>
          <w:szCs w:val="20"/>
          <w:lang w:val="en-US"/>
        </w:rPr>
        <w:t xml:space="preserve"> </w:t>
      </w:r>
      <w:r w:rsidRPr="00013D66">
        <w:rPr>
          <w:rFonts w:ascii="Arial" w:hAnsi="Arial" w:cs="Arial"/>
          <w:sz w:val="20"/>
          <w:szCs w:val="20"/>
          <w:lang w:val="en-US"/>
        </w:rPr>
        <w:t xml:space="preserve">interest to have more on venue trading </w:t>
      </w:r>
      <w:r w:rsidR="003003C3">
        <w:rPr>
          <w:rFonts w:ascii="Arial" w:hAnsi="Arial" w:cs="Arial"/>
          <w:sz w:val="20"/>
          <w:szCs w:val="20"/>
          <w:lang w:val="en-US"/>
        </w:rPr>
        <w:t>with a view to increase integrity, efficiency and</w:t>
      </w:r>
      <w:r w:rsidRPr="00013D66">
        <w:rPr>
          <w:rFonts w:ascii="Arial" w:hAnsi="Arial" w:cs="Arial"/>
          <w:sz w:val="20"/>
          <w:szCs w:val="20"/>
          <w:lang w:val="en-US"/>
        </w:rPr>
        <w:t xml:space="preserve"> transparency. </w:t>
      </w:r>
    </w:p>
    <w:p w14:paraId="59CF6846" w14:textId="5F707E39" w:rsidR="00F923B7" w:rsidRDefault="00F923B7" w:rsidP="00F923B7">
      <w:pPr>
        <w:jc w:val="both"/>
        <w:rPr>
          <w:rFonts w:ascii="Arial" w:hAnsi="Arial" w:cs="Arial"/>
          <w:sz w:val="20"/>
          <w:szCs w:val="20"/>
          <w:lang w:val="en-US"/>
        </w:rPr>
      </w:pPr>
      <w:r w:rsidRPr="00013D66">
        <w:rPr>
          <w:rFonts w:ascii="Arial" w:hAnsi="Arial" w:cs="Arial"/>
          <w:sz w:val="20"/>
          <w:szCs w:val="20"/>
          <w:lang w:val="en-US"/>
        </w:rPr>
        <w:t>Compared to other financial instruments, commodity instruments are often less liquid. In order to achieve execution</w:t>
      </w:r>
      <w:r w:rsidR="000D1F26">
        <w:rPr>
          <w:rFonts w:ascii="Arial" w:hAnsi="Arial" w:cs="Arial"/>
          <w:sz w:val="20"/>
          <w:szCs w:val="20"/>
          <w:lang w:val="en-US"/>
        </w:rPr>
        <w:t xml:space="preserve"> on an exchange</w:t>
      </w:r>
      <w:r w:rsidRPr="00013D66">
        <w:rPr>
          <w:rFonts w:ascii="Arial" w:hAnsi="Arial" w:cs="Arial"/>
          <w:sz w:val="20"/>
          <w:szCs w:val="20"/>
          <w:lang w:val="en-US"/>
        </w:rPr>
        <w:t xml:space="preserve"> trades are </w:t>
      </w:r>
      <w:r w:rsidR="000D1F26">
        <w:rPr>
          <w:rFonts w:ascii="Arial" w:hAnsi="Arial" w:cs="Arial"/>
          <w:sz w:val="20"/>
          <w:szCs w:val="20"/>
          <w:lang w:val="en-US"/>
        </w:rPr>
        <w:t>pre-negotiated</w:t>
      </w:r>
      <w:r w:rsidRPr="00013D66">
        <w:rPr>
          <w:rFonts w:ascii="Arial" w:hAnsi="Arial" w:cs="Arial"/>
          <w:sz w:val="20"/>
          <w:szCs w:val="20"/>
          <w:lang w:val="en-US"/>
        </w:rPr>
        <w:t xml:space="preserve"> outside the regulated venues </w:t>
      </w:r>
      <w:r w:rsidR="000D1F26">
        <w:rPr>
          <w:rFonts w:ascii="Arial" w:hAnsi="Arial" w:cs="Arial"/>
          <w:sz w:val="20"/>
          <w:szCs w:val="20"/>
          <w:lang w:val="en-US"/>
        </w:rPr>
        <w:t xml:space="preserve">and then brought to the </w:t>
      </w:r>
      <w:r w:rsidRPr="00013D66">
        <w:rPr>
          <w:rFonts w:ascii="Arial" w:hAnsi="Arial" w:cs="Arial"/>
          <w:sz w:val="20"/>
          <w:szCs w:val="20"/>
          <w:lang w:val="en-US"/>
        </w:rPr>
        <w:t>exchange</w:t>
      </w:r>
      <w:r w:rsidR="000D1F26">
        <w:rPr>
          <w:rFonts w:ascii="Arial" w:hAnsi="Arial" w:cs="Arial"/>
          <w:sz w:val="20"/>
          <w:szCs w:val="20"/>
          <w:lang w:val="en-US"/>
        </w:rPr>
        <w:t>s and central clearing</w:t>
      </w:r>
      <w:r w:rsidRPr="00013D66">
        <w:rPr>
          <w:rFonts w:ascii="Arial" w:hAnsi="Arial" w:cs="Arial"/>
          <w:sz w:val="20"/>
          <w:szCs w:val="20"/>
          <w:lang w:val="en-US"/>
        </w:rPr>
        <w:t xml:space="preserve"> with the exchanges’ respective CCP</w:t>
      </w:r>
      <w:r w:rsidR="000D1F26">
        <w:rPr>
          <w:rFonts w:ascii="Arial" w:hAnsi="Arial" w:cs="Arial"/>
          <w:sz w:val="20"/>
          <w:szCs w:val="20"/>
          <w:lang w:val="en-US"/>
        </w:rPr>
        <w:t xml:space="preserve"> via trade registration. This is often more promising </w:t>
      </w:r>
      <w:r w:rsidRPr="00013D66">
        <w:rPr>
          <w:rFonts w:ascii="Arial" w:hAnsi="Arial" w:cs="Arial"/>
          <w:sz w:val="20"/>
          <w:szCs w:val="20"/>
          <w:lang w:val="en-US"/>
        </w:rPr>
        <w:t>than</w:t>
      </w:r>
      <w:r w:rsidR="000D1F26">
        <w:rPr>
          <w:rFonts w:ascii="Arial" w:hAnsi="Arial" w:cs="Arial"/>
          <w:sz w:val="20"/>
          <w:szCs w:val="20"/>
          <w:lang w:val="en-US"/>
        </w:rPr>
        <w:t xml:space="preserve"> entering orders</w:t>
      </w:r>
      <w:r w:rsidRPr="00013D66">
        <w:rPr>
          <w:rFonts w:ascii="Arial" w:hAnsi="Arial" w:cs="Arial"/>
          <w:sz w:val="20"/>
          <w:szCs w:val="20"/>
          <w:lang w:val="en-US"/>
        </w:rPr>
        <w:t xml:space="preserve"> in a central order book where a satisfactory execution would be less likely. This ensures maximum transparency for these nascent markets. Additionally, energy markets are – by nature – </w:t>
      </w:r>
      <w:r w:rsidR="00A956C1" w:rsidRPr="00013D66">
        <w:rPr>
          <w:rFonts w:ascii="Arial" w:hAnsi="Arial" w:cs="Arial"/>
          <w:sz w:val="20"/>
          <w:szCs w:val="20"/>
          <w:lang w:val="en-US"/>
        </w:rPr>
        <w:t>characterized</w:t>
      </w:r>
      <w:r w:rsidRPr="00013D66">
        <w:rPr>
          <w:rFonts w:ascii="Arial" w:hAnsi="Arial" w:cs="Arial"/>
          <w:sz w:val="20"/>
          <w:szCs w:val="20"/>
          <w:lang w:val="en-US"/>
        </w:rPr>
        <w:t xml:space="preserve"> by a wide range of different contract types, including forwards, futures and options with various combinations of quality, location, delivery type, duration and size. These markets are used by professional investors to hedge risk connected to the production or consumption of an actual commodity, and thus often require liaison via a broker to find a counter party without incurring undue risk. Trade registration has been and still is essential to bring more volumes to the cleared market under the exchange rules. This move should evolve naturally and not be forced by regulation. EEX Spanish and Italian power illustrate well how trade registration has been the driver behind on-venue trading in these markets</w:t>
      </w:r>
      <w:r w:rsidR="00FE7F70">
        <w:rPr>
          <w:rFonts w:ascii="Arial" w:hAnsi="Arial" w:cs="Arial"/>
          <w:sz w:val="20"/>
          <w:szCs w:val="20"/>
          <w:lang w:val="en-US"/>
        </w:rPr>
        <w:t xml:space="preserve">. Figure 1 below shows the importance of trade registration in the Italian power market which took off in 2014, as by 2019, more than 80% of the Italian power volumes come from trade </w:t>
      </w:r>
      <w:r w:rsidR="00E758FB">
        <w:rPr>
          <w:rFonts w:ascii="Arial" w:hAnsi="Arial" w:cs="Arial"/>
          <w:sz w:val="20"/>
          <w:szCs w:val="20"/>
          <w:lang w:val="en-US"/>
        </w:rPr>
        <w:t>registration</w:t>
      </w:r>
      <w:r w:rsidR="004A336E">
        <w:rPr>
          <w:rFonts w:ascii="Arial" w:hAnsi="Arial" w:cs="Arial"/>
          <w:sz w:val="20"/>
          <w:szCs w:val="20"/>
          <w:lang w:val="en-US"/>
        </w:rPr>
        <w:t xml:space="preserve"> whilst less than 20% of this nascent market related to the orderbook</w:t>
      </w:r>
      <w:r w:rsidR="00E758FB">
        <w:rPr>
          <w:rFonts w:ascii="Arial" w:hAnsi="Arial" w:cs="Arial"/>
          <w:sz w:val="20"/>
          <w:szCs w:val="20"/>
          <w:lang w:val="en-US"/>
        </w:rPr>
        <w:t>.</w:t>
      </w:r>
      <w:r w:rsidR="00E758FB" w:rsidRPr="008C5A49">
        <w:rPr>
          <w:rFonts w:ascii="Arial" w:hAnsi="Arial" w:cs="Arial"/>
          <w:sz w:val="20"/>
          <w:szCs w:val="20"/>
          <w:lang w:val="en-US"/>
        </w:rPr>
        <w:t xml:space="preserve"> </w:t>
      </w:r>
      <w:r w:rsidR="002C1B3B">
        <w:rPr>
          <w:rFonts w:ascii="Arial" w:hAnsi="Arial" w:cs="Arial"/>
          <w:sz w:val="20"/>
          <w:szCs w:val="20"/>
          <w:lang w:val="en-US"/>
        </w:rPr>
        <w:t xml:space="preserve">This latter number is gradually increasing and as of today reaches 23%. </w:t>
      </w:r>
      <w:r w:rsidR="00E758FB" w:rsidRPr="008C5A49">
        <w:rPr>
          <w:rFonts w:ascii="Arial" w:hAnsi="Arial" w:cs="Arial"/>
          <w:sz w:val="20"/>
          <w:szCs w:val="20"/>
          <w:lang w:val="en-US"/>
        </w:rPr>
        <w:t>It</w:t>
      </w:r>
      <w:r w:rsidR="00107E27" w:rsidRPr="008C5A49">
        <w:rPr>
          <w:rFonts w:ascii="Arial" w:hAnsi="Arial" w:cs="Arial"/>
          <w:sz w:val="20"/>
          <w:szCs w:val="20"/>
          <w:lang w:val="en-US"/>
        </w:rPr>
        <w:t xml:space="preserve"> is important for such </w:t>
      </w:r>
      <w:r w:rsidR="00FA31D8" w:rsidRPr="008C5A49">
        <w:rPr>
          <w:rFonts w:ascii="Arial" w:hAnsi="Arial" w:cs="Arial"/>
          <w:sz w:val="20"/>
          <w:szCs w:val="20"/>
          <w:lang w:val="en-US"/>
        </w:rPr>
        <w:t>nascent</w:t>
      </w:r>
      <w:r w:rsidR="00107E27" w:rsidRPr="008C5A49">
        <w:rPr>
          <w:rFonts w:ascii="Arial" w:hAnsi="Arial" w:cs="Arial"/>
          <w:sz w:val="20"/>
          <w:szCs w:val="20"/>
          <w:lang w:val="en-US"/>
        </w:rPr>
        <w:t xml:space="preserve"> markets that thresholds for the waivers are appropriate to allow for a natural move to central order book trading.</w:t>
      </w:r>
    </w:p>
    <w:p w14:paraId="761531CE" w14:textId="0CD75920" w:rsidR="00C300E8" w:rsidRDefault="00C300E8" w:rsidP="00F923B7">
      <w:pPr>
        <w:jc w:val="both"/>
        <w:rPr>
          <w:rFonts w:ascii="Arial" w:hAnsi="Arial" w:cs="Arial"/>
          <w:sz w:val="20"/>
          <w:szCs w:val="20"/>
          <w:lang w:val="en-US"/>
        </w:rPr>
      </w:pPr>
      <w:r>
        <w:rPr>
          <w:rFonts w:ascii="Arial" w:hAnsi="Arial" w:cs="Arial"/>
          <w:sz w:val="20"/>
          <w:szCs w:val="20"/>
          <w:lang w:val="en-US"/>
        </w:rPr>
        <w:lastRenderedPageBreak/>
        <w:t xml:space="preserve">Figure 1: </w:t>
      </w:r>
      <w:r w:rsidR="00FE7F70">
        <w:rPr>
          <w:rFonts w:ascii="Arial" w:hAnsi="Arial" w:cs="Arial"/>
          <w:sz w:val="20"/>
          <w:szCs w:val="20"/>
          <w:lang w:val="en-US"/>
        </w:rPr>
        <w:t xml:space="preserve">EEX market share </w:t>
      </w:r>
      <w:r w:rsidR="002C1B3B">
        <w:rPr>
          <w:rFonts w:ascii="Arial" w:hAnsi="Arial" w:cs="Arial"/>
          <w:sz w:val="20"/>
          <w:szCs w:val="20"/>
          <w:lang w:val="en-US"/>
        </w:rPr>
        <w:t xml:space="preserve">of central orderbook trading and trade registration </w:t>
      </w:r>
      <w:r w:rsidR="00FE7F70">
        <w:rPr>
          <w:rFonts w:ascii="Arial" w:hAnsi="Arial" w:cs="Arial"/>
          <w:sz w:val="20"/>
          <w:szCs w:val="20"/>
          <w:lang w:val="en-US"/>
        </w:rPr>
        <w:t>on the Italian</w:t>
      </w:r>
      <w:r w:rsidR="001D3874">
        <w:rPr>
          <w:rFonts w:ascii="Arial" w:hAnsi="Arial" w:cs="Arial"/>
          <w:sz w:val="20"/>
          <w:szCs w:val="20"/>
          <w:lang w:val="en-US"/>
        </w:rPr>
        <w:t xml:space="preserve"> power</w:t>
      </w:r>
      <w:r w:rsidR="00FE7F70">
        <w:rPr>
          <w:rFonts w:ascii="Arial" w:hAnsi="Arial" w:cs="Arial"/>
          <w:sz w:val="20"/>
          <w:szCs w:val="20"/>
          <w:lang w:val="en-US"/>
        </w:rPr>
        <w:t xml:space="preserve"> market</w:t>
      </w:r>
    </w:p>
    <w:p w14:paraId="40E92AC9" w14:textId="49545961" w:rsidR="00C300E8" w:rsidRDefault="00C300E8" w:rsidP="00F923B7">
      <w:pPr>
        <w:jc w:val="both"/>
        <w:rPr>
          <w:rFonts w:ascii="Arial" w:hAnsi="Arial" w:cs="Arial"/>
          <w:sz w:val="20"/>
          <w:szCs w:val="20"/>
          <w:lang w:val="en-US"/>
        </w:rPr>
      </w:pPr>
      <w:r>
        <w:rPr>
          <w:noProof/>
        </w:rPr>
        <w:drawing>
          <wp:inline distT="0" distB="0" distL="0" distR="0" wp14:anchorId="43F5B694" wp14:editId="457B3C78">
            <wp:extent cx="5976620" cy="1698625"/>
            <wp:effectExtent l="0" t="0" r="5080" b="15875"/>
            <wp:docPr id="5"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E02FFB" w14:textId="2A70F5FA" w:rsidR="00F923B7" w:rsidRPr="00013D66" w:rsidRDefault="00F923B7" w:rsidP="00F923B7">
      <w:pPr>
        <w:jc w:val="both"/>
        <w:rPr>
          <w:rFonts w:ascii="Arial" w:hAnsi="Arial" w:cs="Arial"/>
          <w:sz w:val="20"/>
          <w:szCs w:val="20"/>
          <w:lang w:val="en-US"/>
        </w:rPr>
      </w:pPr>
      <w:r w:rsidRPr="00013D66">
        <w:rPr>
          <w:rFonts w:ascii="Arial" w:hAnsi="Arial" w:cs="Arial"/>
          <w:sz w:val="20"/>
          <w:szCs w:val="20"/>
          <w:lang w:val="en-US"/>
        </w:rPr>
        <w:t>This difference amongst markets is furthermore reflected in differences such as how market participants use non-equity derivatives instruments for hedging and commercial purposes. As observed by ESMA in section 3.1.2.1, bullet point 41, commodity derivatives stand for 42.87% of number of transactions in 2018. ESMA rightly concludes that the explanation lies in the difference in the average size of transactions, which differs largely in the non-equity segment</w:t>
      </w:r>
      <w:r w:rsidR="002B761B">
        <w:rPr>
          <w:rFonts w:ascii="Arial" w:hAnsi="Arial" w:cs="Arial"/>
          <w:sz w:val="20"/>
          <w:szCs w:val="20"/>
          <w:lang w:val="en-US"/>
        </w:rPr>
        <w:t>.</w:t>
      </w:r>
      <w:r w:rsidRPr="00013D66">
        <w:rPr>
          <w:rFonts w:ascii="Arial" w:hAnsi="Arial" w:cs="Arial"/>
          <w:sz w:val="20"/>
          <w:szCs w:val="20"/>
          <w:lang w:val="en-US"/>
        </w:rPr>
        <w:t xml:space="preserve"> </w:t>
      </w:r>
      <w:r w:rsidR="002B761B">
        <w:rPr>
          <w:rFonts w:ascii="Arial" w:hAnsi="Arial" w:cs="Arial"/>
          <w:sz w:val="20"/>
          <w:szCs w:val="20"/>
          <w:lang w:val="en-US"/>
        </w:rPr>
        <w:t>It</w:t>
      </w:r>
      <w:r w:rsidRPr="00013D66">
        <w:rPr>
          <w:rFonts w:ascii="Arial" w:hAnsi="Arial" w:cs="Arial"/>
          <w:sz w:val="20"/>
          <w:szCs w:val="20"/>
          <w:lang w:val="en-US"/>
        </w:rPr>
        <w:t xml:space="preserve"> is smaller for commodity derivatives (transactions of small size and notional amount) </w:t>
      </w:r>
      <w:r w:rsidR="002B761B">
        <w:rPr>
          <w:rFonts w:ascii="Arial" w:hAnsi="Arial" w:cs="Arial"/>
          <w:sz w:val="20"/>
          <w:szCs w:val="20"/>
          <w:lang w:val="en-US"/>
        </w:rPr>
        <w:t>c</w:t>
      </w:r>
      <w:r w:rsidRPr="00013D66">
        <w:rPr>
          <w:rFonts w:ascii="Arial" w:hAnsi="Arial" w:cs="Arial"/>
          <w:sz w:val="20"/>
          <w:szCs w:val="20"/>
          <w:lang w:val="en-US"/>
        </w:rPr>
        <w:t>ompared to for instance interest rates derivatives, which ha</w:t>
      </w:r>
      <w:r w:rsidR="002B761B">
        <w:rPr>
          <w:rFonts w:ascii="Arial" w:hAnsi="Arial" w:cs="Arial"/>
          <w:sz w:val="20"/>
          <w:szCs w:val="20"/>
          <w:lang w:val="en-US"/>
        </w:rPr>
        <w:t>ve</w:t>
      </w:r>
      <w:r w:rsidRPr="00013D66">
        <w:rPr>
          <w:rFonts w:ascii="Arial" w:hAnsi="Arial" w:cs="Arial"/>
          <w:sz w:val="20"/>
          <w:szCs w:val="20"/>
          <w:lang w:val="en-US"/>
        </w:rPr>
        <w:t xml:space="preserve"> the second largest share of transactions</w:t>
      </w:r>
      <w:r w:rsidR="002B761B">
        <w:rPr>
          <w:rFonts w:ascii="Arial" w:hAnsi="Arial" w:cs="Arial"/>
          <w:sz w:val="20"/>
          <w:szCs w:val="20"/>
          <w:lang w:val="en-US"/>
        </w:rPr>
        <w:t>,</w:t>
      </w:r>
      <w:r w:rsidRPr="00013D66">
        <w:rPr>
          <w:rFonts w:ascii="Arial" w:hAnsi="Arial" w:cs="Arial"/>
          <w:sz w:val="20"/>
          <w:szCs w:val="20"/>
          <w:lang w:val="en-US"/>
        </w:rPr>
        <w:t xml:space="preserve"> however characteri</w:t>
      </w:r>
      <w:r w:rsidR="008C5A49">
        <w:rPr>
          <w:rFonts w:ascii="Arial" w:hAnsi="Arial" w:cs="Arial"/>
          <w:sz w:val="20"/>
          <w:szCs w:val="20"/>
          <w:lang w:val="en-US"/>
        </w:rPr>
        <w:t>z</w:t>
      </w:r>
      <w:r w:rsidRPr="00013D66">
        <w:rPr>
          <w:rFonts w:ascii="Arial" w:hAnsi="Arial" w:cs="Arial"/>
          <w:sz w:val="20"/>
          <w:szCs w:val="20"/>
          <w:lang w:val="en-US"/>
        </w:rPr>
        <w:t xml:space="preserve">ed by fewer transactions of </w:t>
      </w:r>
      <w:r w:rsidR="002B761B">
        <w:rPr>
          <w:rFonts w:ascii="Arial" w:hAnsi="Arial" w:cs="Arial"/>
          <w:sz w:val="20"/>
          <w:szCs w:val="20"/>
          <w:lang w:val="en-US"/>
        </w:rPr>
        <w:t>larger</w:t>
      </w:r>
      <w:r w:rsidRPr="00013D66">
        <w:rPr>
          <w:rFonts w:ascii="Arial" w:hAnsi="Arial" w:cs="Arial"/>
          <w:sz w:val="20"/>
          <w:szCs w:val="20"/>
          <w:lang w:val="en-US"/>
        </w:rPr>
        <w:t xml:space="preserve"> size.</w:t>
      </w:r>
    </w:p>
    <w:p w14:paraId="279D6EE7" w14:textId="6BFB65ED" w:rsidR="00F923B7" w:rsidRPr="00013D66" w:rsidRDefault="00F923B7" w:rsidP="00F923B7">
      <w:pPr>
        <w:jc w:val="both"/>
        <w:rPr>
          <w:rFonts w:ascii="Arial" w:hAnsi="Arial" w:cs="Arial"/>
          <w:sz w:val="20"/>
          <w:szCs w:val="20"/>
          <w:lang w:val="en-US"/>
        </w:rPr>
      </w:pPr>
      <w:r w:rsidRPr="00013D66">
        <w:rPr>
          <w:rFonts w:ascii="Arial" w:hAnsi="Arial" w:cs="Arial"/>
          <w:sz w:val="20"/>
          <w:szCs w:val="20"/>
          <w:lang w:val="en-US"/>
        </w:rPr>
        <w:t xml:space="preserve">On Level 1, we would propose that the hedging exemption available in Art. 8(1) </w:t>
      </w:r>
      <w:r w:rsidR="00B80C0E" w:rsidRPr="00013D66">
        <w:rPr>
          <w:rFonts w:ascii="Arial" w:hAnsi="Arial" w:cs="Arial"/>
          <w:sz w:val="20"/>
          <w:szCs w:val="20"/>
          <w:lang w:val="en-US"/>
        </w:rPr>
        <w:t xml:space="preserve">MiFIR </w:t>
      </w:r>
      <w:r w:rsidRPr="00013D66">
        <w:rPr>
          <w:rFonts w:ascii="Arial" w:hAnsi="Arial" w:cs="Arial"/>
          <w:sz w:val="20"/>
          <w:szCs w:val="20"/>
          <w:lang w:val="en-US"/>
        </w:rPr>
        <w:t xml:space="preserve">is extended to cover all market participants managing risks arising from activity in the physical market, including financial counterparties. </w:t>
      </w:r>
      <w:bookmarkStart w:id="5" w:name="_Hlk41317622"/>
      <w:r w:rsidRPr="00013D66">
        <w:rPr>
          <w:rFonts w:ascii="Arial" w:hAnsi="Arial" w:cs="Arial"/>
          <w:sz w:val="20"/>
          <w:szCs w:val="20"/>
          <w:lang w:val="en-US"/>
        </w:rPr>
        <w:t>Such solution would allow the building of liquidity in the order book to continue without jeopardizing the ability of commodity derivatives markets to fulfil their function</w:t>
      </w:r>
      <w:bookmarkEnd w:id="5"/>
      <w:r w:rsidRPr="00013D66">
        <w:rPr>
          <w:rFonts w:ascii="Arial" w:hAnsi="Arial" w:cs="Arial"/>
          <w:sz w:val="20"/>
          <w:szCs w:val="20"/>
          <w:lang w:val="en-US"/>
        </w:rPr>
        <w:t>. Importantly, such change should be combined with relevant amendments in Level 2 which would remove the current factors leading to inappropriate thresholds</w:t>
      </w:r>
      <w:r w:rsidR="00A956C1">
        <w:rPr>
          <w:rFonts w:ascii="Arial" w:hAnsi="Arial" w:cs="Arial"/>
          <w:sz w:val="20"/>
          <w:szCs w:val="20"/>
          <w:lang w:val="en-US"/>
        </w:rPr>
        <w:t xml:space="preserve"> for commodity derivatives</w:t>
      </w:r>
      <w:r w:rsidRPr="00013D66">
        <w:rPr>
          <w:rFonts w:ascii="Arial" w:hAnsi="Arial" w:cs="Arial"/>
          <w:sz w:val="20"/>
          <w:szCs w:val="20"/>
          <w:lang w:val="en-US"/>
        </w:rPr>
        <w:t xml:space="preserve"> (e.g. using notional values which are highly reliant on market prices).</w:t>
      </w:r>
    </w:p>
    <w:p w14:paraId="52E11C16" w14:textId="3D423BEC" w:rsidR="00BE08D8" w:rsidRDefault="00F923B7" w:rsidP="00BE08D8">
      <w:pPr>
        <w:jc w:val="both"/>
        <w:rPr>
          <w:rFonts w:ascii="Arial" w:hAnsi="Arial" w:cs="Arial"/>
          <w:sz w:val="20"/>
          <w:szCs w:val="20"/>
          <w:lang w:val="en-US"/>
        </w:rPr>
      </w:pPr>
      <w:r w:rsidRPr="00013D66">
        <w:rPr>
          <w:rFonts w:ascii="Arial" w:hAnsi="Arial" w:cs="Arial"/>
          <w:sz w:val="20"/>
          <w:szCs w:val="20"/>
          <w:lang w:val="en-US"/>
        </w:rPr>
        <w:t xml:space="preserve">We therefore welcome that ESMA stands ready to review the current design of the pre-trade transparency regime </w:t>
      </w:r>
      <w:r w:rsidR="002B761B">
        <w:rPr>
          <w:rFonts w:ascii="Arial" w:hAnsi="Arial" w:cs="Arial"/>
          <w:sz w:val="20"/>
          <w:szCs w:val="20"/>
          <w:lang w:val="en-US"/>
        </w:rPr>
        <w:t>for</w:t>
      </w:r>
      <w:r w:rsidRPr="00013D66">
        <w:rPr>
          <w:rFonts w:ascii="Arial" w:hAnsi="Arial" w:cs="Arial"/>
          <w:sz w:val="20"/>
          <w:szCs w:val="20"/>
          <w:lang w:val="en-US"/>
        </w:rPr>
        <w:t xml:space="preserve"> commodity derivatives contracts on both Level 1 and 2. A better tailored transparency regime would help promote and foster EU commodity markets, notably regarding energy markets denominated in euro, and contribute to the international role of the Euro.</w:t>
      </w:r>
    </w:p>
    <w:p w14:paraId="4FE93A24" w14:textId="7E7DBE6F" w:rsidR="0000699B" w:rsidRPr="0000699B" w:rsidRDefault="0000699B" w:rsidP="0000699B">
      <w:pPr>
        <w:jc w:val="both"/>
        <w:rPr>
          <w:rFonts w:ascii="Arial" w:hAnsi="Arial" w:cs="Arial"/>
          <w:sz w:val="20"/>
          <w:szCs w:val="20"/>
          <w:lang w:val="en-US"/>
        </w:rPr>
      </w:pPr>
      <w:r w:rsidRPr="0000699B">
        <w:rPr>
          <w:rFonts w:ascii="Arial" w:hAnsi="Arial" w:cs="Arial"/>
          <w:sz w:val="20"/>
          <w:szCs w:val="20"/>
          <w:lang w:val="en-US"/>
        </w:rPr>
        <w:t>Finally, when looking at bond and securitized derivatives</w:t>
      </w:r>
      <w:r>
        <w:rPr>
          <w:rFonts w:ascii="Arial" w:hAnsi="Arial" w:cs="Arial"/>
          <w:sz w:val="20"/>
          <w:szCs w:val="20"/>
          <w:lang w:val="en-US"/>
        </w:rPr>
        <w:t>, we would like to highlight that trading in these asset classes</w:t>
      </w:r>
      <w:r w:rsidRPr="0000699B">
        <w:rPr>
          <w:rFonts w:ascii="Arial" w:hAnsi="Arial" w:cs="Arial"/>
          <w:sz w:val="20"/>
          <w:szCs w:val="20"/>
          <w:lang w:val="en-US"/>
        </w:rPr>
        <w:t xml:space="preserve"> is still opaque and there was no increase and pre- and post-trade transparency triggered by MiFID II as concluded by ESMA</w:t>
      </w:r>
      <w:r w:rsidR="00983836">
        <w:rPr>
          <w:rFonts w:ascii="Arial" w:hAnsi="Arial" w:cs="Arial"/>
          <w:sz w:val="20"/>
          <w:szCs w:val="20"/>
          <w:lang w:val="en-US"/>
        </w:rPr>
        <w:t xml:space="preserve"> in its consultation paper</w:t>
      </w:r>
      <w:r w:rsidR="005759C0">
        <w:rPr>
          <w:rFonts w:ascii="Arial" w:hAnsi="Arial" w:cs="Arial"/>
          <w:sz w:val="20"/>
          <w:szCs w:val="20"/>
          <w:lang w:val="en-US"/>
        </w:rPr>
        <w:t xml:space="preserve">: </w:t>
      </w:r>
      <w:r w:rsidR="00983836">
        <w:rPr>
          <w:rFonts w:ascii="Arial" w:hAnsi="Arial" w:cs="Arial"/>
          <w:sz w:val="20"/>
          <w:szCs w:val="20"/>
          <w:lang w:val="en-US"/>
        </w:rPr>
        <w:t>As of today</w:t>
      </w:r>
      <w:r w:rsidR="005759C0">
        <w:rPr>
          <w:rFonts w:ascii="Arial" w:hAnsi="Arial" w:cs="Arial"/>
          <w:sz w:val="20"/>
          <w:szCs w:val="20"/>
          <w:lang w:val="en-US"/>
        </w:rPr>
        <w:t>,</w:t>
      </w:r>
      <w:r w:rsidR="00983836">
        <w:rPr>
          <w:rFonts w:ascii="Arial" w:hAnsi="Arial" w:cs="Arial"/>
          <w:sz w:val="20"/>
          <w:szCs w:val="20"/>
          <w:lang w:val="en-US"/>
        </w:rPr>
        <w:t xml:space="preserve"> the large majority of</w:t>
      </w:r>
      <w:r w:rsidRPr="0000699B">
        <w:rPr>
          <w:rFonts w:ascii="Arial" w:hAnsi="Arial" w:cs="Arial"/>
          <w:sz w:val="20"/>
          <w:szCs w:val="20"/>
          <w:lang w:val="en-US"/>
        </w:rPr>
        <w:t xml:space="preserve"> bond and securitized derivatives trading is bilateral, tak</w:t>
      </w:r>
      <w:r w:rsidR="00983836">
        <w:rPr>
          <w:rFonts w:ascii="Arial" w:hAnsi="Arial" w:cs="Arial"/>
          <w:sz w:val="20"/>
          <w:szCs w:val="20"/>
          <w:lang w:val="en-US"/>
        </w:rPr>
        <w:t>ing</w:t>
      </w:r>
      <w:r w:rsidRPr="0000699B">
        <w:rPr>
          <w:rFonts w:ascii="Arial" w:hAnsi="Arial" w:cs="Arial"/>
          <w:sz w:val="20"/>
          <w:szCs w:val="20"/>
          <w:lang w:val="en-US"/>
        </w:rPr>
        <w:t xml:space="preserve"> place OTC (more than 90% percent of traded nominal is reported by APAs) and, as a consequence, provides limited access for market participants and less transparency than multilateral trading on RMs, MTFs and OTFs. </w:t>
      </w:r>
      <w:r w:rsidR="00983836">
        <w:rPr>
          <w:rFonts w:ascii="Arial" w:hAnsi="Arial" w:cs="Arial"/>
          <w:sz w:val="20"/>
          <w:szCs w:val="20"/>
          <w:lang w:val="en-US"/>
        </w:rPr>
        <w:t>Moreover, b</w:t>
      </w:r>
      <w:r w:rsidR="00983836" w:rsidRPr="0000699B">
        <w:rPr>
          <w:rFonts w:ascii="Arial" w:hAnsi="Arial" w:cs="Arial"/>
          <w:sz w:val="20"/>
          <w:szCs w:val="20"/>
          <w:lang w:val="en-US"/>
        </w:rPr>
        <w:t xml:space="preserve">onds and securitized derivatives trading is very fragmented, i.e. takes place on 166 bond SIs, 45 securitized derivatives SIs and 293 non-equity trading venues (no separate numbers available for bonds and securitized derivatives trading venues). </w:t>
      </w:r>
      <w:r w:rsidRPr="0000699B">
        <w:rPr>
          <w:rFonts w:ascii="Arial" w:hAnsi="Arial" w:cs="Arial"/>
          <w:sz w:val="20"/>
          <w:szCs w:val="20"/>
          <w:lang w:val="en-US"/>
        </w:rPr>
        <w:t>Therefore, we urge ESMA to support initiatives to bring more trading of bonds and securitized derivatives to transparent and multilateral trading venues.</w:t>
      </w:r>
    </w:p>
    <w:p w14:paraId="1305DA3A" w14:textId="3C45F5FC" w:rsidR="00983836" w:rsidRDefault="0000699B" w:rsidP="005F0A54">
      <w:pPr>
        <w:jc w:val="both"/>
        <w:rPr>
          <w:rFonts w:ascii="Arial" w:hAnsi="Arial" w:cs="Arial"/>
          <w:sz w:val="20"/>
          <w:szCs w:val="20"/>
          <w:lang w:val="en-US"/>
        </w:rPr>
      </w:pPr>
      <w:r w:rsidRPr="0000699B">
        <w:rPr>
          <w:rFonts w:ascii="Arial" w:hAnsi="Arial" w:cs="Arial"/>
          <w:sz w:val="20"/>
          <w:szCs w:val="20"/>
          <w:lang w:val="en-US"/>
        </w:rPr>
        <w:t>It is commonly understood that publicly available orderbooks of regulated exchanges maximize transparency and hence benefits for overall financial markets. Therefore, orderbook trading at regulated exchanges should be encouraged by financial regulation wherever possible. We recommend</w:t>
      </w:r>
      <w:r w:rsidR="00983836">
        <w:rPr>
          <w:rFonts w:ascii="Arial" w:hAnsi="Arial" w:cs="Arial"/>
          <w:sz w:val="20"/>
          <w:szCs w:val="20"/>
          <w:lang w:val="en-US"/>
        </w:rPr>
        <w:t xml:space="preserve"> in this context</w:t>
      </w:r>
      <w:r w:rsidRPr="0000699B">
        <w:rPr>
          <w:rFonts w:ascii="Arial" w:hAnsi="Arial" w:cs="Arial"/>
          <w:sz w:val="20"/>
          <w:szCs w:val="20"/>
          <w:lang w:val="en-US"/>
        </w:rPr>
        <w:t xml:space="preserve"> </w:t>
      </w:r>
      <w:r w:rsidR="00963CA1">
        <w:rPr>
          <w:rFonts w:ascii="Arial" w:hAnsi="Arial" w:cs="Arial"/>
          <w:sz w:val="20"/>
          <w:szCs w:val="20"/>
          <w:lang w:val="en-US"/>
        </w:rPr>
        <w:t>reviewing</w:t>
      </w:r>
      <w:r w:rsidR="00983836" w:rsidRPr="00983836">
        <w:rPr>
          <w:rFonts w:ascii="Arial" w:hAnsi="Arial" w:cs="Arial"/>
          <w:sz w:val="20"/>
          <w:szCs w:val="20"/>
          <w:lang w:val="en-US"/>
        </w:rPr>
        <w:t xml:space="preserve"> the criteria for assessing the liquidity of bonds so as </w:t>
      </w:r>
      <w:bookmarkStart w:id="6" w:name="_Hlk41409875"/>
      <w:r w:rsidR="00983836" w:rsidRPr="00983836">
        <w:rPr>
          <w:rFonts w:ascii="Arial" w:hAnsi="Arial" w:cs="Arial"/>
          <w:sz w:val="20"/>
          <w:szCs w:val="20"/>
          <w:lang w:val="en-US"/>
        </w:rPr>
        <w:t>to increase the number of bonds that are deemed liquid and therefore subject to the transparency requirements</w:t>
      </w:r>
      <w:bookmarkEnd w:id="6"/>
      <w:r w:rsidR="00983836" w:rsidRPr="00983836">
        <w:rPr>
          <w:rFonts w:ascii="Arial" w:hAnsi="Arial" w:cs="Arial"/>
          <w:sz w:val="20"/>
          <w:szCs w:val="20"/>
          <w:lang w:val="en-US"/>
        </w:rPr>
        <w:t>.</w:t>
      </w:r>
      <w:r w:rsidR="00983836">
        <w:rPr>
          <w:rFonts w:ascii="Arial" w:hAnsi="Arial" w:cs="Arial"/>
          <w:sz w:val="20"/>
          <w:szCs w:val="20"/>
          <w:lang w:val="en-US"/>
        </w:rPr>
        <w:t xml:space="preserve"> </w:t>
      </w:r>
    </w:p>
    <w:p w14:paraId="41685D6E" w14:textId="79E34571" w:rsidR="0000699B" w:rsidRPr="0000699B" w:rsidRDefault="00983836" w:rsidP="0000699B">
      <w:pPr>
        <w:jc w:val="both"/>
        <w:rPr>
          <w:rFonts w:ascii="Arial" w:hAnsi="Arial" w:cs="Arial"/>
          <w:sz w:val="20"/>
          <w:szCs w:val="20"/>
          <w:lang w:val="en-US"/>
        </w:rPr>
      </w:pPr>
      <w:r>
        <w:rPr>
          <w:rFonts w:ascii="Arial" w:hAnsi="Arial" w:cs="Arial"/>
          <w:sz w:val="20"/>
          <w:szCs w:val="20"/>
          <w:lang w:val="en-US"/>
        </w:rPr>
        <w:t xml:space="preserve">Further, </w:t>
      </w:r>
      <w:r w:rsidR="005F0A54">
        <w:rPr>
          <w:rFonts w:ascii="Arial" w:hAnsi="Arial" w:cs="Arial"/>
          <w:sz w:val="20"/>
          <w:szCs w:val="20"/>
          <w:lang w:val="en-US"/>
        </w:rPr>
        <w:t xml:space="preserve">we suggest </w:t>
      </w:r>
      <w:r w:rsidR="0000699B" w:rsidRPr="0000699B">
        <w:rPr>
          <w:rFonts w:ascii="Arial" w:hAnsi="Arial" w:cs="Arial"/>
          <w:sz w:val="20"/>
          <w:szCs w:val="20"/>
          <w:lang w:val="en-US"/>
        </w:rPr>
        <w:t xml:space="preserve">trading </w:t>
      </w:r>
      <w:r>
        <w:rPr>
          <w:rFonts w:ascii="Arial" w:hAnsi="Arial" w:cs="Arial"/>
          <w:sz w:val="20"/>
          <w:szCs w:val="20"/>
          <w:lang w:val="en-US"/>
        </w:rPr>
        <w:t xml:space="preserve">in bonds </w:t>
      </w:r>
      <w:r w:rsidR="005F0A54">
        <w:rPr>
          <w:rFonts w:ascii="Arial" w:hAnsi="Arial" w:cs="Arial"/>
          <w:sz w:val="20"/>
          <w:szCs w:val="20"/>
          <w:lang w:val="en-US"/>
        </w:rPr>
        <w:t xml:space="preserve">and securitized derivatives </w:t>
      </w:r>
      <w:r w:rsidR="0000699B" w:rsidRPr="0000699B">
        <w:rPr>
          <w:rFonts w:ascii="Arial" w:hAnsi="Arial" w:cs="Arial"/>
          <w:sz w:val="20"/>
          <w:szCs w:val="20"/>
          <w:lang w:val="en-US"/>
        </w:rPr>
        <w:t xml:space="preserve">of sizes below LIS </w:t>
      </w:r>
      <w:r w:rsidR="005F0A54" w:rsidRPr="005F0A54">
        <w:rPr>
          <w:rFonts w:ascii="Arial" w:hAnsi="Arial" w:cs="Arial"/>
          <w:sz w:val="20"/>
          <w:szCs w:val="20"/>
          <w:lang w:val="en-US"/>
        </w:rPr>
        <w:t xml:space="preserve">to be executed on a transparent trading venue </w:t>
      </w:r>
      <w:r w:rsidR="0000699B" w:rsidRPr="0000699B">
        <w:rPr>
          <w:rFonts w:ascii="Arial" w:hAnsi="Arial" w:cs="Arial"/>
          <w:sz w:val="20"/>
          <w:szCs w:val="20"/>
          <w:lang w:val="en-US"/>
        </w:rPr>
        <w:t xml:space="preserve">only. </w:t>
      </w:r>
      <w:r w:rsidR="005F0A54">
        <w:rPr>
          <w:rFonts w:ascii="Arial" w:hAnsi="Arial" w:cs="Arial"/>
          <w:sz w:val="20"/>
          <w:szCs w:val="20"/>
          <w:lang w:val="en-US"/>
        </w:rPr>
        <w:t xml:space="preserve">As the current LIS threshold for the special case of bonds and securitized derivatives is too </w:t>
      </w:r>
      <w:r w:rsidR="005F0A54" w:rsidRPr="0000699B">
        <w:rPr>
          <w:rFonts w:ascii="Arial" w:hAnsi="Arial" w:cs="Arial"/>
          <w:sz w:val="20"/>
          <w:szCs w:val="20"/>
          <w:lang w:val="en-US"/>
        </w:rPr>
        <w:t xml:space="preserve">high to </w:t>
      </w:r>
      <w:r w:rsidR="006064BC">
        <w:rPr>
          <w:rFonts w:ascii="Arial" w:hAnsi="Arial" w:cs="Arial"/>
          <w:sz w:val="20"/>
          <w:szCs w:val="20"/>
          <w:lang w:val="en-US"/>
        </w:rPr>
        <w:t>facilitate</w:t>
      </w:r>
      <w:r w:rsidR="005F0A54" w:rsidRPr="0000699B">
        <w:rPr>
          <w:rFonts w:ascii="Arial" w:hAnsi="Arial" w:cs="Arial"/>
          <w:sz w:val="20"/>
          <w:szCs w:val="20"/>
          <w:lang w:val="en-US"/>
        </w:rPr>
        <w:t xml:space="preserve"> all trading below LIS to happen on an RM, MTF or OTF</w:t>
      </w:r>
      <w:r w:rsidR="005F0A54">
        <w:rPr>
          <w:rFonts w:ascii="Arial" w:hAnsi="Arial" w:cs="Arial"/>
          <w:sz w:val="20"/>
          <w:szCs w:val="20"/>
          <w:lang w:val="en-US"/>
        </w:rPr>
        <w:t>, we recommend</w:t>
      </w:r>
      <w:r w:rsidR="005F0A54" w:rsidRPr="005F0A54">
        <w:rPr>
          <w:rFonts w:ascii="Arial" w:hAnsi="Arial" w:cs="Arial"/>
          <w:sz w:val="20"/>
          <w:szCs w:val="20"/>
          <w:lang w:val="en-US"/>
        </w:rPr>
        <w:t xml:space="preserve"> </w:t>
      </w:r>
      <w:r w:rsidR="005F0A54" w:rsidRPr="005F0A54">
        <w:rPr>
          <w:rFonts w:ascii="Arial" w:hAnsi="Arial" w:cs="Arial"/>
          <w:sz w:val="20"/>
          <w:szCs w:val="20"/>
          <w:lang w:val="en-US"/>
        </w:rPr>
        <w:lastRenderedPageBreak/>
        <w:t>using the 100,000 EUR denomination threshold to delineate lit (RM, MTF and OTF) trading from dark (OTC and SI) trading</w:t>
      </w:r>
      <w:r w:rsidR="005F0A54">
        <w:rPr>
          <w:rFonts w:ascii="Arial" w:hAnsi="Arial" w:cs="Arial"/>
          <w:sz w:val="20"/>
          <w:szCs w:val="20"/>
          <w:lang w:val="en-US"/>
        </w:rPr>
        <w:t>.</w:t>
      </w:r>
      <w:r w:rsidR="005F0A54" w:rsidRPr="005F0A54">
        <w:rPr>
          <w:rFonts w:ascii="Arial" w:hAnsi="Arial" w:cs="Arial"/>
          <w:sz w:val="20"/>
          <w:szCs w:val="20"/>
          <w:lang w:val="en-US"/>
        </w:rPr>
        <w:t xml:space="preserve"> </w:t>
      </w:r>
      <w:r w:rsidR="005F0A54" w:rsidRPr="0000699B">
        <w:rPr>
          <w:rFonts w:ascii="Arial" w:hAnsi="Arial" w:cs="Arial"/>
          <w:sz w:val="20"/>
          <w:szCs w:val="20"/>
          <w:lang w:val="en-US"/>
        </w:rPr>
        <w:t xml:space="preserve">This threshold is used by the prospectus regulation to ease the requirements for issuers of bonds for the publication of a prospectus. Furthermore, pursuant to RTS 2 trades below 100.000 EUR are not relevant for the consideration of the liquidity of a bond. Therefore, </w:t>
      </w:r>
      <w:r w:rsidR="005F0A54">
        <w:rPr>
          <w:rFonts w:ascii="Arial" w:hAnsi="Arial" w:cs="Arial"/>
          <w:sz w:val="20"/>
          <w:szCs w:val="20"/>
          <w:lang w:val="en-US"/>
        </w:rPr>
        <w:t xml:space="preserve">we consider </w:t>
      </w:r>
      <w:r w:rsidR="005F0A54" w:rsidRPr="0000699B">
        <w:rPr>
          <w:rFonts w:ascii="Arial" w:hAnsi="Arial" w:cs="Arial"/>
          <w:sz w:val="20"/>
          <w:szCs w:val="20"/>
          <w:lang w:val="en-US"/>
        </w:rPr>
        <w:t xml:space="preserve">this threshold </w:t>
      </w:r>
      <w:r w:rsidR="005F0A54">
        <w:rPr>
          <w:rFonts w:ascii="Arial" w:hAnsi="Arial" w:cs="Arial"/>
          <w:sz w:val="20"/>
          <w:szCs w:val="20"/>
          <w:lang w:val="en-US"/>
        </w:rPr>
        <w:t>best</w:t>
      </w:r>
      <w:r w:rsidR="005F0A54" w:rsidRPr="0000699B">
        <w:rPr>
          <w:rFonts w:ascii="Arial" w:hAnsi="Arial" w:cs="Arial"/>
          <w:sz w:val="20"/>
          <w:szCs w:val="20"/>
          <w:lang w:val="en-US"/>
        </w:rPr>
        <w:t xml:space="preserve"> suited to delineate lit trading from dark trading and to bring more liquidity onto orderbooks on transparent markets.</w:t>
      </w:r>
      <w:r w:rsidR="005F0A54">
        <w:rPr>
          <w:rFonts w:ascii="Arial" w:hAnsi="Arial" w:cs="Arial"/>
          <w:sz w:val="20"/>
          <w:szCs w:val="20"/>
          <w:lang w:val="en-US"/>
        </w:rPr>
        <w:t xml:space="preserve"> Such an approach</w:t>
      </w:r>
      <w:r w:rsidR="0000699B" w:rsidRPr="0000699B">
        <w:rPr>
          <w:rFonts w:ascii="Arial" w:hAnsi="Arial" w:cs="Arial"/>
          <w:sz w:val="20"/>
          <w:szCs w:val="20"/>
          <w:lang w:val="en-US"/>
        </w:rPr>
        <w:t xml:space="preserve"> would significantly reduce market fragmentation, aggregate liquidity and increase pre- and post-trade transparency in particular for retail investors.</w:t>
      </w:r>
    </w:p>
    <w:p w14:paraId="37A35DE4" w14:textId="74F41546" w:rsidR="001D503E" w:rsidRPr="00F23531" w:rsidRDefault="001D503E" w:rsidP="00BE08D8">
      <w:pPr>
        <w:jc w:val="both"/>
        <w:rPr>
          <w:rFonts w:ascii="Arial" w:eastAsia="Times New Roman" w:hAnsi="Arial" w:cs="Arial"/>
          <w:sz w:val="20"/>
          <w:szCs w:val="24"/>
          <w:lang w:val="en-GB" w:eastAsia="de-DE"/>
        </w:rPr>
      </w:pPr>
      <w:r w:rsidRPr="00F23531">
        <w:rPr>
          <w:rFonts w:ascii="Arial" w:eastAsia="Times New Roman" w:hAnsi="Arial" w:cs="Arial"/>
          <w:sz w:val="20"/>
          <w:szCs w:val="24"/>
          <w:lang w:val="en-GB" w:eastAsia="de-DE"/>
        </w:rPr>
        <w:t>&lt;ESMA_QUESTION_CP_MIFID_NQT_1&gt;</w:t>
      </w:r>
    </w:p>
    <w:p w14:paraId="1155CA39" w14:textId="77777777" w:rsidR="001D503E" w:rsidRPr="00F23531" w:rsidRDefault="001D503E" w:rsidP="001D503E">
      <w:pPr>
        <w:spacing w:after="0" w:line="240" w:lineRule="auto"/>
        <w:rPr>
          <w:rFonts w:ascii="Arial" w:eastAsia="Times New Roman" w:hAnsi="Arial" w:cs="Arial"/>
          <w:sz w:val="20"/>
          <w:szCs w:val="24"/>
          <w:lang w:val="en-GB" w:eastAsia="de-DE"/>
        </w:rPr>
      </w:pPr>
    </w:p>
    <w:p w14:paraId="233BB0BE"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What proposals do you have for improving the level of pre-trade transparency available? Do you believe that the simplification of the regime for pre-trade transparency waivers would contribute to the improvement of the level of pre-trade transparency available?</w:t>
      </w:r>
    </w:p>
    <w:p w14:paraId="43F8402A"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&lt;ESMA_QUESTION_CP_MIFID_NQT_2&gt;</w:t>
      </w:r>
    </w:p>
    <w:p w14:paraId="02B67EF9" w14:textId="18FEDFA7" w:rsidR="0021213E" w:rsidRPr="00DC4565" w:rsidRDefault="0021213E" w:rsidP="008C5A49">
      <w:pPr>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DBG considers </w:t>
      </w:r>
      <w:r w:rsidR="00563AB5">
        <w:rPr>
          <w:rFonts w:ascii="Arial" w:eastAsia="Times New Roman" w:hAnsi="Arial" w:cs="Arial"/>
          <w:sz w:val="20"/>
          <w:szCs w:val="24"/>
          <w:lang w:val="en-GB" w:eastAsia="de-DE"/>
        </w:rPr>
        <w:t xml:space="preserve">the </w:t>
      </w:r>
      <w:r w:rsidR="007B2BD7">
        <w:rPr>
          <w:rFonts w:ascii="Arial" w:eastAsia="Times New Roman" w:hAnsi="Arial" w:cs="Arial"/>
          <w:sz w:val="20"/>
          <w:szCs w:val="24"/>
          <w:lang w:val="en-GB" w:eastAsia="de-DE"/>
        </w:rPr>
        <w:t>removal of the SSTI waiver</w:t>
      </w:r>
      <w:r w:rsidR="00FE4088">
        <w:rPr>
          <w:rFonts w:ascii="Arial" w:eastAsia="Times New Roman" w:hAnsi="Arial" w:cs="Arial"/>
          <w:sz w:val="20"/>
          <w:szCs w:val="24"/>
          <w:lang w:val="en-GB" w:eastAsia="de-DE"/>
        </w:rPr>
        <w:t xml:space="preserve"> (please see our answer to Q3),</w:t>
      </w:r>
      <w:r w:rsidR="007B2BD7">
        <w:rPr>
          <w:rFonts w:ascii="Arial" w:eastAsia="Times New Roman" w:hAnsi="Arial" w:cs="Arial"/>
          <w:sz w:val="20"/>
          <w:szCs w:val="24"/>
          <w:lang w:val="en-GB" w:eastAsia="de-DE"/>
        </w:rPr>
        <w:t xml:space="preserve"> accompanied by an</w:t>
      </w:r>
      <w:r w:rsidRPr="00013D66">
        <w:rPr>
          <w:rFonts w:ascii="Arial" w:eastAsia="Times New Roman" w:hAnsi="Arial" w:cs="Arial"/>
          <w:sz w:val="20"/>
          <w:szCs w:val="24"/>
          <w:lang w:val="en-GB" w:eastAsia="de-DE"/>
        </w:rPr>
        <w:t xml:space="preserve"> alignment between the SSTI and LIS thresholds </w:t>
      </w:r>
      <w:r w:rsidR="007B2BD7">
        <w:rPr>
          <w:rFonts w:ascii="Arial" w:eastAsia="Times New Roman" w:hAnsi="Arial" w:cs="Arial"/>
          <w:sz w:val="20"/>
          <w:szCs w:val="24"/>
          <w:lang w:val="en-GB" w:eastAsia="de-DE"/>
        </w:rPr>
        <w:t xml:space="preserve">for SIs, </w:t>
      </w:r>
      <w:r w:rsidRPr="00013D66">
        <w:rPr>
          <w:rFonts w:ascii="Arial" w:eastAsia="Times New Roman" w:hAnsi="Arial" w:cs="Arial"/>
          <w:sz w:val="20"/>
          <w:szCs w:val="24"/>
          <w:lang w:val="en-GB" w:eastAsia="de-DE"/>
        </w:rPr>
        <w:t>as the most beneficial way to decrease the complexity of the pre-trade transparency regime and to increase the transparency in the overall market</w:t>
      </w:r>
      <w:r w:rsidR="00563AB5">
        <w:rPr>
          <w:rFonts w:ascii="Arial" w:eastAsia="Times New Roman" w:hAnsi="Arial" w:cs="Arial"/>
          <w:sz w:val="20"/>
          <w:szCs w:val="24"/>
          <w:lang w:val="en-GB" w:eastAsia="de-DE"/>
        </w:rPr>
        <w:t>,</w:t>
      </w:r>
      <w:r w:rsidR="00563AB5" w:rsidRPr="00563AB5">
        <w:rPr>
          <w:rFonts w:ascii="Arial" w:eastAsia="Times New Roman" w:hAnsi="Arial" w:cs="Arial"/>
          <w:sz w:val="20"/>
          <w:szCs w:val="24"/>
          <w:lang w:val="en-GB" w:eastAsia="de-DE"/>
        </w:rPr>
        <w:t xml:space="preserve"> </w:t>
      </w:r>
      <w:r w:rsidR="00563AB5" w:rsidRPr="00DC4565">
        <w:rPr>
          <w:rFonts w:ascii="Arial" w:eastAsia="Times New Roman" w:hAnsi="Arial" w:cs="Arial"/>
          <w:sz w:val="20"/>
          <w:szCs w:val="24"/>
          <w:lang w:val="en-GB" w:eastAsia="de-DE"/>
        </w:rPr>
        <w:t>particularly as regards trade sizes below the LIS thresholds currently benefitting from the SSTI waive</w:t>
      </w:r>
      <w:r w:rsidR="00563AB5">
        <w:rPr>
          <w:rFonts w:ascii="Arial" w:eastAsia="Times New Roman" w:hAnsi="Arial" w:cs="Arial"/>
          <w:sz w:val="20"/>
          <w:szCs w:val="24"/>
          <w:lang w:val="en-GB" w:eastAsia="de-DE"/>
        </w:rPr>
        <w:t>r</w:t>
      </w:r>
      <w:r w:rsidRPr="00013D66">
        <w:rPr>
          <w:rFonts w:ascii="Arial" w:eastAsia="Times New Roman" w:hAnsi="Arial" w:cs="Arial"/>
          <w:sz w:val="20"/>
          <w:szCs w:val="24"/>
          <w:lang w:val="en-GB" w:eastAsia="de-DE"/>
        </w:rPr>
        <w:t xml:space="preserve">. </w:t>
      </w:r>
    </w:p>
    <w:p w14:paraId="1CB3C12F" w14:textId="78257313" w:rsidR="0021213E" w:rsidRDefault="00561D40" w:rsidP="008C5A49">
      <w:pPr>
        <w:spacing w:after="0" w:line="240" w:lineRule="auto"/>
        <w:jc w:val="both"/>
        <w:rPr>
          <w:rFonts w:ascii="Arial" w:eastAsia="Times New Roman" w:hAnsi="Arial" w:cs="Arial"/>
          <w:sz w:val="20"/>
          <w:szCs w:val="24"/>
          <w:lang w:val="en-US" w:eastAsia="de-DE"/>
        </w:rPr>
      </w:pPr>
      <w:r>
        <w:rPr>
          <w:rFonts w:ascii="Arial" w:eastAsia="Times New Roman" w:hAnsi="Arial" w:cs="Arial"/>
          <w:sz w:val="20"/>
          <w:szCs w:val="24"/>
          <w:lang w:val="en-GB" w:eastAsia="de-DE"/>
        </w:rPr>
        <w:t xml:space="preserve">In particular, when looking at ETDs and bonds, </w:t>
      </w:r>
      <w:bookmarkStart w:id="7" w:name="_Hlk42536216"/>
      <w:r>
        <w:rPr>
          <w:rFonts w:ascii="Arial" w:eastAsia="Times New Roman" w:hAnsi="Arial" w:cs="Arial"/>
          <w:sz w:val="20"/>
          <w:szCs w:val="24"/>
          <w:lang w:val="en-GB" w:eastAsia="de-DE"/>
        </w:rPr>
        <w:t>i</w:t>
      </w:r>
      <w:r w:rsidR="0021213E" w:rsidRPr="00013D66">
        <w:rPr>
          <w:rFonts w:ascii="Arial" w:eastAsia="Times New Roman" w:hAnsi="Arial" w:cs="Arial"/>
          <w:sz w:val="20"/>
          <w:szCs w:val="24"/>
          <w:lang w:val="en-GB" w:eastAsia="de-DE"/>
        </w:rPr>
        <w:t xml:space="preserve">t is counterintuitive that current SSTI thresholds applicable to SIs are below LIS thresholds applicable to regulated </w:t>
      </w:r>
      <w:r w:rsidR="0021213E" w:rsidRPr="002C499A">
        <w:rPr>
          <w:rFonts w:ascii="Arial" w:eastAsia="Times New Roman" w:hAnsi="Arial" w:cs="Arial"/>
          <w:sz w:val="20"/>
          <w:szCs w:val="24"/>
          <w:lang w:val="en-GB" w:eastAsia="de-DE"/>
        </w:rPr>
        <w:t>exchanges</w:t>
      </w:r>
      <w:r w:rsidR="003D706C" w:rsidRPr="002C499A">
        <w:rPr>
          <w:rFonts w:ascii="Arial" w:eastAsia="Times New Roman" w:hAnsi="Arial" w:cs="Arial"/>
          <w:sz w:val="20"/>
          <w:szCs w:val="24"/>
          <w:lang w:val="en-GB" w:eastAsia="de-DE"/>
        </w:rPr>
        <w:t xml:space="preserve">, </w:t>
      </w:r>
      <w:r w:rsidR="008C5A49" w:rsidRPr="002C499A">
        <w:rPr>
          <w:rFonts w:ascii="Arial" w:eastAsia="Times New Roman" w:hAnsi="Arial" w:cs="Arial"/>
          <w:sz w:val="20"/>
          <w:szCs w:val="24"/>
          <w:lang w:val="en-GB" w:eastAsia="de-DE"/>
        </w:rPr>
        <w:t>reducing</w:t>
      </w:r>
      <w:r w:rsidR="0021213E" w:rsidRPr="00B4175A">
        <w:rPr>
          <w:rFonts w:ascii="Arial" w:eastAsia="Times New Roman" w:hAnsi="Arial" w:cs="Arial"/>
          <w:sz w:val="20"/>
          <w:szCs w:val="24"/>
          <w:lang w:val="en-US" w:eastAsia="de-DE"/>
        </w:rPr>
        <w:t xml:space="preserve"> trading volumes on publicly available orderbooks</w:t>
      </w:r>
      <w:r w:rsidR="003D706C">
        <w:rPr>
          <w:rFonts w:ascii="Arial" w:eastAsia="Times New Roman" w:hAnsi="Arial" w:cs="Arial"/>
          <w:sz w:val="20"/>
          <w:szCs w:val="24"/>
          <w:lang w:val="en-US" w:eastAsia="de-DE"/>
        </w:rPr>
        <w:t xml:space="preserve"> / regulated exchanges</w:t>
      </w:r>
      <w:r w:rsidR="0021213E" w:rsidRPr="00B4175A">
        <w:rPr>
          <w:rFonts w:ascii="Arial" w:eastAsia="Times New Roman" w:hAnsi="Arial" w:cs="Arial"/>
          <w:sz w:val="20"/>
          <w:szCs w:val="24"/>
          <w:lang w:val="en-US" w:eastAsia="de-DE"/>
        </w:rPr>
        <w:t>.</w:t>
      </w:r>
      <w:r w:rsidR="008C5A49">
        <w:rPr>
          <w:rFonts w:ascii="Arial" w:eastAsia="Times New Roman" w:hAnsi="Arial" w:cs="Arial"/>
          <w:sz w:val="20"/>
          <w:szCs w:val="24"/>
          <w:lang w:val="en-US" w:eastAsia="de-DE"/>
        </w:rPr>
        <w:t xml:space="preserve"> </w:t>
      </w:r>
      <w:r w:rsidR="0021213E" w:rsidRPr="00B4175A">
        <w:rPr>
          <w:rFonts w:ascii="Arial" w:eastAsia="Times New Roman" w:hAnsi="Arial" w:cs="Arial"/>
          <w:sz w:val="20"/>
          <w:szCs w:val="24"/>
          <w:lang w:val="en-US" w:eastAsia="de-DE"/>
        </w:rPr>
        <w:t xml:space="preserve">As such, </w:t>
      </w:r>
      <w:r w:rsidR="002000ED">
        <w:rPr>
          <w:rFonts w:ascii="Arial" w:eastAsia="Times New Roman" w:hAnsi="Arial" w:cs="Arial"/>
          <w:sz w:val="20"/>
          <w:szCs w:val="24"/>
          <w:lang w:val="en-US" w:eastAsia="de-DE"/>
        </w:rPr>
        <w:t xml:space="preserve">in order to close the </w:t>
      </w:r>
      <w:r w:rsidR="002000ED" w:rsidRPr="002000ED">
        <w:rPr>
          <w:rFonts w:ascii="Arial" w:eastAsia="Times New Roman" w:hAnsi="Arial" w:cs="Arial"/>
          <w:sz w:val="20"/>
          <w:szCs w:val="24"/>
          <w:lang w:val="en-US" w:eastAsia="de-DE"/>
        </w:rPr>
        <w:t>gap between the SSTI and the LIS threshold</w:t>
      </w:r>
      <w:r w:rsidR="002000ED">
        <w:rPr>
          <w:rFonts w:ascii="Arial" w:eastAsia="Times New Roman" w:hAnsi="Arial" w:cs="Arial"/>
          <w:sz w:val="20"/>
          <w:szCs w:val="24"/>
          <w:lang w:val="en-US" w:eastAsia="de-DE"/>
        </w:rPr>
        <w:t>s</w:t>
      </w:r>
      <w:r w:rsidR="002000ED" w:rsidRPr="002000ED">
        <w:rPr>
          <w:rFonts w:ascii="Arial" w:eastAsia="Times New Roman" w:hAnsi="Arial" w:cs="Arial"/>
          <w:sz w:val="20"/>
          <w:szCs w:val="24"/>
          <w:lang w:val="en-US" w:eastAsia="de-DE"/>
        </w:rPr>
        <w:t xml:space="preserve"> which creates a space of limited transparency dominated by bilateral execution model</w:t>
      </w:r>
      <w:r w:rsidR="002000ED">
        <w:rPr>
          <w:rFonts w:ascii="Arial" w:eastAsia="Times New Roman" w:hAnsi="Arial" w:cs="Arial"/>
          <w:sz w:val="20"/>
          <w:szCs w:val="24"/>
          <w:lang w:val="en-US" w:eastAsia="de-DE"/>
        </w:rPr>
        <w:t xml:space="preserve">s, </w:t>
      </w:r>
      <w:r w:rsidR="0021213E" w:rsidRPr="00B4175A">
        <w:rPr>
          <w:rFonts w:ascii="Arial" w:eastAsia="Times New Roman" w:hAnsi="Arial" w:cs="Arial"/>
          <w:sz w:val="20"/>
          <w:szCs w:val="24"/>
          <w:lang w:val="en-US" w:eastAsia="de-DE"/>
        </w:rPr>
        <w:t xml:space="preserve">DBG supports the </w:t>
      </w:r>
      <w:r w:rsidR="00B80C0E">
        <w:rPr>
          <w:rFonts w:ascii="Arial" w:eastAsia="Times New Roman" w:hAnsi="Arial" w:cs="Arial"/>
          <w:sz w:val="20"/>
          <w:szCs w:val="24"/>
          <w:lang w:val="en-US" w:eastAsia="de-DE"/>
        </w:rPr>
        <w:t>deletion of the</w:t>
      </w:r>
      <w:r w:rsidR="0021213E" w:rsidRPr="00B4175A">
        <w:rPr>
          <w:rFonts w:ascii="Arial" w:eastAsia="Times New Roman" w:hAnsi="Arial" w:cs="Arial"/>
          <w:sz w:val="20"/>
          <w:szCs w:val="24"/>
          <w:lang w:val="en-US" w:eastAsia="de-DE"/>
        </w:rPr>
        <w:t xml:space="preserve"> SSTI</w:t>
      </w:r>
      <w:r w:rsidR="00211CCD" w:rsidRPr="00B4175A">
        <w:rPr>
          <w:rFonts w:ascii="Arial" w:eastAsia="Times New Roman" w:hAnsi="Arial" w:cs="Arial"/>
          <w:sz w:val="20"/>
          <w:szCs w:val="24"/>
          <w:lang w:val="en-US" w:eastAsia="de-DE"/>
        </w:rPr>
        <w:t xml:space="preserve"> </w:t>
      </w:r>
      <w:r w:rsidR="00B80C0E">
        <w:rPr>
          <w:rFonts w:ascii="Arial" w:eastAsia="Times New Roman" w:hAnsi="Arial" w:cs="Arial"/>
          <w:sz w:val="20"/>
          <w:szCs w:val="24"/>
          <w:lang w:val="en-US" w:eastAsia="de-DE"/>
        </w:rPr>
        <w:t>concept</w:t>
      </w:r>
      <w:r w:rsidR="00211CCD" w:rsidRPr="00B4175A">
        <w:rPr>
          <w:rFonts w:ascii="Arial" w:eastAsia="Times New Roman" w:hAnsi="Arial" w:cs="Arial"/>
          <w:sz w:val="20"/>
          <w:szCs w:val="24"/>
          <w:lang w:val="en-US" w:eastAsia="de-DE"/>
        </w:rPr>
        <w:t xml:space="preserve"> for SIs</w:t>
      </w:r>
      <w:r w:rsidR="00B80C0E">
        <w:rPr>
          <w:rFonts w:ascii="Arial" w:eastAsia="Times New Roman" w:hAnsi="Arial" w:cs="Arial"/>
          <w:sz w:val="20"/>
          <w:szCs w:val="24"/>
          <w:lang w:val="en-US" w:eastAsia="de-DE"/>
        </w:rPr>
        <w:t xml:space="preserve">, replacing it with a reference </w:t>
      </w:r>
      <w:r w:rsidR="004072FD">
        <w:rPr>
          <w:rFonts w:ascii="Arial" w:eastAsia="Times New Roman" w:hAnsi="Arial" w:cs="Arial"/>
          <w:sz w:val="20"/>
          <w:szCs w:val="24"/>
          <w:lang w:val="en-US" w:eastAsia="de-DE"/>
        </w:rPr>
        <w:t>to</w:t>
      </w:r>
      <w:r w:rsidR="004072FD" w:rsidRPr="00B4175A">
        <w:rPr>
          <w:rFonts w:ascii="Arial" w:eastAsia="Times New Roman" w:hAnsi="Arial" w:cs="Arial"/>
          <w:sz w:val="20"/>
          <w:szCs w:val="24"/>
          <w:lang w:val="en-US" w:eastAsia="de-DE"/>
        </w:rPr>
        <w:t xml:space="preserve"> </w:t>
      </w:r>
      <w:r w:rsidR="00B0001E">
        <w:rPr>
          <w:rFonts w:ascii="Arial" w:eastAsia="Times New Roman" w:hAnsi="Arial" w:cs="Arial"/>
          <w:sz w:val="20"/>
          <w:szCs w:val="24"/>
          <w:lang w:val="en-US" w:eastAsia="de-DE"/>
        </w:rPr>
        <w:t>(a high percentage of</w:t>
      </w:r>
      <w:r>
        <w:rPr>
          <w:rFonts w:ascii="Arial" w:eastAsia="Times New Roman" w:hAnsi="Arial" w:cs="Arial"/>
          <w:sz w:val="20"/>
          <w:szCs w:val="24"/>
          <w:lang w:val="en-US" w:eastAsia="de-DE"/>
        </w:rPr>
        <w:t xml:space="preserve">) </w:t>
      </w:r>
      <w:r w:rsidR="004072FD" w:rsidRPr="00B4175A">
        <w:rPr>
          <w:rFonts w:ascii="Arial" w:eastAsia="Times New Roman" w:hAnsi="Arial" w:cs="Arial"/>
          <w:sz w:val="20"/>
          <w:szCs w:val="24"/>
          <w:lang w:val="en-US" w:eastAsia="de-DE"/>
        </w:rPr>
        <w:t>LIS</w:t>
      </w:r>
      <w:r w:rsidR="0021213E" w:rsidRPr="00B4175A">
        <w:rPr>
          <w:rFonts w:ascii="Arial" w:eastAsia="Times New Roman" w:hAnsi="Arial" w:cs="Arial"/>
          <w:sz w:val="20"/>
          <w:szCs w:val="24"/>
          <w:lang w:val="en-US" w:eastAsia="de-DE"/>
        </w:rPr>
        <w:t xml:space="preserve"> thresholds </w:t>
      </w:r>
      <w:r w:rsidR="00211CCD" w:rsidRPr="00B4175A">
        <w:rPr>
          <w:rFonts w:ascii="Arial" w:eastAsia="Times New Roman" w:hAnsi="Arial" w:cs="Arial"/>
          <w:sz w:val="20"/>
          <w:szCs w:val="24"/>
          <w:lang w:val="en-US" w:eastAsia="de-DE"/>
        </w:rPr>
        <w:t>for</w:t>
      </w:r>
      <w:r w:rsidR="003D706C">
        <w:rPr>
          <w:rFonts w:ascii="Arial" w:eastAsia="Times New Roman" w:hAnsi="Arial" w:cs="Arial"/>
          <w:sz w:val="20"/>
          <w:szCs w:val="24"/>
          <w:lang w:val="en-US" w:eastAsia="de-DE"/>
        </w:rPr>
        <w:t xml:space="preserve"> regulated</w:t>
      </w:r>
      <w:r w:rsidR="00211CCD" w:rsidRPr="00B4175A">
        <w:rPr>
          <w:rFonts w:ascii="Arial" w:eastAsia="Times New Roman" w:hAnsi="Arial" w:cs="Arial"/>
          <w:sz w:val="20"/>
          <w:szCs w:val="24"/>
          <w:lang w:val="en-US" w:eastAsia="de-DE"/>
        </w:rPr>
        <w:t xml:space="preserve"> exchanges </w:t>
      </w:r>
      <w:r w:rsidR="0021213E" w:rsidRPr="00B4175A">
        <w:rPr>
          <w:rFonts w:ascii="Arial" w:eastAsia="Times New Roman" w:hAnsi="Arial" w:cs="Arial"/>
          <w:sz w:val="20"/>
          <w:szCs w:val="24"/>
          <w:lang w:val="en-US" w:eastAsia="de-DE"/>
        </w:rPr>
        <w:t xml:space="preserve">not only to reduce complexity of the current pre- and post-transparency frameworks, but also </w:t>
      </w:r>
      <w:r w:rsidR="0021213E" w:rsidRPr="00F50629">
        <w:rPr>
          <w:rFonts w:ascii="Arial" w:eastAsia="Times New Roman" w:hAnsi="Arial" w:cs="Arial"/>
          <w:sz w:val="20"/>
          <w:szCs w:val="24"/>
          <w:lang w:val="en-US" w:eastAsia="de-DE"/>
        </w:rPr>
        <w:t xml:space="preserve">to </w:t>
      </w:r>
      <w:r w:rsidR="0021213E" w:rsidRPr="00B4175A">
        <w:rPr>
          <w:rFonts w:ascii="Arial" w:eastAsia="Times New Roman" w:hAnsi="Arial" w:cs="Arial"/>
          <w:sz w:val="20"/>
          <w:szCs w:val="24"/>
          <w:lang w:val="en-US" w:eastAsia="de-DE"/>
        </w:rPr>
        <w:t>increase transparency of overall financial markets</w:t>
      </w:r>
      <w:bookmarkEnd w:id="7"/>
      <w:r w:rsidR="0021213E" w:rsidRPr="00B4175A">
        <w:rPr>
          <w:rFonts w:ascii="Arial" w:eastAsia="Times New Roman" w:hAnsi="Arial" w:cs="Arial"/>
          <w:sz w:val="20"/>
          <w:szCs w:val="24"/>
          <w:lang w:val="en-US" w:eastAsia="de-DE"/>
        </w:rPr>
        <w:t>.</w:t>
      </w:r>
      <w:r w:rsidR="0021213E" w:rsidRPr="00013D66">
        <w:rPr>
          <w:rFonts w:ascii="Arial" w:eastAsia="Times New Roman" w:hAnsi="Arial" w:cs="Arial"/>
          <w:sz w:val="20"/>
          <w:szCs w:val="24"/>
          <w:lang w:val="en-US" w:eastAsia="de-DE"/>
        </w:rPr>
        <w:t xml:space="preserve"> </w:t>
      </w:r>
    </w:p>
    <w:p w14:paraId="75345023" w14:textId="77777777" w:rsidR="00793D14" w:rsidRPr="00013D66" w:rsidRDefault="00793D14" w:rsidP="008C5A49">
      <w:pPr>
        <w:spacing w:after="0" w:line="240" w:lineRule="auto"/>
        <w:jc w:val="both"/>
        <w:rPr>
          <w:rFonts w:ascii="Arial" w:eastAsia="Times New Roman" w:hAnsi="Arial" w:cs="Arial"/>
          <w:sz w:val="20"/>
          <w:szCs w:val="24"/>
          <w:lang w:val="en-US" w:eastAsia="de-DE"/>
        </w:rPr>
      </w:pPr>
    </w:p>
    <w:p w14:paraId="072CF701" w14:textId="77777777" w:rsidR="00B0001E" w:rsidRDefault="00793D14" w:rsidP="00793D14">
      <w:pPr>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It is commonly understood that publicly available orderbooks of regulated exchanges maximize transparency and hence benefits for financial markets overall. Therefore, orderbook trading at regulated exchanges should be encouraged by financial regulation wherever possible.</w:t>
      </w:r>
      <w:r>
        <w:rPr>
          <w:rFonts w:ascii="Arial" w:eastAsia="Times New Roman" w:hAnsi="Arial" w:cs="Arial"/>
          <w:sz w:val="20"/>
          <w:szCs w:val="24"/>
          <w:lang w:val="en-GB" w:eastAsia="de-DE"/>
        </w:rPr>
        <w:t xml:space="preserve"> </w:t>
      </w:r>
    </w:p>
    <w:p w14:paraId="22E532C0" w14:textId="51FB7760" w:rsidR="00793D14" w:rsidRPr="00793D14" w:rsidRDefault="00B0001E" w:rsidP="00793D14">
      <w:pPr>
        <w:jc w:val="both"/>
        <w:rPr>
          <w:rFonts w:ascii="Arial" w:eastAsia="Times New Roman" w:hAnsi="Arial" w:cs="Arial"/>
          <w:sz w:val="20"/>
          <w:szCs w:val="24"/>
          <w:lang w:val="en-GB" w:eastAsia="de-DE"/>
        </w:rPr>
      </w:pPr>
      <w:r w:rsidRPr="00013D66">
        <w:rPr>
          <w:rFonts w:ascii="Arial" w:hAnsi="Arial" w:cs="Arial"/>
          <w:sz w:val="20"/>
          <w:szCs w:val="20"/>
          <w:lang w:val="en-US"/>
        </w:rPr>
        <w:t xml:space="preserve">For what it concerns commodity markets, </w:t>
      </w:r>
      <w:r>
        <w:rPr>
          <w:rFonts w:ascii="Arial" w:eastAsia="Times New Roman" w:hAnsi="Arial" w:cs="Arial"/>
          <w:sz w:val="20"/>
          <w:szCs w:val="24"/>
          <w:lang w:val="en-GB" w:eastAsia="de-DE"/>
        </w:rPr>
        <w:t xml:space="preserve">where </w:t>
      </w:r>
      <w:r w:rsidR="00793D14">
        <w:rPr>
          <w:rFonts w:ascii="Arial" w:eastAsia="Times New Roman" w:hAnsi="Arial" w:cs="Arial"/>
          <w:sz w:val="20"/>
          <w:szCs w:val="24"/>
          <w:lang w:val="en-GB" w:eastAsia="de-DE"/>
        </w:rPr>
        <w:t xml:space="preserve">– in particular due to lack of liquidity – order book trading is not possible / common, trade registration on regulated exchanges should be promoted as alternative with the highest possible transparency. </w:t>
      </w:r>
      <w:r w:rsidR="00793D14" w:rsidRPr="00013D66">
        <w:rPr>
          <w:rFonts w:ascii="Arial" w:hAnsi="Arial" w:cs="Arial"/>
          <w:sz w:val="20"/>
          <w:szCs w:val="20"/>
          <w:lang w:val="en-US"/>
        </w:rPr>
        <w:t>In order to achieve execution</w:t>
      </w:r>
      <w:r w:rsidR="00793D14">
        <w:rPr>
          <w:rFonts w:ascii="Arial" w:hAnsi="Arial" w:cs="Arial"/>
          <w:sz w:val="20"/>
          <w:szCs w:val="20"/>
          <w:lang w:val="en-US"/>
        </w:rPr>
        <w:t xml:space="preserve"> on an exchange</w:t>
      </w:r>
      <w:r w:rsidR="00CA626B">
        <w:rPr>
          <w:rFonts w:ascii="Arial" w:hAnsi="Arial" w:cs="Arial"/>
          <w:sz w:val="20"/>
          <w:szCs w:val="20"/>
          <w:lang w:val="en-US"/>
        </w:rPr>
        <w:t>,</w:t>
      </w:r>
      <w:r w:rsidR="00793D14" w:rsidRPr="00013D66">
        <w:rPr>
          <w:rFonts w:ascii="Arial" w:hAnsi="Arial" w:cs="Arial"/>
          <w:sz w:val="20"/>
          <w:szCs w:val="20"/>
          <w:lang w:val="en-US"/>
        </w:rPr>
        <w:t xml:space="preserve"> trades are </w:t>
      </w:r>
      <w:r w:rsidR="00793D14">
        <w:rPr>
          <w:rFonts w:ascii="Arial" w:hAnsi="Arial" w:cs="Arial"/>
          <w:sz w:val="20"/>
          <w:szCs w:val="20"/>
          <w:lang w:val="en-US"/>
        </w:rPr>
        <w:t>pre-negotiated</w:t>
      </w:r>
      <w:r w:rsidR="00793D14" w:rsidRPr="00013D66">
        <w:rPr>
          <w:rFonts w:ascii="Arial" w:hAnsi="Arial" w:cs="Arial"/>
          <w:sz w:val="20"/>
          <w:szCs w:val="20"/>
          <w:lang w:val="en-US"/>
        </w:rPr>
        <w:t xml:space="preserve"> outside the regulated venues </w:t>
      </w:r>
      <w:r w:rsidR="00793D14">
        <w:rPr>
          <w:rFonts w:ascii="Arial" w:hAnsi="Arial" w:cs="Arial"/>
          <w:sz w:val="20"/>
          <w:szCs w:val="20"/>
          <w:lang w:val="en-US"/>
        </w:rPr>
        <w:t xml:space="preserve">and then brought to the </w:t>
      </w:r>
      <w:r w:rsidR="00793D14" w:rsidRPr="00013D66">
        <w:rPr>
          <w:rFonts w:ascii="Arial" w:hAnsi="Arial" w:cs="Arial"/>
          <w:sz w:val="20"/>
          <w:szCs w:val="20"/>
          <w:lang w:val="en-US"/>
        </w:rPr>
        <w:t>exchange</w:t>
      </w:r>
      <w:r w:rsidR="00793D14">
        <w:rPr>
          <w:rFonts w:ascii="Arial" w:hAnsi="Arial" w:cs="Arial"/>
          <w:sz w:val="20"/>
          <w:szCs w:val="20"/>
          <w:lang w:val="en-US"/>
        </w:rPr>
        <w:t>s and central clearing</w:t>
      </w:r>
      <w:r w:rsidR="00793D14" w:rsidRPr="00013D66">
        <w:rPr>
          <w:rFonts w:ascii="Arial" w:hAnsi="Arial" w:cs="Arial"/>
          <w:sz w:val="20"/>
          <w:szCs w:val="20"/>
          <w:lang w:val="en-US"/>
        </w:rPr>
        <w:t xml:space="preserve"> with the exchanges’ respective CCP</w:t>
      </w:r>
      <w:r w:rsidR="00793D14">
        <w:rPr>
          <w:rFonts w:ascii="Arial" w:hAnsi="Arial" w:cs="Arial"/>
          <w:sz w:val="20"/>
          <w:szCs w:val="20"/>
          <w:lang w:val="en-US"/>
        </w:rPr>
        <w:t xml:space="preserve"> via trade registration. This is often more promising </w:t>
      </w:r>
      <w:r w:rsidR="00793D14" w:rsidRPr="00013D66">
        <w:rPr>
          <w:rFonts w:ascii="Arial" w:hAnsi="Arial" w:cs="Arial"/>
          <w:sz w:val="20"/>
          <w:szCs w:val="20"/>
          <w:lang w:val="en-US"/>
        </w:rPr>
        <w:t>than</w:t>
      </w:r>
      <w:r w:rsidR="00793D14">
        <w:rPr>
          <w:rFonts w:ascii="Arial" w:hAnsi="Arial" w:cs="Arial"/>
          <w:sz w:val="20"/>
          <w:szCs w:val="20"/>
          <w:lang w:val="en-US"/>
        </w:rPr>
        <w:t xml:space="preserve"> entering orders</w:t>
      </w:r>
      <w:r w:rsidR="00793D14" w:rsidRPr="00013D66">
        <w:rPr>
          <w:rFonts w:ascii="Arial" w:hAnsi="Arial" w:cs="Arial"/>
          <w:sz w:val="20"/>
          <w:szCs w:val="20"/>
          <w:lang w:val="en-US"/>
        </w:rPr>
        <w:t xml:space="preserve"> in a central order book where a satisfactory execution would be </w:t>
      </w:r>
      <w:r w:rsidR="00793D14" w:rsidRPr="00793D14">
        <w:rPr>
          <w:rFonts w:ascii="Arial" w:eastAsia="Times New Roman" w:hAnsi="Arial" w:cs="Arial"/>
          <w:sz w:val="20"/>
          <w:szCs w:val="24"/>
          <w:lang w:val="en-GB" w:eastAsia="de-DE"/>
        </w:rPr>
        <w:t>less likely. This ensures maximum transparency for these nascent markets. It is important for such nascent markets that waiver thresholds are appropriate to allow for a natural move to central order book trading.</w:t>
      </w:r>
    </w:p>
    <w:p w14:paraId="003E9663" w14:textId="4EFB253C" w:rsidR="00BE08D8" w:rsidRPr="00013D66" w:rsidRDefault="00B0001E" w:rsidP="00BE08D8">
      <w:pPr>
        <w:spacing w:after="0" w:line="240" w:lineRule="auto"/>
        <w:jc w:val="both"/>
        <w:rPr>
          <w:rFonts w:ascii="Arial" w:hAnsi="Arial" w:cs="Arial"/>
          <w:sz w:val="20"/>
          <w:szCs w:val="20"/>
          <w:lang w:val="en-US"/>
        </w:rPr>
      </w:pPr>
      <w:r>
        <w:rPr>
          <w:rFonts w:ascii="Arial" w:hAnsi="Arial" w:cs="Arial"/>
          <w:sz w:val="20"/>
          <w:szCs w:val="20"/>
          <w:lang w:val="en-US"/>
        </w:rPr>
        <w:t xml:space="preserve">While </w:t>
      </w:r>
      <w:r w:rsidR="00BE08D8" w:rsidRPr="00013D66">
        <w:rPr>
          <w:rFonts w:ascii="Arial" w:hAnsi="Arial" w:cs="Arial"/>
          <w:sz w:val="20"/>
          <w:szCs w:val="20"/>
          <w:lang w:val="en-US"/>
        </w:rPr>
        <w:t>MiFIR rightly recognizes that certain exemptions can be granted to trading venues from the general requirement to publish pre-trade transparency data to preserve orderly price discovery processes and allow in particular illiquid and nascent markets to develop</w:t>
      </w:r>
      <w:r>
        <w:rPr>
          <w:rFonts w:ascii="Arial" w:hAnsi="Arial" w:cs="Arial"/>
          <w:sz w:val="20"/>
          <w:szCs w:val="20"/>
          <w:lang w:val="en-US"/>
        </w:rPr>
        <w:t xml:space="preserve"> </w:t>
      </w:r>
      <w:r w:rsidR="00BE08D8" w:rsidRPr="00013D66">
        <w:rPr>
          <w:rFonts w:ascii="Arial" w:hAnsi="Arial" w:cs="Arial"/>
          <w:sz w:val="20"/>
          <w:szCs w:val="20"/>
          <w:lang w:val="en-US"/>
        </w:rPr>
        <w:t xml:space="preserve"> the current shortcomings of the regime ha</w:t>
      </w:r>
      <w:r w:rsidR="003D706C">
        <w:rPr>
          <w:rFonts w:ascii="Arial" w:hAnsi="Arial" w:cs="Arial"/>
          <w:sz w:val="20"/>
          <w:szCs w:val="20"/>
          <w:lang w:val="en-US"/>
        </w:rPr>
        <w:t>ve</w:t>
      </w:r>
      <w:r w:rsidR="00BE08D8" w:rsidRPr="00013D66">
        <w:rPr>
          <w:rFonts w:ascii="Arial" w:hAnsi="Arial" w:cs="Arial"/>
          <w:sz w:val="20"/>
          <w:szCs w:val="20"/>
          <w:lang w:val="en-US"/>
        </w:rPr>
        <w:t xml:space="preserve"> sometimes prevented market participants </w:t>
      </w:r>
      <w:r w:rsidR="00A74840">
        <w:rPr>
          <w:rFonts w:ascii="Arial" w:hAnsi="Arial" w:cs="Arial"/>
          <w:sz w:val="20"/>
          <w:szCs w:val="20"/>
          <w:lang w:val="en-US"/>
        </w:rPr>
        <w:t xml:space="preserve">on commodity derivative markets </w:t>
      </w:r>
      <w:r w:rsidR="00BE08D8" w:rsidRPr="00013D66">
        <w:rPr>
          <w:rFonts w:ascii="Arial" w:hAnsi="Arial" w:cs="Arial"/>
          <w:sz w:val="20"/>
          <w:szCs w:val="20"/>
          <w:lang w:val="en-US"/>
        </w:rPr>
        <w:t>from moving to transparent and regulated venues and central clearing.</w:t>
      </w:r>
    </w:p>
    <w:p w14:paraId="7C1BFFDF" w14:textId="77777777" w:rsidR="00BE08D8" w:rsidRPr="00013D66" w:rsidRDefault="00BE08D8" w:rsidP="00BE08D8">
      <w:pPr>
        <w:spacing w:after="0" w:line="240" w:lineRule="auto"/>
        <w:jc w:val="both"/>
        <w:rPr>
          <w:rFonts w:ascii="Arial" w:hAnsi="Arial" w:cs="Arial"/>
          <w:sz w:val="20"/>
          <w:szCs w:val="20"/>
          <w:lang w:val="en-US"/>
        </w:rPr>
      </w:pPr>
    </w:p>
    <w:p w14:paraId="28D7F77F" w14:textId="13D059B9" w:rsidR="00BE08D8" w:rsidRDefault="00A74840" w:rsidP="00541EA0">
      <w:pPr>
        <w:jc w:val="both"/>
        <w:rPr>
          <w:rFonts w:ascii="Arial" w:hAnsi="Arial" w:cs="Arial"/>
          <w:sz w:val="20"/>
          <w:szCs w:val="20"/>
          <w:lang w:val="en-US"/>
        </w:rPr>
      </w:pPr>
      <w:r>
        <w:rPr>
          <w:rFonts w:ascii="Arial" w:hAnsi="Arial" w:cs="Arial"/>
          <w:sz w:val="20"/>
          <w:szCs w:val="20"/>
          <w:lang w:val="en-US"/>
        </w:rPr>
        <w:t>Therefore, a</w:t>
      </w:r>
      <w:r w:rsidR="00BE08D8" w:rsidRPr="00013D66">
        <w:rPr>
          <w:rFonts w:ascii="Arial" w:hAnsi="Arial" w:cs="Arial"/>
          <w:sz w:val="20"/>
          <w:szCs w:val="20"/>
          <w:lang w:val="en-US"/>
        </w:rPr>
        <w:t>s outlined in Q1, following the specific market reality and role of pre-registered transactions in commodity markets, we recommend a review of the current ill-calibrated waiver thresholds methodology and an exten</w:t>
      </w:r>
      <w:r w:rsidR="003D706C">
        <w:rPr>
          <w:rFonts w:ascii="Arial" w:hAnsi="Arial" w:cs="Arial"/>
          <w:sz w:val="20"/>
          <w:szCs w:val="20"/>
          <w:lang w:val="en-US"/>
        </w:rPr>
        <w:t>sion</w:t>
      </w:r>
      <w:r w:rsidR="00BE08D8" w:rsidRPr="00013D66">
        <w:rPr>
          <w:rFonts w:ascii="Arial" w:hAnsi="Arial" w:cs="Arial"/>
          <w:sz w:val="20"/>
          <w:szCs w:val="20"/>
          <w:lang w:val="en-US"/>
        </w:rPr>
        <w:t xml:space="preserve"> </w:t>
      </w:r>
      <w:r w:rsidR="003D706C">
        <w:rPr>
          <w:rFonts w:ascii="Arial" w:hAnsi="Arial" w:cs="Arial"/>
          <w:sz w:val="20"/>
          <w:szCs w:val="20"/>
          <w:lang w:val="en-US"/>
        </w:rPr>
        <w:t>of the</w:t>
      </w:r>
      <w:r w:rsidR="00DC4565">
        <w:rPr>
          <w:rFonts w:ascii="Arial" w:hAnsi="Arial" w:cs="Arial"/>
          <w:sz w:val="20"/>
          <w:szCs w:val="20"/>
          <w:lang w:val="en-US"/>
        </w:rPr>
        <w:t xml:space="preserve"> </w:t>
      </w:r>
      <w:r w:rsidR="00BE08D8" w:rsidRPr="00013D66">
        <w:rPr>
          <w:rFonts w:ascii="Arial" w:hAnsi="Arial" w:cs="Arial"/>
          <w:sz w:val="20"/>
          <w:szCs w:val="20"/>
          <w:lang w:val="en-US"/>
        </w:rPr>
        <w:t>hedging exemption in Art.</w:t>
      </w:r>
      <w:r w:rsidR="00DC4565">
        <w:rPr>
          <w:rFonts w:ascii="Arial" w:hAnsi="Arial" w:cs="Arial"/>
          <w:sz w:val="20"/>
          <w:szCs w:val="20"/>
          <w:lang w:val="en-US"/>
        </w:rPr>
        <w:t xml:space="preserve"> </w:t>
      </w:r>
      <w:r w:rsidR="00BE08D8" w:rsidRPr="00013D66">
        <w:rPr>
          <w:rFonts w:ascii="Arial" w:hAnsi="Arial" w:cs="Arial"/>
          <w:sz w:val="20"/>
          <w:szCs w:val="20"/>
          <w:lang w:val="en-US"/>
        </w:rPr>
        <w:t xml:space="preserve">8(1) MiFIR to cover all market participants. Furthermore, as further detailed in Q5, we would support the proposal to add a limited negotiated trade waiver. In this </w:t>
      </w:r>
      <w:r w:rsidR="00BE08D8" w:rsidRPr="00013D66">
        <w:rPr>
          <w:rFonts w:ascii="Arial" w:hAnsi="Arial" w:cs="Arial"/>
          <w:sz w:val="20"/>
          <w:szCs w:val="20"/>
          <w:lang w:val="en-US"/>
        </w:rPr>
        <w:lastRenderedPageBreak/>
        <w:t xml:space="preserve">way, the regime would allow for pre-negotiated trades </w:t>
      </w:r>
      <w:r w:rsidR="00EB0868">
        <w:rPr>
          <w:rFonts w:ascii="Arial" w:hAnsi="Arial" w:cs="Arial"/>
          <w:sz w:val="20"/>
          <w:szCs w:val="20"/>
          <w:lang w:val="en-US"/>
        </w:rPr>
        <w:t>in</w:t>
      </w:r>
      <w:r w:rsidR="00BE08D8" w:rsidRPr="00013D66">
        <w:rPr>
          <w:rFonts w:ascii="Arial" w:hAnsi="Arial" w:cs="Arial"/>
          <w:sz w:val="20"/>
          <w:szCs w:val="20"/>
          <w:lang w:val="en-US"/>
        </w:rPr>
        <w:t xml:space="preserve"> the most illiquid and new contracts to be brought to an exchange and subsequently familiarize commodity traders with the beneficial features of increased transparency and secure on-venue trading. </w:t>
      </w:r>
    </w:p>
    <w:p w14:paraId="548D5437" w14:textId="41513AED" w:rsidR="005759C0" w:rsidRDefault="00A74840" w:rsidP="00541EA0">
      <w:pPr>
        <w:jc w:val="both"/>
        <w:rPr>
          <w:rFonts w:ascii="Arial" w:hAnsi="Arial" w:cs="Arial"/>
          <w:sz w:val="20"/>
          <w:szCs w:val="20"/>
          <w:lang w:val="en-US"/>
        </w:rPr>
      </w:pPr>
      <w:r>
        <w:rPr>
          <w:rFonts w:ascii="Arial" w:hAnsi="Arial" w:cs="Arial"/>
          <w:sz w:val="20"/>
          <w:szCs w:val="20"/>
          <w:lang w:val="en-US"/>
        </w:rPr>
        <w:t>A</w:t>
      </w:r>
      <w:r w:rsidR="00C751A2">
        <w:rPr>
          <w:rFonts w:ascii="Arial" w:hAnsi="Arial" w:cs="Arial"/>
          <w:sz w:val="20"/>
          <w:szCs w:val="20"/>
          <w:lang w:val="en-US"/>
        </w:rPr>
        <w:t>s a</w:t>
      </w:r>
      <w:r>
        <w:rPr>
          <w:rFonts w:ascii="Arial" w:hAnsi="Arial" w:cs="Arial"/>
          <w:sz w:val="20"/>
          <w:szCs w:val="20"/>
          <w:lang w:val="en-US"/>
        </w:rPr>
        <w:t>n additional aspect for improving the level of pre-trade transparency</w:t>
      </w:r>
      <w:r w:rsidR="00A8752F">
        <w:rPr>
          <w:rFonts w:ascii="Arial" w:hAnsi="Arial" w:cs="Arial"/>
          <w:sz w:val="20"/>
          <w:szCs w:val="20"/>
          <w:lang w:val="en-US"/>
        </w:rPr>
        <w:t xml:space="preserve">, </w:t>
      </w:r>
      <w:r w:rsidR="005759C0">
        <w:rPr>
          <w:rFonts w:ascii="Arial" w:hAnsi="Arial" w:cs="Arial"/>
          <w:sz w:val="20"/>
          <w:szCs w:val="20"/>
          <w:lang w:val="en-US"/>
        </w:rPr>
        <w:t xml:space="preserve">DBG considers it also as </w:t>
      </w:r>
      <w:r w:rsidR="005759C0" w:rsidRPr="005759C0">
        <w:rPr>
          <w:rFonts w:ascii="Arial" w:hAnsi="Arial" w:cs="Arial"/>
          <w:sz w:val="20"/>
          <w:szCs w:val="20"/>
          <w:lang w:val="en-US"/>
        </w:rPr>
        <w:t xml:space="preserve">important </w:t>
      </w:r>
      <w:r w:rsidR="00A8752F">
        <w:rPr>
          <w:rFonts w:ascii="Arial" w:hAnsi="Arial" w:cs="Arial"/>
          <w:sz w:val="20"/>
          <w:szCs w:val="20"/>
          <w:lang w:val="en-US"/>
        </w:rPr>
        <w:t>for the special case of bonds</w:t>
      </w:r>
      <w:r w:rsidR="00A8752F" w:rsidRPr="005759C0">
        <w:rPr>
          <w:rFonts w:ascii="Arial" w:hAnsi="Arial" w:cs="Arial"/>
          <w:sz w:val="20"/>
          <w:szCs w:val="20"/>
          <w:lang w:val="en-US"/>
        </w:rPr>
        <w:t xml:space="preserve"> </w:t>
      </w:r>
      <w:r w:rsidR="005759C0" w:rsidRPr="005759C0">
        <w:rPr>
          <w:rFonts w:ascii="Arial" w:hAnsi="Arial" w:cs="Arial"/>
          <w:sz w:val="20"/>
          <w:szCs w:val="20"/>
          <w:lang w:val="en-US"/>
        </w:rPr>
        <w:t xml:space="preserve">that the liquidity calculations are reviewed </w:t>
      </w:r>
      <w:r w:rsidR="005759C0">
        <w:rPr>
          <w:rFonts w:ascii="Arial" w:hAnsi="Arial" w:cs="Arial"/>
          <w:sz w:val="20"/>
          <w:szCs w:val="20"/>
          <w:lang w:val="en-US"/>
        </w:rPr>
        <w:t>with a view to ensure that</w:t>
      </w:r>
      <w:r w:rsidR="005759C0" w:rsidRPr="005759C0">
        <w:rPr>
          <w:rFonts w:ascii="Arial" w:hAnsi="Arial" w:cs="Arial"/>
          <w:sz w:val="20"/>
          <w:szCs w:val="20"/>
          <w:lang w:val="en-US"/>
        </w:rPr>
        <w:t xml:space="preserve"> the bonds that actively trade are deemed liquid and therefore subject to the transparency requirements. This should improve the level of pre-trade transparency available to the benefit of investors and the market in general. </w:t>
      </w:r>
    </w:p>
    <w:p w14:paraId="570DD4EA" w14:textId="5E4D3984" w:rsidR="006B0A0A" w:rsidRPr="00013D66" w:rsidRDefault="006B0A0A" w:rsidP="000A13FA">
      <w:pPr>
        <w:pStyle w:val="Default"/>
        <w:jc w:val="both"/>
        <w:rPr>
          <w:rFonts w:eastAsia="Times New Roman"/>
          <w:sz w:val="20"/>
          <w:lang w:val="en-GB" w:eastAsia="de-DE"/>
        </w:rPr>
      </w:pPr>
      <w:r>
        <w:rPr>
          <w:sz w:val="20"/>
          <w:szCs w:val="20"/>
        </w:rPr>
        <w:t>Further to these amendments, DBG believes that further guidance regarding the application of waiver related thresholds, and the conversion of thresholds from notional amounts into lot sizes is needed.</w:t>
      </w:r>
      <w:r w:rsidR="003171B0">
        <w:rPr>
          <w:sz w:val="20"/>
          <w:szCs w:val="20"/>
        </w:rPr>
        <w:t xml:space="preserve"> The transparency Q&amp;As </w:t>
      </w:r>
      <w:r w:rsidR="000A13FA">
        <w:rPr>
          <w:sz w:val="20"/>
          <w:szCs w:val="20"/>
        </w:rPr>
        <w:t>(</w:t>
      </w:r>
      <w:r w:rsidR="000A13FA" w:rsidRPr="000A13FA">
        <w:rPr>
          <w:sz w:val="20"/>
          <w:szCs w:val="20"/>
        </w:rPr>
        <w:t>ESMA70-872942901-35)</w:t>
      </w:r>
      <w:r w:rsidR="000A13FA">
        <w:rPr>
          <w:rFonts w:ascii="Times New Roman" w:hAnsi="Times New Roman" w:cs="Times New Roman"/>
        </w:rPr>
        <w:t xml:space="preserve"> </w:t>
      </w:r>
      <w:r w:rsidR="003171B0">
        <w:rPr>
          <w:sz w:val="20"/>
          <w:szCs w:val="20"/>
        </w:rPr>
        <w:t>outline what is to happen, once ESMA has published updated data relating to transparency thresholds, including how the nominal values published by ESMA can be converted into lot sizes by trading venues. However, currently there is no clear guidance of whether other events could also trigger a requirement for trading venues to recalculate the thresholds applied by them</w:t>
      </w:r>
      <w:r w:rsidR="00561D40">
        <w:rPr>
          <w:sz w:val="20"/>
          <w:szCs w:val="20"/>
        </w:rPr>
        <w:t>, or whether trading venues are entitled to re-calculate their thresholds on an annual basis, even if ESMA has not published updated data</w:t>
      </w:r>
      <w:r w:rsidR="003171B0">
        <w:rPr>
          <w:sz w:val="20"/>
          <w:szCs w:val="20"/>
        </w:rPr>
        <w:t xml:space="preserve">. When converting a nominal value into a lot size, a specific value </w:t>
      </w:r>
      <w:r w:rsidR="005B5F77">
        <w:rPr>
          <w:sz w:val="20"/>
          <w:szCs w:val="20"/>
        </w:rPr>
        <w:t xml:space="preserve">is assumed per lot to enable the conversion. Naturally, due to market movements the actual value per lot can vary, in crisis situations even significantly. </w:t>
      </w:r>
      <w:r w:rsidR="00561D40">
        <w:rPr>
          <w:sz w:val="20"/>
          <w:szCs w:val="20"/>
        </w:rPr>
        <w:t xml:space="preserve">We believe that a clarification relating to the transparency Q&amp;As, indicating that trading venues have the right to recalculate their conversion of nominal values into lot sizes using up to date market prices, even if ESMA does not publish annual numbers would benefit the overall market. Alternatively, </w:t>
      </w:r>
      <w:r w:rsidR="00E96D5B">
        <w:rPr>
          <w:sz w:val="20"/>
          <w:szCs w:val="20"/>
        </w:rPr>
        <w:t>on Level 2,</w:t>
      </w:r>
      <w:r w:rsidR="00561D40">
        <w:rPr>
          <w:sz w:val="20"/>
          <w:szCs w:val="20"/>
        </w:rPr>
        <w:t xml:space="preserve"> a certain discretion for trading venues to define the circumstances which would require a recalculation could be introduced.</w:t>
      </w:r>
      <w:r w:rsidR="005B5F77">
        <w:rPr>
          <w:sz w:val="20"/>
          <w:szCs w:val="20"/>
        </w:rPr>
        <w:t xml:space="preserve"> </w:t>
      </w:r>
    </w:p>
    <w:p w14:paraId="2F1A5155"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&lt;ESMA_QUESTION_CP_MIFID_NQT_2&gt;</w:t>
      </w:r>
    </w:p>
    <w:p w14:paraId="1FAEEA9F"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146B86D8"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7C20BEF8"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&lt;ESMA_QUESTION_CP_MIFID_NQT_3&gt;</w:t>
      </w:r>
    </w:p>
    <w:p w14:paraId="507CEBEE" w14:textId="2F6DE1AD" w:rsidR="00B865C7" w:rsidRPr="00013D66" w:rsidRDefault="00B865C7" w:rsidP="00BA5DC7">
      <w:pPr>
        <w:spacing w:after="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Yes, DBG welcomes the proposal to delete the SSTI-waiver to simplify the overall pre-trade transparency framework, including the deletion of the SSTI package order waiver under Article 9 (1) (e)(iii) MiFIR. As stated in our response to </w:t>
      </w:r>
      <w:r w:rsidR="00541EA0" w:rsidRPr="00013D66">
        <w:rPr>
          <w:rFonts w:ascii="Arial" w:eastAsia="Times New Roman" w:hAnsi="Arial" w:cs="Arial"/>
          <w:sz w:val="20"/>
          <w:szCs w:val="24"/>
          <w:lang w:val="en-GB" w:eastAsia="de-DE"/>
        </w:rPr>
        <w:t>Q</w:t>
      </w:r>
      <w:r w:rsidRPr="00013D66">
        <w:rPr>
          <w:rFonts w:ascii="Arial" w:eastAsia="Times New Roman" w:hAnsi="Arial" w:cs="Arial"/>
          <w:sz w:val="20"/>
          <w:szCs w:val="24"/>
          <w:lang w:val="en-GB" w:eastAsia="de-DE"/>
        </w:rPr>
        <w:t xml:space="preserve">2, we support the assumption that particularly for trade sizes below the LIS thresholds, currently benefitting from the SSTI waiver, pre-trade transparency would be </w:t>
      </w:r>
      <w:proofErr w:type="gramStart"/>
      <w:r w:rsidRPr="00013D66">
        <w:rPr>
          <w:rFonts w:ascii="Arial" w:eastAsia="Times New Roman" w:hAnsi="Arial" w:cs="Arial"/>
          <w:sz w:val="20"/>
          <w:szCs w:val="24"/>
          <w:lang w:val="en-GB" w:eastAsia="de-DE"/>
        </w:rPr>
        <w:t>increased</w:t>
      </w:r>
      <w:proofErr w:type="gramEnd"/>
      <w:r w:rsidR="00ED2D45">
        <w:rPr>
          <w:rFonts w:ascii="Arial" w:eastAsia="Times New Roman" w:hAnsi="Arial" w:cs="Arial"/>
          <w:sz w:val="20"/>
          <w:szCs w:val="24"/>
          <w:lang w:val="en-GB" w:eastAsia="de-DE"/>
        </w:rPr>
        <w:t xml:space="preserve"> and complexity would be reduced</w:t>
      </w:r>
      <w:r w:rsidRPr="00013D66">
        <w:rPr>
          <w:rFonts w:ascii="Arial" w:eastAsia="Times New Roman" w:hAnsi="Arial" w:cs="Arial"/>
          <w:sz w:val="20"/>
          <w:szCs w:val="24"/>
          <w:lang w:val="en-GB" w:eastAsia="de-DE"/>
        </w:rPr>
        <w:t xml:space="preserve">. </w:t>
      </w:r>
      <w:r w:rsidR="00FE4088">
        <w:rPr>
          <w:rFonts w:ascii="Arial" w:eastAsia="Times New Roman" w:hAnsi="Arial" w:cs="Arial"/>
          <w:sz w:val="20"/>
          <w:szCs w:val="24"/>
          <w:lang w:val="en-GB" w:eastAsia="de-DE"/>
        </w:rPr>
        <w:t>We would</w:t>
      </w:r>
      <w:r w:rsidR="00516794">
        <w:rPr>
          <w:rFonts w:ascii="Arial" w:eastAsia="Times New Roman" w:hAnsi="Arial" w:cs="Arial"/>
          <w:sz w:val="20"/>
          <w:szCs w:val="24"/>
          <w:lang w:val="en-GB" w:eastAsia="de-DE"/>
        </w:rPr>
        <w:t xml:space="preserve"> also</w:t>
      </w:r>
      <w:r w:rsidR="00FE4088">
        <w:rPr>
          <w:rFonts w:ascii="Arial" w:eastAsia="Times New Roman" w:hAnsi="Arial" w:cs="Arial"/>
          <w:sz w:val="20"/>
          <w:szCs w:val="24"/>
          <w:lang w:val="en-GB" w:eastAsia="de-DE"/>
        </w:rPr>
        <w:t xml:space="preserve"> like to reiterate </w:t>
      </w:r>
      <w:r w:rsidR="00516794">
        <w:rPr>
          <w:rFonts w:ascii="Arial" w:eastAsia="Times New Roman" w:hAnsi="Arial" w:cs="Arial"/>
          <w:sz w:val="20"/>
          <w:szCs w:val="24"/>
          <w:lang w:val="en-GB" w:eastAsia="de-DE"/>
        </w:rPr>
        <w:t xml:space="preserve">in this context </w:t>
      </w:r>
      <w:r w:rsidR="00FE4088">
        <w:rPr>
          <w:rFonts w:ascii="Arial" w:eastAsia="Times New Roman" w:hAnsi="Arial" w:cs="Arial"/>
          <w:sz w:val="20"/>
          <w:szCs w:val="24"/>
          <w:lang w:val="en-GB" w:eastAsia="de-DE"/>
        </w:rPr>
        <w:t>our answer to Q2 and Q4, that the deletion of the SSTI waiver</w:t>
      </w:r>
      <w:r w:rsidR="00FE4088" w:rsidRPr="00013D66">
        <w:rPr>
          <w:rFonts w:ascii="Arial" w:eastAsia="Times New Roman" w:hAnsi="Arial" w:cs="Arial"/>
          <w:sz w:val="20"/>
          <w:szCs w:val="24"/>
          <w:lang w:val="en-GB" w:eastAsia="de-DE"/>
        </w:rPr>
        <w:t xml:space="preserve"> should be accompanied by removing the SSTI-concept also for the SI-quoting obligation and to replace it by a reference to</w:t>
      </w:r>
      <w:r w:rsidR="00C57B96">
        <w:rPr>
          <w:rFonts w:ascii="Arial" w:eastAsia="Times New Roman" w:hAnsi="Arial" w:cs="Arial"/>
          <w:sz w:val="20"/>
          <w:szCs w:val="24"/>
          <w:lang w:val="en-GB" w:eastAsia="de-DE"/>
        </w:rPr>
        <w:t xml:space="preserve"> (a high percentage of)</w:t>
      </w:r>
      <w:r w:rsidR="00FE4088" w:rsidRPr="00013D66">
        <w:rPr>
          <w:rFonts w:ascii="Arial" w:eastAsia="Times New Roman" w:hAnsi="Arial" w:cs="Arial"/>
          <w:sz w:val="20"/>
          <w:szCs w:val="24"/>
          <w:lang w:val="en-GB" w:eastAsia="de-DE"/>
        </w:rPr>
        <w:t xml:space="preserve"> the LIS threshold.</w:t>
      </w:r>
    </w:p>
    <w:p w14:paraId="6373DA4F" w14:textId="77777777" w:rsidR="00B865C7" w:rsidRPr="00013D66" w:rsidRDefault="00B865C7" w:rsidP="00BA5DC7">
      <w:pPr>
        <w:spacing w:after="0" w:line="240" w:lineRule="auto"/>
        <w:jc w:val="both"/>
        <w:rPr>
          <w:rFonts w:ascii="Arial" w:eastAsia="Times New Roman" w:hAnsi="Arial" w:cs="Arial"/>
          <w:sz w:val="20"/>
          <w:szCs w:val="24"/>
          <w:lang w:val="en-GB" w:eastAsia="de-DE"/>
        </w:rPr>
      </w:pPr>
    </w:p>
    <w:p w14:paraId="655FDBDC" w14:textId="10865F7B" w:rsidR="00747CBA" w:rsidRDefault="00B865C7" w:rsidP="00FC4F95">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However, DBG is not of the opinion that a uniform lowering of pre-trade LIS-thresholds </w:t>
      </w:r>
      <w:r w:rsidR="001F213C" w:rsidRPr="00013D66">
        <w:rPr>
          <w:rFonts w:ascii="Arial" w:eastAsia="Times New Roman" w:hAnsi="Arial" w:cs="Arial"/>
          <w:sz w:val="20"/>
          <w:szCs w:val="24"/>
          <w:lang w:val="en-GB" w:eastAsia="de-DE"/>
        </w:rPr>
        <w:t>across</w:t>
      </w:r>
      <w:r w:rsidRPr="00013D66">
        <w:rPr>
          <w:rFonts w:ascii="Arial" w:eastAsia="Times New Roman" w:hAnsi="Arial" w:cs="Arial"/>
          <w:sz w:val="20"/>
          <w:szCs w:val="24"/>
          <w:lang w:val="en-GB" w:eastAsia="de-DE"/>
        </w:rPr>
        <w:t xml:space="preserve"> asset classes is the best way forward to compensate for the deletion of the SSTI-waiver</w:t>
      </w:r>
      <w:r w:rsidR="00ED2D45">
        <w:rPr>
          <w:rFonts w:ascii="Arial" w:eastAsia="Times New Roman" w:hAnsi="Arial" w:cs="Arial"/>
          <w:sz w:val="20"/>
          <w:szCs w:val="24"/>
          <w:lang w:val="en-GB" w:eastAsia="de-DE"/>
        </w:rPr>
        <w:t>, as this would partly give up again the increase in transparency achieved by deleting the SSTI waiver</w:t>
      </w:r>
      <w:r w:rsidRPr="00013D66">
        <w:rPr>
          <w:rFonts w:ascii="Arial" w:eastAsia="Times New Roman" w:hAnsi="Arial" w:cs="Arial"/>
          <w:sz w:val="20"/>
          <w:szCs w:val="24"/>
          <w:lang w:val="en-GB" w:eastAsia="de-DE"/>
        </w:rPr>
        <w:t xml:space="preserve">. </w:t>
      </w:r>
      <w:r w:rsidR="00DD435A" w:rsidDel="00706534">
        <w:rPr>
          <w:rFonts w:ascii="Arial" w:eastAsia="Times New Roman" w:hAnsi="Arial" w:cs="Arial"/>
          <w:sz w:val="20"/>
          <w:szCs w:val="24"/>
          <w:lang w:val="en-GB" w:eastAsia="de-DE"/>
        </w:rPr>
        <w:t>A</w:t>
      </w:r>
      <w:r w:rsidR="00DD435A" w:rsidRPr="00013D66" w:rsidDel="00706534">
        <w:rPr>
          <w:rFonts w:ascii="Arial" w:eastAsia="Times New Roman" w:hAnsi="Arial" w:cs="Arial"/>
          <w:sz w:val="20"/>
          <w:szCs w:val="24"/>
          <w:lang w:val="en-GB" w:eastAsia="de-DE"/>
        </w:rPr>
        <w:t xml:space="preserve"> uniform lowering of existing thresholds would bear the risk of a race to the bottom in which venues might further and further decrease their thresholds to compete for business</w:t>
      </w:r>
      <w:r w:rsidR="00DD435A">
        <w:rPr>
          <w:rFonts w:ascii="Arial" w:eastAsia="Times New Roman" w:hAnsi="Arial" w:cs="Arial"/>
          <w:sz w:val="20"/>
          <w:szCs w:val="24"/>
          <w:lang w:val="en-GB" w:eastAsia="de-DE"/>
        </w:rPr>
        <w:t xml:space="preserve">-, </w:t>
      </w:r>
      <w:r w:rsidR="00DD435A" w:rsidRPr="00DD435A">
        <w:rPr>
          <w:rFonts w:ascii="Arial" w:eastAsia="Times New Roman" w:hAnsi="Arial" w:cs="Arial"/>
          <w:sz w:val="20"/>
          <w:szCs w:val="24"/>
          <w:lang w:val="en-GB" w:eastAsia="de-DE"/>
        </w:rPr>
        <w:t>even though certain trade sizes could be absorbed by trading models providing a higher level of transparency, such as orderbook trading</w:t>
      </w:r>
      <w:r w:rsidR="00DD435A">
        <w:rPr>
          <w:rFonts w:ascii="Arial" w:eastAsia="Times New Roman" w:hAnsi="Arial" w:cs="Arial"/>
          <w:sz w:val="20"/>
          <w:szCs w:val="24"/>
          <w:lang w:val="en-GB" w:eastAsia="de-DE"/>
        </w:rPr>
        <w:t xml:space="preserve">. </w:t>
      </w:r>
    </w:p>
    <w:p w14:paraId="5BC44B27" w14:textId="63F9A40D" w:rsidR="00747CBA" w:rsidRPr="00747CBA" w:rsidRDefault="00747CBA" w:rsidP="00747CBA">
      <w:pPr>
        <w:spacing w:after="12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 xml:space="preserve">In order to increase the level of transparency, </w:t>
      </w:r>
      <w:r w:rsidRPr="00747CBA">
        <w:rPr>
          <w:rFonts w:ascii="Arial" w:eastAsia="Times New Roman" w:hAnsi="Arial" w:cs="Arial"/>
          <w:sz w:val="20"/>
          <w:szCs w:val="24"/>
          <w:lang w:val="en-GB" w:eastAsia="de-DE"/>
        </w:rPr>
        <w:t xml:space="preserve">DBG is </w:t>
      </w:r>
      <w:r>
        <w:rPr>
          <w:rFonts w:ascii="Arial" w:eastAsia="Times New Roman" w:hAnsi="Arial" w:cs="Arial"/>
          <w:sz w:val="20"/>
          <w:szCs w:val="24"/>
          <w:lang w:val="en-GB" w:eastAsia="de-DE"/>
        </w:rPr>
        <w:t xml:space="preserve">therefore </w:t>
      </w:r>
      <w:r w:rsidRPr="00747CBA">
        <w:rPr>
          <w:rFonts w:ascii="Arial" w:eastAsia="Times New Roman" w:hAnsi="Arial" w:cs="Arial"/>
          <w:sz w:val="20"/>
          <w:szCs w:val="24"/>
          <w:lang w:val="en-GB" w:eastAsia="de-DE"/>
        </w:rPr>
        <w:t>not of the view that there should be a uniform reduction of the LIS thresholds</w:t>
      </w:r>
      <w:r w:rsidR="003832CE">
        <w:rPr>
          <w:rFonts w:ascii="Arial" w:eastAsia="Times New Roman" w:hAnsi="Arial" w:cs="Arial"/>
          <w:sz w:val="20"/>
          <w:szCs w:val="24"/>
          <w:lang w:val="en-GB" w:eastAsia="de-DE"/>
        </w:rPr>
        <w:t xml:space="preserve"> across asset classes</w:t>
      </w:r>
      <w:r>
        <w:rPr>
          <w:rFonts w:ascii="Arial" w:eastAsia="Times New Roman" w:hAnsi="Arial" w:cs="Arial"/>
          <w:sz w:val="20"/>
          <w:szCs w:val="24"/>
          <w:lang w:val="en-GB" w:eastAsia="de-DE"/>
        </w:rPr>
        <w:t xml:space="preserve">. </w:t>
      </w:r>
      <w:r w:rsidRPr="00747CBA">
        <w:rPr>
          <w:rFonts w:ascii="Arial" w:eastAsia="Times New Roman" w:hAnsi="Arial" w:cs="Arial"/>
          <w:sz w:val="20"/>
          <w:szCs w:val="24"/>
          <w:lang w:val="en-GB" w:eastAsia="de-DE"/>
        </w:rPr>
        <w:t xml:space="preserve">DBG </w:t>
      </w:r>
      <w:r>
        <w:rPr>
          <w:rFonts w:ascii="Arial" w:eastAsia="Times New Roman" w:hAnsi="Arial" w:cs="Arial"/>
          <w:sz w:val="20"/>
          <w:szCs w:val="24"/>
          <w:lang w:val="en-GB" w:eastAsia="de-DE"/>
        </w:rPr>
        <w:t xml:space="preserve">rather </w:t>
      </w:r>
      <w:r w:rsidRPr="00747CBA">
        <w:rPr>
          <w:rFonts w:ascii="Arial" w:eastAsia="Times New Roman" w:hAnsi="Arial" w:cs="Arial"/>
          <w:sz w:val="20"/>
          <w:szCs w:val="24"/>
          <w:lang w:val="en-GB" w:eastAsia="de-DE"/>
        </w:rPr>
        <w:t>advocates that pre-trade LIS thresholds should only be adjusted, if there is an observed problem with prevailing LIS-thresholds</w:t>
      </w:r>
      <w:r w:rsidR="003812E6">
        <w:rPr>
          <w:rFonts w:ascii="Arial" w:eastAsia="Times New Roman" w:hAnsi="Arial" w:cs="Arial"/>
          <w:sz w:val="20"/>
          <w:szCs w:val="24"/>
          <w:lang w:val="en-GB" w:eastAsia="de-DE"/>
        </w:rPr>
        <w:t xml:space="preserve"> per asset class</w:t>
      </w:r>
      <w:r>
        <w:rPr>
          <w:rFonts w:ascii="Arial" w:eastAsia="Times New Roman" w:hAnsi="Arial" w:cs="Arial"/>
          <w:sz w:val="20"/>
          <w:szCs w:val="24"/>
          <w:lang w:val="en-GB" w:eastAsia="de-DE"/>
        </w:rPr>
        <w:t>. We therefore recommend</w:t>
      </w:r>
      <w:r w:rsidRPr="00747CBA">
        <w:rPr>
          <w:rFonts w:ascii="Arial" w:eastAsia="Times New Roman" w:hAnsi="Arial" w:cs="Arial"/>
          <w:sz w:val="20"/>
          <w:szCs w:val="24"/>
          <w:lang w:val="en-GB" w:eastAsia="de-DE"/>
        </w:rPr>
        <w:t xml:space="preserve"> a re-calibration of the existing methodology to determine LIS-thresholds where appropriate</w:t>
      </w:r>
      <w:r>
        <w:rPr>
          <w:rFonts w:ascii="Arial" w:eastAsia="Times New Roman" w:hAnsi="Arial" w:cs="Arial"/>
          <w:sz w:val="20"/>
          <w:szCs w:val="24"/>
          <w:lang w:val="en-GB" w:eastAsia="de-DE"/>
        </w:rPr>
        <w:t xml:space="preserve">, while </w:t>
      </w:r>
      <w:r w:rsidRPr="00747CBA">
        <w:rPr>
          <w:rFonts w:ascii="Arial" w:eastAsia="Times New Roman" w:hAnsi="Arial" w:cs="Arial"/>
          <w:sz w:val="20"/>
          <w:szCs w:val="24"/>
          <w:lang w:val="en-GB" w:eastAsia="de-DE"/>
        </w:rPr>
        <w:t>we agree with ESMA that a reduction of pre-trade LIS thresholds in some asset classes would help to mitigate the adaption of waivers</w:t>
      </w:r>
      <w:r>
        <w:rPr>
          <w:rFonts w:ascii="Arial" w:eastAsia="Times New Roman" w:hAnsi="Arial" w:cs="Arial"/>
          <w:sz w:val="20"/>
          <w:szCs w:val="24"/>
          <w:lang w:val="en-GB" w:eastAsia="de-DE"/>
        </w:rPr>
        <w:t xml:space="preserve">, such as </w:t>
      </w:r>
      <w:r w:rsidR="00094E0D">
        <w:rPr>
          <w:rFonts w:ascii="Arial" w:eastAsia="Times New Roman" w:hAnsi="Arial" w:cs="Arial"/>
          <w:sz w:val="20"/>
          <w:szCs w:val="24"/>
          <w:lang w:val="en-GB" w:eastAsia="de-DE"/>
        </w:rPr>
        <w:t xml:space="preserve">for </w:t>
      </w:r>
      <w:r>
        <w:rPr>
          <w:rFonts w:ascii="Arial" w:eastAsia="Times New Roman" w:hAnsi="Arial" w:cs="Arial"/>
          <w:sz w:val="20"/>
          <w:szCs w:val="24"/>
          <w:lang w:val="en-GB" w:eastAsia="de-DE"/>
        </w:rPr>
        <w:t>commodity derivatives</w:t>
      </w:r>
      <w:r w:rsidR="00B873A3">
        <w:rPr>
          <w:rFonts w:ascii="Arial" w:eastAsia="Times New Roman" w:hAnsi="Arial" w:cs="Arial"/>
          <w:sz w:val="20"/>
          <w:szCs w:val="24"/>
          <w:lang w:val="en-GB" w:eastAsia="de-DE"/>
        </w:rPr>
        <w:t xml:space="preserve">, </w:t>
      </w:r>
      <w:r>
        <w:rPr>
          <w:rFonts w:ascii="Arial" w:eastAsia="Times New Roman" w:hAnsi="Arial" w:cs="Arial"/>
          <w:sz w:val="20"/>
          <w:szCs w:val="24"/>
          <w:lang w:val="en-GB" w:eastAsia="de-DE"/>
        </w:rPr>
        <w:t>bonds</w:t>
      </w:r>
      <w:r w:rsidR="00B873A3">
        <w:rPr>
          <w:rFonts w:ascii="Arial" w:eastAsia="Times New Roman" w:hAnsi="Arial" w:cs="Arial"/>
          <w:sz w:val="20"/>
          <w:szCs w:val="24"/>
          <w:lang w:val="en-GB" w:eastAsia="de-DE"/>
        </w:rPr>
        <w:t xml:space="preserve"> and some ETDs:</w:t>
      </w:r>
      <w:r w:rsidRPr="00747CBA">
        <w:rPr>
          <w:rFonts w:ascii="Arial" w:eastAsia="Times New Roman" w:hAnsi="Arial" w:cs="Arial"/>
          <w:sz w:val="20"/>
          <w:szCs w:val="24"/>
          <w:lang w:val="en-GB" w:eastAsia="de-DE"/>
        </w:rPr>
        <w:t xml:space="preserve"> </w:t>
      </w:r>
    </w:p>
    <w:p w14:paraId="143EFC69" w14:textId="44434E43" w:rsidR="00B865C7" w:rsidRPr="00013D66" w:rsidRDefault="00FC4F95" w:rsidP="00BA5DC7">
      <w:pPr>
        <w:spacing w:after="120" w:line="240" w:lineRule="auto"/>
        <w:jc w:val="both"/>
        <w:rPr>
          <w:rFonts w:ascii="Arial" w:eastAsia="Times New Roman" w:hAnsi="Arial" w:cs="Arial"/>
          <w:sz w:val="20"/>
          <w:szCs w:val="24"/>
          <w:lang w:val="en-GB" w:eastAsia="de-DE"/>
        </w:rPr>
      </w:pPr>
      <w:bookmarkStart w:id="8" w:name="_Hlk42535085"/>
      <w:r>
        <w:rPr>
          <w:rFonts w:ascii="Arial" w:eastAsia="Times New Roman" w:hAnsi="Arial" w:cs="Arial"/>
          <w:sz w:val="20"/>
          <w:szCs w:val="24"/>
          <w:lang w:val="en-GB" w:eastAsia="de-DE"/>
        </w:rPr>
        <w:lastRenderedPageBreak/>
        <w:t xml:space="preserve">When looking at ETDs, </w:t>
      </w:r>
      <w:r w:rsidR="00B865C7" w:rsidRPr="00013D66">
        <w:rPr>
          <w:rFonts w:ascii="Arial" w:eastAsia="Times New Roman" w:hAnsi="Arial" w:cs="Arial"/>
          <w:sz w:val="20"/>
          <w:szCs w:val="24"/>
          <w:lang w:val="en-GB" w:eastAsia="de-DE"/>
        </w:rPr>
        <w:t xml:space="preserve">DBG considers the vast majority of the current LIS-thresholds to be appropriately set to strike a sensible balance between high levels of transparency and acknowledgment that there are order sizes too big to be </w:t>
      </w:r>
      <w:r w:rsidR="004E5217">
        <w:rPr>
          <w:rFonts w:ascii="Arial" w:eastAsia="Times New Roman" w:hAnsi="Arial" w:cs="Arial"/>
          <w:sz w:val="20"/>
          <w:szCs w:val="24"/>
          <w:lang w:val="en-GB" w:eastAsia="de-DE"/>
        </w:rPr>
        <w:t>made transparent without unwanted market effects</w:t>
      </w:r>
      <w:r w:rsidR="00B865C7" w:rsidRPr="00013D66">
        <w:rPr>
          <w:rFonts w:ascii="Arial" w:eastAsia="Times New Roman" w:hAnsi="Arial" w:cs="Arial"/>
          <w:sz w:val="20"/>
          <w:szCs w:val="24"/>
          <w:lang w:val="en-GB" w:eastAsia="de-DE"/>
        </w:rPr>
        <w:t xml:space="preserve">. However, DBG also recognizes that the LIS-thresholds for certain </w:t>
      </w:r>
      <w:r>
        <w:rPr>
          <w:rFonts w:ascii="Arial" w:eastAsia="Times New Roman" w:hAnsi="Arial" w:cs="Arial"/>
          <w:sz w:val="20"/>
          <w:szCs w:val="24"/>
          <w:lang w:val="en-GB" w:eastAsia="de-DE"/>
        </w:rPr>
        <w:t xml:space="preserve">ETD </w:t>
      </w:r>
      <w:r w:rsidR="00B865C7" w:rsidRPr="00013D66">
        <w:rPr>
          <w:rFonts w:ascii="Arial" w:eastAsia="Times New Roman" w:hAnsi="Arial" w:cs="Arial"/>
          <w:sz w:val="20"/>
          <w:szCs w:val="24"/>
          <w:lang w:val="en-GB" w:eastAsia="de-DE"/>
        </w:rPr>
        <w:t>products or sub-asset classes, have detrimentally impacted the liquidity of these products. In the respective products, higher thresholds for off-book on-exchange trading, compared to pre-MiFID II conditions, have moved trading volumes away from exchanges and into the OTC market.</w:t>
      </w:r>
    </w:p>
    <w:p w14:paraId="488E1942" w14:textId="651E2EB7" w:rsidR="00FC4F95" w:rsidRDefault="00B865C7" w:rsidP="00BA5DC7">
      <w:pPr>
        <w:spacing w:after="120" w:line="240" w:lineRule="auto"/>
        <w:jc w:val="both"/>
        <w:rPr>
          <w:rFonts w:ascii="Arial" w:eastAsia="Times New Roman" w:hAnsi="Arial" w:cs="Arial"/>
          <w:sz w:val="20"/>
          <w:szCs w:val="24"/>
          <w:lang w:val="en-GB" w:eastAsia="de-DE"/>
        </w:rPr>
      </w:pPr>
      <w:bookmarkStart w:id="9" w:name="_Hlk41059762"/>
      <w:r w:rsidRPr="00013D66">
        <w:rPr>
          <w:rFonts w:ascii="Arial" w:eastAsia="Times New Roman" w:hAnsi="Arial" w:cs="Arial"/>
          <w:sz w:val="20"/>
          <w:szCs w:val="24"/>
          <w:lang w:val="en-GB" w:eastAsia="de-DE"/>
        </w:rPr>
        <w:t>One possibility for a re-calibration of the applicable methodology could be to increase the level of granularity on which thresholds are calculated</w:t>
      </w:r>
      <w:r w:rsidR="00EB5B7C">
        <w:rPr>
          <w:rFonts w:ascii="Arial" w:eastAsia="Times New Roman" w:hAnsi="Arial" w:cs="Arial"/>
          <w:sz w:val="20"/>
          <w:szCs w:val="24"/>
          <w:lang w:val="en-GB" w:eastAsia="de-DE"/>
        </w:rPr>
        <w:t>, e.g.</w:t>
      </w:r>
      <w:r w:rsidRPr="00013D66">
        <w:rPr>
          <w:rFonts w:ascii="Arial" w:eastAsia="Times New Roman" w:hAnsi="Arial" w:cs="Arial"/>
          <w:sz w:val="20"/>
          <w:szCs w:val="24"/>
          <w:lang w:val="en-GB" w:eastAsia="de-DE"/>
        </w:rPr>
        <w:t xml:space="preserve"> from the current sub-asset class level to a product/ underlying level. Another possibility</w:t>
      </w:r>
      <w:r w:rsidR="00FC4F95">
        <w:rPr>
          <w:rFonts w:ascii="Arial" w:eastAsia="Times New Roman" w:hAnsi="Arial" w:cs="Arial"/>
          <w:sz w:val="20"/>
          <w:szCs w:val="24"/>
          <w:lang w:val="en-GB" w:eastAsia="de-DE"/>
        </w:rPr>
        <w:t>, for fixed income related derivatives, for example,</w:t>
      </w:r>
      <w:r w:rsidR="00FC4F95" w:rsidRPr="00013D66">
        <w:rPr>
          <w:rFonts w:ascii="Arial" w:eastAsia="Times New Roman" w:hAnsi="Arial" w:cs="Arial"/>
          <w:sz w:val="20"/>
          <w:szCs w:val="24"/>
          <w:lang w:val="en-GB" w:eastAsia="de-DE"/>
        </w:rPr>
        <w:t xml:space="preserve"> </w:t>
      </w:r>
      <w:r w:rsidRPr="00013D66">
        <w:rPr>
          <w:rFonts w:ascii="Arial" w:eastAsia="Times New Roman" w:hAnsi="Arial" w:cs="Arial"/>
          <w:sz w:val="20"/>
          <w:szCs w:val="24"/>
          <w:lang w:val="en-GB" w:eastAsia="de-DE"/>
        </w:rPr>
        <w:t>would be to re-evaluate applicable trade-percentiles and volume-percentiles for specific sub-asset classes including a potential switch from trade-</w:t>
      </w:r>
      <w:r w:rsidR="0090579D" w:rsidRPr="00013D66">
        <w:rPr>
          <w:rFonts w:ascii="Arial" w:eastAsia="Times New Roman" w:hAnsi="Arial" w:cs="Arial"/>
          <w:sz w:val="20"/>
          <w:szCs w:val="24"/>
          <w:lang w:val="en-GB" w:eastAsia="de-DE"/>
        </w:rPr>
        <w:t>percentiles</w:t>
      </w:r>
      <w:r w:rsidRPr="00013D66">
        <w:rPr>
          <w:rFonts w:ascii="Arial" w:eastAsia="Times New Roman" w:hAnsi="Arial" w:cs="Arial"/>
          <w:sz w:val="20"/>
          <w:szCs w:val="24"/>
          <w:lang w:val="en-GB" w:eastAsia="de-DE"/>
        </w:rPr>
        <w:t xml:space="preserve"> to volume-perc</w:t>
      </w:r>
      <w:r w:rsidR="0090579D" w:rsidRPr="00013D66">
        <w:rPr>
          <w:rFonts w:ascii="Arial" w:eastAsia="Times New Roman" w:hAnsi="Arial" w:cs="Arial"/>
          <w:sz w:val="20"/>
          <w:szCs w:val="24"/>
          <w:lang w:val="en-GB" w:eastAsia="de-DE"/>
        </w:rPr>
        <w:t>entages</w:t>
      </w:r>
      <w:r w:rsidRPr="00013D66">
        <w:rPr>
          <w:rFonts w:ascii="Arial" w:eastAsia="Times New Roman" w:hAnsi="Arial" w:cs="Arial"/>
          <w:sz w:val="20"/>
          <w:szCs w:val="24"/>
          <w:lang w:val="en-GB" w:eastAsia="de-DE"/>
        </w:rPr>
        <w:t xml:space="preserve"> where appropriate.  </w:t>
      </w:r>
    </w:p>
    <w:p w14:paraId="5A2FE5D6" w14:textId="4466B0F7" w:rsidR="00FC4F95" w:rsidRDefault="00FC4F95" w:rsidP="00BA5DC7">
      <w:pPr>
        <w:spacing w:after="12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Overall the distribution between orderbook and other trading systems should be factored into the definition of thresholds</w:t>
      </w:r>
      <w:r w:rsidR="00C57B96">
        <w:rPr>
          <w:rFonts w:ascii="Arial" w:eastAsia="Times New Roman" w:hAnsi="Arial" w:cs="Arial"/>
          <w:sz w:val="20"/>
          <w:szCs w:val="24"/>
          <w:lang w:val="en-GB" w:eastAsia="de-DE"/>
        </w:rPr>
        <w:t xml:space="preserve"> for the affected ETD products</w:t>
      </w:r>
      <w:r>
        <w:rPr>
          <w:rFonts w:ascii="Arial" w:eastAsia="Times New Roman" w:hAnsi="Arial" w:cs="Arial"/>
          <w:sz w:val="20"/>
          <w:szCs w:val="24"/>
          <w:lang w:val="en-GB" w:eastAsia="de-DE"/>
        </w:rPr>
        <w:t xml:space="preserve">, as well as the total number of transactions executed in a specific </w:t>
      </w:r>
      <w:r w:rsidR="00C57B96">
        <w:rPr>
          <w:rFonts w:ascii="Arial" w:eastAsia="Times New Roman" w:hAnsi="Arial" w:cs="Arial"/>
          <w:sz w:val="20"/>
          <w:szCs w:val="24"/>
          <w:lang w:val="en-GB" w:eastAsia="de-DE"/>
        </w:rPr>
        <w:t xml:space="preserve">ETD </w:t>
      </w:r>
      <w:r>
        <w:rPr>
          <w:rFonts w:ascii="Arial" w:eastAsia="Times New Roman" w:hAnsi="Arial" w:cs="Arial"/>
          <w:sz w:val="20"/>
          <w:szCs w:val="24"/>
          <w:lang w:val="en-GB" w:eastAsia="de-DE"/>
        </w:rPr>
        <w:t xml:space="preserve">product, to allow e.g. for newly launched products to be established, in equity derivatives like single stock futures, for example. It should be considered whether (temporarily) lower thresholds can be established where orderbook trading accounts for a minimal percentage of overall trading volumes in the respective product on the respective trading venue, and where the total number of trades executed in the respective product on the respective trading venue is very low. </w:t>
      </w:r>
    </w:p>
    <w:bookmarkEnd w:id="8"/>
    <w:p w14:paraId="2F216DD9" w14:textId="1F1099F3" w:rsidR="00FC4F95" w:rsidRDefault="00D074E6" w:rsidP="00BA5DC7">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Having said that, please also see our response to </w:t>
      </w:r>
      <w:r w:rsidR="007A429C" w:rsidRPr="00013D66">
        <w:rPr>
          <w:rFonts w:ascii="Arial" w:eastAsia="Times New Roman" w:hAnsi="Arial" w:cs="Arial"/>
          <w:sz w:val="20"/>
          <w:szCs w:val="24"/>
          <w:lang w:val="en-GB" w:eastAsia="de-DE"/>
        </w:rPr>
        <w:t>Q1</w:t>
      </w:r>
      <w:r w:rsidR="00DD435A">
        <w:rPr>
          <w:rFonts w:ascii="Arial" w:eastAsia="Times New Roman" w:hAnsi="Arial" w:cs="Arial"/>
          <w:sz w:val="20"/>
          <w:szCs w:val="24"/>
          <w:lang w:val="en-GB" w:eastAsia="de-DE"/>
        </w:rPr>
        <w:t>-2</w:t>
      </w:r>
      <w:r w:rsidR="007A429C" w:rsidRPr="00013D66">
        <w:rPr>
          <w:rFonts w:ascii="Arial" w:eastAsia="Times New Roman" w:hAnsi="Arial" w:cs="Arial"/>
          <w:sz w:val="20"/>
          <w:szCs w:val="24"/>
          <w:lang w:val="en-GB" w:eastAsia="de-DE"/>
        </w:rPr>
        <w:t xml:space="preserve"> as well as to </w:t>
      </w:r>
      <w:r w:rsidRPr="00013D66">
        <w:rPr>
          <w:rFonts w:ascii="Arial" w:eastAsia="Times New Roman" w:hAnsi="Arial" w:cs="Arial"/>
          <w:sz w:val="20"/>
          <w:szCs w:val="24"/>
          <w:lang w:val="en-GB" w:eastAsia="de-DE"/>
        </w:rPr>
        <w:t>Q29-31 about the need to tailor the LIS threshold as well as LIS threshold calculation methodology to the specifics of commodity derivatives markets, where the current threshold and calculation methodology has led to a mis-classification of gas and power contracts resulting in significant negative impact.</w:t>
      </w:r>
      <w:r w:rsidR="00F23531">
        <w:rPr>
          <w:rFonts w:ascii="Arial" w:eastAsia="Times New Roman" w:hAnsi="Arial" w:cs="Arial"/>
          <w:sz w:val="20"/>
          <w:szCs w:val="24"/>
          <w:lang w:val="en-GB" w:eastAsia="de-DE"/>
        </w:rPr>
        <w:t xml:space="preserve"> </w:t>
      </w:r>
    </w:p>
    <w:p w14:paraId="4F66086F" w14:textId="7A913168" w:rsidR="00B865C7" w:rsidRPr="00013D66" w:rsidRDefault="00F23531" w:rsidP="00BA5DC7">
      <w:pPr>
        <w:spacing w:after="12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 xml:space="preserve">Further, please also see our recommendation in Q1 </w:t>
      </w:r>
      <w:r w:rsidR="002C499A">
        <w:rPr>
          <w:rFonts w:ascii="Arial" w:eastAsia="Times New Roman" w:hAnsi="Arial" w:cs="Arial"/>
          <w:sz w:val="20"/>
          <w:szCs w:val="24"/>
          <w:lang w:val="en-GB" w:eastAsia="de-DE"/>
        </w:rPr>
        <w:t xml:space="preserve">to </w:t>
      </w:r>
      <w:r>
        <w:rPr>
          <w:rFonts w:ascii="Arial" w:eastAsia="Times New Roman" w:hAnsi="Arial" w:cs="Arial"/>
          <w:sz w:val="20"/>
          <w:szCs w:val="24"/>
          <w:lang w:val="en-GB" w:eastAsia="de-DE"/>
        </w:rPr>
        <w:t>lower the current LIS threshold and to use</w:t>
      </w:r>
      <w:r w:rsidRPr="00F23531">
        <w:rPr>
          <w:rFonts w:ascii="Arial" w:eastAsia="Times New Roman" w:hAnsi="Arial" w:cs="Arial"/>
          <w:sz w:val="20"/>
          <w:szCs w:val="24"/>
          <w:lang w:val="en-GB" w:eastAsia="de-DE"/>
        </w:rPr>
        <w:t xml:space="preserve"> the 100,000 EUR denomination threshold </w:t>
      </w:r>
      <w:r>
        <w:rPr>
          <w:rFonts w:ascii="Arial" w:eastAsia="Times New Roman" w:hAnsi="Arial" w:cs="Arial"/>
          <w:sz w:val="20"/>
          <w:szCs w:val="24"/>
          <w:lang w:val="en-GB" w:eastAsia="de-DE"/>
        </w:rPr>
        <w:t xml:space="preserve">for the special case of bonds in order </w:t>
      </w:r>
      <w:r w:rsidRPr="00F23531">
        <w:rPr>
          <w:rFonts w:ascii="Arial" w:eastAsia="Times New Roman" w:hAnsi="Arial" w:cs="Arial"/>
          <w:sz w:val="20"/>
          <w:szCs w:val="24"/>
          <w:lang w:val="en-GB" w:eastAsia="de-DE"/>
        </w:rPr>
        <w:t>to delineate lit trading from dark trading</w:t>
      </w:r>
      <w:r>
        <w:rPr>
          <w:rFonts w:ascii="Arial" w:eastAsia="Times New Roman" w:hAnsi="Arial" w:cs="Arial"/>
          <w:sz w:val="20"/>
          <w:szCs w:val="24"/>
          <w:lang w:val="en-GB" w:eastAsia="de-DE"/>
        </w:rPr>
        <w:t>.</w:t>
      </w:r>
    </w:p>
    <w:bookmarkEnd w:id="9"/>
    <w:p w14:paraId="185E5E52" w14:textId="16755C98" w:rsidR="00B865C7" w:rsidRPr="00013D66" w:rsidRDefault="00B865C7" w:rsidP="00BA5DC7">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A re-calibration of the existing methodology would allow ESMA to determine LIS thresholds, tiered even more specifically to individual market specifics</w:t>
      </w:r>
      <w:r w:rsidR="00C57B96" w:rsidRPr="00C57B96">
        <w:rPr>
          <w:rFonts w:ascii="Arial" w:eastAsia="Times New Roman" w:hAnsi="Arial" w:cs="Arial"/>
          <w:sz w:val="20"/>
          <w:szCs w:val="24"/>
          <w:lang w:val="en-GB" w:eastAsia="de-DE"/>
        </w:rPr>
        <w:t xml:space="preserve"> </w:t>
      </w:r>
      <w:r w:rsidR="00C57B96">
        <w:rPr>
          <w:rFonts w:ascii="Arial" w:eastAsia="Times New Roman" w:hAnsi="Arial" w:cs="Arial"/>
          <w:sz w:val="20"/>
          <w:szCs w:val="24"/>
          <w:lang w:val="en-GB" w:eastAsia="de-DE"/>
        </w:rPr>
        <w:t>of each of the aforementioned asset classes</w:t>
      </w:r>
      <w:r w:rsidRPr="00013D66">
        <w:rPr>
          <w:rFonts w:ascii="Arial" w:eastAsia="Times New Roman" w:hAnsi="Arial" w:cs="Arial"/>
          <w:sz w:val="20"/>
          <w:szCs w:val="24"/>
          <w:lang w:val="en-GB" w:eastAsia="de-DE"/>
        </w:rPr>
        <w:t>, and to avoid unintended side effects, such as increasing the share of OTC trading.</w:t>
      </w:r>
    </w:p>
    <w:p w14:paraId="4F3B8B61"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&lt;ESMA_QUESTION_CP_MIFID_NQT_3&gt;</w:t>
      </w:r>
    </w:p>
    <w:p w14:paraId="3A5ED890"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63A6DB5C"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 xml:space="preserve">What are your views on the use of the SSTI for the SI-quoting </w:t>
      </w:r>
      <w:proofErr w:type="gramStart"/>
      <w:r w:rsidRPr="00013D66">
        <w:rPr>
          <w:rFonts w:ascii="Arial" w:eastAsia="Times New Roman" w:hAnsi="Arial" w:cs="Arial"/>
          <w:b/>
          <w:szCs w:val="20"/>
          <w:lang w:val="en-GB"/>
        </w:rPr>
        <w:t>obligations.</w:t>
      </w:r>
      <w:proofErr w:type="gramEnd"/>
      <w:r w:rsidRPr="00013D66">
        <w:rPr>
          <w:rFonts w:ascii="Arial" w:eastAsia="Times New Roman" w:hAnsi="Arial" w:cs="Arial"/>
          <w:b/>
          <w:szCs w:val="20"/>
          <w:lang w:val="en-GB"/>
        </w:rPr>
        <w:t xml:space="preserve"> Should it remain (Option 1) or be replaced by linking the quoting obligation to another threshold (e.g. a certain percentage of the LIS-threshold) (Option 2)? Please explain.</w:t>
      </w:r>
    </w:p>
    <w:p w14:paraId="133A4A77"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&lt;ESMA_QUESTION_CP_MIFID_NQT_4&gt;</w:t>
      </w:r>
    </w:p>
    <w:p w14:paraId="6DF618A3" w14:textId="12ED608C" w:rsidR="00F94409" w:rsidRDefault="00F94409" w:rsidP="004072FD">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W</w:t>
      </w:r>
      <w:r w:rsidR="00B865C7" w:rsidRPr="00013D66">
        <w:rPr>
          <w:rFonts w:ascii="Arial" w:eastAsia="Times New Roman" w:hAnsi="Arial" w:cs="Arial"/>
          <w:sz w:val="20"/>
          <w:szCs w:val="24"/>
          <w:lang w:val="en-GB" w:eastAsia="de-DE"/>
        </w:rPr>
        <w:t xml:space="preserve">e believe that </w:t>
      </w:r>
      <w:r w:rsidR="00DD435A">
        <w:rPr>
          <w:rFonts w:ascii="Arial" w:eastAsia="Times New Roman" w:hAnsi="Arial" w:cs="Arial"/>
          <w:sz w:val="20"/>
          <w:szCs w:val="24"/>
          <w:lang w:val="en-GB" w:eastAsia="de-DE"/>
        </w:rPr>
        <w:t>O</w:t>
      </w:r>
      <w:r w:rsidR="00B865C7" w:rsidRPr="00013D66">
        <w:rPr>
          <w:rFonts w:ascii="Arial" w:eastAsia="Times New Roman" w:hAnsi="Arial" w:cs="Arial"/>
          <w:sz w:val="20"/>
          <w:szCs w:val="24"/>
          <w:lang w:val="en-GB" w:eastAsia="de-DE"/>
        </w:rPr>
        <w:t>ption 2 is preferable, as it simplifies the pre-</w:t>
      </w:r>
      <w:r w:rsidR="00324998">
        <w:rPr>
          <w:rFonts w:ascii="Arial" w:eastAsia="Times New Roman" w:hAnsi="Arial" w:cs="Arial"/>
          <w:sz w:val="20"/>
          <w:szCs w:val="24"/>
          <w:lang w:val="en-GB" w:eastAsia="de-DE"/>
        </w:rPr>
        <w:t xml:space="preserve">trade </w:t>
      </w:r>
      <w:r w:rsidR="00B865C7" w:rsidRPr="00013D66">
        <w:rPr>
          <w:rFonts w:ascii="Arial" w:eastAsia="Times New Roman" w:hAnsi="Arial" w:cs="Arial"/>
          <w:sz w:val="20"/>
          <w:szCs w:val="24"/>
          <w:lang w:val="en-GB" w:eastAsia="de-DE"/>
        </w:rPr>
        <w:t xml:space="preserve">transparency framework for both market participants and regulators. </w:t>
      </w:r>
    </w:p>
    <w:p w14:paraId="73729003" w14:textId="77777777" w:rsidR="00F94409" w:rsidRDefault="00F94409" w:rsidP="004072FD">
      <w:pPr>
        <w:spacing w:after="0" w:line="240" w:lineRule="auto"/>
        <w:jc w:val="both"/>
        <w:rPr>
          <w:rFonts w:ascii="Arial" w:eastAsia="Times New Roman" w:hAnsi="Arial" w:cs="Arial"/>
          <w:sz w:val="20"/>
          <w:szCs w:val="24"/>
          <w:lang w:val="en-GB" w:eastAsia="de-DE"/>
        </w:rPr>
      </w:pPr>
    </w:p>
    <w:p w14:paraId="6A2E414C" w14:textId="49CB9672" w:rsidR="00F94409" w:rsidRDefault="00B1747A" w:rsidP="004072FD">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In addition to our answer to Q2, we would like to highlight that b</w:t>
      </w:r>
      <w:r w:rsidRPr="00B1747A">
        <w:rPr>
          <w:rFonts w:ascii="Arial" w:eastAsia="Times New Roman" w:hAnsi="Arial" w:cs="Arial"/>
          <w:sz w:val="20"/>
          <w:szCs w:val="24"/>
          <w:lang w:val="en-GB" w:eastAsia="de-DE"/>
        </w:rPr>
        <w:t xml:space="preserve">onds and securitized derivatives trading are still opaque and there was no increase in transparency triggered by MiFID II compared to MiFID I. This is in particular the case for SI trading where there is seemingly no pre- and post-trade transparency available. Transparency is established by SIs via proprietary means, via their websites, via ECN-like networks or has not to be established at all (for illiquid bonds). While we do not question the merit of SIs forming part of the EU financial market’s landscape, </w:t>
      </w:r>
      <w:r w:rsidR="00A75904" w:rsidRPr="00A75904">
        <w:rPr>
          <w:rFonts w:ascii="Arial" w:eastAsia="Times New Roman" w:hAnsi="Arial" w:cs="Arial"/>
          <w:sz w:val="20"/>
          <w:szCs w:val="24"/>
          <w:lang w:val="en-GB" w:eastAsia="de-DE"/>
        </w:rPr>
        <w:t xml:space="preserve">to increase transparency in the traditionally opaque markets in </w:t>
      </w:r>
      <w:r w:rsidR="00A75904">
        <w:rPr>
          <w:rFonts w:ascii="Arial" w:eastAsia="Times New Roman" w:hAnsi="Arial" w:cs="Arial"/>
          <w:sz w:val="20"/>
          <w:szCs w:val="24"/>
          <w:lang w:val="en-GB" w:eastAsia="de-DE"/>
        </w:rPr>
        <w:t>named</w:t>
      </w:r>
      <w:r w:rsidR="00A75904" w:rsidRPr="00A75904">
        <w:rPr>
          <w:rFonts w:ascii="Arial" w:eastAsia="Times New Roman" w:hAnsi="Arial" w:cs="Arial"/>
          <w:sz w:val="20"/>
          <w:szCs w:val="24"/>
          <w:lang w:val="en-GB" w:eastAsia="de-DE"/>
        </w:rPr>
        <w:t xml:space="preserve"> instruments </w:t>
      </w:r>
      <w:r w:rsidR="00A75904">
        <w:rPr>
          <w:rFonts w:ascii="Arial" w:eastAsia="Times New Roman" w:hAnsi="Arial" w:cs="Arial"/>
          <w:sz w:val="20"/>
          <w:szCs w:val="24"/>
          <w:lang w:val="en-GB" w:eastAsia="de-DE"/>
        </w:rPr>
        <w:t xml:space="preserve">and </w:t>
      </w:r>
      <w:r w:rsidRPr="00B1747A">
        <w:rPr>
          <w:rFonts w:ascii="Arial" w:eastAsia="Times New Roman" w:hAnsi="Arial" w:cs="Arial"/>
          <w:sz w:val="20"/>
          <w:szCs w:val="24"/>
          <w:lang w:val="en-GB" w:eastAsia="de-DE"/>
        </w:rPr>
        <w:t>to create a level playing field across all types of execution venues, we recommend closing the gap between SSTI thresholds and LIS thresholds.</w:t>
      </w:r>
      <w:r>
        <w:rPr>
          <w:rFonts w:ascii="Arial" w:eastAsia="Times New Roman" w:hAnsi="Arial" w:cs="Arial"/>
          <w:sz w:val="20"/>
          <w:szCs w:val="24"/>
          <w:lang w:val="en-GB" w:eastAsia="de-DE"/>
        </w:rPr>
        <w:t xml:space="preserve"> </w:t>
      </w:r>
    </w:p>
    <w:p w14:paraId="14F0FE46" w14:textId="77777777" w:rsidR="00F94409" w:rsidRDefault="00F94409" w:rsidP="004072FD">
      <w:pPr>
        <w:spacing w:after="0" w:line="240" w:lineRule="auto"/>
        <w:jc w:val="both"/>
        <w:rPr>
          <w:rFonts w:ascii="Arial" w:eastAsia="Times New Roman" w:hAnsi="Arial" w:cs="Arial"/>
          <w:sz w:val="20"/>
          <w:szCs w:val="24"/>
          <w:lang w:val="en-GB" w:eastAsia="de-DE"/>
        </w:rPr>
      </w:pPr>
    </w:p>
    <w:p w14:paraId="2A9D7184" w14:textId="0C85F822" w:rsidR="00B865C7" w:rsidRDefault="007B2BD7" w:rsidP="004072FD">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 xml:space="preserve">As stated in our response to Q2 and Q3, we </w:t>
      </w:r>
      <w:r w:rsidR="00B1747A">
        <w:rPr>
          <w:rFonts w:ascii="Arial" w:eastAsia="Times New Roman" w:hAnsi="Arial" w:cs="Arial"/>
          <w:sz w:val="20"/>
          <w:szCs w:val="24"/>
          <w:lang w:val="en-GB" w:eastAsia="de-DE"/>
        </w:rPr>
        <w:t xml:space="preserve">therefore </w:t>
      </w:r>
      <w:r>
        <w:rPr>
          <w:rFonts w:ascii="Arial" w:eastAsia="Times New Roman" w:hAnsi="Arial" w:cs="Arial"/>
          <w:sz w:val="20"/>
          <w:szCs w:val="24"/>
          <w:lang w:val="en-GB" w:eastAsia="de-DE"/>
        </w:rPr>
        <w:t>support the removal of the SSTI concept also for the SI quoting obligation, replacing it by a reference to</w:t>
      </w:r>
      <w:r w:rsidR="00B1747A">
        <w:rPr>
          <w:rFonts w:ascii="Arial" w:eastAsia="Times New Roman" w:hAnsi="Arial" w:cs="Arial"/>
          <w:sz w:val="20"/>
          <w:szCs w:val="24"/>
          <w:lang w:val="en-GB" w:eastAsia="de-DE"/>
        </w:rPr>
        <w:t xml:space="preserve"> (a</w:t>
      </w:r>
      <w:r w:rsidR="00222E61">
        <w:rPr>
          <w:rFonts w:ascii="Arial" w:eastAsia="Times New Roman" w:hAnsi="Arial" w:cs="Arial"/>
          <w:sz w:val="20"/>
          <w:szCs w:val="24"/>
          <w:lang w:val="en-GB" w:eastAsia="de-DE"/>
        </w:rPr>
        <w:t xml:space="preserve"> high</w:t>
      </w:r>
      <w:r w:rsidR="00B1747A">
        <w:rPr>
          <w:rFonts w:ascii="Arial" w:eastAsia="Times New Roman" w:hAnsi="Arial" w:cs="Arial"/>
          <w:sz w:val="20"/>
          <w:szCs w:val="24"/>
          <w:lang w:val="en-GB" w:eastAsia="de-DE"/>
        </w:rPr>
        <w:t xml:space="preserve"> percentage of)</w:t>
      </w:r>
      <w:r>
        <w:rPr>
          <w:rFonts w:ascii="Arial" w:eastAsia="Times New Roman" w:hAnsi="Arial" w:cs="Arial"/>
          <w:sz w:val="20"/>
          <w:szCs w:val="24"/>
          <w:lang w:val="en-GB" w:eastAsia="de-DE"/>
        </w:rPr>
        <w:t xml:space="preserve"> the LIS threshold. This means in practice, that i</w:t>
      </w:r>
      <w:r w:rsidR="00B865C7" w:rsidRPr="00013D66">
        <w:rPr>
          <w:rFonts w:ascii="Arial" w:eastAsia="Times New Roman" w:hAnsi="Arial" w:cs="Arial"/>
          <w:sz w:val="20"/>
          <w:szCs w:val="24"/>
          <w:lang w:val="en-GB" w:eastAsia="de-DE"/>
        </w:rPr>
        <w:t xml:space="preserve">f the SSTI waiver was to be deleted, both SIs and their customers would be aware of LIS </w:t>
      </w:r>
      <w:r w:rsidR="00B865C7" w:rsidRPr="00013D66">
        <w:rPr>
          <w:rFonts w:ascii="Arial" w:eastAsia="Times New Roman" w:hAnsi="Arial" w:cs="Arial"/>
          <w:sz w:val="20"/>
          <w:szCs w:val="24"/>
          <w:lang w:val="en-GB" w:eastAsia="de-DE"/>
        </w:rPr>
        <w:lastRenderedPageBreak/>
        <w:t xml:space="preserve">thresholds. As such, it seems most reasonable and intuitive to reuse (a percentage of) the same threshold for SI quoting obligations, rather than mandating regulators to calculate, and market participants to stay aware, of yet another threshold. </w:t>
      </w:r>
    </w:p>
    <w:p w14:paraId="19771B2C" w14:textId="095A2D45" w:rsidR="00B1747A" w:rsidRDefault="00B1747A" w:rsidP="004072FD">
      <w:pPr>
        <w:spacing w:after="0" w:line="240" w:lineRule="auto"/>
        <w:jc w:val="both"/>
        <w:rPr>
          <w:rFonts w:ascii="Arial" w:eastAsia="Times New Roman" w:hAnsi="Arial" w:cs="Arial"/>
          <w:sz w:val="20"/>
          <w:szCs w:val="24"/>
          <w:lang w:val="en-GB" w:eastAsia="de-DE"/>
        </w:rPr>
      </w:pPr>
    </w:p>
    <w:p w14:paraId="63877214" w14:textId="479370F3" w:rsidR="00B1747A" w:rsidRDefault="00B1747A" w:rsidP="004072FD">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For the special case of bonds</w:t>
      </w:r>
      <w:r w:rsidRPr="00B1747A">
        <w:rPr>
          <w:rFonts w:ascii="Arial" w:eastAsia="Times New Roman" w:hAnsi="Arial" w:cs="Arial"/>
          <w:sz w:val="20"/>
          <w:szCs w:val="24"/>
          <w:lang w:val="en-GB" w:eastAsia="de-DE"/>
        </w:rPr>
        <w:t>, as highlighted in Q1, we would</w:t>
      </w:r>
      <w:r w:rsidR="00F94409">
        <w:rPr>
          <w:rFonts w:ascii="Arial" w:eastAsia="Times New Roman" w:hAnsi="Arial" w:cs="Arial"/>
          <w:sz w:val="20"/>
          <w:szCs w:val="24"/>
          <w:lang w:val="en-GB" w:eastAsia="de-DE"/>
        </w:rPr>
        <w:t xml:space="preserve"> further</w:t>
      </w:r>
      <w:r w:rsidRPr="00B1747A">
        <w:rPr>
          <w:rFonts w:ascii="Arial" w:eastAsia="Times New Roman" w:hAnsi="Arial" w:cs="Arial"/>
          <w:sz w:val="20"/>
          <w:szCs w:val="24"/>
          <w:lang w:val="en-GB" w:eastAsia="de-DE"/>
        </w:rPr>
        <w:t xml:space="preserve"> suggest to </w:t>
      </w:r>
      <w:r w:rsidR="00F94409">
        <w:rPr>
          <w:rFonts w:ascii="Arial" w:eastAsia="Times New Roman" w:hAnsi="Arial" w:cs="Arial"/>
          <w:sz w:val="20"/>
          <w:szCs w:val="24"/>
          <w:lang w:val="en-GB" w:eastAsia="de-DE"/>
        </w:rPr>
        <w:t xml:space="preserve">complement the measure above with </w:t>
      </w:r>
      <w:r w:rsidRPr="00B1747A">
        <w:rPr>
          <w:rFonts w:ascii="Arial" w:eastAsia="Times New Roman" w:hAnsi="Arial" w:cs="Arial"/>
          <w:sz w:val="20"/>
          <w:szCs w:val="24"/>
          <w:lang w:val="en-GB" w:eastAsia="de-DE"/>
        </w:rPr>
        <w:t>allow</w:t>
      </w:r>
      <w:r w:rsidR="00F94409">
        <w:rPr>
          <w:rFonts w:ascii="Arial" w:eastAsia="Times New Roman" w:hAnsi="Arial" w:cs="Arial"/>
          <w:sz w:val="20"/>
          <w:szCs w:val="24"/>
          <w:lang w:val="en-GB" w:eastAsia="de-DE"/>
        </w:rPr>
        <w:t>ing</w:t>
      </w:r>
      <w:r w:rsidRPr="00B1747A">
        <w:rPr>
          <w:rFonts w:ascii="Arial" w:eastAsia="Times New Roman" w:hAnsi="Arial" w:cs="Arial"/>
          <w:sz w:val="20"/>
          <w:szCs w:val="24"/>
          <w:lang w:val="en-GB" w:eastAsia="de-DE"/>
        </w:rPr>
        <w:t xml:space="preserve"> trading of sizes at and below 100,000 EUR on transparent multilateral venues only as this would significantly reduce market fragmentation, aggregate liquidity and increase pre- and post-trade transparency, with particular benefits for the retail market.</w:t>
      </w:r>
    </w:p>
    <w:p w14:paraId="5776152A"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&lt;ESMA_QUESTION_CP_MIFID_NQT_4&gt;</w:t>
      </w:r>
    </w:p>
    <w:p w14:paraId="6816C066"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4BE00895"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Would you support turning the hedging exemption into a limited negotiated trade waiver? If so, would you support Option 1 or Option 2? If not, please explain why.</w:t>
      </w:r>
    </w:p>
    <w:p w14:paraId="6CB61BCF"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&lt;ESMA_QUESTION_CP_MIFID_NQT_5&gt;</w:t>
      </w:r>
    </w:p>
    <w:p w14:paraId="085E4756" w14:textId="6B25FF7F" w:rsidR="007A4320" w:rsidRPr="00013D66" w:rsidRDefault="007A4320" w:rsidP="007A4320">
      <w:pPr>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Although we are supportive of a dedicated negotiated trade waiver for commodity markets, we do not see merit in replacing the current hedging exemption by such waiver with the exact same scope. This would increase paperwork and procedural obligations for market participants, outweighing potential benefits a waiver could bring. </w:t>
      </w:r>
    </w:p>
    <w:p w14:paraId="08B7E107" w14:textId="2B22BB77" w:rsidR="007A4320" w:rsidRPr="00013D66" w:rsidRDefault="007A4320" w:rsidP="007A4320">
      <w:pPr>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Therefore, we support the introduction of a commodity specific pre-negotiated trade waiver, whilst not having it replace the hedging exemption.  </w:t>
      </w:r>
    </w:p>
    <w:p w14:paraId="74802810" w14:textId="3B932922" w:rsidR="001D503E" w:rsidRPr="00013D66" w:rsidRDefault="007A4320" w:rsidP="00CF0E1A">
      <w:pPr>
        <w:spacing w:after="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However, should this not be possible, we would recommend extending the hedging exemption to financial counterparties instead. This would already allow for more crucial pre-arranged trades in nascent and illiquid contracts to be brought to an exchange for central clearing, hence addressing the specific market reality of commodity markets.</w:t>
      </w:r>
      <w:r w:rsidR="00CF0E1A">
        <w:rPr>
          <w:rFonts w:ascii="Arial" w:eastAsia="Times New Roman" w:hAnsi="Arial" w:cs="Arial"/>
          <w:sz w:val="20"/>
          <w:szCs w:val="24"/>
          <w:lang w:val="en-GB" w:eastAsia="de-DE"/>
        </w:rPr>
        <w:tab/>
      </w:r>
      <w:r w:rsidRPr="00013D66">
        <w:rPr>
          <w:rFonts w:ascii="Arial" w:eastAsia="Times New Roman" w:hAnsi="Arial" w:cs="Arial"/>
          <w:sz w:val="20"/>
          <w:szCs w:val="24"/>
          <w:lang w:val="en-GB" w:eastAsia="de-DE"/>
        </w:rPr>
        <w:t xml:space="preserve"> </w:t>
      </w:r>
      <w:r w:rsidR="00C661A8" w:rsidRPr="00013D66">
        <w:rPr>
          <w:rFonts w:ascii="Arial" w:eastAsia="Times New Roman" w:hAnsi="Arial" w:cs="Arial"/>
          <w:sz w:val="20"/>
          <w:szCs w:val="24"/>
          <w:lang w:val="en-GB" w:eastAsia="de-DE"/>
        </w:rPr>
        <w:br/>
      </w:r>
      <w:r w:rsidR="001D503E" w:rsidRPr="00013D66">
        <w:rPr>
          <w:rFonts w:ascii="Arial" w:eastAsia="Times New Roman" w:hAnsi="Arial" w:cs="Arial"/>
          <w:sz w:val="20"/>
          <w:szCs w:val="24"/>
          <w:lang w:val="en-GB" w:eastAsia="de-DE"/>
        </w:rPr>
        <w:t>&lt;ESMA_QUESTION_CP_MIFID_NQT_5&gt;</w:t>
      </w:r>
    </w:p>
    <w:p w14:paraId="738DD942"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2FCE8E1E"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p>
    <w:p w14:paraId="222EED2B"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&lt;ESMA_QUESTION_CP_MIFID_NQT_6&gt;</w:t>
      </w:r>
    </w:p>
    <w:p w14:paraId="5D9D25EA" w14:textId="10D6B5DD" w:rsidR="009B5DA8" w:rsidRDefault="00B865C7" w:rsidP="00823919">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US" w:eastAsia="de-DE"/>
        </w:rPr>
        <w:t>DBG</w:t>
      </w:r>
      <w:r w:rsidRPr="00013D66">
        <w:rPr>
          <w:rFonts w:ascii="Arial" w:eastAsia="Times New Roman" w:hAnsi="Arial" w:cs="Arial"/>
          <w:sz w:val="20"/>
          <w:szCs w:val="24"/>
          <w:lang w:val="en-GB" w:eastAsia="de-DE"/>
        </w:rPr>
        <w:t xml:space="preserve"> agrees that the definitions in Annex 1 of RTS 2 do not capture all available trading systems, resulting in several systems being classified as hybrid systems.</w:t>
      </w:r>
      <w:r w:rsidR="00677A81">
        <w:rPr>
          <w:rFonts w:ascii="Arial" w:eastAsia="Times New Roman" w:hAnsi="Arial" w:cs="Arial"/>
          <w:sz w:val="20"/>
          <w:szCs w:val="24"/>
          <w:lang w:val="en-GB" w:eastAsia="de-DE"/>
        </w:rPr>
        <w:t xml:space="preserve"> In order to ensure increased transparency,</w:t>
      </w:r>
      <w:r w:rsidR="009B5DA8">
        <w:rPr>
          <w:rFonts w:ascii="Arial" w:eastAsia="Times New Roman" w:hAnsi="Arial" w:cs="Arial"/>
          <w:sz w:val="20"/>
          <w:szCs w:val="24"/>
          <w:lang w:val="en-GB" w:eastAsia="de-DE"/>
        </w:rPr>
        <w:t xml:space="preserve"> DBG is therefore proposing a three-fold solution which aims at covering all established trading systems more clearly and at allowing regulators to be able to react timely to the emergence of new trading systems.</w:t>
      </w:r>
    </w:p>
    <w:p w14:paraId="4A2D77D8" w14:textId="1F2497E9" w:rsidR="00B865C7" w:rsidRPr="00013D66" w:rsidRDefault="009B5DA8" w:rsidP="00823919">
      <w:pPr>
        <w:spacing w:after="12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H</w:t>
      </w:r>
      <w:r w:rsidR="00B865C7" w:rsidRPr="00013D66">
        <w:rPr>
          <w:rFonts w:ascii="Arial" w:eastAsia="Times New Roman" w:hAnsi="Arial" w:cs="Arial"/>
          <w:sz w:val="20"/>
          <w:szCs w:val="24"/>
          <w:lang w:val="en-GB" w:eastAsia="de-DE"/>
        </w:rPr>
        <w:t xml:space="preserve">aving an opinion issued by ESMA every time a potentially new trading system is introduced, </w:t>
      </w:r>
      <w:r w:rsidR="007849E8">
        <w:rPr>
          <w:rFonts w:ascii="Arial" w:eastAsia="Times New Roman" w:hAnsi="Arial" w:cs="Arial"/>
          <w:sz w:val="20"/>
          <w:szCs w:val="24"/>
          <w:lang w:val="en-GB" w:eastAsia="de-DE"/>
        </w:rPr>
        <w:t xml:space="preserve">will in our eyes put undue stress on ESMA’s resources. Any backlog in such an approval process (as has been observed with the approval process for waiver applications) </w:t>
      </w:r>
      <w:r w:rsidR="00B865C7" w:rsidRPr="00013D66">
        <w:rPr>
          <w:rFonts w:ascii="Arial" w:eastAsia="Times New Roman" w:hAnsi="Arial" w:cs="Arial"/>
          <w:sz w:val="20"/>
          <w:szCs w:val="24"/>
          <w:lang w:val="en-GB" w:eastAsia="de-DE"/>
        </w:rPr>
        <w:t>bear</w:t>
      </w:r>
      <w:r w:rsidR="007849E8">
        <w:rPr>
          <w:rFonts w:ascii="Arial" w:eastAsia="Times New Roman" w:hAnsi="Arial" w:cs="Arial"/>
          <w:sz w:val="20"/>
          <w:szCs w:val="24"/>
          <w:lang w:val="en-GB" w:eastAsia="de-DE"/>
        </w:rPr>
        <w:t>s</w:t>
      </w:r>
      <w:r w:rsidR="00B865C7" w:rsidRPr="00013D66">
        <w:rPr>
          <w:rFonts w:ascii="Arial" w:eastAsia="Times New Roman" w:hAnsi="Arial" w:cs="Arial"/>
          <w:sz w:val="20"/>
          <w:szCs w:val="24"/>
          <w:lang w:val="en-GB" w:eastAsia="de-DE"/>
        </w:rPr>
        <w:t xml:space="preserve"> the risk to delay innovation and </w:t>
      </w:r>
      <w:r w:rsidR="007849E8">
        <w:rPr>
          <w:rFonts w:ascii="Arial" w:eastAsia="Times New Roman" w:hAnsi="Arial" w:cs="Arial"/>
          <w:sz w:val="20"/>
          <w:szCs w:val="24"/>
          <w:lang w:val="en-GB" w:eastAsia="de-DE"/>
        </w:rPr>
        <w:t>will</w:t>
      </w:r>
      <w:r w:rsidR="007849E8" w:rsidRPr="00013D66">
        <w:rPr>
          <w:rFonts w:ascii="Arial" w:eastAsia="Times New Roman" w:hAnsi="Arial" w:cs="Arial"/>
          <w:sz w:val="20"/>
          <w:szCs w:val="24"/>
          <w:lang w:val="en-GB" w:eastAsia="de-DE"/>
        </w:rPr>
        <w:t xml:space="preserve"> </w:t>
      </w:r>
      <w:r w:rsidR="00B865C7" w:rsidRPr="00013D66">
        <w:rPr>
          <w:rFonts w:ascii="Arial" w:eastAsia="Times New Roman" w:hAnsi="Arial" w:cs="Arial"/>
          <w:sz w:val="20"/>
          <w:szCs w:val="24"/>
          <w:lang w:val="en-GB" w:eastAsia="de-DE"/>
        </w:rPr>
        <w:t xml:space="preserve">result in longer periods of trading in less regulated environments (OTC market). </w:t>
      </w:r>
    </w:p>
    <w:p w14:paraId="7699ECE3" w14:textId="59E48110" w:rsidR="0052719E" w:rsidRDefault="009B5DA8" w:rsidP="0052719E">
      <w:pPr>
        <w:spacing w:after="12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Therefore</w:t>
      </w:r>
      <w:r w:rsidR="00B865C7" w:rsidRPr="00013D66">
        <w:rPr>
          <w:rFonts w:ascii="Arial" w:eastAsia="Times New Roman" w:hAnsi="Arial" w:cs="Arial"/>
          <w:sz w:val="20"/>
          <w:szCs w:val="24"/>
          <w:lang w:val="en-GB" w:eastAsia="de-DE"/>
        </w:rPr>
        <w:t xml:space="preserve">, we believe it would be </w:t>
      </w:r>
      <w:r w:rsidR="0052719E">
        <w:rPr>
          <w:rFonts w:ascii="Arial" w:eastAsia="Times New Roman" w:hAnsi="Arial" w:cs="Arial"/>
          <w:sz w:val="20"/>
          <w:szCs w:val="24"/>
          <w:lang w:val="en-GB" w:eastAsia="de-DE"/>
        </w:rPr>
        <w:t>a more sensible way forward</w:t>
      </w:r>
      <w:r w:rsidR="0052719E" w:rsidRPr="00013D66">
        <w:rPr>
          <w:rFonts w:ascii="Arial" w:eastAsia="Times New Roman" w:hAnsi="Arial" w:cs="Arial"/>
          <w:sz w:val="20"/>
          <w:szCs w:val="24"/>
          <w:lang w:val="en-GB" w:eastAsia="de-DE"/>
        </w:rPr>
        <w:t xml:space="preserve"> </w:t>
      </w:r>
      <w:r w:rsidR="00B865C7" w:rsidRPr="00013D66">
        <w:rPr>
          <w:rFonts w:ascii="Arial" w:eastAsia="Times New Roman" w:hAnsi="Arial" w:cs="Arial"/>
          <w:sz w:val="20"/>
          <w:szCs w:val="24"/>
          <w:lang w:val="en-GB" w:eastAsia="de-DE"/>
        </w:rPr>
        <w:t xml:space="preserve">to </w:t>
      </w:r>
      <w:r w:rsidR="0052719E">
        <w:rPr>
          <w:rFonts w:ascii="Arial" w:eastAsia="Times New Roman" w:hAnsi="Arial" w:cs="Arial"/>
          <w:sz w:val="20"/>
          <w:szCs w:val="24"/>
          <w:lang w:val="en-GB" w:eastAsia="de-DE"/>
        </w:rPr>
        <w:t>extend</w:t>
      </w:r>
      <w:r w:rsidR="0052719E" w:rsidRPr="00013D66">
        <w:rPr>
          <w:rFonts w:ascii="Arial" w:eastAsia="Times New Roman" w:hAnsi="Arial" w:cs="Arial"/>
          <w:sz w:val="20"/>
          <w:szCs w:val="24"/>
          <w:lang w:val="en-GB" w:eastAsia="de-DE"/>
        </w:rPr>
        <w:t xml:space="preserve"> </w:t>
      </w:r>
      <w:r w:rsidR="00B865C7" w:rsidRPr="00013D66">
        <w:rPr>
          <w:rFonts w:ascii="Arial" w:eastAsia="Times New Roman" w:hAnsi="Arial" w:cs="Arial"/>
          <w:sz w:val="20"/>
          <w:szCs w:val="24"/>
          <w:lang w:val="en-GB" w:eastAsia="de-DE"/>
        </w:rPr>
        <w:t>the existing definitions of trading systems</w:t>
      </w:r>
      <w:r w:rsidR="0052719E">
        <w:rPr>
          <w:rFonts w:ascii="Arial" w:eastAsia="Times New Roman" w:hAnsi="Arial" w:cs="Arial"/>
          <w:sz w:val="20"/>
          <w:szCs w:val="24"/>
          <w:lang w:val="en-GB" w:eastAsia="de-DE"/>
        </w:rPr>
        <w:t>. We propose to amend the definitions of Annex 1 in such a way that they cover variations of the initial system types, which might share main characteristics but are also partly innovative (such as “RFQ variation”, covering RFQ systems</w:t>
      </w:r>
      <w:r w:rsidR="00B865C7" w:rsidRPr="00013D66">
        <w:rPr>
          <w:rFonts w:ascii="Arial" w:eastAsia="Times New Roman" w:hAnsi="Arial" w:cs="Arial"/>
          <w:sz w:val="20"/>
          <w:szCs w:val="24"/>
          <w:lang w:val="en-GB" w:eastAsia="de-DE"/>
        </w:rPr>
        <w:t xml:space="preserve"> which</w:t>
      </w:r>
      <w:r w:rsidR="0052719E">
        <w:rPr>
          <w:rFonts w:ascii="Arial" w:eastAsia="Times New Roman" w:hAnsi="Arial" w:cs="Arial"/>
          <w:sz w:val="20"/>
          <w:szCs w:val="24"/>
          <w:lang w:val="en-GB" w:eastAsia="de-DE"/>
        </w:rPr>
        <w:t>, for example,</w:t>
      </w:r>
      <w:r w:rsidR="00B865C7" w:rsidRPr="00013D66">
        <w:rPr>
          <w:rFonts w:ascii="Arial" w:eastAsia="Times New Roman" w:hAnsi="Arial" w:cs="Arial"/>
          <w:sz w:val="20"/>
          <w:szCs w:val="24"/>
          <w:lang w:val="en-GB" w:eastAsia="de-DE"/>
        </w:rPr>
        <w:t xml:space="preserve"> start with an RFQ and switch to auction modus after the initial requester’s trading interest has been satisfied</w:t>
      </w:r>
      <w:r w:rsidR="000677B7">
        <w:rPr>
          <w:rFonts w:ascii="Arial" w:eastAsia="Times New Roman" w:hAnsi="Arial" w:cs="Arial"/>
          <w:sz w:val="20"/>
          <w:szCs w:val="24"/>
          <w:lang w:val="en-GB" w:eastAsia="de-DE"/>
        </w:rPr>
        <w:t>)</w:t>
      </w:r>
      <w:r w:rsidR="00B865C7" w:rsidRPr="00013D66">
        <w:rPr>
          <w:rFonts w:ascii="Arial" w:eastAsia="Times New Roman" w:hAnsi="Arial" w:cs="Arial"/>
          <w:sz w:val="20"/>
          <w:szCs w:val="24"/>
          <w:lang w:val="en-GB" w:eastAsia="de-DE"/>
        </w:rPr>
        <w:t xml:space="preserve">. </w:t>
      </w:r>
      <w:r w:rsidR="0052719E">
        <w:rPr>
          <w:rFonts w:ascii="Arial" w:eastAsia="Times New Roman" w:hAnsi="Arial" w:cs="Arial"/>
          <w:sz w:val="20"/>
          <w:szCs w:val="24"/>
          <w:lang w:val="en-GB" w:eastAsia="de-DE"/>
        </w:rPr>
        <w:t xml:space="preserve">This way, the currently misused “hybrid systems” definition with its significant leeway in choice of applicable transparency would be phased out for such cases, and instead replaced by an efficient regime. </w:t>
      </w:r>
      <w:r w:rsidR="009719A2">
        <w:rPr>
          <w:rFonts w:ascii="Arial" w:eastAsia="Times New Roman" w:hAnsi="Arial" w:cs="Arial"/>
          <w:sz w:val="20"/>
          <w:szCs w:val="24"/>
          <w:lang w:val="en-GB" w:eastAsia="de-DE"/>
        </w:rPr>
        <w:t xml:space="preserve">The transparency requirement for such variation systems should, however, be sufficiently amended, reflecting the fact that it might prove difficult to provide the same </w:t>
      </w:r>
      <w:r w:rsidR="009719A2">
        <w:rPr>
          <w:rFonts w:ascii="Arial" w:eastAsia="Times New Roman" w:hAnsi="Arial" w:cs="Arial"/>
          <w:sz w:val="20"/>
          <w:szCs w:val="24"/>
          <w:lang w:val="en-GB" w:eastAsia="de-DE"/>
        </w:rPr>
        <w:lastRenderedPageBreak/>
        <w:t>level of transparency for a, for example, RFQ-auction variation as for the clear-cut case of a “pure” RFQ system</w:t>
      </w:r>
      <w:r w:rsidR="00115579">
        <w:rPr>
          <w:rFonts w:ascii="Arial" w:eastAsia="Times New Roman" w:hAnsi="Arial" w:cs="Arial"/>
          <w:sz w:val="20"/>
          <w:szCs w:val="24"/>
          <w:lang w:val="en-GB" w:eastAsia="de-DE"/>
        </w:rPr>
        <w:t>, w</w:t>
      </w:r>
      <w:r w:rsidR="000677B7">
        <w:rPr>
          <w:rFonts w:ascii="Arial" w:eastAsia="Times New Roman" w:hAnsi="Arial" w:cs="Arial"/>
          <w:sz w:val="20"/>
          <w:szCs w:val="24"/>
          <w:lang w:val="en-GB" w:eastAsia="de-DE"/>
        </w:rPr>
        <w:t>hereas a</w:t>
      </w:r>
      <w:r w:rsidR="009719A2">
        <w:rPr>
          <w:rFonts w:ascii="Arial" w:eastAsia="Times New Roman" w:hAnsi="Arial" w:cs="Arial"/>
          <w:sz w:val="20"/>
          <w:szCs w:val="24"/>
          <w:lang w:val="en-GB" w:eastAsia="de-DE"/>
        </w:rPr>
        <w:t>pplying the same level of transparency to all variations of a type would furthermore ensure a level playing field. Such an amendment would additionally pose a change on Level 2 as opposed to Level 1, offering the possibility of a quicker amendment process.</w:t>
      </w:r>
    </w:p>
    <w:p w14:paraId="55397F9C" w14:textId="77777777" w:rsidR="0027430A" w:rsidRDefault="009719A2" w:rsidP="009719A2">
      <w:pPr>
        <w:spacing w:after="12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 xml:space="preserve">DBG could see merit in the proposed ESMA opinions on new trading systems as a complementary solution, </w:t>
      </w:r>
      <w:r w:rsidR="00823919">
        <w:rPr>
          <w:rFonts w:ascii="Arial" w:eastAsia="Times New Roman" w:hAnsi="Arial" w:cs="Arial"/>
          <w:sz w:val="20"/>
          <w:szCs w:val="24"/>
          <w:lang w:val="en-GB" w:eastAsia="de-DE"/>
        </w:rPr>
        <w:t>where they cover</w:t>
      </w:r>
      <w:r>
        <w:rPr>
          <w:rFonts w:ascii="Arial" w:eastAsia="Times New Roman" w:hAnsi="Arial" w:cs="Arial"/>
          <w:sz w:val="20"/>
          <w:szCs w:val="24"/>
          <w:lang w:val="en-GB" w:eastAsia="de-DE"/>
        </w:rPr>
        <w:t xml:space="preserve"> system types which are in no way variations of the definitions listed in Annex 1 and instead completely innovative. This way, ESMA resources would only be used in exceptional cases where there is indeed a distinct need for analysis and appropriately set transparency requirements suitable for the respective market conditions. To not obstruct market innovation, we propose to combine such opinions with timelines similar to those used for waiver applications and allow for operation of the system in question if the originally envisioned assessment deadline is delayed (in the same way as operation under an unapproved waiver has been allowed in the past as a delay mitigation measure). We also believe that the national competent authority</w:t>
      </w:r>
      <w:r w:rsidR="000677B7">
        <w:rPr>
          <w:rFonts w:ascii="Arial" w:eastAsia="Times New Roman" w:hAnsi="Arial" w:cs="Arial"/>
          <w:sz w:val="20"/>
          <w:szCs w:val="24"/>
          <w:lang w:val="en-GB" w:eastAsia="de-DE"/>
        </w:rPr>
        <w:t xml:space="preserve"> (NCA)</w:t>
      </w:r>
      <w:r>
        <w:rPr>
          <w:rFonts w:ascii="Arial" w:eastAsia="Times New Roman" w:hAnsi="Arial" w:cs="Arial"/>
          <w:sz w:val="20"/>
          <w:szCs w:val="24"/>
          <w:lang w:val="en-GB" w:eastAsia="de-DE"/>
        </w:rPr>
        <w:t xml:space="preserve"> supervising the venue on which such an innovative system type is employed should be involved in this assessment process.</w:t>
      </w:r>
    </w:p>
    <w:p w14:paraId="3309B6C8" w14:textId="2EA9A131" w:rsidR="009719A2" w:rsidRDefault="0027430A" w:rsidP="009719A2">
      <w:pPr>
        <w:spacing w:after="12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Finally,</w:t>
      </w:r>
      <w:r w:rsidR="00673793">
        <w:rPr>
          <w:rFonts w:ascii="Arial" w:eastAsia="Times New Roman" w:hAnsi="Arial" w:cs="Arial"/>
          <w:sz w:val="20"/>
          <w:szCs w:val="24"/>
          <w:lang w:val="en-GB" w:eastAsia="de-DE"/>
        </w:rPr>
        <w:t xml:space="preserve"> </w:t>
      </w:r>
      <w:r w:rsidR="00677A81">
        <w:rPr>
          <w:rFonts w:ascii="Arial" w:eastAsia="Times New Roman" w:hAnsi="Arial" w:cs="Arial"/>
          <w:sz w:val="20"/>
          <w:szCs w:val="24"/>
          <w:lang w:val="en-GB" w:eastAsia="de-DE"/>
        </w:rPr>
        <w:t>we suggest</w:t>
      </w:r>
      <w:r w:rsidR="00673793">
        <w:rPr>
          <w:rFonts w:ascii="Arial" w:eastAsia="Times New Roman" w:hAnsi="Arial" w:cs="Arial"/>
          <w:sz w:val="20"/>
          <w:szCs w:val="24"/>
          <w:lang w:val="en-GB" w:eastAsia="de-DE"/>
        </w:rPr>
        <w:t xml:space="preserve"> a</w:t>
      </w:r>
      <w:r w:rsidR="00677A81">
        <w:rPr>
          <w:rFonts w:ascii="Arial" w:eastAsia="Times New Roman" w:hAnsi="Arial" w:cs="Arial"/>
          <w:sz w:val="20"/>
          <w:szCs w:val="24"/>
          <w:lang w:val="en-GB" w:eastAsia="de-DE"/>
        </w:rPr>
        <w:t xml:space="preserve">nother </w:t>
      </w:r>
      <w:r w:rsidR="00673793">
        <w:rPr>
          <w:rFonts w:ascii="Arial" w:eastAsia="Times New Roman" w:hAnsi="Arial" w:cs="Arial"/>
          <w:sz w:val="20"/>
          <w:szCs w:val="24"/>
          <w:lang w:val="en-GB" w:eastAsia="de-DE"/>
        </w:rPr>
        <w:t xml:space="preserve">complementary measure when considering variations for Annex I </w:t>
      </w:r>
      <w:r w:rsidR="00677A81">
        <w:rPr>
          <w:rFonts w:ascii="Arial" w:eastAsia="Times New Roman" w:hAnsi="Arial" w:cs="Arial"/>
          <w:sz w:val="20"/>
          <w:szCs w:val="24"/>
          <w:lang w:val="en-GB" w:eastAsia="de-DE"/>
        </w:rPr>
        <w:t>and</w:t>
      </w:r>
      <w:r w:rsidR="00673793">
        <w:rPr>
          <w:rFonts w:ascii="Arial" w:eastAsia="Times New Roman" w:hAnsi="Arial" w:cs="Arial"/>
          <w:sz w:val="20"/>
          <w:szCs w:val="24"/>
          <w:lang w:val="en-GB" w:eastAsia="de-DE"/>
        </w:rPr>
        <w:t xml:space="preserve"> issuing opinions</w:t>
      </w:r>
      <w:r w:rsidR="009B5DA8">
        <w:rPr>
          <w:rFonts w:ascii="Arial" w:eastAsia="Times New Roman" w:hAnsi="Arial" w:cs="Arial"/>
          <w:sz w:val="20"/>
          <w:szCs w:val="24"/>
          <w:lang w:val="en-GB" w:eastAsia="de-DE"/>
        </w:rPr>
        <w:t xml:space="preserve"> on innovative new trading systems</w:t>
      </w:r>
      <w:r w:rsidR="00677A81">
        <w:rPr>
          <w:rFonts w:ascii="Arial" w:eastAsia="Times New Roman" w:hAnsi="Arial" w:cs="Arial"/>
          <w:sz w:val="20"/>
          <w:szCs w:val="24"/>
          <w:lang w:val="en-GB" w:eastAsia="de-DE"/>
        </w:rPr>
        <w:t xml:space="preserve">: </w:t>
      </w:r>
      <w:r>
        <w:rPr>
          <w:rFonts w:ascii="Arial" w:eastAsia="Times New Roman" w:hAnsi="Arial" w:cs="Arial"/>
          <w:sz w:val="20"/>
          <w:szCs w:val="24"/>
          <w:lang w:val="en-GB" w:eastAsia="de-DE"/>
        </w:rPr>
        <w:t xml:space="preserve">should </w:t>
      </w:r>
      <w:r w:rsidR="00676FEF">
        <w:rPr>
          <w:rFonts w:ascii="Arial" w:eastAsia="Times New Roman" w:hAnsi="Arial" w:cs="Arial"/>
          <w:sz w:val="20"/>
          <w:szCs w:val="24"/>
          <w:lang w:val="en-GB" w:eastAsia="de-DE"/>
        </w:rPr>
        <w:t xml:space="preserve">ESMA deem it required to facilitate more convergence of national practices when it comes to new trading systems and their characteristics and transparency requirements, ESMA could also provide guidance for NCAs’ interpretation of Annex 1 of RTS 2 on Level 3 via Q&amp;As. </w:t>
      </w:r>
    </w:p>
    <w:p w14:paraId="6615686A" w14:textId="16D5D789" w:rsidR="00677A81" w:rsidRDefault="00677A81" w:rsidP="009719A2">
      <w:pPr>
        <w:spacing w:after="12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In addition</w:t>
      </w:r>
      <w:r w:rsidR="006D4250">
        <w:rPr>
          <w:rFonts w:ascii="Arial" w:eastAsia="Times New Roman" w:hAnsi="Arial" w:cs="Arial"/>
          <w:sz w:val="20"/>
          <w:szCs w:val="24"/>
          <w:lang w:val="en-GB" w:eastAsia="de-DE"/>
        </w:rPr>
        <w:t xml:space="preserve">, </w:t>
      </w:r>
      <w:r>
        <w:rPr>
          <w:rFonts w:ascii="Arial" w:eastAsia="Times New Roman" w:hAnsi="Arial" w:cs="Arial"/>
          <w:sz w:val="20"/>
          <w:szCs w:val="24"/>
          <w:lang w:val="en-GB" w:eastAsia="de-DE"/>
        </w:rPr>
        <w:t xml:space="preserve">we would </w:t>
      </w:r>
      <w:r w:rsidR="00B7775F">
        <w:rPr>
          <w:rFonts w:ascii="Arial" w:eastAsia="Times New Roman" w:hAnsi="Arial" w:cs="Arial"/>
          <w:sz w:val="20"/>
          <w:szCs w:val="24"/>
          <w:lang w:val="en-GB" w:eastAsia="de-DE"/>
        </w:rPr>
        <w:t xml:space="preserve">see value in regulators </w:t>
      </w:r>
      <w:r w:rsidR="000B1EC2">
        <w:rPr>
          <w:rFonts w:ascii="Arial" w:eastAsia="Times New Roman" w:hAnsi="Arial" w:cs="Arial"/>
          <w:sz w:val="20"/>
          <w:szCs w:val="24"/>
          <w:lang w:val="en-GB" w:eastAsia="de-DE"/>
        </w:rPr>
        <w:t>and supervisors</w:t>
      </w:r>
      <w:r w:rsidR="00B7775F">
        <w:rPr>
          <w:rFonts w:ascii="Arial" w:eastAsia="Times New Roman" w:hAnsi="Arial" w:cs="Arial"/>
          <w:sz w:val="20"/>
          <w:szCs w:val="24"/>
          <w:lang w:val="en-GB" w:eastAsia="de-DE"/>
        </w:rPr>
        <w:t xml:space="preserve"> </w:t>
      </w:r>
      <w:r w:rsidR="000B1EC2">
        <w:rPr>
          <w:rFonts w:ascii="Arial" w:eastAsia="Times New Roman" w:hAnsi="Arial" w:cs="Arial"/>
          <w:sz w:val="20"/>
          <w:szCs w:val="24"/>
          <w:lang w:val="en-GB" w:eastAsia="de-DE"/>
        </w:rPr>
        <w:t xml:space="preserve">jointly </w:t>
      </w:r>
      <w:r w:rsidR="00B7775F">
        <w:rPr>
          <w:rFonts w:ascii="Arial" w:eastAsia="Times New Roman" w:hAnsi="Arial" w:cs="Arial"/>
          <w:sz w:val="20"/>
          <w:szCs w:val="24"/>
          <w:lang w:val="en-GB" w:eastAsia="de-DE"/>
        </w:rPr>
        <w:t xml:space="preserve">assessing </w:t>
      </w:r>
      <w:r w:rsidR="000B1EC2">
        <w:rPr>
          <w:rFonts w:ascii="Arial" w:eastAsia="Times New Roman" w:hAnsi="Arial" w:cs="Arial"/>
          <w:sz w:val="20"/>
          <w:szCs w:val="24"/>
          <w:lang w:val="en-GB" w:eastAsia="de-DE"/>
        </w:rPr>
        <w:t>if and how</w:t>
      </w:r>
      <w:r w:rsidR="00B7775F">
        <w:rPr>
          <w:rFonts w:ascii="Arial" w:eastAsia="Times New Roman" w:hAnsi="Arial" w:cs="Arial"/>
          <w:sz w:val="20"/>
          <w:szCs w:val="24"/>
          <w:lang w:val="en-GB" w:eastAsia="de-DE"/>
        </w:rPr>
        <w:t xml:space="preserve"> </w:t>
      </w:r>
      <w:r w:rsidR="004A0884">
        <w:rPr>
          <w:rFonts w:ascii="Arial" w:eastAsia="Times New Roman" w:hAnsi="Arial" w:cs="Arial"/>
          <w:sz w:val="20"/>
          <w:szCs w:val="24"/>
          <w:lang w:val="en-GB" w:eastAsia="de-DE"/>
        </w:rPr>
        <w:t xml:space="preserve">systems </w:t>
      </w:r>
      <w:r w:rsidR="000B1EC2">
        <w:rPr>
          <w:rFonts w:ascii="Arial" w:eastAsia="Times New Roman" w:hAnsi="Arial" w:cs="Arial"/>
          <w:sz w:val="20"/>
          <w:szCs w:val="24"/>
          <w:lang w:val="en-GB" w:eastAsia="de-DE"/>
        </w:rPr>
        <w:t xml:space="preserve">offering functionalities around the execution and aggregation of orders as well as concomitant services </w:t>
      </w:r>
      <w:r w:rsidR="004A0884">
        <w:rPr>
          <w:rFonts w:ascii="Arial" w:eastAsia="Times New Roman" w:hAnsi="Arial" w:cs="Arial"/>
          <w:sz w:val="20"/>
          <w:szCs w:val="24"/>
          <w:lang w:val="en-GB" w:eastAsia="de-DE"/>
        </w:rPr>
        <w:t xml:space="preserve">that are </w:t>
      </w:r>
      <w:r w:rsidR="000B1EC2">
        <w:rPr>
          <w:rFonts w:ascii="Arial" w:eastAsia="Times New Roman" w:hAnsi="Arial" w:cs="Arial"/>
          <w:sz w:val="20"/>
          <w:szCs w:val="24"/>
          <w:lang w:val="en-GB" w:eastAsia="de-DE"/>
        </w:rPr>
        <w:t>hitherto</w:t>
      </w:r>
      <w:r w:rsidR="004A0884">
        <w:rPr>
          <w:rFonts w:ascii="Arial" w:eastAsia="Times New Roman" w:hAnsi="Arial" w:cs="Arial"/>
          <w:sz w:val="20"/>
          <w:szCs w:val="24"/>
          <w:lang w:val="en-GB" w:eastAsia="de-DE"/>
        </w:rPr>
        <w:t xml:space="preserve"> not covered by the MiFID II/MiFIR transparency regime </w:t>
      </w:r>
      <w:r w:rsidR="000B1EC2">
        <w:rPr>
          <w:rFonts w:ascii="Arial" w:eastAsia="Times New Roman" w:hAnsi="Arial" w:cs="Arial"/>
          <w:sz w:val="20"/>
          <w:szCs w:val="24"/>
          <w:lang w:val="en-GB" w:eastAsia="de-DE"/>
        </w:rPr>
        <w:t xml:space="preserve">should be determined as </w:t>
      </w:r>
      <w:r w:rsidR="004A0884">
        <w:rPr>
          <w:rFonts w:ascii="Arial" w:eastAsia="Times New Roman" w:hAnsi="Arial" w:cs="Arial"/>
          <w:sz w:val="20"/>
          <w:szCs w:val="24"/>
          <w:lang w:val="en-GB" w:eastAsia="de-DE"/>
        </w:rPr>
        <w:t>MiFID trading venues.</w:t>
      </w:r>
      <w:r w:rsidR="000B1EC2">
        <w:rPr>
          <w:rFonts w:ascii="Arial" w:eastAsia="Times New Roman" w:hAnsi="Arial" w:cs="Arial"/>
          <w:sz w:val="20"/>
          <w:szCs w:val="24"/>
          <w:lang w:val="en-GB" w:eastAsia="de-DE"/>
        </w:rPr>
        <w:t xml:space="preserve"> This assessment should also include the possibility to amend existing definitions in accordance with the principle of ‘same business – same </w:t>
      </w:r>
      <w:proofErr w:type="gramStart"/>
      <w:r w:rsidR="000B1EC2">
        <w:rPr>
          <w:rFonts w:ascii="Arial" w:eastAsia="Times New Roman" w:hAnsi="Arial" w:cs="Arial"/>
          <w:sz w:val="20"/>
          <w:szCs w:val="24"/>
          <w:lang w:val="en-GB" w:eastAsia="de-DE"/>
        </w:rPr>
        <w:t>rules’</w:t>
      </w:r>
      <w:proofErr w:type="gramEnd"/>
      <w:r w:rsidR="000B1EC2">
        <w:rPr>
          <w:rFonts w:ascii="Arial" w:eastAsia="Times New Roman" w:hAnsi="Arial" w:cs="Arial"/>
          <w:sz w:val="20"/>
          <w:szCs w:val="24"/>
          <w:lang w:val="en-GB" w:eastAsia="de-DE"/>
        </w:rPr>
        <w:t xml:space="preserve">.  </w:t>
      </w:r>
    </w:p>
    <w:p w14:paraId="172BD891" w14:textId="221BB24A" w:rsidR="001D503E" w:rsidRPr="00013D66" w:rsidRDefault="001D503E" w:rsidP="003A0006">
      <w:pPr>
        <w:spacing w:after="12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&lt;ESMA_QUESTION_CP_MIFID_NQT_6&gt;</w:t>
      </w:r>
    </w:p>
    <w:p w14:paraId="081FF90A" w14:textId="77777777" w:rsidR="001D503E" w:rsidRPr="00013D66" w:rsidRDefault="001D503E" w:rsidP="001D503E">
      <w:pPr>
        <w:spacing w:after="0" w:line="240" w:lineRule="auto"/>
        <w:jc w:val="both"/>
        <w:rPr>
          <w:rFonts w:ascii="Arial" w:eastAsia="Times New Roman" w:hAnsi="Arial" w:cs="Arial"/>
          <w:i/>
          <w:sz w:val="20"/>
          <w:szCs w:val="24"/>
          <w:lang w:val="en-GB" w:eastAsia="de-DE"/>
        </w:rPr>
      </w:pPr>
    </w:p>
    <w:p w14:paraId="4DA19740"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agree with the proposal for the definition of hybrid system? Are there in your view trading systems currently not or not appropriately covered in RTS 2 on which ESMA should provide further guidance? Please explain.</w:t>
      </w:r>
    </w:p>
    <w:p w14:paraId="4B3448F1"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&lt;ESMA_QUESTION_CP_MIFID_NQT_7&gt;</w:t>
      </w:r>
    </w:p>
    <w:p w14:paraId="05C3F3B4" w14:textId="77777777" w:rsidR="00B865C7" w:rsidRPr="00013D66" w:rsidRDefault="00B865C7" w:rsidP="000677B7">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We agree with the reasoning outlined by ESMA. A combination of two or more trading systems should meet the pre-trade transparency obligations applicable to each relevant component part of the overall trading system.</w:t>
      </w:r>
    </w:p>
    <w:p w14:paraId="4968E2A2" w14:textId="1A57BC95" w:rsidR="00B865C7" w:rsidRPr="00013D66" w:rsidRDefault="00B865C7" w:rsidP="000677B7">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A hybrid system should only cover systems, which are </w:t>
      </w:r>
      <w:r w:rsidR="0052719E">
        <w:rPr>
          <w:rFonts w:ascii="Arial" w:eastAsia="Times New Roman" w:hAnsi="Arial" w:cs="Arial"/>
          <w:sz w:val="20"/>
          <w:szCs w:val="24"/>
          <w:lang w:val="en-GB" w:eastAsia="de-DE"/>
        </w:rPr>
        <w:t>truly combinations of the system types defined in Annex 1 of RTS 2.</w:t>
      </w:r>
      <w:r w:rsidR="000677B7">
        <w:rPr>
          <w:rFonts w:ascii="Arial" w:eastAsia="Times New Roman" w:hAnsi="Arial" w:cs="Arial"/>
          <w:sz w:val="20"/>
          <w:szCs w:val="24"/>
          <w:lang w:val="en-GB" w:eastAsia="de-DE"/>
        </w:rPr>
        <w:t xml:space="preserve"> </w:t>
      </w:r>
      <w:r w:rsidR="0052719E">
        <w:rPr>
          <w:rFonts w:ascii="Arial" w:eastAsia="Times New Roman" w:hAnsi="Arial" w:cs="Arial"/>
          <w:sz w:val="20"/>
          <w:szCs w:val="24"/>
          <w:lang w:val="en-GB" w:eastAsia="de-DE"/>
        </w:rPr>
        <w:t>Our proposal in our answer to Q6 would bring its definition back to its originally intended use-case of only covering combinations, instead leaving variations to be covered by extended definitions and complete innovations by ESMA opinions, respectively.</w:t>
      </w:r>
    </w:p>
    <w:p w14:paraId="1EACE687"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&lt;ESMA_QUESTION_CP_MIFID_NQT_7&gt;</w:t>
      </w:r>
    </w:p>
    <w:p w14:paraId="6A148788"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30A058FB"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agree with ESMA’s proposal to require SIs to make available data free of charge 15 minutes after publication? Please explain.</w:t>
      </w:r>
    </w:p>
    <w:p w14:paraId="1282503B"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&lt;ESMA_QUESTION_CP_MIFID_NQT_8&gt;</w:t>
      </w:r>
    </w:p>
    <w:p w14:paraId="4FB85461" w14:textId="77777777" w:rsidR="00B865C7" w:rsidRPr="00013D66" w:rsidRDefault="00B865C7" w:rsidP="000677B7">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Yes, we support ESMA’s recommendations to define that SIs also have to make available data free of charge 15 minutes after its publication. </w:t>
      </w:r>
    </w:p>
    <w:p w14:paraId="6D89DD69" w14:textId="77777777" w:rsidR="00B865C7" w:rsidRPr="00013D66" w:rsidRDefault="00B865C7" w:rsidP="000677B7">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To improve the quality of published pre-trade transparency information, in particular in traditionally opaque markets, the requirements of SIs should be on the same level as those of trading venues. This would not </w:t>
      </w:r>
      <w:r w:rsidRPr="00013D66">
        <w:rPr>
          <w:rFonts w:ascii="Arial" w:eastAsia="Times New Roman" w:hAnsi="Arial" w:cs="Arial"/>
          <w:sz w:val="20"/>
          <w:szCs w:val="24"/>
          <w:lang w:val="en-GB" w:eastAsia="de-DE"/>
        </w:rPr>
        <w:lastRenderedPageBreak/>
        <w:t>only further level the playing field between SIs and trading venues but would also improve the overall level of pre-trade transparency in financial markets. DBG therefore supports ESMA’s recommendation to define that SIs also have to make available data free of charge 15 minutes after its publication. This is an imperative step, before other regulatory initiatives dependent on this data can progress.</w:t>
      </w:r>
    </w:p>
    <w:p w14:paraId="12A32586"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&lt;ESMA_QUESTION_CP_MIFID_NQT_8&gt;</w:t>
      </w:r>
    </w:p>
    <w:p w14:paraId="17E35362"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070297F1"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Would you see value in further standardising the pre-trade transparency information to increase the usability and comparability of the information? Please explain.</w:t>
      </w:r>
    </w:p>
    <w:p w14:paraId="098BBB04"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&lt;ESMA_QUESTION_CP_MIFID_NQT_9&gt;</w:t>
      </w:r>
    </w:p>
    <w:p w14:paraId="1489A655" w14:textId="1861FD7B" w:rsidR="00B865C7" w:rsidRPr="00013D66" w:rsidRDefault="00C535AE" w:rsidP="00B865C7">
      <w:pPr>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Yes, </w:t>
      </w:r>
      <w:r w:rsidR="00B865C7" w:rsidRPr="00013D66">
        <w:rPr>
          <w:rFonts w:ascii="Arial" w:eastAsia="Times New Roman" w:hAnsi="Arial" w:cs="Arial"/>
          <w:sz w:val="20"/>
          <w:szCs w:val="24"/>
          <w:lang w:val="en-GB" w:eastAsia="de-DE"/>
        </w:rPr>
        <w:t>DBG generally supports a standardization of pre-trade transparency, similar to that for post-trade transparency. We believe that such standardization can add considerable benefits to market participants in their attempt to compare trade related data.</w:t>
      </w:r>
    </w:p>
    <w:p w14:paraId="3CBD101A" w14:textId="68FB0772" w:rsidR="002E6B6D" w:rsidRPr="00013D66" w:rsidRDefault="00B865C7" w:rsidP="00B865C7">
      <w:pPr>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However, </w:t>
      </w:r>
      <w:r w:rsidR="00BA0AFB" w:rsidRPr="00013D66">
        <w:rPr>
          <w:rFonts w:ascii="Arial" w:eastAsia="Times New Roman" w:hAnsi="Arial" w:cs="Arial"/>
          <w:sz w:val="20"/>
          <w:szCs w:val="24"/>
          <w:lang w:val="en-GB" w:eastAsia="de-DE"/>
        </w:rPr>
        <w:t xml:space="preserve">as ESMA concluded in its parallel consultation on the transparency regime for SIs, SI trading in the non-equity space is still opaque and there was no increase in transparency triggered by MiFID II compared to MiFID I. While we do not question the merit of SIs forming part of the EU financial market’s landscape, we welcome ESMA’s proposals to make the transparency regime for SIs more efficient and </w:t>
      </w:r>
      <w:r w:rsidR="002E6B6D" w:rsidRPr="00013D66">
        <w:rPr>
          <w:rFonts w:ascii="Arial" w:eastAsia="Times New Roman" w:hAnsi="Arial" w:cs="Arial"/>
          <w:sz w:val="20"/>
          <w:szCs w:val="24"/>
          <w:lang w:val="en-GB" w:eastAsia="de-DE"/>
        </w:rPr>
        <w:t xml:space="preserve">call for closing the gap of requirements between SIs and trading venues. </w:t>
      </w:r>
      <w:r w:rsidR="00C21B5F" w:rsidRPr="00013D66">
        <w:rPr>
          <w:rFonts w:ascii="Arial" w:eastAsia="Times New Roman" w:hAnsi="Arial" w:cs="Arial"/>
          <w:sz w:val="20"/>
          <w:szCs w:val="24"/>
          <w:lang w:val="en-GB" w:eastAsia="de-DE"/>
        </w:rPr>
        <w:t>Therefore, i</w:t>
      </w:r>
      <w:r w:rsidR="002E6B6D" w:rsidRPr="00013D66">
        <w:rPr>
          <w:rFonts w:ascii="Arial" w:eastAsia="Times New Roman" w:hAnsi="Arial" w:cs="Arial"/>
          <w:sz w:val="20"/>
          <w:szCs w:val="24"/>
          <w:lang w:val="en-GB" w:eastAsia="de-DE"/>
        </w:rPr>
        <w:t xml:space="preserve">n order </w:t>
      </w:r>
      <w:r w:rsidRPr="00013D66">
        <w:rPr>
          <w:rFonts w:ascii="Arial" w:eastAsia="Times New Roman" w:hAnsi="Arial" w:cs="Arial"/>
          <w:sz w:val="20"/>
          <w:szCs w:val="24"/>
          <w:lang w:val="en-GB" w:eastAsia="de-DE"/>
        </w:rPr>
        <w:t xml:space="preserve">to ensure </w:t>
      </w:r>
      <w:r w:rsidR="002E6B6D" w:rsidRPr="00013D66">
        <w:rPr>
          <w:rFonts w:ascii="Arial" w:eastAsia="Times New Roman" w:hAnsi="Arial" w:cs="Arial"/>
          <w:sz w:val="20"/>
          <w:szCs w:val="24"/>
          <w:lang w:val="en-GB" w:eastAsia="de-DE"/>
        </w:rPr>
        <w:t xml:space="preserve">a </w:t>
      </w:r>
      <w:r w:rsidRPr="00013D66">
        <w:rPr>
          <w:rFonts w:ascii="Arial" w:eastAsia="Times New Roman" w:hAnsi="Arial" w:cs="Arial"/>
          <w:sz w:val="20"/>
          <w:szCs w:val="24"/>
          <w:lang w:val="en-GB" w:eastAsia="de-DE"/>
        </w:rPr>
        <w:t>level playing field</w:t>
      </w:r>
      <w:r w:rsidR="00C94D3A" w:rsidRPr="00013D66">
        <w:rPr>
          <w:rFonts w:ascii="Arial" w:eastAsia="Times New Roman" w:hAnsi="Arial" w:cs="Arial"/>
          <w:sz w:val="20"/>
          <w:szCs w:val="24"/>
          <w:lang w:val="en-GB" w:eastAsia="de-DE"/>
        </w:rPr>
        <w:t xml:space="preserve"> across venues</w:t>
      </w:r>
      <w:r w:rsidRPr="00013D66">
        <w:rPr>
          <w:rFonts w:ascii="Arial" w:eastAsia="Times New Roman" w:hAnsi="Arial" w:cs="Arial"/>
          <w:sz w:val="20"/>
          <w:szCs w:val="24"/>
          <w:lang w:val="en-GB" w:eastAsia="de-DE"/>
        </w:rPr>
        <w:t xml:space="preserve">, </w:t>
      </w:r>
      <w:r w:rsidR="002E6B6D" w:rsidRPr="00013D66">
        <w:rPr>
          <w:rFonts w:ascii="Arial" w:eastAsia="Times New Roman" w:hAnsi="Arial" w:cs="Arial"/>
          <w:sz w:val="20"/>
          <w:szCs w:val="24"/>
          <w:lang w:val="en-GB" w:eastAsia="de-DE"/>
        </w:rPr>
        <w:t xml:space="preserve">the proposed </w:t>
      </w:r>
      <w:r w:rsidRPr="00013D66">
        <w:rPr>
          <w:rFonts w:ascii="Arial" w:eastAsia="Times New Roman" w:hAnsi="Arial" w:cs="Arial"/>
          <w:sz w:val="20"/>
          <w:szCs w:val="24"/>
          <w:lang w:val="en-GB" w:eastAsia="de-DE"/>
        </w:rPr>
        <w:t xml:space="preserve">standardisation and arguably the efforts on establishing an aligned format of data being published, must only be introduced if applicable to all types of trading venues, including SIs. </w:t>
      </w:r>
      <w:r w:rsidR="002E6B6D" w:rsidRPr="00013D66">
        <w:rPr>
          <w:rFonts w:ascii="Arial" w:eastAsia="Times New Roman" w:hAnsi="Arial" w:cs="Arial"/>
          <w:sz w:val="20"/>
          <w:szCs w:val="24"/>
          <w:lang w:val="en-GB" w:eastAsia="de-DE"/>
        </w:rPr>
        <w:t xml:space="preserve">This would require a change of the Level 1 legislation. However, together with the requirement for SIs to publish their quotes free of charge after 15 minutes (as trading venues are required to do) this measure would be a significant step forward to increase pre-trade transparency.  </w:t>
      </w:r>
    </w:p>
    <w:p w14:paraId="7FBED49B" w14:textId="44EC6A76" w:rsidR="00B865C7" w:rsidRPr="00013D66" w:rsidRDefault="00B865C7" w:rsidP="00B865C7">
      <w:pPr>
        <w:jc w:val="both"/>
        <w:rPr>
          <w:rFonts w:ascii="Arial" w:eastAsia="Times New Roman" w:hAnsi="Arial" w:cs="Arial"/>
          <w:sz w:val="20"/>
          <w:szCs w:val="24"/>
          <w:lang w:val="en-GB" w:eastAsia="de-DE"/>
        </w:rPr>
      </w:pPr>
      <w:bookmarkStart w:id="10" w:name="_Hlk42536964"/>
      <w:r w:rsidRPr="00013D66">
        <w:rPr>
          <w:rFonts w:ascii="Arial" w:eastAsia="Times New Roman" w:hAnsi="Arial" w:cs="Arial"/>
          <w:sz w:val="20"/>
          <w:szCs w:val="24"/>
          <w:lang w:val="en-GB" w:eastAsia="de-DE"/>
        </w:rPr>
        <w:t xml:space="preserve">Given that there are no concerns or complaints relating to the pre-trade transparency related fields currently published by trading venues, ESMA’s technical standards should primarily aim to align existing reported data, rather than fundamentally changing or increasing fields that should be published. </w:t>
      </w:r>
    </w:p>
    <w:bookmarkEnd w:id="10"/>
    <w:p w14:paraId="15BB8381"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&lt;ESMA_QUESTION_CP_MIFID_NQT_9&gt;</w:t>
      </w:r>
    </w:p>
    <w:p w14:paraId="55B0B84A"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779AD335"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p>
    <w:p w14:paraId="09A5A0C7"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&lt;ESMA_QUESTION_CP_MIFID_NQT_10&gt;</w:t>
      </w:r>
    </w:p>
    <w:p w14:paraId="585E8B4A" w14:textId="110F81F8" w:rsidR="00B865C7" w:rsidRPr="00013D66" w:rsidRDefault="003B11A4" w:rsidP="00C27AFB">
      <w:pPr>
        <w:spacing w:after="12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 xml:space="preserve">Yes, </w:t>
      </w:r>
      <w:r w:rsidR="00B865C7" w:rsidRPr="00013D66">
        <w:rPr>
          <w:rFonts w:ascii="Arial" w:eastAsia="Times New Roman" w:hAnsi="Arial" w:cs="Arial"/>
          <w:sz w:val="20"/>
          <w:szCs w:val="24"/>
          <w:lang w:val="en-GB" w:eastAsia="de-DE"/>
        </w:rPr>
        <w:t xml:space="preserve">DBG supports ESMA’s view that a streamlining of post-trade transparency regimes would further benefit the market. </w:t>
      </w:r>
      <w:r w:rsidR="00C27AFB" w:rsidRPr="00C27AFB">
        <w:rPr>
          <w:rFonts w:ascii="Arial" w:eastAsia="Times New Roman" w:hAnsi="Arial" w:cs="Arial"/>
          <w:sz w:val="20"/>
          <w:szCs w:val="24"/>
          <w:lang w:val="en-GB" w:eastAsia="de-DE"/>
        </w:rPr>
        <w:t xml:space="preserve">We agree with ESMA’s view that post-trade transparency information should be made available </w:t>
      </w:r>
      <w:r w:rsidR="00E652F0">
        <w:rPr>
          <w:rFonts w:ascii="Arial" w:eastAsia="Times New Roman" w:hAnsi="Arial" w:cs="Arial"/>
          <w:sz w:val="20"/>
          <w:szCs w:val="24"/>
          <w:lang w:val="en-GB" w:eastAsia="de-DE"/>
        </w:rPr>
        <w:t>timelier</w:t>
      </w:r>
      <w:r w:rsidR="00811D41">
        <w:rPr>
          <w:rFonts w:ascii="Arial" w:eastAsia="Times New Roman" w:hAnsi="Arial" w:cs="Arial"/>
          <w:sz w:val="20"/>
          <w:szCs w:val="24"/>
          <w:lang w:val="en-GB" w:eastAsia="de-DE"/>
        </w:rPr>
        <w:t xml:space="preserve"> </w:t>
      </w:r>
      <w:r w:rsidR="00C27AFB" w:rsidRPr="00C27AFB">
        <w:rPr>
          <w:rFonts w:ascii="Arial" w:eastAsia="Times New Roman" w:hAnsi="Arial" w:cs="Arial"/>
          <w:sz w:val="20"/>
          <w:szCs w:val="24"/>
          <w:lang w:val="en-GB" w:eastAsia="de-DE"/>
        </w:rPr>
        <w:t>to enhance competition among market participants, reduce information asymmetries and deliver high quality information for market users to enable them to make better informed investment decisions</w:t>
      </w:r>
      <w:r w:rsidR="00C27AFB">
        <w:rPr>
          <w:rFonts w:ascii="Arial" w:eastAsia="Times New Roman" w:hAnsi="Arial" w:cs="Arial"/>
          <w:sz w:val="20"/>
          <w:szCs w:val="24"/>
          <w:lang w:val="en-GB" w:eastAsia="de-DE"/>
        </w:rPr>
        <w:t xml:space="preserve">. </w:t>
      </w:r>
      <w:r w:rsidR="00B865C7" w:rsidRPr="00013D66">
        <w:rPr>
          <w:rFonts w:ascii="Arial" w:eastAsia="Times New Roman" w:hAnsi="Arial" w:cs="Arial"/>
          <w:sz w:val="20"/>
          <w:szCs w:val="24"/>
          <w:lang w:val="en-GB" w:eastAsia="de-DE"/>
        </w:rPr>
        <w:t xml:space="preserve">The prevailing patchwork of differing national </w:t>
      </w:r>
      <w:r w:rsidR="00DD435A">
        <w:rPr>
          <w:rFonts w:ascii="Arial" w:eastAsia="Times New Roman" w:hAnsi="Arial" w:cs="Arial"/>
          <w:sz w:val="20"/>
          <w:szCs w:val="24"/>
          <w:lang w:val="en-GB" w:eastAsia="de-DE"/>
        </w:rPr>
        <w:t xml:space="preserve">deferral </w:t>
      </w:r>
      <w:r w:rsidR="00B865C7" w:rsidRPr="00013D66">
        <w:rPr>
          <w:rFonts w:ascii="Arial" w:eastAsia="Times New Roman" w:hAnsi="Arial" w:cs="Arial"/>
          <w:sz w:val="20"/>
          <w:szCs w:val="24"/>
          <w:lang w:val="en-GB" w:eastAsia="de-DE"/>
        </w:rPr>
        <w:t>rules is complex to understand and to comply with for market participants and seems to contradict the EU’s single market.</w:t>
      </w:r>
      <w:r w:rsidR="00C27AFB">
        <w:rPr>
          <w:rFonts w:ascii="Arial" w:eastAsia="Times New Roman" w:hAnsi="Arial" w:cs="Arial"/>
          <w:sz w:val="20"/>
          <w:szCs w:val="24"/>
          <w:lang w:val="en-GB" w:eastAsia="de-DE"/>
        </w:rPr>
        <w:t xml:space="preserve"> </w:t>
      </w:r>
    </w:p>
    <w:p w14:paraId="3E128A52" w14:textId="69008B47" w:rsidR="00B865C7" w:rsidRPr="00C27AFB" w:rsidRDefault="00B865C7" w:rsidP="00C27AFB">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DBG </w:t>
      </w:r>
      <w:r w:rsidR="00DD435A">
        <w:rPr>
          <w:rFonts w:ascii="Arial" w:eastAsia="Times New Roman" w:hAnsi="Arial" w:cs="Arial"/>
          <w:sz w:val="20"/>
          <w:szCs w:val="24"/>
          <w:lang w:val="en-GB" w:eastAsia="de-DE"/>
        </w:rPr>
        <w:t xml:space="preserve">in general </w:t>
      </w:r>
      <w:r w:rsidRPr="00013D66">
        <w:rPr>
          <w:rFonts w:ascii="Arial" w:eastAsia="Times New Roman" w:hAnsi="Arial" w:cs="Arial"/>
          <w:sz w:val="20"/>
          <w:szCs w:val="24"/>
          <w:lang w:val="en-GB" w:eastAsia="de-DE"/>
        </w:rPr>
        <w:t>also supports a timely publication of post-trade transparency data, i.e. within 15 minutes currently 5 minutes in the future, across all asset classes to enhance competition among market participants, reduce asymmetries of information and deliver high quality information for market users.</w:t>
      </w:r>
    </w:p>
    <w:p w14:paraId="0BE54AEE" w14:textId="1E71A6BE"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&lt;ESMA_QUESTION_CP_MIFID_NQT_10&gt;</w:t>
      </w:r>
    </w:p>
    <w:p w14:paraId="76784135"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7E6A89A8"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lastRenderedPageBreak/>
        <w:t>Do you agree with this proposal? What would be the appropriate level of such a revised LIS-threshold in your view?</w:t>
      </w:r>
    </w:p>
    <w:p w14:paraId="582FF887"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&lt;ESMA_QUESTION_CP_MIFID_NQT_11&gt;</w:t>
      </w:r>
    </w:p>
    <w:p w14:paraId="3AE10DD1" w14:textId="75D0BFAE" w:rsidR="00B865C7" w:rsidRPr="00013D66" w:rsidRDefault="00B865C7" w:rsidP="00C93F81">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DBG agrees with ESMA’s proposal to delete the post-trade SSTI waiver, to simplify and streamline the overall post-trade transparency framework, and to further strengthen a level playing field between different types of trading venues as explained in more detail in our response to </w:t>
      </w:r>
      <w:r w:rsidR="00393C18">
        <w:rPr>
          <w:rFonts w:ascii="Arial" w:eastAsia="Times New Roman" w:hAnsi="Arial" w:cs="Arial"/>
          <w:sz w:val="20"/>
          <w:szCs w:val="24"/>
          <w:lang w:val="en-GB" w:eastAsia="de-DE"/>
        </w:rPr>
        <w:t>Q</w:t>
      </w:r>
      <w:r w:rsidRPr="00013D66">
        <w:rPr>
          <w:rFonts w:ascii="Arial" w:eastAsia="Times New Roman" w:hAnsi="Arial" w:cs="Arial"/>
          <w:sz w:val="20"/>
          <w:szCs w:val="24"/>
          <w:lang w:val="en-GB" w:eastAsia="de-DE"/>
        </w:rPr>
        <w:t>2 and the preference to move towards LIS.</w:t>
      </w:r>
    </w:p>
    <w:p w14:paraId="66DBDD1F" w14:textId="64566747" w:rsidR="00B865C7" w:rsidRPr="00013D66" w:rsidRDefault="00B865C7" w:rsidP="00C93F81">
      <w:pPr>
        <w:pStyle w:val="Default"/>
        <w:spacing w:after="120"/>
        <w:jc w:val="both"/>
        <w:rPr>
          <w:sz w:val="20"/>
          <w:szCs w:val="20"/>
        </w:rPr>
      </w:pPr>
      <w:r w:rsidRPr="00013D66">
        <w:rPr>
          <w:rFonts w:eastAsia="Times New Roman"/>
          <w:sz w:val="20"/>
          <w:lang w:val="en-GB" w:eastAsia="de-DE"/>
        </w:rPr>
        <w:t>However, DBG does not agree with ESMA’s proposal to compensate for the deletion of the SSTI-deferral by uniformly lowering the post-trade LIS threshold.</w:t>
      </w:r>
      <w:r w:rsidRPr="00013D66">
        <w:rPr>
          <w:sz w:val="20"/>
          <w:szCs w:val="20"/>
        </w:rPr>
        <w:t xml:space="preserve"> In line with our response to </w:t>
      </w:r>
      <w:r w:rsidR="007E7935" w:rsidRPr="00013D66">
        <w:rPr>
          <w:sz w:val="20"/>
          <w:szCs w:val="20"/>
        </w:rPr>
        <w:t>Q</w:t>
      </w:r>
      <w:r w:rsidRPr="00013D66">
        <w:rPr>
          <w:sz w:val="20"/>
          <w:szCs w:val="20"/>
        </w:rPr>
        <w:t xml:space="preserve">3, lower post-trade LIS-thresholds bear the danger that trading venues enter into a race to the bottom with their deferrals and thus deprive market participants of valuable post-trade information. Hence, DBG cannot see how lower post-trade LIS-thresholds </w:t>
      </w:r>
      <w:r w:rsidR="00013D66">
        <w:rPr>
          <w:sz w:val="20"/>
          <w:szCs w:val="20"/>
        </w:rPr>
        <w:t xml:space="preserve">set uniformly </w:t>
      </w:r>
      <w:r w:rsidRPr="00013D66">
        <w:rPr>
          <w:sz w:val="20"/>
          <w:szCs w:val="20"/>
        </w:rPr>
        <w:t xml:space="preserve">for all or several asset-classes would improve the overall level of real time post-trade transparency. </w:t>
      </w:r>
    </w:p>
    <w:p w14:paraId="1BBED212" w14:textId="77777777" w:rsidR="00B865C7" w:rsidRPr="00013D66" w:rsidRDefault="00B865C7" w:rsidP="00C93F81">
      <w:pPr>
        <w:pStyle w:val="Default"/>
        <w:spacing w:after="120"/>
        <w:jc w:val="both"/>
        <w:rPr>
          <w:rFonts w:eastAsia="Times New Roman"/>
          <w:sz w:val="20"/>
          <w:lang w:val="en-GB" w:eastAsia="de-DE"/>
        </w:rPr>
      </w:pPr>
      <w:r w:rsidRPr="00013D66">
        <w:rPr>
          <w:sz w:val="20"/>
          <w:szCs w:val="20"/>
        </w:rPr>
        <w:t xml:space="preserve">DBG believes that only a minor fraction of all transactions in non-equities, especially in exchange traded derivatives, should be </w:t>
      </w:r>
      <w:r w:rsidRPr="00013D66">
        <w:rPr>
          <w:rFonts w:eastAsia="Times New Roman"/>
          <w:sz w:val="20"/>
          <w:lang w:val="en-GB" w:eastAsia="de-DE"/>
        </w:rPr>
        <w:t xml:space="preserve">eligible for deferred publication to maximize post-trade transparency, to reduce information asymmetries, and to improve data quality for market participants. Instead of lowering the post-trade LIS-threshold, DBG therefore suggests maintaining the current levels of post-trade LIS-thresholds. </w:t>
      </w:r>
    </w:p>
    <w:p w14:paraId="0F31A8AC"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&lt;ESMA_QUESTION_CP_MIFID_NQT_11&gt;</w:t>
      </w:r>
    </w:p>
    <w:p w14:paraId="7F2091B1"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1F8230E2"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p>
    <w:p w14:paraId="609A120F"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&lt;ESMA_QUESTION_CP_MIFID_NQT_12&gt;</w:t>
      </w:r>
    </w:p>
    <w:p w14:paraId="1D33CBF3" w14:textId="20BF9E6F" w:rsidR="00B865C7" w:rsidRPr="00013D66" w:rsidRDefault="00B865C7" w:rsidP="00C93F81">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DBG thinks that timely post trade transparency, meaning a publication after 15 minutes and 5 minutes in the future, should be further improved by increasing the amount of transaction data published. Any masking of transaction-related data reduces the meaningfulness of the published information, and potentially renders such post-trade data as uninformative for market participants. A single regime which incorporates volume masking is detrimental to the overall level of post-trade transparency.</w:t>
      </w:r>
    </w:p>
    <w:p w14:paraId="6620868D" w14:textId="2E39B980" w:rsidR="00B865C7" w:rsidRPr="00013D66" w:rsidRDefault="00B865C7" w:rsidP="00C93F81">
      <w:pPr>
        <w:spacing w:after="12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Rather than any of the proposals provided under Options 1 to 3, DBG would welcome a post-trade transparency framework, which maximises the post</w:t>
      </w:r>
      <w:r w:rsidR="00393C18">
        <w:rPr>
          <w:rFonts w:ascii="Arial" w:eastAsia="Times New Roman" w:hAnsi="Arial" w:cs="Arial"/>
          <w:sz w:val="20"/>
          <w:szCs w:val="24"/>
          <w:lang w:val="en-GB" w:eastAsia="de-DE"/>
        </w:rPr>
        <w:t>-</w:t>
      </w:r>
      <w:r w:rsidRPr="00013D66">
        <w:rPr>
          <w:rFonts w:ascii="Arial" w:eastAsia="Times New Roman" w:hAnsi="Arial" w:cs="Arial"/>
          <w:sz w:val="20"/>
          <w:szCs w:val="24"/>
          <w:lang w:val="en-GB" w:eastAsia="de-DE"/>
        </w:rPr>
        <w:t xml:space="preserve">trade data released. For this reason, we suggest reducing the complexity of the current framework by only allowing one timeframe for deferred publication, no matter which waiver was used. Deferral periods of up to four weeks immensely decrease the value of the respective data for market participants, as data will be outdated and thus irrelevant. DBG therefore proposes to introduce a single regime, requiring the publication of all transaction related data </w:t>
      </w:r>
      <w:r w:rsidR="00D30ECC" w:rsidRPr="00D30ECC">
        <w:rPr>
          <w:rFonts w:ascii="Arial" w:eastAsia="Times New Roman" w:hAnsi="Arial" w:cs="Arial"/>
          <w:sz w:val="20"/>
          <w:szCs w:val="24"/>
          <w:lang w:val="en-GB" w:eastAsia="de-DE"/>
        </w:rPr>
        <w:t>by the next business day</w:t>
      </w:r>
      <w:r w:rsidR="00DD435A">
        <w:rPr>
          <w:rFonts w:ascii="Arial" w:eastAsia="Times New Roman" w:hAnsi="Arial" w:cs="Arial"/>
          <w:sz w:val="20"/>
          <w:szCs w:val="24"/>
          <w:lang w:val="en-GB" w:eastAsia="de-DE"/>
        </w:rPr>
        <w:t xml:space="preserve"> (</w:t>
      </w:r>
      <w:r w:rsidR="00DD435A" w:rsidRPr="00DD435A">
        <w:rPr>
          <w:rFonts w:ascii="Arial" w:eastAsia="Times New Roman" w:hAnsi="Arial" w:cs="Arial"/>
          <w:sz w:val="20"/>
          <w:szCs w:val="24"/>
          <w:lang w:val="en-GB" w:eastAsia="de-DE"/>
        </w:rPr>
        <w:t>and no later than t+2</w:t>
      </w:r>
      <w:r w:rsidR="00DD435A">
        <w:rPr>
          <w:rFonts w:ascii="Arial" w:eastAsia="Times New Roman" w:hAnsi="Arial" w:cs="Arial"/>
          <w:sz w:val="20"/>
          <w:szCs w:val="24"/>
          <w:lang w:val="en-GB" w:eastAsia="de-DE"/>
        </w:rPr>
        <w:t>)</w:t>
      </w:r>
      <w:r w:rsidRPr="00013D66">
        <w:rPr>
          <w:rFonts w:ascii="Arial" w:eastAsia="Times New Roman" w:hAnsi="Arial" w:cs="Arial"/>
          <w:sz w:val="20"/>
          <w:szCs w:val="24"/>
          <w:lang w:val="en-GB" w:eastAsia="de-DE"/>
        </w:rPr>
        <w:t>. This deferral period should uniformly apply across all asset classes.</w:t>
      </w:r>
    </w:p>
    <w:p w14:paraId="37D90E06"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&lt;ESMA_QUESTION_CP_MIFID_NQT_12&gt;</w:t>
      </w:r>
    </w:p>
    <w:p w14:paraId="1CFBD01A"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036B39B6" w14:textId="7395A212"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agree with the publication of the price and volume of all transactions after a certain period of time, such as two calendar weeks (Option 1 and 2) or do you support the two-steps approach for LIS transactions (Option 3)? Please explain why and provide any alternative you would support. Which is the optimal option in case a consolidated tape would emerge in the future?</w:t>
      </w:r>
    </w:p>
    <w:p w14:paraId="43919A70"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&lt;ESMA_QUESTION_CP_MIFID_NQT_13&gt;</w:t>
      </w:r>
    </w:p>
    <w:p w14:paraId="43DE91AE" w14:textId="5D3F2FE1" w:rsidR="001D503E" w:rsidRDefault="007A15FC" w:rsidP="001D503E">
      <w:pPr>
        <w:spacing w:after="0" w:line="240" w:lineRule="auto"/>
        <w:rPr>
          <w:rFonts w:ascii="Arial" w:eastAsia="Times New Roman" w:hAnsi="Arial" w:cs="Arial"/>
          <w:sz w:val="20"/>
          <w:szCs w:val="24"/>
          <w:lang w:val="en-GB" w:eastAsia="de-DE"/>
        </w:rPr>
      </w:pPr>
      <w:r>
        <w:rPr>
          <w:rFonts w:ascii="Arial" w:eastAsia="Times New Roman" w:hAnsi="Arial" w:cs="Arial"/>
          <w:sz w:val="20"/>
          <w:szCs w:val="24"/>
          <w:lang w:val="en-GB" w:eastAsia="de-DE"/>
        </w:rPr>
        <w:t>Please see our answers to Q12, Q14 and Q15.</w:t>
      </w:r>
    </w:p>
    <w:p w14:paraId="3E1535E8" w14:textId="778E273B" w:rsidR="007A15FC" w:rsidRDefault="007A15FC" w:rsidP="007A15FC">
      <w:pPr>
        <w:spacing w:after="0" w:line="240" w:lineRule="auto"/>
        <w:jc w:val="both"/>
        <w:rPr>
          <w:rFonts w:ascii="Arial" w:eastAsia="Times New Roman" w:hAnsi="Arial" w:cs="Arial"/>
          <w:sz w:val="20"/>
          <w:szCs w:val="24"/>
          <w:lang w:val="en-GB" w:eastAsia="de-DE"/>
        </w:rPr>
      </w:pPr>
      <w:r w:rsidRPr="007A15FC">
        <w:rPr>
          <w:rFonts w:ascii="Arial" w:eastAsia="Times New Roman" w:hAnsi="Arial" w:cs="Arial"/>
          <w:sz w:val="20"/>
          <w:szCs w:val="24"/>
          <w:lang w:val="en-GB" w:eastAsia="de-DE"/>
        </w:rPr>
        <w:lastRenderedPageBreak/>
        <w:t xml:space="preserve">Rather than any of the proposals provided under Options 1 to 3, DBG would welcome a post-trade transparency framework, which maximises the post-trade data released. For this reason, we suggest reducing the complexity of the current framework by only allowing one timeframe for deferred publication, no matter which waiver was used. Deferral periods of up to four weeks immensely decrease the value of the respective data for market participants, as data will be </w:t>
      </w:r>
      <w:r w:rsidR="0061141F">
        <w:rPr>
          <w:rFonts w:ascii="Arial" w:eastAsia="Times New Roman" w:hAnsi="Arial" w:cs="Arial"/>
          <w:sz w:val="20"/>
          <w:szCs w:val="24"/>
          <w:lang w:val="en-GB" w:eastAsia="de-DE"/>
        </w:rPr>
        <w:t xml:space="preserve">significantly </w:t>
      </w:r>
      <w:r w:rsidRPr="007A15FC">
        <w:rPr>
          <w:rFonts w:ascii="Arial" w:eastAsia="Times New Roman" w:hAnsi="Arial" w:cs="Arial"/>
          <w:sz w:val="20"/>
          <w:szCs w:val="24"/>
          <w:lang w:val="en-GB" w:eastAsia="de-DE"/>
        </w:rPr>
        <w:t xml:space="preserve">outdated and thus irrelevant. DBG therefore proposes to introduce a single regime, requiring the publication of all transaction related data </w:t>
      </w:r>
      <w:r w:rsidR="00D30ECC" w:rsidRPr="00D30ECC">
        <w:rPr>
          <w:rFonts w:ascii="Arial" w:eastAsia="Times New Roman" w:hAnsi="Arial" w:cs="Arial"/>
          <w:sz w:val="20"/>
          <w:szCs w:val="24"/>
          <w:lang w:val="en-GB" w:eastAsia="de-DE"/>
        </w:rPr>
        <w:t>by the next business day</w:t>
      </w:r>
      <w:r w:rsidR="00DD435A">
        <w:rPr>
          <w:rFonts w:ascii="Arial" w:eastAsia="Times New Roman" w:hAnsi="Arial" w:cs="Arial"/>
          <w:sz w:val="20"/>
          <w:szCs w:val="24"/>
          <w:lang w:val="en-GB" w:eastAsia="de-DE"/>
        </w:rPr>
        <w:t xml:space="preserve"> (</w:t>
      </w:r>
      <w:r w:rsidR="00813771" w:rsidRPr="00813771">
        <w:rPr>
          <w:rFonts w:ascii="Arial" w:eastAsia="Times New Roman" w:hAnsi="Arial" w:cs="Arial"/>
          <w:sz w:val="20"/>
          <w:szCs w:val="24"/>
          <w:lang w:val="en-GB" w:eastAsia="de-DE"/>
        </w:rPr>
        <w:t>and no later than t+2</w:t>
      </w:r>
      <w:r w:rsidR="00813771">
        <w:rPr>
          <w:rFonts w:ascii="Arial" w:eastAsia="Times New Roman" w:hAnsi="Arial" w:cs="Arial"/>
          <w:sz w:val="20"/>
          <w:szCs w:val="24"/>
          <w:lang w:val="en-GB" w:eastAsia="de-DE"/>
        </w:rPr>
        <w:t>)</w:t>
      </w:r>
      <w:r w:rsidRPr="007A15FC">
        <w:rPr>
          <w:rFonts w:ascii="Arial" w:eastAsia="Times New Roman" w:hAnsi="Arial" w:cs="Arial"/>
          <w:sz w:val="20"/>
          <w:szCs w:val="24"/>
          <w:lang w:val="en-GB" w:eastAsia="de-DE"/>
        </w:rPr>
        <w:t>. This deferral period should uniformly apply across all asset classes.</w:t>
      </w:r>
    </w:p>
    <w:p w14:paraId="7B83927E" w14:textId="0197E370" w:rsidR="007A15FC" w:rsidRDefault="007A15FC" w:rsidP="007A15FC">
      <w:pPr>
        <w:spacing w:after="0" w:line="240" w:lineRule="auto"/>
        <w:jc w:val="both"/>
        <w:rPr>
          <w:rFonts w:ascii="Arial" w:eastAsia="Times New Roman" w:hAnsi="Arial" w:cs="Arial"/>
          <w:sz w:val="20"/>
          <w:szCs w:val="24"/>
          <w:lang w:val="en-GB" w:eastAsia="de-DE"/>
        </w:rPr>
      </w:pPr>
    </w:p>
    <w:p w14:paraId="79F7FEA3" w14:textId="5BBFCC46" w:rsidR="00797CC0" w:rsidRDefault="007A15FC" w:rsidP="007A15FC">
      <w:pPr>
        <w:spacing w:after="0" w:line="240" w:lineRule="auto"/>
        <w:jc w:val="both"/>
        <w:rPr>
          <w:rFonts w:ascii="Arial" w:eastAsia="Times New Roman" w:hAnsi="Arial" w:cs="Arial"/>
          <w:sz w:val="20"/>
          <w:szCs w:val="24"/>
          <w:lang w:val="en-US" w:eastAsia="de-DE"/>
        </w:rPr>
      </w:pPr>
      <w:r w:rsidRPr="007A15FC">
        <w:rPr>
          <w:rFonts w:ascii="Arial" w:eastAsia="Times New Roman" w:hAnsi="Arial" w:cs="Arial"/>
          <w:sz w:val="20"/>
          <w:szCs w:val="24"/>
          <w:lang w:val="en-US" w:eastAsia="de-DE"/>
        </w:rPr>
        <w:t>Regarding the con</w:t>
      </w:r>
      <w:r>
        <w:rPr>
          <w:rFonts w:ascii="Arial" w:eastAsia="Times New Roman" w:hAnsi="Arial" w:cs="Arial"/>
          <w:sz w:val="20"/>
          <w:szCs w:val="24"/>
          <w:lang w:val="en-US" w:eastAsia="de-DE"/>
        </w:rPr>
        <w:t>solidated tape (CT), DBG would like to point out that we do</w:t>
      </w:r>
      <w:r w:rsidRPr="007A15FC">
        <w:rPr>
          <w:rFonts w:ascii="Arial" w:eastAsia="Times New Roman" w:hAnsi="Arial" w:cs="Arial"/>
          <w:sz w:val="20"/>
          <w:szCs w:val="24"/>
          <w:lang w:val="en-US" w:eastAsia="de-DE"/>
        </w:rPr>
        <w:t xml:space="preserve"> not support a real-time pre- and post-trade CT for </w:t>
      </w:r>
      <w:r w:rsidR="00F9416A">
        <w:rPr>
          <w:rFonts w:ascii="Arial" w:eastAsia="Times New Roman" w:hAnsi="Arial" w:cs="Arial"/>
          <w:sz w:val="20"/>
          <w:szCs w:val="24"/>
          <w:lang w:val="en-US" w:eastAsia="de-DE"/>
        </w:rPr>
        <w:t>any</w:t>
      </w:r>
      <w:r w:rsidRPr="007A15FC">
        <w:rPr>
          <w:rFonts w:ascii="Arial" w:eastAsia="Times New Roman" w:hAnsi="Arial" w:cs="Arial"/>
          <w:sz w:val="20"/>
          <w:szCs w:val="24"/>
          <w:lang w:val="en-US" w:eastAsia="de-DE"/>
        </w:rPr>
        <w:t xml:space="preserve"> asset class</w:t>
      </w:r>
      <w:r>
        <w:rPr>
          <w:rFonts w:ascii="Arial" w:eastAsia="Times New Roman" w:hAnsi="Arial" w:cs="Arial"/>
          <w:sz w:val="20"/>
          <w:szCs w:val="24"/>
          <w:lang w:val="en-US" w:eastAsia="de-DE"/>
        </w:rPr>
        <w:t xml:space="preserve">. </w:t>
      </w:r>
      <w:r w:rsidRPr="007A15FC">
        <w:rPr>
          <w:rFonts w:ascii="Arial" w:eastAsia="Times New Roman" w:hAnsi="Arial" w:cs="Arial"/>
          <w:sz w:val="20"/>
          <w:szCs w:val="24"/>
          <w:lang w:val="en-US" w:eastAsia="de-DE"/>
        </w:rPr>
        <w:t>Rather</w:t>
      </w:r>
      <w:r>
        <w:rPr>
          <w:rFonts w:ascii="Arial" w:eastAsia="Times New Roman" w:hAnsi="Arial" w:cs="Arial"/>
          <w:sz w:val="20"/>
          <w:szCs w:val="24"/>
          <w:lang w:val="en-US" w:eastAsia="de-DE"/>
        </w:rPr>
        <w:t xml:space="preserve"> than any CT</w:t>
      </w:r>
      <w:r w:rsidRPr="007A15FC">
        <w:rPr>
          <w:rFonts w:ascii="Arial" w:eastAsia="Times New Roman" w:hAnsi="Arial" w:cs="Arial"/>
          <w:sz w:val="20"/>
          <w:szCs w:val="24"/>
          <w:lang w:val="en-US" w:eastAsia="de-DE"/>
        </w:rPr>
        <w:t xml:space="preserve">, we consider the improvement of off-venue data quality </w:t>
      </w:r>
      <w:r w:rsidR="005D43BF" w:rsidRPr="005D43BF">
        <w:rPr>
          <w:rFonts w:ascii="Arial" w:eastAsia="Times New Roman" w:hAnsi="Arial" w:cs="Arial"/>
          <w:sz w:val="20"/>
          <w:szCs w:val="24"/>
          <w:lang w:val="en-US" w:eastAsia="de-DE"/>
        </w:rPr>
        <w:t xml:space="preserve">in the parts of the markets </w:t>
      </w:r>
      <w:r w:rsidR="005D43BF">
        <w:rPr>
          <w:rFonts w:ascii="Arial" w:eastAsia="Times New Roman" w:hAnsi="Arial" w:cs="Arial"/>
          <w:sz w:val="20"/>
          <w:szCs w:val="24"/>
          <w:lang w:val="en-US" w:eastAsia="de-DE"/>
        </w:rPr>
        <w:t xml:space="preserve">that are still highly opaque today </w:t>
      </w:r>
      <w:r w:rsidRPr="007A15FC">
        <w:rPr>
          <w:rFonts w:ascii="Arial" w:eastAsia="Times New Roman" w:hAnsi="Arial" w:cs="Arial"/>
          <w:sz w:val="20"/>
          <w:szCs w:val="24"/>
          <w:lang w:val="en-US" w:eastAsia="de-DE"/>
        </w:rPr>
        <w:t xml:space="preserve">as an essential element to bring transparency in equity and non-equity markets forward. </w:t>
      </w:r>
      <w:r w:rsidR="00C003A9" w:rsidRPr="00C003A9">
        <w:rPr>
          <w:rFonts w:ascii="Arial" w:eastAsia="Times New Roman" w:hAnsi="Arial" w:cs="Arial"/>
          <w:sz w:val="20"/>
          <w:szCs w:val="24"/>
          <w:lang w:val="en-US" w:eastAsia="de-DE"/>
        </w:rPr>
        <w:t>While on-venue data is unrivalled in terms of quality, timeliness and depth</w:t>
      </w:r>
      <w:r w:rsidR="005D43BF">
        <w:rPr>
          <w:rFonts w:ascii="Arial" w:eastAsia="Times New Roman" w:hAnsi="Arial" w:cs="Arial"/>
          <w:sz w:val="20"/>
          <w:szCs w:val="24"/>
          <w:lang w:val="en-US" w:eastAsia="de-DE"/>
        </w:rPr>
        <w:t xml:space="preserve">, </w:t>
      </w:r>
      <w:r w:rsidR="00C003A9">
        <w:rPr>
          <w:rFonts w:ascii="Arial" w:eastAsia="Times New Roman" w:hAnsi="Arial" w:cs="Arial"/>
          <w:sz w:val="20"/>
          <w:szCs w:val="24"/>
          <w:lang w:val="en-US" w:eastAsia="de-DE"/>
        </w:rPr>
        <w:t>one of the</w:t>
      </w:r>
      <w:r w:rsidR="005D43BF">
        <w:rPr>
          <w:rFonts w:ascii="Arial" w:eastAsia="Times New Roman" w:hAnsi="Arial" w:cs="Arial"/>
          <w:sz w:val="20"/>
          <w:szCs w:val="24"/>
          <w:lang w:val="en-US" w:eastAsia="de-DE"/>
        </w:rPr>
        <w:t xml:space="preserve"> </w:t>
      </w:r>
      <w:r w:rsidR="00C003A9">
        <w:rPr>
          <w:rFonts w:ascii="Arial" w:eastAsia="Times New Roman" w:hAnsi="Arial" w:cs="Arial"/>
          <w:sz w:val="20"/>
          <w:szCs w:val="24"/>
          <w:lang w:val="en-US" w:eastAsia="de-DE"/>
        </w:rPr>
        <w:t xml:space="preserve">current </w:t>
      </w:r>
      <w:r w:rsidR="005D43BF">
        <w:rPr>
          <w:rFonts w:ascii="Arial" w:eastAsia="Times New Roman" w:hAnsi="Arial" w:cs="Arial"/>
          <w:sz w:val="20"/>
          <w:szCs w:val="24"/>
          <w:lang w:val="en-US" w:eastAsia="de-DE"/>
        </w:rPr>
        <w:t>major impediment</w:t>
      </w:r>
      <w:r w:rsidR="00C003A9">
        <w:rPr>
          <w:rFonts w:ascii="Arial" w:eastAsia="Times New Roman" w:hAnsi="Arial" w:cs="Arial"/>
          <w:sz w:val="20"/>
          <w:szCs w:val="24"/>
          <w:lang w:val="en-US" w:eastAsia="de-DE"/>
        </w:rPr>
        <w:t>s</w:t>
      </w:r>
      <w:r w:rsidR="005D43BF">
        <w:rPr>
          <w:rFonts w:ascii="Arial" w:eastAsia="Times New Roman" w:hAnsi="Arial" w:cs="Arial"/>
          <w:sz w:val="20"/>
          <w:szCs w:val="24"/>
          <w:lang w:val="en-US" w:eastAsia="de-DE"/>
        </w:rPr>
        <w:t xml:space="preserve"> to any tape is</w:t>
      </w:r>
      <w:r w:rsidR="00C003A9">
        <w:rPr>
          <w:rFonts w:ascii="Arial" w:eastAsia="Times New Roman" w:hAnsi="Arial" w:cs="Arial"/>
          <w:sz w:val="20"/>
          <w:szCs w:val="24"/>
          <w:lang w:val="en-US" w:eastAsia="de-DE"/>
        </w:rPr>
        <w:t xml:space="preserve"> the </w:t>
      </w:r>
      <w:r w:rsidR="005D43BF" w:rsidRPr="005D43BF">
        <w:rPr>
          <w:rFonts w:ascii="Arial" w:eastAsia="Times New Roman" w:hAnsi="Arial" w:cs="Arial"/>
          <w:sz w:val="20"/>
          <w:szCs w:val="24"/>
          <w:lang w:val="en-US" w:eastAsia="de-DE"/>
        </w:rPr>
        <w:t xml:space="preserve">lacking availability of off-venue data which is of sufficient quality and data of certain instruments. </w:t>
      </w:r>
      <w:r w:rsidR="005D43BF">
        <w:rPr>
          <w:rFonts w:ascii="Arial" w:eastAsia="Times New Roman" w:hAnsi="Arial" w:cs="Arial"/>
          <w:sz w:val="20"/>
          <w:szCs w:val="24"/>
          <w:lang w:val="en-US" w:eastAsia="de-DE"/>
        </w:rPr>
        <w:t>In this context, i</w:t>
      </w:r>
      <w:r w:rsidR="005D43BF" w:rsidRPr="005D43BF">
        <w:rPr>
          <w:rFonts w:ascii="Arial" w:eastAsia="Times New Roman" w:hAnsi="Arial" w:cs="Arial"/>
          <w:sz w:val="20"/>
          <w:szCs w:val="24"/>
          <w:lang w:val="en-US" w:eastAsia="de-DE"/>
        </w:rPr>
        <w:t>t is of essence that the relevant data is made available to the public at a reliable and timely quality</w:t>
      </w:r>
      <w:r w:rsidR="00C003A9">
        <w:rPr>
          <w:rFonts w:ascii="Arial" w:eastAsia="Times New Roman" w:hAnsi="Arial" w:cs="Arial"/>
          <w:sz w:val="20"/>
          <w:szCs w:val="24"/>
          <w:lang w:val="en-US" w:eastAsia="de-DE"/>
        </w:rPr>
        <w:t>,</w:t>
      </w:r>
      <w:r w:rsidR="00C003A9" w:rsidRPr="00C003A9">
        <w:rPr>
          <w:lang w:val="en-US"/>
        </w:rPr>
        <w:t xml:space="preserve"> </w:t>
      </w:r>
      <w:r w:rsidR="00C003A9" w:rsidRPr="00C003A9">
        <w:rPr>
          <w:rFonts w:ascii="Arial" w:eastAsia="Times New Roman" w:hAnsi="Arial" w:cs="Arial"/>
          <w:sz w:val="20"/>
          <w:szCs w:val="24"/>
          <w:lang w:val="en-US" w:eastAsia="de-DE"/>
        </w:rPr>
        <w:t>across asset classes and across all execution venues (</w:t>
      </w:r>
      <w:r w:rsidR="00C003A9">
        <w:rPr>
          <w:rFonts w:ascii="Arial" w:eastAsia="Times New Roman" w:hAnsi="Arial" w:cs="Arial"/>
          <w:sz w:val="20"/>
          <w:szCs w:val="24"/>
          <w:lang w:val="en-US" w:eastAsia="de-DE"/>
        </w:rPr>
        <w:t>particularly</w:t>
      </w:r>
      <w:r w:rsidR="00C003A9" w:rsidRPr="00C003A9">
        <w:rPr>
          <w:rFonts w:ascii="Arial" w:eastAsia="Times New Roman" w:hAnsi="Arial" w:cs="Arial"/>
          <w:sz w:val="20"/>
          <w:szCs w:val="24"/>
          <w:lang w:val="en-US" w:eastAsia="de-DE"/>
        </w:rPr>
        <w:t xml:space="preserve"> SIs and OTC)</w:t>
      </w:r>
      <w:r w:rsidR="005D43BF">
        <w:rPr>
          <w:rFonts w:ascii="Arial" w:eastAsia="Times New Roman" w:hAnsi="Arial" w:cs="Arial"/>
          <w:sz w:val="20"/>
          <w:szCs w:val="24"/>
          <w:lang w:val="en-US" w:eastAsia="de-DE"/>
        </w:rPr>
        <w:t>.</w:t>
      </w:r>
      <w:r w:rsidR="005D43BF" w:rsidRPr="005D43BF">
        <w:rPr>
          <w:rFonts w:ascii="Arial" w:eastAsia="Times New Roman" w:hAnsi="Arial" w:cs="Arial"/>
          <w:sz w:val="20"/>
          <w:szCs w:val="24"/>
          <w:lang w:val="en-US" w:eastAsia="de-DE"/>
        </w:rPr>
        <w:t xml:space="preserve"> </w:t>
      </w:r>
    </w:p>
    <w:p w14:paraId="6330F568" w14:textId="77777777" w:rsidR="00797CC0" w:rsidRDefault="00797CC0" w:rsidP="007A15FC">
      <w:pPr>
        <w:spacing w:after="0" w:line="240" w:lineRule="auto"/>
        <w:jc w:val="both"/>
        <w:rPr>
          <w:rFonts w:ascii="Arial" w:eastAsia="Times New Roman" w:hAnsi="Arial" w:cs="Arial"/>
          <w:sz w:val="20"/>
          <w:szCs w:val="24"/>
          <w:lang w:val="en-US" w:eastAsia="de-DE"/>
        </w:rPr>
      </w:pPr>
    </w:p>
    <w:p w14:paraId="3AFCF650" w14:textId="3C18A7F9" w:rsidR="007A15FC" w:rsidRPr="007A15FC" w:rsidRDefault="007A15FC" w:rsidP="007A15FC">
      <w:pPr>
        <w:spacing w:after="0" w:line="240" w:lineRule="auto"/>
        <w:jc w:val="both"/>
        <w:rPr>
          <w:rFonts w:ascii="Arial" w:eastAsia="Times New Roman" w:hAnsi="Arial" w:cs="Arial"/>
          <w:sz w:val="20"/>
          <w:szCs w:val="24"/>
          <w:lang w:val="en-US" w:eastAsia="de-DE"/>
        </w:rPr>
      </w:pPr>
      <w:r w:rsidRPr="007A15FC">
        <w:rPr>
          <w:rFonts w:ascii="Arial" w:eastAsia="Times New Roman" w:hAnsi="Arial" w:cs="Arial"/>
          <w:sz w:val="20"/>
          <w:szCs w:val="24"/>
          <w:lang w:val="en-US" w:eastAsia="de-DE"/>
        </w:rPr>
        <w:t>Based on improved off-venue data quality, DBG recommends a Tape of Record as a viable alternative which would be a significantly less complex and costly technical set-up, while providing a comprehensive database to the benefit of the entire industry</w:t>
      </w:r>
      <w:r>
        <w:rPr>
          <w:rFonts w:ascii="Arial" w:eastAsia="Times New Roman" w:hAnsi="Arial" w:cs="Arial"/>
          <w:sz w:val="20"/>
          <w:szCs w:val="24"/>
          <w:lang w:val="en-US" w:eastAsia="de-DE"/>
        </w:rPr>
        <w:t xml:space="preserve">. </w:t>
      </w:r>
      <w:r w:rsidR="00C003A9">
        <w:rPr>
          <w:rFonts w:ascii="Arial" w:eastAsia="Times New Roman" w:hAnsi="Arial" w:cs="Arial"/>
          <w:sz w:val="20"/>
          <w:szCs w:val="24"/>
          <w:lang w:val="en-US" w:eastAsia="de-DE"/>
        </w:rPr>
        <w:t>I</w:t>
      </w:r>
      <w:r w:rsidR="00C003A9" w:rsidRPr="00C003A9">
        <w:rPr>
          <w:rFonts w:ascii="Arial" w:eastAsia="Times New Roman" w:hAnsi="Arial" w:cs="Arial"/>
          <w:sz w:val="20"/>
          <w:szCs w:val="24"/>
          <w:lang w:val="en-US" w:eastAsia="de-DE"/>
        </w:rPr>
        <w:t xml:space="preserve">n case a </w:t>
      </w:r>
      <w:r w:rsidR="00C003A9">
        <w:rPr>
          <w:rFonts w:ascii="Arial" w:eastAsia="Times New Roman" w:hAnsi="Arial" w:cs="Arial"/>
          <w:sz w:val="20"/>
          <w:szCs w:val="24"/>
          <w:lang w:val="en-US" w:eastAsia="de-DE"/>
        </w:rPr>
        <w:t>such a tape</w:t>
      </w:r>
      <w:r w:rsidR="00C003A9" w:rsidRPr="00C003A9">
        <w:rPr>
          <w:rFonts w:ascii="Arial" w:eastAsia="Times New Roman" w:hAnsi="Arial" w:cs="Arial"/>
          <w:sz w:val="20"/>
          <w:szCs w:val="24"/>
          <w:lang w:val="en-US" w:eastAsia="de-DE"/>
        </w:rPr>
        <w:t xml:space="preserve"> should be created, we would deem it most sensible to consider starting in those </w:t>
      </w:r>
      <w:r w:rsidR="00C003A9">
        <w:rPr>
          <w:rFonts w:ascii="Arial" w:eastAsia="Times New Roman" w:hAnsi="Arial" w:cs="Arial"/>
          <w:sz w:val="20"/>
          <w:szCs w:val="24"/>
          <w:lang w:val="en-US" w:eastAsia="de-DE"/>
        </w:rPr>
        <w:t xml:space="preserve">market </w:t>
      </w:r>
      <w:r w:rsidR="00C003A9" w:rsidRPr="00C003A9">
        <w:rPr>
          <w:rFonts w:ascii="Arial" w:eastAsia="Times New Roman" w:hAnsi="Arial" w:cs="Arial"/>
          <w:sz w:val="20"/>
          <w:szCs w:val="24"/>
          <w:lang w:val="en-US" w:eastAsia="de-DE"/>
        </w:rPr>
        <w:t>areas where there is currently no or hardly any transparency, and where information is important as well for funding of the economy, such as for example bonds.</w:t>
      </w:r>
      <w:r w:rsidR="00813771">
        <w:rPr>
          <w:lang w:val="en-US"/>
        </w:rPr>
        <w:t xml:space="preserve"> W</w:t>
      </w:r>
      <w:r w:rsidR="00813771" w:rsidRPr="00813771">
        <w:rPr>
          <w:rFonts w:ascii="Arial" w:eastAsia="Times New Roman" w:hAnsi="Arial" w:cs="Arial"/>
          <w:sz w:val="20"/>
          <w:szCs w:val="24"/>
          <w:lang w:val="en-US" w:eastAsia="de-DE"/>
        </w:rPr>
        <w:t>hereas where instruments are “unique” such as in a large part of the derivatives markets, a consolidated view is probably not sensible at all.</w:t>
      </w:r>
    </w:p>
    <w:p w14:paraId="4C8795A1" w14:textId="77777777" w:rsidR="001D503E" w:rsidRPr="007A15FC" w:rsidRDefault="001D503E" w:rsidP="001D503E">
      <w:pPr>
        <w:spacing w:after="0" w:line="240" w:lineRule="auto"/>
        <w:rPr>
          <w:rFonts w:ascii="Arial" w:eastAsia="Times New Roman" w:hAnsi="Arial" w:cs="Arial"/>
          <w:sz w:val="20"/>
          <w:szCs w:val="24"/>
          <w:lang w:val="en-US" w:eastAsia="de-DE"/>
        </w:rPr>
      </w:pPr>
      <w:r w:rsidRPr="007A15FC">
        <w:rPr>
          <w:rFonts w:ascii="Arial" w:eastAsia="Times New Roman" w:hAnsi="Arial" w:cs="Arial"/>
          <w:sz w:val="20"/>
          <w:szCs w:val="24"/>
          <w:lang w:val="en-US" w:eastAsia="de-DE"/>
        </w:rPr>
        <w:t>&lt;ESMA_QUESTION_CP_MIFID_NQT_13&gt;</w:t>
      </w:r>
    </w:p>
    <w:p w14:paraId="08841E07" w14:textId="77777777" w:rsidR="001D503E" w:rsidRPr="007A15FC" w:rsidRDefault="001D503E" w:rsidP="001D503E">
      <w:pPr>
        <w:spacing w:after="0" w:line="240" w:lineRule="auto"/>
        <w:rPr>
          <w:rFonts w:ascii="Arial" w:eastAsia="Times New Roman" w:hAnsi="Arial" w:cs="Arial"/>
          <w:sz w:val="20"/>
          <w:szCs w:val="24"/>
          <w:lang w:val="en-US" w:eastAsia="de-DE"/>
        </w:rPr>
      </w:pPr>
    </w:p>
    <w:p w14:paraId="4F80B288" w14:textId="58F242B4"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p>
    <w:p w14:paraId="174DE9E5"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&lt;ESMA_QUESTION_CP_MIFID_NQT_14&gt;</w:t>
      </w:r>
    </w:p>
    <w:p w14:paraId="7F0B9B2F" w14:textId="0CA648A7" w:rsidR="00B865C7" w:rsidRPr="00013D66" w:rsidRDefault="00B865C7" w:rsidP="00C93F81">
      <w:pPr>
        <w:jc w:val="both"/>
        <w:rPr>
          <w:rStyle w:val="highlight"/>
          <w:rFonts w:ascii="Arial" w:hAnsi="Arial" w:cs="Arial"/>
          <w:sz w:val="20"/>
          <w:lang w:val="en-US"/>
        </w:rPr>
      </w:pPr>
      <w:r w:rsidRPr="00013D66">
        <w:rPr>
          <w:rStyle w:val="highlight"/>
          <w:rFonts w:ascii="Arial" w:hAnsi="Arial" w:cs="Arial"/>
          <w:sz w:val="20"/>
          <w:lang w:val="en-US"/>
        </w:rPr>
        <w:t xml:space="preserve">Yes, DBG welcomes ESMA’s proposal to issue further guidance on the </w:t>
      </w:r>
      <w:bookmarkStart w:id="11" w:name="_Hlk42537754"/>
      <w:r w:rsidRPr="00013D66">
        <w:rPr>
          <w:rStyle w:val="highlight"/>
          <w:rFonts w:ascii="Arial" w:hAnsi="Arial" w:cs="Arial"/>
          <w:sz w:val="20"/>
          <w:lang w:val="en-US"/>
        </w:rPr>
        <w:t>enforcement of publication of post-trade data. A more complete data set benefits all market participants. It is important that the same publication requirements apply to and are enforced towards all types of trading venues and SIs</w:t>
      </w:r>
      <w:bookmarkEnd w:id="11"/>
      <w:r w:rsidRPr="00013D66">
        <w:rPr>
          <w:rStyle w:val="highlight"/>
          <w:rFonts w:ascii="Arial" w:hAnsi="Arial" w:cs="Arial"/>
          <w:sz w:val="20"/>
          <w:lang w:val="en-US"/>
        </w:rPr>
        <w:t xml:space="preserve">. </w:t>
      </w:r>
      <w:r w:rsidR="00BA2494" w:rsidRPr="00013D66">
        <w:rPr>
          <w:rStyle w:val="highlight"/>
          <w:rFonts w:ascii="Arial" w:hAnsi="Arial" w:cs="Arial"/>
          <w:sz w:val="20"/>
          <w:lang w:val="en-US"/>
        </w:rPr>
        <w:t>Please also see our response</w:t>
      </w:r>
      <w:r w:rsidR="00E26030">
        <w:rPr>
          <w:rStyle w:val="highlight"/>
          <w:rFonts w:ascii="Arial" w:hAnsi="Arial" w:cs="Arial"/>
          <w:sz w:val="20"/>
          <w:lang w:val="en-US"/>
        </w:rPr>
        <w:t>s</w:t>
      </w:r>
      <w:r w:rsidR="00BA2494" w:rsidRPr="00013D66">
        <w:rPr>
          <w:rStyle w:val="highlight"/>
          <w:rFonts w:ascii="Arial" w:hAnsi="Arial" w:cs="Arial"/>
          <w:sz w:val="20"/>
          <w:lang w:val="en-US"/>
        </w:rPr>
        <w:t xml:space="preserve"> to Q9 </w:t>
      </w:r>
      <w:r w:rsidR="00E26030">
        <w:rPr>
          <w:rStyle w:val="highlight"/>
          <w:rFonts w:ascii="Arial" w:hAnsi="Arial" w:cs="Arial"/>
          <w:sz w:val="20"/>
          <w:lang w:val="en-US"/>
        </w:rPr>
        <w:t xml:space="preserve">and Q13 </w:t>
      </w:r>
      <w:r w:rsidR="00BA2494" w:rsidRPr="00013D66">
        <w:rPr>
          <w:rStyle w:val="highlight"/>
          <w:rFonts w:ascii="Arial" w:hAnsi="Arial" w:cs="Arial"/>
          <w:sz w:val="20"/>
          <w:lang w:val="en-US"/>
        </w:rPr>
        <w:t>in this context.</w:t>
      </w:r>
    </w:p>
    <w:p w14:paraId="7B4D4CA3" w14:textId="5EF418C7" w:rsidR="00B865C7" w:rsidRPr="00013D66" w:rsidRDefault="00B865C7" w:rsidP="00C93F81">
      <w:pPr>
        <w:jc w:val="both"/>
        <w:rPr>
          <w:rStyle w:val="highlight"/>
          <w:rFonts w:ascii="Arial" w:hAnsi="Arial" w:cs="Arial"/>
          <w:sz w:val="20"/>
          <w:lang w:val="en-US"/>
        </w:rPr>
      </w:pPr>
      <w:r w:rsidRPr="00013D66">
        <w:rPr>
          <w:rStyle w:val="highlight"/>
          <w:rFonts w:ascii="Arial" w:hAnsi="Arial" w:cs="Arial"/>
          <w:sz w:val="20"/>
          <w:lang w:val="en-US"/>
        </w:rPr>
        <w:t>DBG does not believe that further measures at the legislative level are required to improve the quality of post-trade data</w:t>
      </w:r>
      <w:r w:rsidR="00797CC0">
        <w:rPr>
          <w:rStyle w:val="highlight"/>
          <w:rFonts w:ascii="Arial" w:hAnsi="Arial" w:cs="Arial"/>
          <w:sz w:val="20"/>
          <w:lang w:val="en-US"/>
        </w:rPr>
        <w:t xml:space="preserve"> beyond our recommendations </w:t>
      </w:r>
      <w:r w:rsidR="00682EE3">
        <w:rPr>
          <w:rStyle w:val="highlight"/>
          <w:rFonts w:ascii="Arial" w:hAnsi="Arial" w:cs="Arial"/>
          <w:sz w:val="20"/>
          <w:lang w:val="en-US"/>
        </w:rPr>
        <w:t xml:space="preserve">in relation to the deferral regime </w:t>
      </w:r>
      <w:r w:rsidR="00297B42">
        <w:rPr>
          <w:rStyle w:val="highlight"/>
          <w:rFonts w:ascii="Arial" w:hAnsi="Arial" w:cs="Arial"/>
          <w:sz w:val="20"/>
          <w:lang w:val="en-US"/>
        </w:rPr>
        <w:t xml:space="preserve">and post-trade data </w:t>
      </w:r>
      <w:r w:rsidR="00797CC0">
        <w:rPr>
          <w:rStyle w:val="highlight"/>
          <w:rFonts w:ascii="Arial" w:hAnsi="Arial" w:cs="Arial"/>
          <w:sz w:val="20"/>
          <w:lang w:val="en-US"/>
        </w:rPr>
        <w:t>laid down in Q</w:t>
      </w:r>
      <w:r w:rsidR="00682EE3">
        <w:rPr>
          <w:rStyle w:val="highlight"/>
          <w:rFonts w:ascii="Arial" w:hAnsi="Arial" w:cs="Arial"/>
          <w:sz w:val="20"/>
          <w:lang w:val="en-US"/>
        </w:rPr>
        <w:t>1</w:t>
      </w:r>
      <w:r w:rsidR="00297B42">
        <w:rPr>
          <w:rStyle w:val="highlight"/>
          <w:rFonts w:ascii="Arial" w:hAnsi="Arial" w:cs="Arial"/>
          <w:sz w:val="20"/>
          <w:lang w:val="en-US"/>
        </w:rPr>
        <w:t>0</w:t>
      </w:r>
      <w:r w:rsidR="00682EE3">
        <w:rPr>
          <w:rStyle w:val="highlight"/>
          <w:rFonts w:ascii="Arial" w:hAnsi="Arial" w:cs="Arial"/>
          <w:sz w:val="20"/>
          <w:lang w:val="en-US"/>
        </w:rPr>
        <w:t>-</w:t>
      </w:r>
      <w:r w:rsidR="00797CC0">
        <w:rPr>
          <w:rStyle w:val="highlight"/>
          <w:rFonts w:ascii="Arial" w:hAnsi="Arial" w:cs="Arial"/>
          <w:sz w:val="20"/>
          <w:lang w:val="en-US"/>
        </w:rPr>
        <w:t>13</w:t>
      </w:r>
      <w:r w:rsidRPr="00013D66">
        <w:rPr>
          <w:rStyle w:val="highlight"/>
          <w:rFonts w:ascii="Arial" w:hAnsi="Arial" w:cs="Arial"/>
          <w:sz w:val="20"/>
          <w:lang w:val="en-US"/>
        </w:rPr>
        <w:t>, as the requirements are already clearly defined.</w:t>
      </w:r>
    </w:p>
    <w:p w14:paraId="1E4BB390"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&lt;ESMA_QUESTION_CP_MIFID_NQT_14&gt;</w:t>
      </w:r>
    </w:p>
    <w:p w14:paraId="59345A67"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487CF902"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What would be the optimal transparency regime to help with the potential creation of a CTP?</w:t>
      </w:r>
    </w:p>
    <w:p w14:paraId="7D69A886"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&lt;ESMA_QUESTION_CP_MIFID_NQT_15&gt;</w:t>
      </w:r>
    </w:p>
    <w:p w14:paraId="5EB3DABF" w14:textId="2D0759EA" w:rsidR="000847B0" w:rsidRDefault="000847B0" w:rsidP="00E26030">
      <w:pPr>
        <w:jc w:val="both"/>
        <w:rPr>
          <w:rStyle w:val="highlight"/>
          <w:rFonts w:ascii="Arial" w:hAnsi="Arial" w:cs="Arial"/>
          <w:sz w:val="20"/>
          <w:lang w:val="en-US"/>
        </w:rPr>
      </w:pPr>
      <w:r>
        <w:rPr>
          <w:rStyle w:val="highlight"/>
          <w:rFonts w:ascii="Arial" w:hAnsi="Arial" w:cs="Arial"/>
          <w:sz w:val="20"/>
          <w:lang w:val="en-US"/>
        </w:rPr>
        <w:t>DBG would like to point to the recommendations laid down in Q1 how the functioning and effectiveness of the transparency regime for non-equity instruments could be improved from our perspective.</w:t>
      </w:r>
    </w:p>
    <w:p w14:paraId="0D500923" w14:textId="3C056D94" w:rsidR="00E26030" w:rsidRPr="00E26030" w:rsidRDefault="00E26030" w:rsidP="00E26030">
      <w:pPr>
        <w:jc w:val="both"/>
        <w:rPr>
          <w:rStyle w:val="highlight"/>
          <w:rFonts w:ascii="Arial" w:hAnsi="Arial" w:cs="Arial"/>
          <w:sz w:val="20"/>
          <w:lang w:val="en-US"/>
        </w:rPr>
      </w:pPr>
      <w:r w:rsidRPr="00E26030">
        <w:rPr>
          <w:rStyle w:val="highlight"/>
          <w:rFonts w:ascii="Arial" w:hAnsi="Arial" w:cs="Arial"/>
          <w:sz w:val="20"/>
          <w:lang w:val="en-US"/>
        </w:rPr>
        <w:lastRenderedPageBreak/>
        <w:t xml:space="preserve">Regarding the </w:t>
      </w:r>
      <w:r w:rsidR="000847B0">
        <w:rPr>
          <w:rStyle w:val="highlight"/>
          <w:rFonts w:ascii="Arial" w:hAnsi="Arial" w:cs="Arial"/>
          <w:sz w:val="20"/>
          <w:lang w:val="en-US"/>
        </w:rPr>
        <w:t>potential creation of a c</w:t>
      </w:r>
      <w:r w:rsidRPr="00E26030">
        <w:rPr>
          <w:rStyle w:val="highlight"/>
          <w:rFonts w:ascii="Arial" w:hAnsi="Arial" w:cs="Arial"/>
          <w:sz w:val="20"/>
          <w:lang w:val="en-US"/>
        </w:rPr>
        <w:t xml:space="preserve">onsolidated tape (CT), DBG would like to </w:t>
      </w:r>
      <w:r>
        <w:rPr>
          <w:rStyle w:val="highlight"/>
          <w:rFonts w:ascii="Arial" w:hAnsi="Arial" w:cs="Arial"/>
          <w:sz w:val="20"/>
          <w:lang w:val="en-US"/>
        </w:rPr>
        <w:t>reiterate our answer to Q13 as w</w:t>
      </w:r>
      <w:r w:rsidRPr="00E26030">
        <w:rPr>
          <w:rStyle w:val="highlight"/>
          <w:rFonts w:ascii="Arial" w:hAnsi="Arial" w:cs="Arial"/>
          <w:sz w:val="20"/>
          <w:lang w:val="en-US"/>
        </w:rPr>
        <w:t>e do not support a</w:t>
      </w:r>
      <w:r>
        <w:rPr>
          <w:rStyle w:val="highlight"/>
          <w:rFonts w:ascii="Arial" w:hAnsi="Arial" w:cs="Arial"/>
          <w:sz w:val="20"/>
          <w:lang w:val="en-US"/>
        </w:rPr>
        <w:t xml:space="preserve"> potential</w:t>
      </w:r>
      <w:r w:rsidRPr="00E26030">
        <w:rPr>
          <w:rStyle w:val="highlight"/>
          <w:rFonts w:ascii="Arial" w:hAnsi="Arial" w:cs="Arial"/>
          <w:sz w:val="20"/>
          <w:lang w:val="en-US"/>
        </w:rPr>
        <w:t xml:space="preserve"> CT for any asset class. Rather than any CT, we consider the improvement of off-venue data quality in the parts of the markets that are still highly opaque today as an essential element to bring transparency in </w:t>
      </w:r>
      <w:r w:rsidR="00D913FC">
        <w:rPr>
          <w:rStyle w:val="highlight"/>
          <w:rFonts w:ascii="Arial" w:hAnsi="Arial" w:cs="Arial"/>
          <w:sz w:val="20"/>
          <w:lang w:val="en-US"/>
        </w:rPr>
        <w:t xml:space="preserve">both equity and </w:t>
      </w:r>
      <w:r w:rsidRPr="00E26030">
        <w:rPr>
          <w:rStyle w:val="highlight"/>
          <w:rFonts w:ascii="Arial" w:hAnsi="Arial" w:cs="Arial"/>
          <w:sz w:val="20"/>
          <w:lang w:val="en-US"/>
        </w:rPr>
        <w:t xml:space="preserve">non-equity markets forward. While on-venue data is unrivalled in terms of quality, timeliness and depth, one of the current major impediments to any tape is the lacking availability of off-venue data which is of sufficient quality and data of certain instruments. In this context, it is of essence that the relevant data is made available to the public at a reliable and timely quality, across asset classes and across all execution venues (particularly SIs and OTC). </w:t>
      </w:r>
    </w:p>
    <w:p w14:paraId="28BCF456" w14:textId="355BBE13" w:rsidR="00E26030" w:rsidRDefault="00E26030" w:rsidP="00E26030">
      <w:pPr>
        <w:jc w:val="both"/>
        <w:rPr>
          <w:rStyle w:val="highlight"/>
          <w:rFonts w:ascii="Arial" w:hAnsi="Arial" w:cs="Arial"/>
          <w:sz w:val="20"/>
          <w:lang w:val="en-US"/>
        </w:rPr>
      </w:pPr>
      <w:r w:rsidRPr="00E26030">
        <w:rPr>
          <w:rStyle w:val="highlight"/>
          <w:rFonts w:ascii="Arial" w:hAnsi="Arial" w:cs="Arial"/>
          <w:sz w:val="20"/>
          <w:lang w:val="en-US"/>
        </w:rPr>
        <w:t>Based on improved off-venue data quality, DBG recommends a Tape of Record as a viable alternative which would be a significantly less complex and costly technical set-up, while providing a comprehensive database to the benefit of the entire industry. In case</w:t>
      </w:r>
      <w:r w:rsidR="00D913FC">
        <w:rPr>
          <w:rStyle w:val="highlight"/>
          <w:rFonts w:ascii="Arial" w:hAnsi="Arial" w:cs="Arial"/>
          <w:sz w:val="20"/>
          <w:lang w:val="en-US"/>
        </w:rPr>
        <w:t xml:space="preserve"> </w:t>
      </w:r>
      <w:r w:rsidRPr="00E26030">
        <w:rPr>
          <w:rStyle w:val="highlight"/>
          <w:rFonts w:ascii="Arial" w:hAnsi="Arial" w:cs="Arial"/>
          <w:sz w:val="20"/>
          <w:lang w:val="en-US"/>
        </w:rPr>
        <w:t xml:space="preserve">such a tape should be created, we would deem it most sensible to consider starting in those market areas where there is currently </w:t>
      </w:r>
      <w:r w:rsidR="00D913FC">
        <w:rPr>
          <w:rStyle w:val="highlight"/>
          <w:rFonts w:ascii="Arial" w:hAnsi="Arial" w:cs="Arial"/>
          <w:sz w:val="20"/>
          <w:lang w:val="en-US"/>
        </w:rPr>
        <w:t>only little</w:t>
      </w:r>
      <w:r w:rsidRPr="00E26030">
        <w:rPr>
          <w:rStyle w:val="highlight"/>
          <w:rFonts w:ascii="Arial" w:hAnsi="Arial" w:cs="Arial"/>
          <w:sz w:val="20"/>
          <w:lang w:val="en-US"/>
        </w:rPr>
        <w:t xml:space="preserve"> transparency</w:t>
      </w:r>
      <w:r w:rsidR="00D913FC">
        <w:rPr>
          <w:rStyle w:val="highlight"/>
          <w:rFonts w:ascii="Arial" w:hAnsi="Arial" w:cs="Arial"/>
          <w:sz w:val="20"/>
          <w:lang w:val="en-US"/>
        </w:rPr>
        <w:t xml:space="preserve"> available</w:t>
      </w:r>
      <w:r w:rsidRPr="00E26030">
        <w:rPr>
          <w:rStyle w:val="highlight"/>
          <w:rFonts w:ascii="Arial" w:hAnsi="Arial" w:cs="Arial"/>
          <w:sz w:val="20"/>
          <w:lang w:val="en-US"/>
        </w:rPr>
        <w:t>, and where information is important for funding of the economy, such as bonds.</w:t>
      </w:r>
    </w:p>
    <w:p w14:paraId="4A9794EC" w14:textId="14FF3301" w:rsidR="00E26030" w:rsidRPr="00E26030" w:rsidRDefault="00E26030" w:rsidP="00E26030">
      <w:pPr>
        <w:jc w:val="both"/>
        <w:rPr>
          <w:rStyle w:val="highlight"/>
          <w:rFonts w:ascii="Arial" w:hAnsi="Arial" w:cs="Arial"/>
          <w:sz w:val="20"/>
          <w:lang w:val="en-US"/>
        </w:rPr>
      </w:pPr>
      <w:r>
        <w:rPr>
          <w:rStyle w:val="highlight"/>
          <w:rFonts w:ascii="Arial" w:hAnsi="Arial" w:cs="Arial"/>
          <w:sz w:val="20"/>
          <w:lang w:val="en-US"/>
        </w:rPr>
        <w:t>As mentioned in our answers to the previous and following questions in relation to</w:t>
      </w:r>
      <w:r w:rsidRPr="00E26030">
        <w:rPr>
          <w:rStyle w:val="highlight"/>
          <w:rFonts w:ascii="Arial" w:hAnsi="Arial" w:cs="Arial"/>
          <w:sz w:val="20"/>
          <w:lang w:val="en-US"/>
        </w:rPr>
        <w:t xml:space="preserve"> bonds, we would consider it highly beneficial if transparency </w:t>
      </w:r>
      <w:r>
        <w:rPr>
          <w:rStyle w:val="highlight"/>
          <w:rFonts w:ascii="Arial" w:hAnsi="Arial" w:cs="Arial"/>
          <w:sz w:val="20"/>
          <w:lang w:val="en-US"/>
        </w:rPr>
        <w:t xml:space="preserve">in bonds </w:t>
      </w:r>
      <w:r w:rsidRPr="00E26030">
        <w:rPr>
          <w:rStyle w:val="highlight"/>
          <w:rFonts w:ascii="Arial" w:hAnsi="Arial" w:cs="Arial"/>
          <w:sz w:val="20"/>
          <w:lang w:val="en-US"/>
        </w:rPr>
        <w:t xml:space="preserve">was promoted by regulators. Please also see our comments to </w:t>
      </w:r>
      <w:r>
        <w:rPr>
          <w:rStyle w:val="highlight"/>
          <w:rFonts w:ascii="Arial" w:hAnsi="Arial" w:cs="Arial"/>
          <w:sz w:val="20"/>
          <w:lang w:val="en-US"/>
        </w:rPr>
        <w:t>Q1</w:t>
      </w:r>
      <w:r w:rsidRPr="00E26030">
        <w:rPr>
          <w:rStyle w:val="highlight"/>
          <w:rFonts w:ascii="Arial" w:hAnsi="Arial" w:cs="Arial"/>
          <w:sz w:val="20"/>
          <w:lang w:val="en-US"/>
        </w:rPr>
        <w:t xml:space="preserve"> as regards the level of transparency reached for bonds and recommended policy actions in this context.</w:t>
      </w:r>
    </w:p>
    <w:p w14:paraId="6D4032A9" w14:textId="22800CC8" w:rsidR="00E26030" w:rsidRDefault="00E26030" w:rsidP="00E26030">
      <w:pPr>
        <w:jc w:val="both"/>
        <w:rPr>
          <w:rStyle w:val="highlight"/>
          <w:rFonts w:ascii="Arial" w:hAnsi="Arial" w:cs="Arial"/>
          <w:sz w:val="20"/>
          <w:lang w:val="en-US"/>
        </w:rPr>
      </w:pPr>
      <w:r w:rsidRPr="00E26030">
        <w:rPr>
          <w:rStyle w:val="highlight"/>
          <w:rFonts w:ascii="Arial" w:hAnsi="Arial" w:cs="Arial"/>
          <w:sz w:val="20"/>
          <w:lang w:val="en-US"/>
        </w:rPr>
        <w:t>Besides overly long delays</w:t>
      </w:r>
      <w:r w:rsidR="0061141F">
        <w:rPr>
          <w:rStyle w:val="highlight"/>
          <w:rFonts w:ascii="Arial" w:hAnsi="Arial" w:cs="Arial"/>
          <w:sz w:val="20"/>
          <w:lang w:val="en-US"/>
        </w:rPr>
        <w:t xml:space="preserve"> (please also refer to our answer to Q13)</w:t>
      </w:r>
      <w:r w:rsidRPr="00E26030">
        <w:rPr>
          <w:rStyle w:val="highlight"/>
          <w:rFonts w:ascii="Arial" w:hAnsi="Arial" w:cs="Arial"/>
          <w:sz w:val="20"/>
          <w:lang w:val="en-US"/>
        </w:rPr>
        <w:t>, the possibility to publish selected data points of one single transaction in bonds over a certain period, is not only overly complex but it prevents usable transparency to the public rather than providing it. This is to the disadvantage of EU investors, as proper transparency data in bonds could enable passive investment as well in bonds for the benefit of investors and issuers alike.</w:t>
      </w:r>
    </w:p>
    <w:p w14:paraId="315E4DE2"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&lt;ESMA_QUESTION_CP_MIFID_NQT_15&gt;</w:t>
      </w:r>
    </w:p>
    <w:p w14:paraId="4B84BB7F"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3E19CDE7"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agree with ESMA’s above assessment? If not, please explain.</w:t>
      </w:r>
    </w:p>
    <w:p w14:paraId="7EFCFDCA"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&lt;ESMA_QUESTION_CP_MIFID_NQT_16&gt;</w:t>
      </w:r>
    </w:p>
    <w:p w14:paraId="19BBE0E2" w14:textId="77777777" w:rsidR="00B865C7" w:rsidRPr="00013D66" w:rsidRDefault="00B865C7" w:rsidP="00C93F81">
      <w:pPr>
        <w:spacing w:after="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Yes, </w:t>
      </w:r>
      <w:bookmarkStart w:id="12" w:name="_Hlk42538335"/>
      <w:r w:rsidRPr="00013D66">
        <w:rPr>
          <w:rFonts w:ascii="Arial" w:eastAsia="Times New Roman" w:hAnsi="Arial" w:cs="Arial"/>
          <w:sz w:val="20"/>
          <w:szCs w:val="24"/>
          <w:lang w:val="en-GB" w:eastAsia="de-DE"/>
        </w:rPr>
        <w:t xml:space="preserve">DBG agrees that the current very narrow definition of TOTV exempts derivatives which reasonably could and should be included in the MiFIR transparency and transaction reporting requirements. We believe a broader definition of TOTV would be in line with MiFID II’s objective to increase transparency in the overall market. </w:t>
      </w:r>
      <w:bookmarkEnd w:id="12"/>
    </w:p>
    <w:p w14:paraId="26C6C82C"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&lt;ESMA_QUESTION_CP_MIFID_NQT_16&gt;</w:t>
      </w:r>
    </w:p>
    <w:p w14:paraId="32FA02AC"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3C454D49"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Are you of the view that the interpretation of TOTV should remained aligned for both transparency and transaction reporting? If not, please explain why.</w:t>
      </w:r>
    </w:p>
    <w:p w14:paraId="49B2CA54"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&lt;ESMA_QUESTION_CP_MIFID_NQT_17&gt;</w:t>
      </w:r>
    </w:p>
    <w:p w14:paraId="628F2EB6" w14:textId="77777777" w:rsidR="00B865C7" w:rsidRPr="00013D66" w:rsidRDefault="00B865C7" w:rsidP="00C93F81">
      <w:pPr>
        <w:spacing w:after="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Yes, in the interest of efficiency and reducing unnecessary complexity, we agree with ESMA’s proposal to keep the interpretation of TOTV aligned for transparency and transaction reporting.</w:t>
      </w:r>
    </w:p>
    <w:p w14:paraId="4AA353F1"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&lt;ESMA_QUESTION_CP_MIFID_NQT_17&gt;</w:t>
      </w:r>
    </w:p>
    <w:p w14:paraId="76D80F67"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59D3CDDD"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Which of the three options proposed, would you recommend (Option 1, Option 2 or Option 3)? In case you recommend an alternative way forward, please explain.</w:t>
      </w:r>
    </w:p>
    <w:p w14:paraId="2D8D8368"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&lt;ESMA_QUESTION_CP_MIFID_NQT_18&gt;</w:t>
      </w:r>
    </w:p>
    <w:p w14:paraId="718CA744" w14:textId="77777777" w:rsidR="00B865C7" w:rsidRPr="00013D66" w:rsidRDefault="00B865C7" w:rsidP="00C93F81">
      <w:pPr>
        <w:spacing w:after="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DBG is supportive of Option 2 and 3 as they would substantially extend the scope of the transparency and transaction reporting regime for OTC-derivatives compared to the status quo, i.e. Option 1. </w:t>
      </w:r>
    </w:p>
    <w:p w14:paraId="3BF9D89C" w14:textId="77777777" w:rsidR="00B865C7" w:rsidRPr="00013D66" w:rsidRDefault="00B865C7" w:rsidP="00C93F81">
      <w:pPr>
        <w:spacing w:after="0" w:line="240" w:lineRule="auto"/>
        <w:jc w:val="both"/>
        <w:rPr>
          <w:rFonts w:ascii="Arial" w:eastAsia="Times New Roman" w:hAnsi="Arial" w:cs="Arial"/>
          <w:sz w:val="20"/>
          <w:szCs w:val="24"/>
          <w:lang w:val="en-GB" w:eastAsia="de-DE"/>
        </w:rPr>
      </w:pPr>
    </w:p>
    <w:p w14:paraId="7AF7AAB7" w14:textId="77777777" w:rsidR="00B865C7" w:rsidRPr="00013D66" w:rsidRDefault="00B865C7" w:rsidP="00C93F81">
      <w:pPr>
        <w:spacing w:after="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lastRenderedPageBreak/>
        <w:t xml:space="preserve">However, DBG prefers Option 3 over Option 2. Even though Option 2 would already extend the scope of the transparency and transaction reporting regime to OTC-derivatives which share a minimum number of characteristics with derivatives available for trading on trading venues, it potentially leaves some leeway to circumvent the transparency and transaction reporting requirements. </w:t>
      </w:r>
    </w:p>
    <w:p w14:paraId="0A5D2AB7" w14:textId="77777777" w:rsidR="00B865C7" w:rsidRPr="00013D66" w:rsidRDefault="00B865C7" w:rsidP="00C93F81">
      <w:pPr>
        <w:spacing w:after="0" w:line="240" w:lineRule="auto"/>
        <w:jc w:val="both"/>
        <w:rPr>
          <w:rFonts w:ascii="Arial" w:eastAsia="Times New Roman" w:hAnsi="Arial" w:cs="Arial"/>
          <w:sz w:val="20"/>
          <w:szCs w:val="24"/>
          <w:lang w:val="en-GB" w:eastAsia="de-DE"/>
        </w:rPr>
      </w:pPr>
    </w:p>
    <w:p w14:paraId="333C6840" w14:textId="51BB5123" w:rsidR="00B865C7" w:rsidRPr="00013D66" w:rsidRDefault="00B865C7" w:rsidP="00C93F81">
      <w:pPr>
        <w:spacing w:after="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DBG therefore favours the abundance of the concept of TOTV, proposed under Option 3. This proposal would provide a universally applicable transparency and transaction reporting framework for all derivatives, OTC and TOTV, and would thus create a level-playing field among both spheres and maximize post-trade transparency for the overall marketplace. </w:t>
      </w:r>
    </w:p>
    <w:p w14:paraId="2863EC53"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&lt;ESMA_QUESTION_CP_MIFID_NQT_18&gt;</w:t>
      </w:r>
    </w:p>
    <w:p w14:paraId="1C6DE2B4"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3E9ECFDC"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What is your view on the proposal to delete the possibility for temporarily suspending the transparency provisions? Please explain.</w:t>
      </w:r>
    </w:p>
    <w:p w14:paraId="6D98F4CC"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&lt;ESMA_QUESTION_CP_MIFID_NQT_19&gt;</w:t>
      </w:r>
    </w:p>
    <w:p w14:paraId="51537E86" w14:textId="77777777" w:rsidR="00B865C7" w:rsidRPr="00013D66" w:rsidRDefault="00B865C7" w:rsidP="00C93F81">
      <w:pPr>
        <w:spacing w:after="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DBG agrees with ESMA’s proposal to remove the possibility for temporarily suspending transparency provisions on a national level. We are of the opinion, that the workings of the current possibility for NCAs to use this option are not sufficiently defined, to be actually used. Hence a deletion of this option will reduce complexity and ambiguity and hence benefit the overall market.</w:t>
      </w:r>
    </w:p>
    <w:p w14:paraId="77642657"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&lt;ESMA_QUESTION_CP_MIFID_NQT_19&gt;</w:t>
      </w:r>
    </w:p>
    <w:p w14:paraId="581FD017"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577EDF31"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have any remarks on the assessment of Article 28 of MiFIR? Please explain.</w:t>
      </w:r>
    </w:p>
    <w:p w14:paraId="394536AA"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&lt;ESMA_QUESTION_CP_MIFID_NQT_20&gt;</w:t>
      </w:r>
    </w:p>
    <w:p w14:paraId="58249686" w14:textId="77777777" w:rsidR="00B82112" w:rsidRPr="00013D66" w:rsidRDefault="00B82112" w:rsidP="00C93F81">
      <w:pPr>
        <w:spacing w:after="0" w:line="240" w:lineRule="auto"/>
        <w:jc w:val="both"/>
        <w:rPr>
          <w:rStyle w:val="s13"/>
          <w:rFonts w:ascii="Arial" w:hAnsi="Arial" w:cs="Arial"/>
          <w:sz w:val="20"/>
          <w:szCs w:val="20"/>
          <w:lang w:val="en-US"/>
        </w:rPr>
      </w:pPr>
      <w:r w:rsidRPr="00013D66">
        <w:rPr>
          <w:rStyle w:val="s13"/>
          <w:rFonts w:ascii="Arial" w:hAnsi="Arial" w:cs="Arial"/>
          <w:sz w:val="20"/>
          <w:szCs w:val="20"/>
          <w:lang w:val="en-US"/>
        </w:rPr>
        <w:t>D</w:t>
      </w:r>
      <w:r w:rsidRPr="00013D66">
        <w:rPr>
          <w:rFonts w:ascii="Arial" w:eastAsia="Times New Roman" w:hAnsi="Arial" w:cs="Arial"/>
          <w:sz w:val="20"/>
          <w:szCs w:val="20"/>
          <w:lang w:val="en-GB" w:eastAsia="de-DE"/>
        </w:rPr>
        <w:t>BG acknowledges the</w:t>
      </w:r>
      <w:r w:rsidRPr="00013D66">
        <w:rPr>
          <w:rStyle w:val="s13"/>
          <w:rFonts w:ascii="Arial" w:hAnsi="Arial" w:cs="Arial"/>
          <w:sz w:val="20"/>
          <w:szCs w:val="20"/>
          <w:lang w:val="en-US"/>
        </w:rPr>
        <w:t xml:space="preserve"> target of EMIR Refit to relief smaller market participants from unnecessary burden and understands the proposal on the alignment of the MiFIR provisions to reflect the EMIR Refit changes as part of this attempt. </w:t>
      </w:r>
    </w:p>
    <w:p w14:paraId="0EAF731E" w14:textId="77777777" w:rsidR="00B82112" w:rsidRPr="00013D66" w:rsidRDefault="00B82112" w:rsidP="00C93F81">
      <w:pPr>
        <w:spacing w:after="0" w:line="240" w:lineRule="auto"/>
        <w:jc w:val="both"/>
        <w:rPr>
          <w:rStyle w:val="s13"/>
          <w:rFonts w:ascii="Arial" w:hAnsi="Arial" w:cs="Arial"/>
          <w:sz w:val="20"/>
          <w:szCs w:val="20"/>
          <w:lang w:val="en-US"/>
        </w:rPr>
      </w:pPr>
    </w:p>
    <w:p w14:paraId="7BDFF09B" w14:textId="0C597969" w:rsidR="00B82112" w:rsidRPr="00013D66" w:rsidRDefault="00B82112" w:rsidP="00C93F81">
      <w:pPr>
        <w:spacing w:after="0" w:line="240" w:lineRule="auto"/>
        <w:jc w:val="both"/>
        <w:rPr>
          <w:rStyle w:val="s13"/>
          <w:rFonts w:ascii="Arial" w:hAnsi="Arial" w:cs="Arial"/>
          <w:sz w:val="20"/>
          <w:szCs w:val="20"/>
          <w:lang w:val="en-US"/>
        </w:rPr>
      </w:pPr>
      <w:r w:rsidRPr="00013D66">
        <w:rPr>
          <w:rStyle w:val="s13"/>
          <w:rFonts w:ascii="Arial" w:hAnsi="Arial" w:cs="Arial"/>
          <w:sz w:val="20"/>
          <w:szCs w:val="20"/>
          <w:lang w:val="en-US"/>
        </w:rPr>
        <w:t>DBG wants to highlight that the scope alignment will lead to an exemption of smaller counterparties from the DTO. As a result, these market participants might be inclined to turn to OTC-markets as they have no legal obligation to trade on trading venues anymore. It seems questionable whether exempting these market participants will eventually serve to their advantage as they will most likely remain strongly bilaterally exposed to a potential default of large market participants and overall will increase their dependence on these. While the exemption from both clearing and trading obligations may appear as an initial cost relief for some, these firms might become undercollateralized, exposed to the default of systemic banks which in turn is keeping the resilience of the overall system and the benefits of increased transparency overall</w:t>
      </w:r>
      <w:r w:rsidR="00F52EBA">
        <w:rPr>
          <w:rStyle w:val="s13"/>
          <w:rFonts w:ascii="Arial" w:hAnsi="Arial" w:cs="Arial"/>
          <w:sz w:val="20"/>
          <w:szCs w:val="20"/>
          <w:lang w:val="en-US"/>
        </w:rPr>
        <w:t xml:space="preserve"> limited</w:t>
      </w:r>
      <w:r w:rsidRPr="00013D66">
        <w:rPr>
          <w:rStyle w:val="s13"/>
          <w:rFonts w:ascii="Arial" w:hAnsi="Arial" w:cs="Arial"/>
          <w:sz w:val="20"/>
          <w:szCs w:val="20"/>
          <w:lang w:val="en-US"/>
        </w:rPr>
        <w:t>.</w:t>
      </w:r>
    </w:p>
    <w:p w14:paraId="591E58AD" w14:textId="77777777" w:rsidR="00B82112" w:rsidRPr="00013D66" w:rsidRDefault="00B82112" w:rsidP="00C93F81">
      <w:pPr>
        <w:spacing w:after="0" w:line="240" w:lineRule="auto"/>
        <w:jc w:val="both"/>
        <w:rPr>
          <w:rStyle w:val="s13"/>
          <w:rFonts w:ascii="Arial" w:hAnsi="Arial" w:cs="Arial"/>
          <w:sz w:val="20"/>
          <w:szCs w:val="20"/>
          <w:lang w:val="en-US"/>
        </w:rPr>
      </w:pPr>
    </w:p>
    <w:p w14:paraId="7C3CD41D" w14:textId="77777777" w:rsidR="00B82112" w:rsidRPr="00013D66" w:rsidRDefault="00B82112" w:rsidP="00C93F81">
      <w:pPr>
        <w:spacing w:after="0" w:line="240" w:lineRule="auto"/>
        <w:jc w:val="both"/>
        <w:rPr>
          <w:rStyle w:val="s13"/>
          <w:rFonts w:ascii="Arial" w:hAnsi="Arial" w:cs="Arial"/>
          <w:sz w:val="20"/>
          <w:szCs w:val="20"/>
          <w:lang w:val="en-US"/>
        </w:rPr>
      </w:pPr>
      <w:r w:rsidRPr="00013D66">
        <w:rPr>
          <w:rStyle w:val="s13"/>
          <w:rFonts w:ascii="Arial" w:hAnsi="Arial" w:cs="Arial"/>
          <w:sz w:val="20"/>
          <w:szCs w:val="20"/>
          <w:lang w:val="en-US"/>
        </w:rPr>
        <w:t>Any recommendation to the European Commission to align the trading obligation for OTC derivatives under MiFIR with the recent changes to the counterparties in scope of the clearing obligation under EMIR Refit should therefore not be rushed – but rather based on evidence. The proposals to remove counterparties from the trading obligation on the basis of this alignment has the air of a cascade of rolling back regulatory reform.</w:t>
      </w:r>
    </w:p>
    <w:p w14:paraId="44A2529F" w14:textId="77777777" w:rsidR="00B82112" w:rsidRPr="00013D66" w:rsidRDefault="00B82112" w:rsidP="00C93F81">
      <w:pPr>
        <w:spacing w:after="0" w:line="240" w:lineRule="auto"/>
        <w:jc w:val="both"/>
        <w:rPr>
          <w:rStyle w:val="s13"/>
          <w:rFonts w:ascii="Arial" w:hAnsi="Arial" w:cs="Arial"/>
          <w:sz w:val="20"/>
          <w:szCs w:val="20"/>
          <w:lang w:val="en-US"/>
        </w:rPr>
      </w:pPr>
    </w:p>
    <w:p w14:paraId="224881CB" w14:textId="77777777" w:rsidR="00B82112" w:rsidRPr="00013D66" w:rsidRDefault="00B82112" w:rsidP="00C93F81">
      <w:pPr>
        <w:spacing w:after="0" w:line="240" w:lineRule="auto"/>
        <w:jc w:val="both"/>
        <w:rPr>
          <w:rStyle w:val="s13"/>
          <w:rFonts w:ascii="Arial" w:hAnsi="Arial" w:cs="Arial"/>
          <w:sz w:val="20"/>
          <w:szCs w:val="20"/>
          <w:lang w:val="en-US"/>
        </w:rPr>
      </w:pPr>
      <w:r w:rsidRPr="00013D66">
        <w:rPr>
          <w:rStyle w:val="s13"/>
          <w:rFonts w:ascii="Arial" w:hAnsi="Arial" w:cs="Arial"/>
          <w:sz w:val="20"/>
          <w:szCs w:val="20"/>
          <w:lang w:val="en-US"/>
        </w:rPr>
        <w:t>Secondly, in order to achieve an optimal outcome for the market and legislative intentions, we believe any exemption from key rules agreed by the G20 with a view to making our markets more stable and resilient should be based on a thorough impact assessment conducted by ESMA in order to avoid that any unintended side effects will override the common goal of avoiding unnecessary regulatory burden in particular for smaller market participants.</w:t>
      </w:r>
    </w:p>
    <w:p w14:paraId="00D120B1"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&lt;ESMA_QUESTION_CP_MIFID_NQT_20&gt;</w:t>
      </w:r>
    </w:p>
    <w:p w14:paraId="71DFD846"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3378FB8E"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 xml:space="preserve">Do you have any views on the above-mentioned criteria and whether the criteria are sufficient and appropriate for assessing the liquidity of derivatives? Do you </w:t>
      </w:r>
      <w:r w:rsidRPr="00013D66">
        <w:rPr>
          <w:rFonts w:ascii="Arial" w:eastAsia="Times New Roman" w:hAnsi="Arial" w:cs="Arial"/>
          <w:b/>
          <w:szCs w:val="20"/>
          <w:lang w:val="en-GB"/>
        </w:rPr>
        <w:lastRenderedPageBreak/>
        <w:t>consider it necessary to include further criteria (e.g. currency)? Do you consider that ESMA should make use of the provision in Article 32(4) for asset classes currently not subject to the trading obligations? Please explain.</w:t>
      </w:r>
    </w:p>
    <w:p w14:paraId="43573AD9" w14:textId="180FBEC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&lt;ESMA_QUESTION_CP_MIFID_NQT_21&gt;</w:t>
      </w:r>
    </w:p>
    <w:p w14:paraId="128C0D3F" w14:textId="77777777" w:rsidR="00BB32E3" w:rsidRPr="00013D66" w:rsidRDefault="00BB32E3" w:rsidP="00BB32E3">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TYPE YOUR TEXT HERE</w:t>
      </w:r>
    </w:p>
    <w:p w14:paraId="3EDF0AF2"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&lt;ESMA_QUESTION_CP_MIFID_NQT_21&gt;</w:t>
      </w:r>
    </w:p>
    <w:p w14:paraId="0BC8DF7F"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3432CB34"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agree that a procedure for the swift suspension of the trading obligation for derivatives is needed? Do you agree with the proposed procedure? Please explain.</w:t>
      </w:r>
    </w:p>
    <w:p w14:paraId="1BAA48FC"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&lt;ESMA_QUESTION_CP_MIFID_NQT_22&gt;</w:t>
      </w:r>
    </w:p>
    <w:p w14:paraId="6EBE9CC6"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TYPE YOUR TEXT HERE</w:t>
      </w:r>
    </w:p>
    <w:p w14:paraId="21913EBC"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&lt;ESMA_QUESTION_CP_MIFID_NQT_22&gt;</w:t>
      </w:r>
    </w:p>
    <w:p w14:paraId="5C206DDD"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6323A0A2"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 xml:space="preserve">Do you have a view on </w:t>
      </w:r>
      <w:proofErr w:type="gramStart"/>
      <w:r w:rsidRPr="00013D66">
        <w:rPr>
          <w:rFonts w:ascii="Arial" w:eastAsia="Times New Roman" w:hAnsi="Arial" w:cs="Arial"/>
          <w:b/>
          <w:szCs w:val="20"/>
          <w:lang w:val="en-GB"/>
        </w:rPr>
        <w:t>this</w:t>
      </w:r>
      <w:proofErr w:type="gramEnd"/>
      <w:r w:rsidRPr="00013D66">
        <w:rPr>
          <w:rFonts w:ascii="Arial" w:eastAsia="Times New Roman" w:hAnsi="Arial" w:cs="Arial"/>
          <w:b/>
          <w:szCs w:val="20"/>
          <w:lang w:val="en-GB"/>
        </w:rPr>
        <w:t xml:space="preserve"> or any other issues related to the application of the DTO?</w:t>
      </w:r>
    </w:p>
    <w:p w14:paraId="68D64F86"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&lt;ESMA_QUESTION_CP_MIFID_NQT_23&gt;</w:t>
      </w:r>
    </w:p>
    <w:p w14:paraId="0673D5B1" w14:textId="2C4A8FF2" w:rsidR="0090579D" w:rsidRPr="00013D66" w:rsidRDefault="0090579D" w:rsidP="00C93F81">
      <w:pPr>
        <w:spacing w:after="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It is DBG’s view that discrepancies between the MiFIR Transparency Regime and the Trading Obligation should be aligned to the best extent possible. To our view, it is imperative for ESMA to </w:t>
      </w:r>
      <w:proofErr w:type="gramStart"/>
      <w:r w:rsidRPr="00013D66">
        <w:rPr>
          <w:rFonts w:ascii="Arial" w:eastAsia="Times New Roman" w:hAnsi="Arial" w:cs="Arial"/>
          <w:sz w:val="20"/>
          <w:szCs w:val="24"/>
          <w:lang w:val="en-GB" w:eastAsia="de-DE"/>
        </w:rPr>
        <w:t>take into account</w:t>
      </w:r>
      <w:proofErr w:type="gramEnd"/>
      <w:r w:rsidRPr="00013D66">
        <w:rPr>
          <w:rFonts w:ascii="Arial" w:eastAsia="Times New Roman" w:hAnsi="Arial" w:cs="Arial"/>
          <w:sz w:val="20"/>
          <w:szCs w:val="24"/>
          <w:lang w:val="en-GB" w:eastAsia="de-DE"/>
        </w:rPr>
        <w:t xml:space="preserve"> the interplay of the trading obligation for OTC derivatives and the adjacent transparency requirement that would apply to trading venue offering the for trading eligible instruments. Hence</w:t>
      </w:r>
      <w:bookmarkStart w:id="13" w:name="_Hlk42540261"/>
      <w:r w:rsidRPr="00013D66">
        <w:rPr>
          <w:rFonts w:ascii="Arial" w:eastAsia="Times New Roman" w:hAnsi="Arial" w:cs="Arial"/>
          <w:sz w:val="20"/>
          <w:szCs w:val="24"/>
          <w:lang w:val="en-GB" w:eastAsia="de-DE"/>
        </w:rPr>
        <w:t>, we disagree with ESMA</w:t>
      </w:r>
      <w:r w:rsidR="00F52EBA">
        <w:rPr>
          <w:rFonts w:ascii="Arial" w:eastAsia="Times New Roman" w:hAnsi="Arial" w:cs="Arial"/>
          <w:sz w:val="20"/>
          <w:szCs w:val="24"/>
          <w:lang w:val="en-GB" w:eastAsia="de-DE"/>
        </w:rPr>
        <w:t>’</w:t>
      </w:r>
      <w:r w:rsidRPr="00013D66">
        <w:rPr>
          <w:rFonts w:ascii="Arial" w:eastAsia="Times New Roman" w:hAnsi="Arial" w:cs="Arial"/>
          <w:sz w:val="20"/>
          <w:szCs w:val="24"/>
          <w:lang w:val="en-GB" w:eastAsia="de-DE"/>
        </w:rPr>
        <w:t>s current approach not to investigate if and how the transparency regime and the trading obligation should be better aligned.</w:t>
      </w:r>
    </w:p>
    <w:bookmarkEnd w:id="13"/>
    <w:p w14:paraId="24D98D24" w14:textId="77777777" w:rsidR="0090579D" w:rsidRPr="00013D66" w:rsidRDefault="0090579D" w:rsidP="00C93F81">
      <w:pPr>
        <w:spacing w:after="0" w:line="240" w:lineRule="auto"/>
        <w:jc w:val="both"/>
        <w:rPr>
          <w:rFonts w:ascii="Arial" w:eastAsia="Times New Roman" w:hAnsi="Arial" w:cs="Arial"/>
          <w:sz w:val="20"/>
          <w:szCs w:val="24"/>
          <w:lang w:val="en-GB" w:eastAsia="de-DE"/>
        </w:rPr>
      </w:pPr>
    </w:p>
    <w:p w14:paraId="49086D80" w14:textId="77777777" w:rsidR="0090579D" w:rsidRPr="00013D66" w:rsidRDefault="0090579D" w:rsidP="00C93F81">
      <w:pPr>
        <w:spacing w:after="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DBG would consider a combination of trading obligation and adequate transparency regime in the following way to be ideal: </w:t>
      </w:r>
    </w:p>
    <w:p w14:paraId="635DB604" w14:textId="77777777" w:rsidR="0090579D" w:rsidRPr="00013D66" w:rsidRDefault="0090579D" w:rsidP="00C93F81">
      <w:pPr>
        <w:spacing w:after="0" w:line="240" w:lineRule="auto"/>
        <w:jc w:val="both"/>
        <w:rPr>
          <w:rFonts w:ascii="Arial" w:eastAsia="Times New Roman" w:hAnsi="Arial" w:cs="Arial"/>
          <w:sz w:val="20"/>
          <w:szCs w:val="24"/>
          <w:lang w:val="en-GB" w:eastAsia="de-DE"/>
        </w:rPr>
      </w:pPr>
    </w:p>
    <w:p w14:paraId="1D1CB496" w14:textId="77777777" w:rsidR="0090579D" w:rsidRPr="00013D66" w:rsidRDefault="0090579D" w:rsidP="00C93F81">
      <w:pPr>
        <w:spacing w:after="0" w:line="240" w:lineRule="auto"/>
        <w:ind w:left="708"/>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 First, ESMA to define which asset classes are generally appropriate for trading on trading venues (i.e. trading eligible under the MiFIR trading obligation); </w:t>
      </w:r>
    </w:p>
    <w:p w14:paraId="71489F01" w14:textId="77777777" w:rsidR="0090579D" w:rsidRPr="00013D66" w:rsidRDefault="0090579D" w:rsidP="00C93F81">
      <w:pPr>
        <w:spacing w:after="0" w:line="240" w:lineRule="auto"/>
        <w:ind w:left="708"/>
        <w:jc w:val="both"/>
        <w:rPr>
          <w:rFonts w:ascii="Arial" w:eastAsia="Times New Roman" w:hAnsi="Arial" w:cs="Arial"/>
          <w:sz w:val="20"/>
          <w:szCs w:val="24"/>
          <w:lang w:val="en-GB" w:eastAsia="de-DE"/>
        </w:rPr>
      </w:pPr>
    </w:p>
    <w:p w14:paraId="0A08D244" w14:textId="77777777" w:rsidR="0090579D" w:rsidRPr="00013D66" w:rsidRDefault="0090579D" w:rsidP="00C93F81">
      <w:pPr>
        <w:spacing w:after="0" w:line="240" w:lineRule="auto"/>
        <w:ind w:left="708"/>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Moreover, trading venues to assess the application of pre- and/or post- trade transparency exemptions in order to mitigate any adverse effects, and consequently to apply for waivers and deferrals with competent authorities.</w:t>
      </w:r>
    </w:p>
    <w:p w14:paraId="0F773992" w14:textId="77777777" w:rsidR="0090579D" w:rsidRPr="00013D66" w:rsidRDefault="0090579D" w:rsidP="00C93F81">
      <w:pPr>
        <w:spacing w:after="0" w:line="240" w:lineRule="auto"/>
        <w:jc w:val="both"/>
        <w:rPr>
          <w:rFonts w:ascii="Arial" w:eastAsia="Times New Roman" w:hAnsi="Arial" w:cs="Arial"/>
          <w:sz w:val="20"/>
          <w:szCs w:val="24"/>
          <w:lang w:val="en-GB" w:eastAsia="de-DE"/>
        </w:rPr>
      </w:pPr>
    </w:p>
    <w:p w14:paraId="6BE858B9" w14:textId="214A593A" w:rsidR="0090579D" w:rsidRPr="00013D66" w:rsidRDefault="0090579D" w:rsidP="00C93F81">
      <w:pPr>
        <w:spacing w:after="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ESMA has already put a lot of effort in designing thresholds for pre</w:t>
      </w:r>
      <w:r w:rsidR="0069653E" w:rsidRPr="00013D66">
        <w:rPr>
          <w:rFonts w:ascii="Arial" w:eastAsia="Times New Roman" w:hAnsi="Arial" w:cs="Arial"/>
          <w:sz w:val="20"/>
          <w:szCs w:val="24"/>
          <w:lang w:val="en-GB" w:eastAsia="de-DE"/>
        </w:rPr>
        <w:t>-</w:t>
      </w:r>
      <w:r w:rsidRPr="00013D66">
        <w:rPr>
          <w:rFonts w:ascii="Arial" w:eastAsia="Times New Roman" w:hAnsi="Arial" w:cs="Arial"/>
          <w:sz w:val="20"/>
          <w:szCs w:val="24"/>
          <w:lang w:val="en-GB" w:eastAsia="de-DE"/>
        </w:rPr>
        <w:t xml:space="preserve"> and post</w:t>
      </w:r>
      <w:r w:rsidR="0069653E" w:rsidRPr="00013D66">
        <w:rPr>
          <w:rFonts w:ascii="Arial" w:eastAsia="Times New Roman" w:hAnsi="Arial" w:cs="Arial"/>
          <w:sz w:val="20"/>
          <w:szCs w:val="24"/>
          <w:lang w:val="en-GB" w:eastAsia="de-DE"/>
        </w:rPr>
        <w:t>-</w:t>
      </w:r>
      <w:r w:rsidRPr="00013D66">
        <w:rPr>
          <w:rFonts w:ascii="Arial" w:eastAsia="Times New Roman" w:hAnsi="Arial" w:cs="Arial"/>
          <w:sz w:val="20"/>
          <w:szCs w:val="24"/>
          <w:lang w:val="en-GB" w:eastAsia="de-DE"/>
        </w:rPr>
        <w:t>trade LIS in OTC derivatives. This effort has resulted in various threshold levels that allow trading venues to waive pre</w:t>
      </w:r>
      <w:r w:rsidR="00F81187" w:rsidRPr="00013D66">
        <w:rPr>
          <w:rFonts w:ascii="Arial" w:eastAsia="Times New Roman" w:hAnsi="Arial" w:cs="Arial"/>
          <w:sz w:val="20"/>
          <w:szCs w:val="24"/>
          <w:lang w:val="en-GB" w:eastAsia="de-DE"/>
        </w:rPr>
        <w:t>-</w:t>
      </w:r>
      <w:r w:rsidRPr="00013D66">
        <w:rPr>
          <w:rFonts w:ascii="Arial" w:eastAsia="Times New Roman" w:hAnsi="Arial" w:cs="Arial"/>
          <w:sz w:val="20"/>
          <w:szCs w:val="24"/>
          <w:lang w:val="en-GB" w:eastAsia="de-DE"/>
        </w:rPr>
        <w:t xml:space="preserve"> and post</w:t>
      </w:r>
      <w:r w:rsidR="00F81187" w:rsidRPr="00013D66">
        <w:rPr>
          <w:rFonts w:ascii="Arial" w:eastAsia="Times New Roman" w:hAnsi="Arial" w:cs="Arial"/>
          <w:sz w:val="20"/>
          <w:szCs w:val="24"/>
          <w:lang w:val="en-GB" w:eastAsia="de-DE"/>
        </w:rPr>
        <w:t>-</w:t>
      </w:r>
      <w:r w:rsidRPr="00013D66">
        <w:rPr>
          <w:rFonts w:ascii="Arial" w:eastAsia="Times New Roman" w:hAnsi="Arial" w:cs="Arial"/>
          <w:sz w:val="20"/>
          <w:szCs w:val="24"/>
          <w:lang w:val="en-GB" w:eastAsia="de-DE"/>
        </w:rPr>
        <w:t>trade transparency where meaningful but allow the market structure to evolve in a way that the trading obligation sets the tone for the asset class to be traded on trading venues in the first place.</w:t>
      </w:r>
    </w:p>
    <w:p w14:paraId="5754EB32"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&lt;ESMA_QUESTION_CP_MIFID_NQT_23&gt;</w:t>
      </w:r>
    </w:p>
    <w:p w14:paraId="6FCFCF34"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124CF4BB"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have any views on the functioning of the register? Please explain.</w:t>
      </w:r>
    </w:p>
    <w:p w14:paraId="2D5560B5" w14:textId="6CCEB164"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&lt;ESMA_QUESTION_CP_MIFID_NQT_24&gt;</w:t>
      </w:r>
    </w:p>
    <w:p w14:paraId="50784436" w14:textId="16825389" w:rsidR="0090579D" w:rsidRPr="00013D66" w:rsidRDefault="0090579D" w:rsidP="00C93F81">
      <w:pPr>
        <w:spacing w:after="0" w:line="240" w:lineRule="auto"/>
        <w:jc w:val="both"/>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DBG appreciates the efforts of ESMA to maintain the public register for the trading obligation for derivatives under MiFIR. The register is seen by DBG as a helpful source of information. </w:t>
      </w:r>
    </w:p>
    <w:p w14:paraId="26429C82"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&lt;ESMA_QUESTION_CP_MIFID_NQT_24&gt;</w:t>
      </w:r>
    </w:p>
    <w:p w14:paraId="647ADF92"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58DFD4A8"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lastRenderedPageBreak/>
        <w:t>Do you agree that the current quarterly liquidity calculation for bonds is appropriate or would you be of the view that the liquidity determination of bonds should be simplified and provide for more stable results? Please explain.</w:t>
      </w:r>
    </w:p>
    <w:p w14:paraId="1DEE0B19"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&lt;ESMA_QUESTION_CP_MIFID_NQT_25&gt;</w:t>
      </w:r>
    </w:p>
    <w:p w14:paraId="43DC74C3" w14:textId="6C567C86" w:rsidR="00A3566B" w:rsidRDefault="00A3566B" w:rsidP="009D2314">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DBG</w:t>
      </w:r>
      <w:r w:rsidRPr="00A3566B">
        <w:rPr>
          <w:rFonts w:ascii="Arial" w:eastAsia="Times New Roman" w:hAnsi="Arial" w:cs="Arial"/>
          <w:sz w:val="20"/>
          <w:szCs w:val="24"/>
          <w:lang w:val="en-GB" w:eastAsia="de-DE"/>
        </w:rPr>
        <w:t xml:space="preserve"> agrees with ESMA’s assessment that current level of pre- and post-trade transparency for bonds is very low.</w:t>
      </w:r>
      <w:r w:rsidR="00AD16DC">
        <w:rPr>
          <w:rFonts w:ascii="Arial" w:eastAsia="Times New Roman" w:hAnsi="Arial" w:cs="Arial"/>
          <w:sz w:val="20"/>
          <w:szCs w:val="24"/>
          <w:lang w:val="en-GB" w:eastAsia="de-DE"/>
        </w:rPr>
        <w:t xml:space="preserve"> </w:t>
      </w:r>
      <w:r>
        <w:rPr>
          <w:rFonts w:ascii="Arial" w:eastAsia="Times New Roman" w:hAnsi="Arial" w:cs="Arial"/>
          <w:sz w:val="20"/>
          <w:szCs w:val="24"/>
          <w:lang w:val="en-GB" w:eastAsia="de-DE"/>
        </w:rPr>
        <w:t>In general</w:t>
      </w:r>
      <w:r w:rsidRPr="00A3566B">
        <w:rPr>
          <w:rFonts w:ascii="Arial" w:eastAsia="Times New Roman" w:hAnsi="Arial" w:cs="Arial"/>
          <w:sz w:val="20"/>
          <w:szCs w:val="24"/>
          <w:lang w:val="en-GB" w:eastAsia="de-DE"/>
        </w:rPr>
        <w:t xml:space="preserve">, we </w:t>
      </w:r>
      <w:r>
        <w:rPr>
          <w:rFonts w:ascii="Arial" w:eastAsia="Times New Roman" w:hAnsi="Arial" w:cs="Arial"/>
          <w:sz w:val="20"/>
          <w:szCs w:val="24"/>
          <w:lang w:val="en-GB" w:eastAsia="de-DE"/>
        </w:rPr>
        <w:t xml:space="preserve">are of the view </w:t>
      </w:r>
      <w:r w:rsidRPr="00A3566B">
        <w:rPr>
          <w:rFonts w:ascii="Arial" w:eastAsia="Times New Roman" w:hAnsi="Arial" w:cs="Arial"/>
          <w:sz w:val="20"/>
          <w:szCs w:val="24"/>
          <w:lang w:val="en-GB" w:eastAsia="de-DE"/>
        </w:rPr>
        <w:t xml:space="preserve">that the number of bonds classified as liquid (around 0,2% of total bonds in Q3 2019) shows that the liquidity determination process is not </w:t>
      </w:r>
      <w:r>
        <w:rPr>
          <w:rFonts w:ascii="Arial" w:eastAsia="Times New Roman" w:hAnsi="Arial" w:cs="Arial"/>
          <w:sz w:val="20"/>
          <w:szCs w:val="24"/>
          <w:lang w:val="en-GB" w:eastAsia="de-DE"/>
        </w:rPr>
        <w:t>effective and has not delivered on the MIFIR objective to increase transparency in bonds markets</w:t>
      </w:r>
      <w:r w:rsidRPr="00A3566B">
        <w:rPr>
          <w:rFonts w:ascii="Arial" w:eastAsia="Times New Roman" w:hAnsi="Arial" w:cs="Arial"/>
          <w:sz w:val="20"/>
          <w:szCs w:val="24"/>
          <w:lang w:val="en-GB" w:eastAsia="de-DE"/>
        </w:rPr>
        <w:t xml:space="preserve">. As </w:t>
      </w:r>
      <w:r>
        <w:rPr>
          <w:rFonts w:ascii="Arial" w:eastAsia="Times New Roman" w:hAnsi="Arial" w:cs="Arial"/>
          <w:sz w:val="20"/>
          <w:szCs w:val="24"/>
          <w:lang w:val="en-GB" w:eastAsia="de-DE"/>
        </w:rPr>
        <w:t>highlighted</w:t>
      </w:r>
      <w:r w:rsidRPr="00A3566B">
        <w:rPr>
          <w:rFonts w:ascii="Arial" w:eastAsia="Times New Roman" w:hAnsi="Arial" w:cs="Arial"/>
          <w:sz w:val="20"/>
          <w:szCs w:val="24"/>
          <w:lang w:val="en-GB" w:eastAsia="de-DE"/>
        </w:rPr>
        <w:t xml:space="preserve"> by ESMA</w:t>
      </w:r>
      <w:r>
        <w:rPr>
          <w:rFonts w:ascii="Arial" w:eastAsia="Times New Roman" w:hAnsi="Arial" w:cs="Arial"/>
          <w:sz w:val="20"/>
          <w:szCs w:val="24"/>
          <w:lang w:val="en-GB" w:eastAsia="de-DE"/>
        </w:rPr>
        <w:t xml:space="preserve"> in its assessment</w:t>
      </w:r>
      <w:r w:rsidRPr="00A3566B">
        <w:rPr>
          <w:rFonts w:ascii="Arial" w:eastAsia="Times New Roman" w:hAnsi="Arial" w:cs="Arial"/>
          <w:sz w:val="20"/>
          <w:szCs w:val="24"/>
          <w:lang w:val="en-GB" w:eastAsia="de-DE"/>
        </w:rPr>
        <w:t xml:space="preserve">, these low figures fall below expectations when calibrating the regime, which were about 2% of bonds being classified as liquid in S1. </w:t>
      </w:r>
      <w:r w:rsidR="00AD16DC">
        <w:rPr>
          <w:rFonts w:ascii="Arial" w:eastAsia="Times New Roman" w:hAnsi="Arial" w:cs="Arial"/>
          <w:sz w:val="20"/>
          <w:szCs w:val="24"/>
          <w:lang w:val="en-GB" w:eastAsia="de-DE"/>
        </w:rPr>
        <w:t>Further,</w:t>
      </w:r>
      <w:r w:rsidR="00AD16DC" w:rsidRPr="00A3566B">
        <w:rPr>
          <w:rFonts w:ascii="Arial" w:eastAsia="Times New Roman" w:hAnsi="Arial" w:cs="Arial"/>
          <w:sz w:val="20"/>
          <w:szCs w:val="24"/>
          <w:lang w:val="en-GB" w:eastAsia="de-DE"/>
        </w:rPr>
        <w:t xml:space="preserve"> </w:t>
      </w:r>
      <w:r w:rsidR="00AD16DC">
        <w:rPr>
          <w:rFonts w:ascii="Arial" w:eastAsia="Times New Roman" w:hAnsi="Arial" w:cs="Arial"/>
          <w:sz w:val="20"/>
          <w:szCs w:val="24"/>
          <w:lang w:val="en-GB" w:eastAsia="de-DE"/>
        </w:rPr>
        <w:t>ESMA concludes</w:t>
      </w:r>
      <w:r w:rsidR="00AD16DC" w:rsidRPr="00AD16DC">
        <w:rPr>
          <w:rFonts w:ascii="Arial" w:eastAsia="Times New Roman" w:hAnsi="Arial" w:cs="Arial"/>
          <w:sz w:val="20"/>
          <w:szCs w:val="24"/>
          <w:lang w:val="en-GB" w:eastAsia="de-DE"/>
        </w:rPr>
        <w:t xml:space="preserve"> that most bonds that have been determined as illiquid in one quarter, remain illiquid through the next quarter, accounting for 90-95% of illiquid bonds.</w:t>
      </w:r>
    </w:p>
    <w:p w14:paraId="786ABA23" w14:textId="49466DE3" w:rsidR="00A3566B" w:rsidRDefault="00A3566B" w:rsidP="00AD16DC">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Therefore, w</w:t>
      </w:r>
      <w:r w:rsidRPr="00A3566B">
        <w:rPr>
          <w:rFonts w:ascii="Arial" w:eastAsia="Times New Roman" w:hAnsi="Arial" w:cs="Arial"/>
          <w:sz w:val="20"/>
          <w:szCs w:val="24"/>
          <w:lang w:val="en-GB" w:eastAsia="de-DE"/>
        </w:rPr>
        <w:t xml:space="preserve">e recommend changing the criteria for assessing the liquidity of bonds so as </w:t>
      </w:r>
      <w:bookmarkStart w:id="14" w:name="_Hlk41416037"/>
      <w:r w:rsidRPr="00A3566B">
        <w:rPr>
          <w:rFonts w:ascii="Arial" w:eastAsia="Times New Roman" w:hAnsi="Arial" w:cs="Arial"/>
          <w:sz w:val="20"/>
          <w:szCs w:val="24"/>
          <w:lang w:val="en-GB" w:eastAsia="de-DE"/>
        </w:rPr>
        <w:t>to increase the number of bonds that are deemed liquid and therefore subject to the transparency requirements</w:t>
      </w:r>
      <w:bookmarkEnd w:id="14"/>
      <w:r w:rsidR="00AD16DC">
        <w:rPr>
          <w:rFonts w:ascii="Arial" w:eastAsia="Times New Roman" w:hAnsi="Arial" w:cs="Arial"/>
          <w:sz w:val="20"/>
          <w:szCs w:val="24"/>
          <w:lang w:val="en-GB" w:eastAsia="de-DE"/>
        </w:rPr>
        <w:t>. Particularly,</w:t>
      </w:r>
      <w:r w:rsidRPr="0051116D">
        <w:rPr>
          <w:rFonts w:ascii="Arial" w:eastAsia="Times New Roman" w:hAnsi="Arial" w:cs="Arial"/>
          <w:sz w:val="20"/>
          <w:szCs w:val="24"/>
          <w:lang w:val="en-GB" w:eastAsia="de-DE"/>
        </w:rPr>
        <w:t xml:space="preserve"> we </w:t>
      </w:r>
      <w:r w:rsidR="00AD16DC">
        <w:rPr>
          <w:rFonts w:ascii="Arial" w:eastAsia="Times New Roman" w:hAnsi="Arial" w:cs="Arial"/>
          <w:sz w:val="20"/>
          <w:szCs w:val="24"/>
          <w:lang w:val="en-GB" w:eastAsia="de-DE"/>
        </w:rPr>
        <w:t>suggest</w:t>
      </w:r>
      <w:r w:rsidRPr="0051116D">
        <w:rPr>
          <w:rFonts w:ascii="Arial" w:eastAsia="Times New Roman" w:hAnsi="Arial" w:cs="Arial"/>
          <w:sz w:val="20"/>
          <w:szCs w:val="24"/>
          <w:lang w:val="en-GB" w:eastAsia="de-DE"/>
        </w:rPr>
        <w:t xml:space="preserve"> including trades below 100.000 EUR into the liquidity test. We see no reason why a trade below 100.000 EUR on a regulated market would not support to the liquidity of a bond. </w:t>
      </w:r>
    </w:p>
    <w:p w14:paraId="78C52233" w14:textId="55DB5AE6" w:rsidR="00AD16DC" w:rsidRPr="00A3566B" w:rsidRDefault="00AD16DC" w:rsidP="00AD16DC">
      <w:pPr>
        <w:spacing w:after="0" w:line="240" w:lineRule="auto"/>
        <w:jc w:val="both"/>
        <w:rPr>
          <w:rFonts w:ascii="Arial" w:eastAsia="Times New Roman" w:hAnsi="Arial" w:cs="Arial"/>
          <w:sz w:val="20"/>
          <w:szCs w:val="24"/>
          <w:lang w:val="en-GB" w:eastAsia="de-DE"/>
        </w:rPr>
      </w:pPr>
      <w:r w:rsidRPr="00AD16DC">
        <w:rPr>
          <w:rFonts w:ascii="Arial" w:eastAsia="Times New Roman" w:hAnsi="Arial" w:cs="Arial"/>
          <w:sz w:val="20"/>
          <w:szCs w:val="24"/>
          <w:lang w:val="en-GB" w:eastAsia="de-DE"/>
        </w:rPr>
        <w:t xml:space="preserve">Since the </w:t>
      </w:r>
      <w:r>
        <w:rPr>
          <w:rFonts w:ascii="Arial" w:eastAsia="Times New Roman" w:hAnsi="Arial" w:cs="Arial"/>
          <w:sz w:val="20"/>
          <w:szCs w:val="24"/>
          <w:lang w:val="en-GB" w:eastAsia="de-DE"/>
        </w:rPr>
        <w:t xml:space="preserve">liquidity assessment </w:t>
      </w:r>
      <w:r w:rsidRPr="00AD16DC">
        <w:rPr>
          <w:rFonts w:ascii="Arial" w:eastAsia="Times New Roman" w:hAnsi="Arial" w:cs="Arial"/>
          <w:sz w:val="20"/>
          <w:szCs w:val="24"/>
          <w:lang w:val="en-GB" w:eastAsia="de-DE"/>
        </w:rPr>
        <w:t>criteria are reviewed on a yearly basis, we would recommend running simulations with next year’s calibration, in order to understand whether the impact on the number of liquid bonds will be substantial or not.</w:t>
      </w:r>
      <w:r>
        <w:rPr>
          <w:rFonts w:ascii="Arial" w:eastAsia="Times New Roman" w:hAnsi="Arial" w:cs="Arial"/>
          <w:sz w:val="20"/>
          <w:szCs w:val="24"/>
          <w:lang w:val="en-GB" w:eastAsia="de-DE"/>
        </w:rPr>
        <w:t xml:space="preserve"> Additionally, </w:t>
      </w:r>
      <w:r w:rsidRPr="00AD16DC">
        <w:rPr>
          <w:rFonts w:ascii="Arial" w:eastAsia="Times New Roman" w:hAnsi="Arial" w:cs="Arial"/>
          <w:sz w:val="20"/>
          <w:szCs w:val="24"/>
          <w:lang w:val="en-GB" w:eastAsia="de-DE"/>
        </w:rPr>
        <w:t>simulations with different transparency thresholds should be conducted</w:t>
      </w:r>
      <w:r>
        <w:rPr>
          <w:rFonts w:ascii="Arial" w:eastAsia="Times New Roman" w:hAnsi="Arial" w:cs="Arial"/>
          <w:sz w:val="20"/>
          <w:szCs w:val="24"/>
          <w:lang w:val="en-GB" w:eastAsia="de-DE"/>
        </w:rPr>
        <w:t xml:space="preserve"> </w:t>
      </w:r>
      <w:r w:rsidRPr="00AD16DC">
        <w:rPr>
          <w:rFonts w:ascii="Arial" w:eastAsia="Times New Roman" w:hAnsi="Arial" w:cs="Arial"/>
          <w:sz w:val="20"/>
          <w:szCs w:val="24"/>
          <w:lang w:val="en-GB" w:eastAsia="de-DE"/>
        </w:rPr>
        <w:t>to better understand the impact of the MiFID II thresholds</w:t>
      </w:r>
      <w:r>
        <w:rPr>
          <w:rFonts w:ascii="Arial" w:eastAsia="Times New Roman" w:hAnsi="Arial" w:cs="Arial"/>
          <w:sz w:val="20"/>
          <w:szCs w:val="24"/>
          <w:lang w:val="en-GB" w:eastAsia="de-DE"/>
        </w:rPr>
        <w:t>. Lastly,</w:t>
      </w:r>
      <w:r w:rsidRPr="00AD16DC">
        <w:rPr>
          <w:rFonts w:ascii="Arial" w:eastAsia="Times New Roman" w:hAnsi="Arial" w:cs="Arial"/>
          <w:sz w:val="20"/>
          <w:szCs w:val="24"/>
          <w:lang w:val="en-GB" w:eastAsia="de-DE"/>
        </w:rPr>
        <w:t xml:space="preserve"> a full assessment of the underlying data should be performed</w:t>
      </w:r>
      <w:r>
        <w:rPr>
          <w:rFonts w:ascii="Arial" w:eastAsia="Times New Roman" w:hAnsi="Arial" w:cs="Arial"/>
          <w:sz w:val="20"/>
          <w:szCs w:val="24"/>
          <w:lang w:val="en-GB" w:eastAsia="de-DE"/>
        </w:rPr>
        <w:t xml:space="preserve">, taking also into consideration </w:t>
      </w:r>
      <w:r w:rsidRPr="00AD16DC">
        <w:rPr>
          <w:rFonts w:ascii="Arial" w:eastAsia="Times New Roman" w:hAnsi="Arial" w:cs="Arial"/>
          <w:sz w:val="20"/>
          <w:szCs w:val="24"/>
          <w:lang w:val="en-GB" w:eastAsia="de-DE"/>
        </w:rPr>
        <w:t>the ratio of volume traded under a pre-trade transparency waiver, and the data adjusted when required (before running new transparency calculations).</w:t>
      </w:r>
    </w:p>
    <w:p w14:paraId="55F5F6A2"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&lt;ESMA_QUESTION_CP_MIFID_NQT_25&gt;</w:t>
      </w:r>
    </w:p>
    <w:p w14:paraId="58039A90"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1D4D6DDE"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agree with ESMA proposal to move to stage 2 for the determination of the liquidity assessment of bonds? Please explain.</w:t>
      </w:r>
    </w:p>
    <w:p w14:paraId="3E7C922C"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&lt;ESMA_QUESTION_CP_MIFID_NQT_26&gt;</w:t>
      </w:r>
    </w:p>
    <w:p w14:paraId="17E7381A" w14:textId="385E3C77" w:rsidR="00013D66" w:rsidRPr="00BE08D8" w:rsidRDefault="00CC0539" w:rsidP="00C93F81">
      <w:pPr>
        <w:spacing w:after="0" w:line="240" w:lineRule="auto"/>
        <w:jc w:val="both"/>
        <w:rPr>
          <w:rFonts w:ascii="Arial" w:eastAsia="Times New Roman" w:hAnsi="Arial" w:cs="Arial"/>
          <w:sz w:val="20"/>
          <w:szCs w:val="24"/>
          <w:lang w:val="en-GB" w:eastAsia="de-DE"/>
        </w:rPr>
      </w:pPr>
      <w:r>
        <w:rPr>
          <w:rFonts w:ascii="Arial" w:eastAsia="Times New Roman" w:hAnsi="Arial" w:cs="Arial"/>
          <w:sz w:val="20"/>
          <w:szCs w:val="24"/>
          <w:lang w:val="en-GB" w:eastAsia="de-DE"/>
        </w:rPr>
        <w:t>As highlighted in the answer to the previous question, t</w:t>
      </w:r>
      <w:r w:rsidR="00013D66" w:rsidRPr="001C400C">
        <w:rPr>
          <w:rFonts w:ascii="Arial" w:eastAsia="Times New Roman" w:hAnsi="Arial" w:cs="Arial"/>
          <w:sz w:val="20"/>
          <w:szCs w:val="24"/>
          <w:lang w:val="en-GB" w:eastAsia="de-DE"/>
        </w:rPr>
        <w:t xml:space="preserve">he overall pre-trade transparency regime </w:t>
      </w:r>
      <w:r w:rsidR="0052719E">
        <w:rPr>
          <w:rFonts w:ascii="Arial" w:eastAsia="Times New Roman" w:hAnsi="Arial" w:cs="Arial"/>
          <w:sz w:val="20"/>
          <w:szCs w:val="24"/>
          <w:lang w:val="en-GB" w:eastAsia="de-DE"/>
        </w:rPr>
        <w:t xml:space="preserve">for bonds </w:t>
      </w:r>
      <w:r w:rsidR="00013D66" w:rsidRPr="001C400C">
        <w:rPr>
          <w:rFonts w:ascii="Arial" w:eastAsia="Times New Roman" w:hAnsi="Arial" w:cs="Arial"/>
          <w:sz w:val="20"/>
          <w:szCs w:val="24"/>
          <w:lang w:val="en-GB" w:eastAsia="de-DE"/>
        </w:rPr>
        <w:t xml:space="preserve">is not effective as too many </w:t>
      </w:r>
      <w:r w:rsidR="00013D66">
        <w:rPr>
          <w:rFonts w:ascii="Arial" w:eastAsia="Times New Roman" w:hAnsi="Arial" w:cs="Arial"/>
          <w:sz w:val="20"/>
          <w:szCs w:val="24"/>
          <w:lang w:val="en-GB" w:eastAsia="de-DE"/>
        </w:rPr>
        <w:t>bonds</w:t>
      </w:r>
      <w:r w:rsidR="00013D66" w:rsidRPr="001C400C">
        <w:rPr>
          <w:rFonts w:ascii="Arial" w:eastAsia="Times New Roman" w:hAnsi="Arial" w:cs="Arial"/>
          <w:sz w:val="20"/>
          <w:szCs w:val="24"/>
          <w:lang w:val="en-GB" w:eastAsia="de-DE"/>
        </w:rPr>
        <w:t xml:space="preserve"> are defined as “illiquid”. Therefore, we support ESMA’s proposal to move to the S2 phase for the liquidity test of bonds to increase the share of bonds defined as liquid, although </w:t>
      </w:r>
      <w:r>
        <w:rPr>
          <w:rFonts w:ascii="Arial" w:eastAsia="Times New Roman" w:hAnsi="Arial" w:cs="Arial"/>
          <w:sz w:val="20"/>
          <w:szCs w:val="24"/>
          <w:lang w:val="en-GB" w:eastAsia="de-DE"/>
        </w:rPr>
        <w:t xml:space="preserve">this approach would increase transparency </w:t>
      </w:r>
      <w:r w:rsidR="00013D66" w:rsidRPr="001C400C">
        <w:rPr>
          <w:rFonts w:ascii="Arial" w:eastAsia="Times New Roman" w:hAnsi="Arial" w:cs="Arial"/>
          <w:sz w:val="20"/>
          <w:szCs w:val="24"/>
          <w:lang w:val="en-GB" w:eastAsia="de-DE"/>
        </w:rPr>
        <w:t xml:space="preserve">only in a very limited way (0.32-0.48% of total bonds under S2 compared to 0.21-0.31% of total bonds under S1). </w:t>
      </w:r>
      <w:r w:rsidR="009D4739">
        <w:rPr>
          <w:rFonts w:ascii="Arial" w:eastAsia="Times New Roman" w:hAnsi="Arial" w:cs="Arial"/>
          <w:sz w:val="20"/>
          <w:szCs w:val="24"/>
          <w:lang w:val="en-GB" w:eastAsia="de-DE"/>
        </w:rPr>
        <w:t xml:space="preserve">Hence, as mentioned in our answer to Q25, </w:t>
      </w:r>
      <w:r w:rsidR="009D4739" w:rsidRPr="00CC0539">
        <w:rPr>
          <w:rFonts w:ascii="Arial" w:eastAsia="Times New Roman" w:hAnsi="Arial" w:cs="Arial"/>
          <w:sz w:val="20"/>
          <w:szCs w:val="24"/>
          <w:lang w:val="en-GB" w:eastAsia="de-DE"/>
        </w:rPr>
        <w:t>a broader review of the methodology to perform the transparency calculations might be necessary</w:t>
      </w:r>
      <w:r w:rsidR="009D4739">
        <w:rPr>
          <w:rFonts w:ascii="Arial" w:eastAsia="Times New Roman" w:hAnsi="Arial" w:cs="Arial"/>
          <w:sz w:val="20"/>
          <w:szCs w:val="24"/>
          <w:lang w:val="en-GB" w:eastAsia="de-DE"/>
        </w:rPr>
        <w:t>. In this context</w:t>
      </w:r>
      <w:r w:rsidR="00013D66" w:rsidRPr="001C400C">
        <w:rPr>
          <w:rFonts w:ascii="Arial" w:eastAsia="Times New Roman" w:hAnsi="Arial" w:cs="Arial"/>
          <w:sz w:val="20"/>
          <w:szCs w:val="24"/>
          <w:lang w:val="en-GB" w:eastAsia="de-DE"/>
        </w:rPr>
        <w:t xml:space="preserve">, we would recommend including trades below 100.000 EUR into the liquidity test. We see no reason why a trade below 100.000 EUR on a regulated market would not support to the liquidity of a bond. </w:t>
      </w:r>
    </w:p>
    <w:p w14:paraId="4B80E978"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&lt;ESMA_QUESTION_CP_MIFID_NQT_26&gt;</w:t>
      </w:r>
    </w:p>
    <w:p w14:paraId="2B897411"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533670FD"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agree with ESMA proposal not to move to stage 2 for the determination of the pre-trade SSTI thresholds for all non-equity instruments except bonds? Please explain.</w:t>
      </w:r>
    </w:p>
    <w:p w14:paraId="6A997851"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&lt;ESMA_QUESTION_CP_MIFID_NQT_27&gt;</w:t>
      </w:r>
    </w:p>
    <w:p w14:paraId="0E3C9331" w14:textId="77777777" w:rsidR="004330B6" w:rsidRDefault="00B865C7"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 xml:space="preserve">As described in the answers to questions 3, 4 and 11 above, DBG supports ESMA’s proposal to delete the SSTI waivers for pre-trade and post-trade transparency and suggested to link the SI quoting obligation to </w:t>
      </w:r>
      <w:r w:rsidR="00E652F0">
        <w:rPr>
          <w:rFonts w:ascii="Arial" w:eastAsia="Times New Roman" w:hAnsi="Arial" w:cs="Arial"/>
          <w:sz w:val="20"/>
          <w:szCs w:val="24"/>
          <w:lang w:val="en-GB" w:eastAsia="de-DE"/>
        </w:rPr>
        <w:t xml:space="preserve">a high percentage of </w:t>
      </w:r>
      <w:r w:rsidRPr="00013D66">
        <w:rPr>
          <w:rFonts w:ascii="Arial" w:eastAsia="Times New Roman" w:hAnsi="Arial" w:cs="Arial"/>
          <w:sz w:val="20"/>
          <w:szCs w:val="24"/>
          <w:lang w:val="en-GB" w:eastAsia="de-DE"/>
        </w:rPr>
        <w:t>LIS thresholds. Hence, we believe the question of when to move to stage 2 for the determination of SSTI thresholds is no longer relevant.</w:t>
      </w:r>
    </w:p>
    <w:p w14:paraId="35CC69F5" w14:textId="7AC26228"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&lt;ESMA_QUESTION_CP_MIFID_NQT_27&gt;</w:t>
      </w:r>
    </w:p>
    <w:p w14:paraId="7E099AB7"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51815FF5"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6B4B0F0C"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398D1F6B"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75FB209D" w14:textId="471EB4DE"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Do you agree with ESMA proposal to move to stage 2 for the determination of the pre-trade SSTI thresholds for bonds (except ETCs and ETNs)? Please explain.</w:t>
      </w:r>
    </w:p>
    <w:p w14:paraId="3E1F1195" w14:textId="5E556FEA" w:rsidR="001D503E"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&lt;ESMA_QUESTION_CP_MIFID_NQT_28&gt;</w:t>
      </w:r>
    </w:p>
    <w:p w14:paraId="0EB34C29" w14:textId="320BBD91" w:rsidR="00013D66" w:rsidRPr="00013D66" w:rsidRDefault="00D82596" w:rsidP="001D503E">
      <w:pPr>
        <w:spacing w:after="0" w:line="240" w:lineRule="auto"/>
        <w:rPr>
          <w:rFonts w:ascii="Arial" w:eastAsia="Times New Roman" w:hAnsi="Arial" w:cs="Arial"/>
          <w:sz w:val="20"/>
          <w:szCs w:val="24"/>
          <w:lang w:val="en-GB" w:eastAsia="de-DE"/>
        </w:rPr>
      </w:pPr>
      <w:r>
        <w:rPr>
          <w:rFonts w:ascii="Arial" w:eastAsia="Times New Roman" w:hAnsi="Arial" w:cs="Arial"/>
          <w:sz w:val="20"/>
          <w:szCs w:val="24"/>
          <w:lang w:val="en-GB" w:eastAsia="de-DE"/>
        </w:rPr>
        <w:t xml:space="preserve">In line with our answer to the previous questions, DBG supports ESMA’s proposal to delete SSTI waivers for pre and post-trade transparency and suggest </w:t>
      </w:r>
      <w:proofErr w:type="gramStart"/>
      <w:r>
        <w:rPr>
          <w:rFonts w:ascii="Arial" w:eastAsia="Times New Roman" w:hAnsi="Arial" w:cs="Arial"/>
          <w:sz w:val="20"/>
          <w:szCs w:val="24"/>
          <w:lang w:val="en-GB" w:eastAsia="de-DE"/>
        </w:rPr>
        <w:t>to link</w:t>
      </w:r>
      <w:proofErr w:type="gramEnd"/>
      <w:r>
        <w:rPr>
          <w:rFonts w:ascii="Arial" w:eastAsia="Times New Roman" w:hAnsi="Arial" w:cs="Arial"/>
          <w:sz w:val="20"/>
          <w:szCs w:val="24"/>
          <w:lang w:val="en-GB" w:eastAsia="de-DE"/>
        </w:rPr>
        <w:t xml:space="preserve"> the SI quoting obligation to a high percentage of LIS thresholds. Therefore, the question of moving to stage 2 for the determination of SSTI thresholds for bonds becomes obsolete.</w:t>
      </w:r>
    </w:p>
    <w:p w14:paraId="164D9A1C"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&lt;ESMA_QUESTION_CP_MIFID_NQT_28&gt;</w:t>
      </w:r>
    </w:p>
    <w:p w14:paraId="3A1DF0F9"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29B26144"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What is your view on the current calibration of the ADNA and ADNT for commodity derivatives? Are there specific sub-asset classes for which the current calibration is problematic? Please justify your views and proposals with quantitative elements where available.</w:t>
      </w:r>
    </w:p>
    <w:p w14:paraId="3B4A3B41"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&lt;ESMA_QUESTION_CP_MIFID_NQT_29&gt;</w:t>
      </w:r>
    </w:p>
    <w:p w14:paraId="6A0DE634" w14:textId="5FE088E1" w:rsidR="003E2129" w:rsidRPr="00013D66" w:rsidRDefault="003E2129" w:rsidP="003E2129">
      <w:pPr>
        <w:jc w:val="both"/>
        <w:rPr>
          <w:rFonts w:ascii="Arial" w:hAnsi="Arial" w:cs="Arial"/>
          <w:sz w:val="20"/>
          <w:szCs w:val="20"/>
          <w:lang w:val="en-US"/>
        </w:rPr>
      </w:pPr>
      <w:r w:rsidRPr="00013D66">
        <w:rPr>
          <w:rFonts w:ascii="Arial" w:hAnsi="Arial" w:cs="Arial"/>
          <w:sz w:val="20"/>
          <w:szCs w:val="20"/>
          <w:lang w:val="en-US"/>
        </w:rPr>
        <w:t>MiFIR rightly recogni</w:t>
      </w:r>
      <w:r w:rsidR="00641709" w:rsidRPr="00013D66">
        <w:rPr>
          <w:rFonts w:ascii="Arial" w:hAnsi="Arial" w:cs="Arial"/>
          <w:sz w:val="20"/>
          <w:szCs w:val="20"/>
          <w:lang w:val="en-US"/>
        </w:rPr>
        <w:t>z</w:t>
      </w:r>
      <w:r w:rsidRPr="00013D66">
        <w:rPr>
          <w:rFonts w:ascii="Arial" w:hAnsi="Arial" w:cs="Arial"/>
          <w:sz w:val="20"/>
          <w:szCs w:val="20"/>
          <w:lang w:val="en-US"/>
        </w:rPr>
        <w:t>es that certain exemptions can be granted to trading venues from the general requirement to publish pre-trade transparency data to preserve orderly price discovery processes and allow in particular illiquid and nascent markets to develop. However, the current calculation methodology of corresponding waivers is fundamentally flawed.</w:t>
      </w:r>
      <w:r w:rsidRPr="00013D66">
        <w:rPr>
          <w:rFonts w:ascii="Arial" w:hAnsi="Arial" w:cs="Arial"/>
          <w:b/>
          <w:sz w:val="20"/>
          <w:szCs w:val="20"/>
          <w:lang w:val="en-US"/>
        </w:rPr>
        <w:t xml:space="preserve"> </w:t>
      </w:r>
      <w:r w:rsidRPr="00013D66">
        <w:rPr>
          <w:rFonts w:ascii="Arial" w:hAnsi="Arial" w:cs="Arial"/>
          <w:sz w:val="20"/>
          <w:szCs w:val="20"/>
          <w:lang w:val="en-US"/>
        </w:rPr>
        <w:t>The IL</w:t>
      </w:r>
      <w:r w:rsidR="008455CE" w:rsidRPr="00013D66">
        <w:rPr>
          <w:rFonts w:ascii="Arial" w:hAnsi="Arial" w:cs="Arial"/>
          <w:sz w:val="20"/>
          <w:szCs w:val="20"/>
          <w:lang w:val="en-US"/>
        </w:rPr>
        <w:t xml:space="preserve"> (Illiquid)</w:t>
      </w:r>
      <w:r w:rsidRPr="00013D66">
        <w:rPr>
          <w:rFonts w:ascii="Arial" w:hAnsi="Arial" w:cs="Arial"/>
          <w:sz w:val="20"/>
          <w:szCs w:val="20"/>
          <w:lang w:val="en-US"/>
        </w:rPr>
        <w:t xml:space="preserve"> and LIS</w:t>
      </w:r>
      <w:r w:rsidR="008455CE" w:rsidRPr="00013D66">
        <w:rPr>
          <w:rFonts w:ascii="Arial" w:hAnsi="Arial" w:cs="Arial"/>
          <w:sz w:val="20"/>
          <w:szCs w:val="20"/>
          <w:lang w:val="en-US"/>
        </w:rPr>
        <w:t xml:space="preserve"> (Large </w:t>
      </w:r>
      <w:proofErr w:type="gramStart"/>
      <w:r w:rsidR="008455CE" w:rsidRPr="00013D66">
        <w:rPr>
          <w:rFonts w:ascii="Arial" w:hAnsi="Arial" w:cs="Arial"/>
          <w:sz w:val="20"/>
          <w:szCs w:val="20"/>
          <w:lang w:val="en-US"/>
        </w:rPr>
        <w:t>In</w:t>
      </w:r>
      <w:proofErr w:type="gramEnd"/>
      <w:r w:rsidR="008455CE" w:rsidRPr="00013D66">
        <w:rPr>
          <w:rFonts w:ascii="Arial" w:hAnsi="Arial" w:cs="Arial"/>
          <w:sz w:val="20"/>
          <w:szCs w:val="20"/>
          <w:lang w:val="en-US"/>
        </w:rPr>
        <w:t xml:space="preserve"> Scale)</w:t>
      </w:r>
      <w:r w:rsidRPr="00013D66">
        <w:rPr>
          <w:rFonts w:ascii="Arial" w:hAnsi="Arial" w:cs="Arial"/>
          <w:sz w:val="20"/>
          <w:szCs w:val="20"/>
          <w:lang w:val="en-US"/>
        </w:rPr>
        <w:t xml:space="preserve"> waivers do not</w:t>
      </w:r>
      <w:r w:rsidR="008455CE" w:rsidRPr="00013D66">
        <w:rPr>
          <w:rFonts w:ascii="Arial" w:hAnsi="Arial" w:cs="Arial"/>
          <w:sz w:val="20"/>
          <w:szCs w:val="20"/>
          <w:lang w:val="en-US"/>
        </w:rPr>
        <w:t xml:space="preserve"> fit all non-equity markets, especially </w:t>
      </w:r>
      <w:r w:rsidRPr="00013D66">
        <w:rPr>
          <w:rFonts w:ascii="Arial" w:hAnsi="Arial" w:cs="Arial"/>
          <w:sz w:val="20"/>
          <w:szCs w:val="20"/>
          <w:lang w:val="en-US"/>
        </w:rPr>
        <w:t>commodity and energy derivatives markets. The current methodology has led to significant number of niche and nascent products being incorrectly (re-)classified as liquid, and thus becoming subject to significantly broader transparency requirements, which were previously reserved for developed markets. In this regard</w:t>
      </w:r>
      <w:r w:rsidRPr="00013D66">
        <w:rPr>
          <w:rFonts w:ascii="Arial" w:hAnsi="Arial" w:cs="Arial"/>
          <w:b/>
          <w:sz w:val="20"/>
          <w:szCs w:val="20"/>
          <w:lang w:val="en-US"/>
        </w:rPr>
        <w:t xml:space="preserve">, </w:t>
      </w:r>
      <w:r w:rsidRPr="00013D66">
        <w:rPr>
          <w:rFonts w:ascii="Arial" w:hAnsi="Arial" w:cs="Arial"/>
          <w:sz w:val="20"/>
          <w:szCs w:val="20"/>
          <w:lang w:val="en-US"/>
        </w:rPr>
        <w:t xml:space="preserve">we welcome the de-coupling of </w:t>
      </w:r>
      <w:r w:rsidR="003B11A4">
        <w:rPr>
          <w:rFonts w:ascii="Arial" w:hAnsi="Arial" w:cs="Arial"/>
          <w:sz w:val="20"/>
          <w:szCs w:val="20"/>
          <w:lang w:val="en-US"/>
        </w:rPr>
        <w:t>L</w:t>
      </w:r>
      <w:r w:rsidRPr="00013D66">
        <w:rPr>
          <w:rFonts w:ascii="Arial" w:hAnsi="Arial" w:cs="Arial"/>
          <w:sz w:val="20"/>
          <w:szCs w:val="20"/>
          <w:lang w:val="en-US"/>
        </w:rPr>
        <w:t xml:space="preserve">evel </w:t>
      </w:r>
      <w:r w:rsidR="003B11A4">
        <w:rPr>
          <w:rFonts w:ascii="Arial" w:hAnsi="Arial" w:cs="Arial"/>
          <w:sz w:val="20"/>
          <w:szCs w:val="20"/>
          <w:lang w:val="en-US"/>
        </w:rPr>
        <w:t>1</w:t>
      </w:r>
      <w:r w:rsidRPr="00013D66">
        <w:rPr>
          <w:rFonts w:ascii="Arial" w:hAnsi="Arial" w:cs="Arial"/>
          <w:sz w:val="20"/>
          <w:szCs w:val="20"/>
          <w:lang w:val="en-US"/>
        </w:rPr>
        <w:t xml:space="preserve"> and </w:t>
      </w:r>
      <w:r w:rsidR="003B11A4">
        <w:rPr>
          <w:rFonts w:ascii="Arial" w:hAnsi="Arial" w:cs="Arial"/>
          <w:sz w:val="20"/>
          <w:szCs w:val="20"/>
          <w:lang w:val="en-US"/>
        </w:rPr>
        <w:t>L</w:t>
      </w:r>
      <w:r w:rsidRPr="00013D66">
        <w:rPr>
          <w:rFonts w:ascii="Arial" w:hAnsi="Arial" w:cs="Arial"/>
          <w:sz w:val="20"/>
          <w:szCs w:val="20"/>
          <w:lang w:val="en-US"/>
        </w:rPr>
        <w:t xml:space="preserve">evel </w:t>
      </w:r>
      <w:r w:rsidR="003B11A4">
        <w:rPr>
          <w:rFonts w:ascii="Arial" w:hAnsi="Arial" w:cs="Arial"/>
          <w:sz w:val="20"/>
          <w:szCs w:val="20"/>
          <w:lang w:val="en-US"/>
        </w:rPr>
        <w:t>2</w:t>
      </w:r>
      <w:r w:rsidRPr="00013D66">
        <w:rPr>
          <w:rFonts w:ascii="Arial" w:hAnsi="Arial" w:cs="Arial"/>
          <w:sz w:val="20"/>
          <w:szCs w:val="20"/>
          <w:lang w:val="en-US"/>
        </w:rPr>
        <w:t xml:space="preserve"> measures in </w:t>
      </w:r>
      <w:proofErr w:type="gramStart"/>
      <w:r w:rsidRPr="00013D66">
        <w:rPr>
          <w:rFonts w:ascii="Arial" w:hAnsi="Arial" w:cs="Arial"/>
          <w:sz w:val="20"/>
          <w:szCs w:val="20"/>
          <w:lang w:val="en-US"/>
        </w:rPr>
        <w:t>time, and</w:t>
      </w:r>
      <w:proofErr w:type="gramEnd"/>
      <w:r w:rsidRPr="00013D66">
        <w:rPr>
          <w:rFonts w:ascii="Arial" w:hAnsi="Arial" w:cs="Arial"/>
          <w:sz w:val="20"/>
          <w:szCs w:val="20"/>
          <w:lang w:val="en-US"/>
        </w:rPr>
        <w:t xml:space="preserve"> urge ESMA to take into account the gathered views in the 2020 transparency calculations.</w:t>
      </w:r>
    </w:p>
    <w:p w14:paraId="27D13267" w14:textId="078AEEF1" w:rsidR="003E2129" w:rsidRPr="00013D66" w:rsidRDefault="003E2129" w:rsidP="003E2129">
      <w:pPr>
        <w:jc w:val="both"/>
        <w:rPr>
          <w:rFonts w:ascii="Arial" w:hAnsi="Arial" w:cs="Arial"/>
          <w:b/>
          <w:sz w:val="20"/>
          <w:szCs w:val="20"/>
          <w:lang w:val="en-US"/>
        </w:rPr>
      </w:pPr>
      <w:r w:rsidRPr="00013D66">
        <w:rPr>
          <w:rFonts w:ascii="Arial" w:hAnsi="Arial" w:cs="Arial"/>
          <w:sz w:val="20"/>
          <w:szCs w:val="20"/>
          <w:lang w:val="en-US"/>
        </w:rPr>
        <w:t>IL thresholds are determined on the basis of the average traded daily notional amount (</w:t>
      </w:r>
      <w:r w:rsidR="00782BF4">
        <w:rPr>
          <w:rFonts w:ascii="Arial" w:hAnsi="Arial" w:cs="Arial"/>
          <w:sz w:val="20"/>
          <w:szCs w:val="20"/>
          <w:lang w:val="en-US"/>
        </w:rPr>
        <w:t xml:space="preserve">ADNA, </w:t>
      </w:r>
      <w:r w:rsidRPr="00013D66">
        <w:rPr>
          <w:rFonts w:ascii="Arial" w:hAnsi="Arial" w:cs="Arial"/>
          <w:sz w:val="20"/>
          <w:szCs w:val="20"/>
          <w:lang w:val="en-US"/>
        </w:rPr>
        <w:t>or average daily amount in case of emission markets). However, this current calibration methodology does not reflect the market reality.</w:t>
      </w:r>
      <w:r w:rsidRPr="00013D66">
        <w:rPr>
          <w:rFonts w:ascii="Arial" w:hAnsi="Arial" w:cs="Arial"/>
          <w:b/>
          <w:sz w:val="20"/>
          <w:szCs w:val="20"/>
          <w:lang w:val="en-US"/>
        </w:rPr>
        <w:t xml:space="preserve"> </w:t>
      </w:r>
      <w:r w:rsidR="00710664">
        <w:rPr>
          <w:rFonts w:ascii="Arial" w:hAnsi="Arial" w:cs="Arial"/>
          <w:sz w:val="20"/>
          <w:szCs w:val="20"/>
          <w:lang w:val="en-US"/>
        </w:rPr>
        <w:t>Consequently, we propose to replace the current RTS methodology for calculation IL (as well as LIS) waiver thresholds for commodity derivatives in line with the below suggestions. These should be read in combination with the principles for a workable methodology we highlight in Q31</w:t>
      </w:r>
      <w:r w:rsidR="008C0BFC">
        <w:rPr>
          <w:rFonts w:ascii="Arial" w:hAnsi="Arial" w:cs="Arial"/>
          <w:sz w:val="20"/>
          <w:szCs w:val="20"/>
          <w:lang w:val="en-US"/>
        </w:rPr>
        <w:t>.</w:t>
      </w:r>
    </w:p>
    <w:p w14:paraId="2918AB44" w14:textId="43EFF801" w:rsidR="003E2129" w:rsidRPr="00013D66" w:rsidRDefault="003E2129" w:rsidP="003E2129">
      <w:pPr>
        <w:jc w:val="both"/>
        <w:rPr>
          <w:rFonts w:ascii="Arial" w:hAnsi="Arial" w:cs="Arial"/>
          <w:sz w:val="20"/>
          <w:szCs w:val="20"/>
          <w:lang w:val="en-US"/>
        </w:rPr>
      </w:pPr>
      <w:r w:rsidRPr="00013D66">
        <w:rPr>
          <w:rFonts w:ascii="Arial" w:hAnsi="Arial" w:cs="Arial"/>
          <w:sz w:val="20"/>
          <w:szCs w:val="20"/>
          <w:lang w:val="en-US"/>
        </w:rPr>
        <w:t xml:space="preserve">First, in order for a market to be considered liquid, a sufficiently high number of trades should be executed on each trading day. We therefore recommend that the thresholds should be set at the median of 100 transactions per day instead of the current average of 10. This represents an average of approximately 1 trade in every 5 minutes on an 8-hour trading day. In contrast, a threshold of 10 trades represents just 1.23 trades per hour. Given that trading is rarely uniformly distributed throughout the day, the higher threshold is a better basis for determining liquidity, and thus indication of the ability to find a counterparty in a relatively short period of time within a given trading day. </w:t>
      </w:r>
    </w:p>
    <w:p w14:paraId="6894A4F9" w14:textId="77777777" w:rsidR="003E2129" w:rsidRPr="00013D66" w:rsidRDefault="003E2129" w:rsidP="003E2129">
      <w:pPr>
        <w:jc w:val="both"/>
        <w:rPr>
          <w:rFonts w:ascii="Arial" w:hAnsi="Arial" w:cs="Arial"/>
          <w:sz w:val="20"/>
          <w:szCs w:val="20"/>
          <w:lang w:val="en-US"/>
        </w:rPr>
      </w:pPr>
      <w:r w:rsidRPr="00013D66">
        <w:rPr>
          <w:rFonts w:ascii="Arial" w:hAnsi="Arial" w:cs="Arial"/>
          <w:sz w:val="20"/>
          <w:szCs w:val="20"/>
          <w:lang w:val="en-US"/>
        </w:rPr>
        <w:t xml:space="preserve">Second, ADNA does not automatically reflect a large number of trades, and thus a high level of liquidity. We suggest to rather look at trade frequency and standard size to determine liquidity, excluding unrelated vectors such as price and currency. </w:t>
      </w:r>
    </w:p>
    <w:p w14:paraId="3DC2D9F7" w14:textId="00178873" w:rsidR="003E2129" w:rsidRPr="00013D66" w:rsidRDefault="003E2129" w:rsidP="003E2129">
      <w:pPr>
        <w:jc w:val="both"/>
        <w:rPr>
          <w:rFonts w:ascii="Arial" w:eastAsia="Times New Roman" w:hAnsi="Arial" w:cs="Arial"/>
          <w:sz w:val="20"/>
          <w:szCs w:val="20"/>
          <w:lang w:val="en-US" w:eastAsia="de-DE"/>
        </w:rPr>
      </w:pPr>
      <w:r w:rsidRPr="00013D66">
        <w:rPr>
          <w:rFonts w:ascii="Arial" w:hAnsi="Arial" w:cs="Arial"/>
          <w:sz w:val="20"/>
          <w:szCs w:val="20"/>
          <w:lang w:val="en-US"/>
        </w:rPr>
        <w:t xml:space="preserve">Thirdly, commodity trading venues and market participants </w:t>
      </w:r>
      <w:r w:rsidR="00B00771">
        <w:rPr>
          <w:rFonts w:ascii="Arial" w:hAnsi="Arial" w:cs="Arial"/>
          <w:sz w:val="20"/>
          <w:szCs w:val="20"/>
          <w:lang w:val="en-US"/>
        </w:rPr>
        <w:t>might</w:t>
      </w:r>
      <w:r w:rsidRPr="00013D66">
        <w:rPr>
          <w:rFonts w:ascii="Arial" w:hAnsi="Arial" w:cs="Arial"/>
          <w:sz w:val="20"/>
          <w:szCs w:val="20"/>
          <w:lang w:val="en-US"/>
        </w:rPr>
        <w:t xml:space="preserve"> also </w:t>
      </w:r>
      <w:r w:rsidR="00B00771">
        <w:rPr>
          <w:rFonts w:ascii="Arial" w:hAnsi="Arial" w:cs="Arial"/>
          <w:sz w:val="20"/>
          <w:szCs w:val="20"/>
          <w:lang w:val="en-US"/>
        </w:rPr>
        <w:t xml:space="preserve">be </w:t>
      </w:r>
      <w:r w:rsidRPr="00013D66">
        <w:rPr>
          <w:rFonts w:ascii="Arial" w:hAnsi="Arial" w:cs="Arial"/>
          <w:sz w:val="20"/>
          <w:szCs w:val="20"/>
          <w:lang w:val="en-US"/>
        </w:rPr>
        <w:t xml:space="preserve">challenged by the fact that the thresholds are set in Euros instead of lots. </w:t>
      </w:r>
      <w:r w:rsidR="00DC1047">
        <w:rPr>
          <w:rFonts w:ascii="Arial" w:hAnsi="Arial" w:cs="Arial"/>
          <w:sz w:val="20"/>
          <w:szCs w:val="20"/>
          <w:lang w:val="en-US"/>
        </w:rPr>
        <w:t>For what is concerns cash-settled financial derivatives, such as for example the Eurex BCOM Index Futures and Options, the base quantity unit is indeed the currency (usually EUR or USD), while for the majority of commodity derivatives contracts rather lots appear to be the most sensitive approach to set the base quantity unit. For these</w:t>
      </w:r>
      <w:r w:rsidR="00071BAB">
        <w:rPr>
          <w:rFonts w:ascii="Arial" w:hAnsi="Arial" w:cs="Arial"/>
          <w:sz w:val="20"/>
          <w:szCs w:val="20"/>
          <w:lang w:val="en-US"/>
        </w:rPr>
        <w:t xml:space="preserve"> commodity derivatives contracts, </w:t>
      </w:r>
      <w:r w:rsidR="004330B6">
        <w:rPr>
          <w:rFonts w:ascii="Arial" w:hAnsi="Arial" w:cs="Arial"/>
          <w:sz w:val="20"/>
          <w:szCs w:val="20"/>
          <w:lang w:val="en-US"/>
        </w:rPr>
        <w:t>p</w:t>
      </w:r>
      <w:r w:rsidRPr="00013D66">
        <w:rPr>
          <w:rFonts w:ascii="Arial" w:hAnsi="Arial" w:cs="Arial"/>
          <w:sz w:val="20"/>
          <w:szCs w:val="20"/>
          <w:lang w:val="en-US"/>
        </w:rPr>
        <w:t xml:space="preserve">rices do not determine liquidity of a market and notional values do not reflect trading practice. Notional values include </w:t>
      </w:r>
      <w:r w:rsidRPr="00013D66">
        <w:rPr>
          <w:rFonts w:ascii="Arial" w:hAnsi="Arial" w:cs="Arial"/>
          <w:sz w:val="20"/>
          <w:szCs w:val="20"/>
          <w:lang w:val="en-US"/>
        </w:rPr>
        <w:lastRenderedPageBreak/>
        <w:t xml:space="preserve">a significant amount of ‘noise’ to an analysis of market liquidity. Moreover, market participants typically hedge their production and consumption in trading in lots and not in notional value. Thus, we recommend that liquidity analysis is </w:t>
      </w:r>
      <w:proofErr w:type="spellStart"/>
      <w:r w:rsidRPr="00013D66">
        <w:rPr>
          <w:rFonts w:ascii="Arial" w:hAnsi="Arial" w:cs="Arial"/>
          <w:sz w:val="20"/>
          <w:szCs w:val="20"/>
          <w:lang w:val="en-US"/>
        </w:rPr>
        <w:t>normalised</w:t>
      </w:r>
      <w:proofErr w:type="spellEnd"/>
      <w:r w:rsidRPr="00013D66">
        <w:rPr>
          <w:rFonts w:ascii="Arial" w:hAnsi="Arial" w:cs="Arial"/>
          <w:sz w:val="20"/>
          <w:szCs w:val="20"/>
          <w:lang w:val="en-US"/>
        </w:rPr>
        <w:t xml:space="preserve"> to a base quantity unit that is native to the asset class</w:t>
      </w:r>
      <w:r w:rsidR="00DC1047">
        <w:rPr>
          <w:rFonts w:ascii="Arial" w:hAnsi="Arial" w:cs="Arial"/>
          <w:sz w:val="20"/>
          <w:szCs w:val="20"/>
          <w:lang w:val="en-US"/>
        </w:rPr>
        <w:t xml:space="preserve">, allowing for an appropriate treatment of both cash-settled financial derivatives as well as </w:t>
      </w:r>
      <w:r w:rsidR="00087525">
        <w:rPr>
          <w:rFonts w:ascii="Arial" w:hAnsi="Arial" w:cs="Arial"/>
          <w:sz w:val="20"/>
          <w:szCs w:val="20"/>
          <w:lang w:val="en-US"/>
        </w:rPr>
        <w:t xml:space="preserve">the majority of </w:t>
      </w:r>
      <w:r w:rsidR="00DC1047">
        <w:rPr>
          <w:rFonts w:ascii="Arial" w:hAnsi="Arial" w:cs="Arial"/>
          <w:sz w:val="20"/>
          <w:szCs w:val="20"/>
          <w:lang w:val="en-US"/>
        </w:rPr>
        <w:t>commodity derivatives contracts</w:t>
      </w:r>
      <w:r w:rsidRPr="00013D66">
        <w:rPr>
          <w:rFonts w:ascii="Arial" w:hAnsi="Arial" w:cs="Arial"/>
          <w:sz w:val="20"/>
          <w:szCs w:val="20"/>
          <w:lang w:val="en-US"/>
        </w:rPr>
        <w:t>.</w:t>
      </w:r>
      <w:r w:rsidR="00071BAB">
        <w:rPr>
          <w:rFonts w:ascii="Arial" w:hAnsi="Arial" w:cs="Arial"/>
          <w:sz w:val="20"/>
          <w:szCs w:val="20"/>
          <w:lang w:val="en-US"/>
        </w:rPr>
        <w:t xml:space="preserve"> </w:t>
      </w:r>
    </w:p>
    <w:p w14:paraId="2C9181F1"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&lt;ESMA_QUESTION_CP_MIFID_NQT_29&gt;</w:t>
      </w:r>
    </w:p>
    <w:p w14:paraId="6532D80F"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6A97ABA9" w14:textId="77777777"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p>
    <w:p w14:paraId="57A16808"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&lt;ESMA_QUESTION_CP_MIFID_NQT_30&gt;</w:t>
      </w:r>
    </w:p>
    <w:p w14:paraId="4F62C3CF" w14:textId="5E290952" w:rsidR="000B7A6A" w:rsidRPr="00013D66" w:rsidRDefault="000B7A6A" w:rsidP="00C86F2E">
      <w:pPr>
        <w:jc w:val="both"/>
        <w:rPr>
          <w:rFonts w:ascii="Arial" w:hAnsi="Arial" w:cs="Arial"/>
          <w:sz w:val="20"/>
          <w:szCs w:val="20"/>
          <w:lang w:val="en-GB" w:eastAsia="de-DE"/>
        </w:rPr>
      </w:pPr>
      <w:r w:rsidRPr="00013D66">
        <w:rPr>
          <w:rFonts w:ascii="Arial" w:hAnsi="Arial" w:cs="Arial"/>
          <w:sz w:val="20"/>
          <w:szCs w:val="20"/>
          <w:lang w:val="en-GB" w:eastAsia="de-DE"/>
        </w:rPr>
        <w:t>We welcome ESMA’s initiative to consolidate and streamline liquidity segmentation criteria in RTS 2. For the sake of regulatory consistency, we propose to put particular focus on phasing out the usage of sub product categories of RTS 23 (meant for reference data) for the further specification of the underlying energy of commodity derivatives. The fact that no legal link had been in place between RTS 2 and the sub</w:t>
      </w:r>
      <w:r w:rsidR="00C93F81">
        <w:rPr>
          <w:rFonts w:ascii="Arial" w:hAnsi="Arial" w:cs="Arial"/>
          <w:sz w:val="20"/>
          <w:szCs w:val="20"/>
          <w:lang w:val="en-GB" w:eastAsia="de-DE"/>
        </w:rPr>
        <w:t>-</w:t>
      </w:r>
      <w:r w:rsidRPr="00013D66">
        <w:rPr>
          <w:rFonts w:ascii="Arial" w:hAnsi="Arial" w:cs="Arial"/>
          <w:sz w:val="20"/>
          <w:szCs w:val="20"/>
          <w:lang w:val="en-GB" w:eastAsia="de-DE"/>
        </w:rPr>
        <w:t>categories of RTS 23 has in our eyes led to inconsistency and confusion in the market.</w:t>
      </w:r>
    </w:p>
    <w:p w14:paraId="3A6EFA3A" w14:textId="79A1C82F" w:rsidR="000B7A6A" w:rsidRPr="00013D66" w:rsidRDefault="000B7A6A" w:rsidP="00C86F2E">
      <w:pPr>
        <w:jc w:val="both"/>
        <w:rPr>
          <w:rFonts w:ascii="Arial" w:hAnsi="Arial" w:cs="Arial"/>
          <w:sz w:val="20"/>
          <w:szCs w:val="20"/>
          <w:lang w:val="en-GB" w:eastAsia="de-DE"/>
        </w:rPr>
      </w:pPr>
      <w:r w:rsidRPr="00013D66">
        <w:rPr>
          <w:rFonts w:ascii="Arial" w:hAnsi="Arial" w:cs="Arial"/>
          <w:sz w:val="20"/>
          <w:szCs w:val="20"/>
          <w:lang w:val="en-GB" w:eastAsia="de-DE"/>
        </w:rPr>
        <w:t xml:space="preserve">We do support proposals SC1 and SC2 for the added benefit of harmonisation they would provide, both in making the data for different commodity classes more comparable and harmonising data from different venues. While we do feel that extending the use of “delivery/cash settlement location” from energy to other classes makes sense, we do want to stress that this can only be achieved with significant guidance. Whereas the change from using “market area” (or rather, hub) for gas seems feasible, this is not comparable to freight or emission allowances, where a completely different approach is used today. In addition, implementation costs need to be </w:t>
      </w:r>
      <w:proofErr w:type="gramStart"/>
      <w:r w:rsidRPr="00013D66">
        <w:rPr>
          <w:rFonts w:ascii="Arial" w:hAnsi="Arial" w:cs="Arial"/>
          <w:sz w:val="20"/>
          <w:szCs w:val="20"/>
          <w:lang w:val="en-GB" w:eastAsia="de-DE"/>
        </w:rPr>
        <w:t>taken into account</w:t>
      </w:r>
      <w:proofErr w:type="gramEnd"/>
      <w:r w:rsidRPr="00013D66">
        <w:rPr>
          <w:rFonts w:ascii="Arial" w:hAnsi="Arial" w:cs="Arial"/>
          <w:sz w:val="20"/>
          <w:szCs w:val="20"/>
          <w:lang w:val="en-GB" w:eastAsia="de-DE"/>
        </w:rPr>
        <w:t xml:space="preserve">, as it would require significant IT efforts to set new values in the system and adapting the software for processing of such values. Therefore, we strongly recommend </w:t>
      </w:r>
      <w:proofErr w:type="gramStart"/>
      <w:r w:rsidRPr="00013D66">
        <w:rPr>
          <w:rFonts w:ascii="Arial" w:hAnsi="Arial" w:cs="Arial"/>
          <w:sz w:val="20"/>
          <w:szCs w:val="20"/>
          <w:lang w:val="en-GB" w:eastAsia="de-DE"/>
        </w:rPr>
        <w:t>to set</w:t>
      </w:r>
      <w:proofErr w:type="gramEnd"/>
      <w:r w:rsidRPr="00013D66">
        <w:rPr>
          <w:rFonts w:ascii="Arial" w:hAnsi="Arial" w:cs="Arial"/>
          <w:sz w:val="20"/>
          <w:szCs w:val="20"/>
          <w:lang w:val="en-GB" w:eastAsia="de-DE"/>
        </w:rPr>
        <w:t xml:space="preserve"> a generous timeline </w:t>
      </w:r>
      <w:r w:rsidR="00237602">
        <w:rPr>
          <w:rFonts w:ascii="Arial" w:hAnsi="Arial" w:cs="Arial"/>
          <w:sz w:val="20"/>
          <w:szCs w:val="20"/>
          <w:lang w:val="en-GB" w:eastAsia="de-DE"/>
        </w:rPr>
        <w:t xml:space="preserve">and </w:t>
      </w:r>
      <w:r w:rsidRPr="00013D66">
        <w:rPr>
          <w:rFonts w:ascii="Arial" w:hAnsi="Arial" w:cs="Arial"/>
          <w:sz w:val="20"/>
          <w:szCs w:val="20"/>
          <w:lang w:val="en-GB" w:eastAsia="de-DE"/>
        </w:rPr>
        <w:t xml:space="preserve">work solely in a forward-looking way, without historical changes. </w:t>
      </w:r>
    </w:p>
    <w:p w14:paraId="39C7B863" w14:textId="3A322B11" w:rsidR="003E2129" w:rsidRPr="00013D66" w:rsidRDefault="000B7A6A" w:rsidP="00C86F2E">
      <w:pPr>
        <w:jc w:val="both"/>
        <w:rPr>
          <w:rFonts w:ascii="Arial" w:hAnsi="Arial" w:cs="Arial"/>
          <w:sz w:val="20"/>
          <w:szCs w:val="20"/>
          <w:lang w:val="en-GB" w:eastAsia="de-DE"/>
        </w:rPr>
      </w:pPr>
      <w:r w:rsidRPr="00013D66">
        <w:rPr>
          <w:rFonts w:ascii="Arial" w:hAnsi="Arial" w:cs="Arial"/>
          <w:sz w:val="20"/>
          <w:szCs w:val="20"/>
          <w:lang w:val="en-GB" w:eastAsia="de-DE"/>
        </w:rPr>
        <w:t>We do not support proposal SC3, as introducing a new field (instead of adapting the currently available, as proposed in SC1 and SC2) would result in a change in file structure and would in turn make a costly adaption of our trading system to these new parameters necessary. In light of implementation costs</w:t>
      </w:r>
      <w:r w:rsidR="00C86F2E" w:rsidRPr="00013D66">
        <w:rPr>
          <w:rFonts w:ascii="Arial" w:hAnsi="Arial" w:cs="Arial"/>
          <w:sz w:val="20"/>
          <w:szCs w:val="20"/>
          <w:lang w:val="en-GB" w:eastAsia="de-DE"/>
        </w:rPr>
        <w:t xml:space="preserve">, </w:t>
      </w:r>
      <w:r w:rsidRPr="00013D66">
        <w:rPr>
          <w:rFonts w:ascii="Arial" w:hAnsi="Arial" w:cs="Arial"/>
          <w:sz w:val="20"/>
          <w:szCs w:val="20"/>
          <w:lang w:val="en-GB" w:eastAsia="de-DE"/>
        </w:rPr>
        <w:t>we do not find SC3 to be a sensible way forward to reach the desired degree of harmonisation.</w:t>
      </w:r>
    </w:p>
    <w:p w14:paraId="23B3E7DB" w14:textId="5327FF55" w:rsidR="00C93F81" w:rsidRDefault="00C86F2E" w:rsidP="002F514D">
      <w:pPr>
        <w:jc w:val="both"/>
        <w:rPr>
          <w:rFonts w:ascii="Arial" w:hAnsi="Arial" w:cs="Arial"/>
          <w:sz w:val="20"/>
          <w:szCs w:val="20"/>
          <w:lang w:val="en-GB" w:eastAsia="de-DE"/>
        </w:rPr>
      </w:pPr>
      <w:r w:rsidRPr="00013D66">
        <w:rPr>
          <w:rFonts w:ascii="Arial" w:hAnsi="Arial" w:cs="Arial"/>
          <w:sz w:val="20"/>
          <w:szCs w:val="20"/>
          <w:lang w:val="en-GB" w:eastAsia="de-DE"/>
        </w:rPr>
        <w:t>More importantly and i</w:t>
      </w:r>
      <w:r w:rsidR="003E2129" w:rsidRPr="00013D66">
        <w:rPr>
          <w:rFonts w:ascii="Arial" w:hAnsi="Arial" w:cs="Arial"/>
          <w:sz w:val="20"/>
          <w:szCs w:val="20"/>
          <w:lang w:val="en-GB" w:eastAsia="de-DE"/>
        </w:rPr>
        <w:t xml:space="preserve">n addition to the proposals put forward by ESMA, we also want to reiterate our proposal to separate liquidity assessments by trading venue. Although the </w:t>
      </w:r>
      <w:r w:rsidR="00C93F81">
        <w:rPr>
          <w:rFonts w:ascii="Arial" w:hAnsi="Arial" w:cs="Arial"/>
          <w:sz w:val="20"/>
          <w:szCs w:val="20"/>
          <w:lang w:val="en-GB" w:eastAsia="de-DE"/>
        </w:rPr>
        <w:t>IL</w:t>
      </w:r>
      <w:r w:rsidR="003E2129" w:rsidRPr="00013D66">
        <w:rPr>
          <w:rFonts w:ascii="Arial" w:hAnsi="Arial" w:cs="Arial"/>
          <w:sz w:val="20"/>
          <w:szCs w:val="20"/>
          <w:lang w:val="en-GB" w:eastAsia="de-DE"/>
        </w:rPr>
        <w:t xml:space="preserve"> waiver is intended to protect new and illiquid markets, accumulating liquidity across exchanges defeats this purpose. We do not think a liquidity assessment accurately reflects market conditions if an instrument is considered liquid on one venue (although liquidity is low) just because it has been found to be liquid on another venue. This makes it practically impossible </w:t>
      </w:r>
      <w:r w:rsidR="00237602">
        <w:rPr>
          <w:rFonts w:ascii="Arial" w:hAnsi="Arial" w:cs="Arial"/>
          <w:sz w:val="20"/>
          <w:szCs w:val="20"/>
          <w:lang w:val="en-GB" w:eastAsia="de-DE"/>
        </w:rPr>
        <w:t xml:space="preserve">for an exchange </w:t>
      </w:r>
      <w:r w:rsidR="003E2129" w:rsidRPr="00013D66">
        <w:rPr>
          <w:rFonts w:ascii="Arial" w:hAnsi="Arial" w:cs="Arial"/>
          <w:sz w:val="20"/>
          <w:szCs w:val="20"/>
          <w:lang w:val="en-GB" w:eastAsia="de-DE"/>
        </w:rPr>
        <w:t>to launch a new contract</w:t>
      </w:r>
      <w:r w:rsidR="00237602">
        <w:rPr>
          <w:rFonts w:ascii="Arial" w:hAnsi="Arial" w:cs="Arial"/>
          <w:sz w:val="20"/>
          <w:szCs w:val="20"/>
          <w:lang w:val="en-GB" w:eastAsia="de-DE"/>
        </w:rPr>
        <w:t xml:space="preserve"> (or even to launch a new type of contract, depending on the granularity used for the liquidity assessment)</w:t>
      </w:r>
      <w:r w:rsidR="003E2129" w:rsidRPr="00013D66">
        <w:rPr>
          <w:rFonts w:ascii="Arial" w:hAnsi="Arial" w:cs="Arial"/>
          <w:sz w:val="20"/>
          <w:szCs w:val="20"/>
          <w:lang w:val="en-GB" w:eastAsia="de-DE"/>
        </w:rPr>
        <w:t xml:space="preserve"> that is already liquid on another exchange. </w:t>
      </w:r>
    </w:p>
    <w:p w14:paraId="1591296C" w14:textId="675785C6" w:rsidR="001D503E" w:rsidRPr="00013D66" w:rsidRDefault="001D503E" w:rsidP="002F514D">
      <w:pPr>
        <w:jc w:val="both"/>
        <w:rPr>
          <w:rFonts w:ascii="Arial" w:hAnsi="Arial" w:cs="Arial"/>
          <w:sz w:val="20"/>
          <w:szCs w:val="20"/>
          <w:lang w:val="en-GB" w:eastAsia="de-DE"/>
        </w:rPr>
      </w:pPr>
      <w:r w:rsidRPr="00013D66">
        <w:rPr>
          <w:rFonts w:ascii="Arial" w:eastAsia="Times New Roman" w:hAnsi="Arial" w:cs="Arial"/>
          <w:sz w:val="20"/>
          <w:szCs w:val="24"/>
          <w:lang w:val="en-GB" w:eastAsia="de-DE"/>
        </w:rPr>
        <w:t>&lt;ESMA_QUESTION_CP_MIFID_NQT_30&gt;</w:t>
      </w:r>
    </w:p>
    <w:p w14:paraId="7CEED3FF" w14:textId="77777777" w:rsidR="001D503E" w:rsidRPr="00013D66" w:rsidRDefault="001D503E" w:rsidP="001D503E">
      <w:pPr>
        <w:spacing w:after="0" w:line="240" w:lineRule="auto"/>
        <w:rPr>
          <w:rFonts w:ascii="Arial" w:eastAsia="Times New Roman" w:hAnsi="Arial" w:cs="Arial"/>
          <w:sz w:val="20"/>
          <w:szCs w:val="24"/>
          <w:lang w:val="en-GB" w:eastAsia="de-DE"/>
        </w:rPr>
      </w:pPr>
    </w:p>
    <w:p w14:paraId="7147CD94" w14:textId="6F47DC5B" w:rsidR="001D503E" w:rsidRPr="00013D66" w:rsidRDefault="001D503E" w:rsidP="001D503E">
      <w:pPr>
        <w:pStyle w:val="Listenabsatz"/>
        <w:numPr>
          <w:ilvl w:val="0"/>
          <w:numId w:val="3"/>
        </w:numPr>
        <w:spacing w:before="250" w:after="250" w:line="276" w:lineRule="auto"/>
        <w:jc w:val="both"/>
        <w:rPr>
          <w:rFonts w:ascii="Arial" w:eastAsia="Times New Roman" w:hAnsi="Arial" w:cs="Arial"/>
          <w:b/>
          <w:szCs w:val="20"/>
          <w:lang w:val="en-GB"/>
        </w:rPr>
      </w:pPr>
      <w:r w:rsidRPr="00013D66">
        <w:rPr>
          <w:rFonts w:ascii="Arial" w:eastAsia="Times New Roman" w:hAnsi="Arial" w:cs="Arial"/>
          <w:b/>
          <w:szCs w:val="20"/>
          <w:lang w:val="en-GB"/>
        </w:rPr>
        <w:t xml:space="preserve">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w:t>
      </w:r>
      <w:r w:rsidRPr="00013D66">
        <w:rPr>
          <w:rFonts w:ascii="Arial" w:eastAsia="Times New Roman" w:hAnsi="Arial" w:cs="Arial"/>
          <w:b/>
          <w:szCs w:val="20"/>
          <w:lang w:val="en-GB"/>
        </w:rPr>
        <w:lastRenderedPageBreak/>
        <w:t>using a different metric for the liquidity criteria)? Please justify your views and proposals with quantitative elements where available.</w:t>
      </w:r>
    </w:p>
    <w:p w14:paraId="6AA68EFD" w14:textId="77777777" w:rsidR="001D503E" w:rsidRPr="00013D66" w:rsidRDefault="001D503E" w:rsidP="001D503E">
      <w:pPr>
        <w:spacing w:after="0" w:line="240" w:lineRule="auto"/>
        <w:rPr>
          <w:rFonts w:ascii="Arial" w:eastAsia="Times New Roman" w:hAnsi="Arial" w:cs="Arial"/>
          <w:sz w:val="20"/>
          <w:szCs w:val="24"/>
          <w:lang w:val="en-GB" w:eastAsia="de-DE"/>
        </w:rPr>
      </w:pPr>
      <w:r w:rsidRPr="00013D66">
        <w:rPr>
          <w:rFonts w:ascii="Arial" w:eastAsia="Times New Roman" w:hAnsi="Arial" w:cs="Arial"/>
          <w:sz w:val="20"/>
          <w:szCs w:val="24"/>
          <w:lang w:val="en-GB" w:eastAsia="de-DE"/>
        </w:rPr>
        <w:t>&lt;ESMA_QUESTION_CP_MIFID_NQT_31&gt;</w:t>
      </w:r>
    </w:p>
    <w:p w14:paraId="26FCF7EE" w14:textId="14335BA7" w:rsidR="00E80005" w:rsidRPr="00013D66" w:rsidRDefault="00E80005" w:rsidP="00E80005">
      <w:pPr>
        <w:jc w:val="both"/>
        <w:rPr>
          <w:rFonts w:ascii="Arial" w:hAnsi="Arial" w:cs="Arial"/>
          <w:sz w:val="20"/>
          <w:szCs w:val="20"/>
          <w:lang w:val="en-US"/>
        </w:rPr>
      </w:pPr>
      <w:r w:rsidRPr="00013D66">
        <w:rPr>
          <w:rFonts w:ascii="Arial" w:hAnsi="Arial" w:cs="Arial"/>
          <w:sz w:val="20"/>
          <w:szCs w:val="20"/>
          <w:lang w:val="en-US"/>
        </w:rPr>
        <w:t xml:space="preserve">As elaborated on in our response to Q1, trade registration is an important way to allow transactions in illiquid/nascent markets </w:t>
      </w:r>
      <w:r w:rsidR="007D6832">
        <w:rPr>
          <w:rFonts w:ascii="Arial" w:hAnsi="Arial" w:cs="Arial"/>
          <w:sz w:val="20"/>
          <w:szCs w:val="20"/>
          <w:lang w:val="en-US"/>
        </w:rPr>
        <w:t xml:space="preserve">to be executed </w:t>
      </w:r>
      <w:r w:rsidRPr="00013D66">
        <w:rPr>
          <w:rFonts w:ascii="Arial" w:hAnsi="Arial" w:cs="Arial"/>
          <w:sz w:val="20"/>
          <w:szCs w:val="20"/>
          <w:lang w:val="en-US"/>
        </w:rPr>
        <w:t>in the most transparent way.</w:t>
      </w:r>
      <w:r w:rsidR="007D6832">
        <w:rPr>
          <w:rFonts w:ascii="Arial" w:hAnsi="Arial" w:cs="Arial"/>
          <w:sz w:val="20"/>
          <w:szCs w:val="20"/>
          <w:lang w:val="en-US"/>
        </w:rPr>
        <w:t xml:space="preserve"> T</w:t>
      </w:r>
      <w:r w:rsidRPr="00013D66">
        <w:rPr>
          <w:rFonts w:ascii="Arial" w:hAnsi="Arial" w:cs="Arial"/>
          <w:sz w:val="20"/>
          <w:szCs w:val="20"/>
          <w:lang w:val="en-US"/>
        </w:rPr>
        <w:t xml:space="preserve">oo high LIS thresholds could lead market participants to revert to more bilateral trading outside transparent and supervised venues and outside CCP clearing. To avoid this from happening and to allow for a more natural move to on venue trading, the current methodology for setting the LIS thresholds should be replaced by a more appropriately tailored and market-based approach. </w:t>
      </w:r>
    </w:p>
    <w:p w14:paraId="4AE1FAC8" w14:textId="7F854A19" w:rsidR="00710664" w:rsidRPr="00013D66" w:rsidRDefault="00710664" w:rsidP="00E80005">
      <w:pPr>
        <w:jc w:val="both"/>
        <w:rPr>
          <w:rFonts w:ascii="Arial" w:hAnsi="Arial" w:cs="Arial"/>
          <w:sz w:val="20"/>
          <w:szCs w:val="20"/>
          <w:lang w:val="en-US"/>
        </w:rPr>
      </w:pPr>
      <w:r>
        <w:rPr>
          <w:rFonts w:ascii="Arial" w:hAnsi="Arial" w:cs="Arial"/>
          <w:sz w:val="20"/>
          <w:szCs w:val="20"/>
          <w:lang w:val="en-US"/>
        </w:rPr>
        <w:t xml:space="preserve">The LIS calculation is based on a threshold floor expressed as notional trade value in a given sub-asset class and the trade size which lies below the percentage of transactions corresponding to the trade percentile specified in the RTS for this sub-asset class. However, this methodology has proven </w:t>
      </w:r>
      <w:r w:rsidR="008C0BFC">
        <w:rPr>
          <w:rFonts w:ascii="Arial" w:hAnsi="Arial" w:cs="Arial"/>
          <w:sz w:val="20"/>
          <w:szCs w:val="20"/>
          <w:lang w:val="en-US"/>
        </w:rPr>
        <w:t>to be flawed</w:t>
      </w:r>
      <w:r>
        <w:rPr>
          <w:rFonts w:ascii="Arial" w:hAnsi="Arial" w:cs="Arial"/>
          <w:sz w:val="20"/>
          <w:szCs w:val="20"/>
          <w:lang w:val="en-US"/>
        </w:rPr>
        <w:t xml:space="preserve"> in practice, particularly with respect to energy commodity derivatives. Therefore, we suggest a reviewed methodology for which we emphasize key principles below:</w:t>
      </w:r>
    </w:p>
    <w:p w14:paraId="709923E4" w14:textId="114FDBBB" w:rsidR="008C0BFC" w:rsidRDefault="008C0BFC" w:rsidP="00E80005">
      <w:pPr>
        <w:jc w:val="both"/>
        <w:rPr>
          <w:rFonts w:ascii="Arial" w:hAnsi="Arial" w:cs="Arial"/>
          <w:sz w:val="20"/>
          <w:szCs w:val="20"/>
          <w:lang w:val="en-US"/>
        </w:rPr>
      </w:pPr>
      <w:r>
        <w:rPr>
          <w:rFonts w:ascii="Arial" w:hAnsi="Arial" w:cs="Arial"/>
          <w:sz w:val="20"/>
          <w:szCs w:val="20"/>
          <w:lang w:val="en-US"/>
        </w:rPr>
        <w:t>First, w</w:t>
      </w:r>
      <w:r w:rsidR="00E80005" w:rsidRPr="00013D66">
        <w:rPr>
          <w:rFonts w:ascii="Arial" w:hAnsi="Arial" w:cs="Arial"/>
          <w:sz w:val="20"/>
          <w:szCs w:val="20"/>
          <w:lang w:val="en-US"/>
        </w:rPr>
        <w:t xml:space="preserve">e welcome ESMA’s assessment on the counterintuitive effects arising from the current percentile approach. </w:t>
      </w:r>
      <w:r>
        <w:rPr>
          <w:rFonts w:ascii="Arial" w:hAnsi="Arial" w:cs="Arial"/>
          <w:sz w:val="20"/>
          <w:szCs w:val="20"/>
          <w:lang w:val="en-US"/>
        </w:rPr>
        <w:t xml:space="preserve">The results of this approach would imply that instruments with a low liquidity can support higher LIS levels that highly liquid instruments – when in fact the opposite is true. </w:t>
      </w:r>
      <w:r w:rsidR="00E80005" w:rsidRPr="00013D66">
        <w:rPr>
          <w:rFonts w:ascii="Arial" w:hAnsi="Arial" w:cs="Arial"/>
          <w:sz w:val="20"/>
          <w:szCs w:val="20"/>
          <w:lang w:val="en-US"/>
        </w:rPr>
        <w:t xml:space="preserve">We therefore suggest </w:t>
      </w:r>
      <w:r w:rsidR="00C93F81">
        <w:rPr>
          <w:rFonts w:ascii="Arial" w:hAnsi="Arial" w:cs="Arial"/>
          <w:sz w:val="20"/>
          <w:szCs w:val="20"/>
          <w:lang w:val="en-US"/>
        </w:rPr>
        <w:t>using</w:t>
      </w:r>
      <w:r w:rsidR="00E80005" w:rsidRPr="00013D66">
        <w:rPr>
          <w:rFonts w:ascii="Arial" w:hAnsi="Arial" w:cs="Arial"/>
          <w:sz w:val="20"/>
          <w:szCs w:val="20"/>
          <w:lang w:val="en-US"/>
        </w:rPr>
        <w:t xml:space="preserve"> a scaled</w:t>
      </w:r>
      <w:r w:rsidR="00F47FA1" w:rsidRPr="00013D66">
        <w:rPr>
          <w:rFonts w:ascii="Arial" w:hAnsi="Arial" w:cs="Arial"/>
          <w:sz w:val="20"/>
          <w:szCs w:val="20"/>
          <w:lang w:val="en-US"/>
        </w:rPr>
        <w:t xml:space="preserve"> approach based on variations in the liquidity distribution of the instrument</w:t>
      </w:r>
      <w:r w:rsidR="00E80005" w:rsidRPr="00013D66">
        <w:rPr>
          <w:rFonts w:ascii="Arial" w:hAnsi="Arial" w:cs="Arial"/>
          <w:sz w:val="20"/>
          <w:szCs w:val="20"/>
          <w:lang w:val="en-US"/>
        </w:rPr>
        <w:t xml:space="preserve">. </w:t>
      </w:r>
      <w:r w:rsidR="007D6832">
        <w:rPr>
          <w:rFonts w:ascii="Arial" w:hAnsi="Arial" w:cs="Arial"/>
          <w:sz w:val="20"/>
          <w:szCs w:val="20"/>
          <w:lang w:val="en-US"/>
        </w:rPr>
        <w:t xml:space="preserve">In case the percentile approach is maintained, we suggest adjusting the percentiles. </w:t>
      </w:r>
    </w:p>
    <w:p w14:paraId="549FFD4B" w14:textId="3FAD420A" w:rsidR="00E80005" w:rsidRPr="00013D66" w:rsidRDefault="008C0BFC" w:rsidP="00E80005">
      <w:pPr>
        <w:jc w:val="both"/>
        <w:rPr>
          <w:rFonts w:ascii="Arial" w:hAnsi="Arial" w:cs="Arial"/>
          <w:sz w:val="20"/>
          <w:szCs w:val="20"/>
          <w:lang w:val="en-US"/>
        </w:rPr>
      </w:pPr>
      <w:r>
        <w:rPr>
          <w:rFonts w:ascii="Arial" w:hAnsi="Arial" w:cs="Arial"/>
          <w:sz w:val="20"/>
          <w:szCs w:val="20"/>
          <w:lang w:val="en-US"/>
        </w:rPr>
        <w:t>Second, i</w:t>
      </w:r>
      <w:r w:rsidR="00F47FA1" w:rsidRPr="00013D66">
        <w:rPr>
          <w:rFonts w:ascii="Arial" w:hAnsi="Arial" w:cs="Arial"/>
          <w:sz w:val="20"/>
          <w:szCs w:val="20"/>
          <w:lang w:val="en-US"/>
        </w:rPr>
        <w:t xml:space="preserve">n a similar fashion, for many commodity markets, the minimum threshold of 500.000 EUR is too high and should be decreased significantly. By bringing the LIS value more closely in line with the actual market, the overall negative market impact should be reduced. </w:t>
      </w:r>
      <w:r>
        <w:rPr>
          <w:rFonts w:ascii="Arial" w:hAnsi="Arial" w:cs="Arial"/>
          <w:sz w:val="20"/>
          <w:szCs w:val="20"/>
          <w:lang w:val="en-US"/>
        </w:rPr>
        <w:t>In addition, the use of a euro-denominated minimum floor is inefficient when appl</w:t>
      </w:r>
      <w:r w:rsidR="00D41AFD">
        <w:rPr>
          <w:rFonts w:ascii="Arial" w:hAnsi="Arial" w:cs="Arial"/>
          <w:sz w:val="20"/>
          <w:szCs w:val="20"/>
          <w:lang w:val="en-US"/>
        </w:rPr>
        <w:t>ied</w:t>
      </w:r>
      <w:r>
        <w:rPr>
          <w:rFonts w:ascii="Arial" w:hAnsi="Arial" w:cs="Arial"/>
          <w:sz w:val="20"/>
          <w:szCs w:val="20"/>
          <w:lang w:val="en-US"/>
        </w:rPr>
        <w:t xml:space="preserve"> to energy commodity derivatives. </w:t>
      </w:r>
    </w:p>
    <w:p w14:paraId="48AFD820" w14:textId="4BB019A2" w:rsidR="008C0BFC" w:rsidRDefault="008C0BFC" w:rsidP="00CD798D">
      <w:pPr>
        <w:jc w:val="both"/>
        <w:rPr>
          <w:rFonts w:ascii="Arial" w:eastAsia="Times New Roman" w:hAnsi="Arial" w:cs="Arial"/>
          <w:sz w:val="20"/>
          <w:szCs w:val="20"/>
          <w:lang w:val="en-US"/>
        </w:rPr>
      </w:pPr>
      <w:r>
        <w:rPr>
          <w:rFonts w:ascii="Arial" w:hAnsi="Arial" w:cs="Arial"/>
          <w:sz w:val="20"/>
          <w:szCs w:val="20"/>
          <w:lang w:val="en-US"/>
        </w:rPr>
        <w:t xml:space="preserve">Third, as </w:t>
      </w:r>
      <w:r w:rsidR="00311AEC">
        <w:rPr>
          <w:rFonts w:ascii="Arial" w:hAnsi="Arial" w:cs="Arial"/>
          <w:sz w:val="20"/>
          <w:szCs w:val="20"/>
          <w:lang w:val="en-US"/>
        </w:rPr>
        <w:t>mentioned above,</w:t>
      </w:r>
      <w:r>
        <w:rPr>
          <w:rFonts w:ascii="Arial" w:hAnsi="Arial" w:cs="Arial"/>
          <w:sz w:val="20"/>
          <w:szCs w:val="20"/>
          <w:lang w:val="en-US"/>
        </w:rPr>
        <w:t xml:space="preserve"> c</w:t>
      </w:r>
      <w:r w:rsidR="00E80005" w:rsidRPr="00013D66">
        <w:rPr>
          <w:rFonts w:ascii="Arial" w:hAnsi="Arial" w:cs="Arial"/>
          <w:sz w:val="20"/>
          <w:szCs w:val="20"/>
          <w:lang w:val="en-US"/>
        </w:rPr>
        <w:t xml:space="preserve">ommodity trading venues and market participants </w:t>
      </w:r>
      <w:r w:rsidR="00B00771">
        <w:rPr>
          <w:rFonts w:ascii="Arial" w:hAnsi="Arial" w:cs="Arial"/>
          <w:sz w:val="20"/>
          <w:szCs w:val="20"/>
          <w:lang w:val="en-US"/>
        </w:rPr>
        <w:t>might</w:t>
      </w:r>
      <w:r w:rsidR="00E80005" w:rsidRPr="00013D66">
        <w:rPr>
          <w:rFonts w:ascii="Arial" w:hAnsi="Arial" w:cs="Arial"/>
          <w:sz w:val="20"/>
          <w:szCs w:val="20"/>
          <w:lang w:val="en-US"/>
        </w:rPr>
        <w:t xml:space="preserve"> also </w:t>
      </w:r>
      <w:r w:rsidR="00B00771">
        <w:rPr>
          <w:rFonts w:ascii="Arial" w:hAnsi="Arial" w:cs="Arial"/>
          <w:sz w:val="20"/>
          <w:szCs w:val="20"/>
          <w:lang w:val="en-US"/>
        </w:rPr>
        <w:t xml:space="preserve">be </w:t>
      </w:r>
      <w:r w:rsidR="00E80005" w:rsidRPr="00013D66">
        <w:rPr>
          <w:rFonts w:ascii="Arial" w:hAnsi="Arial" w:cs="Arial"/>
          <w:sz w:val="20"/>
          <w:szCs w:val="20"/>
          <w:lang w:val="en-US"/>
        </w:rPr>
        <w:t xml:space="preserve">challenged by the fact that the LIS thresholds are set in Euros instead of lots. </w:t>
      </w:r>
      <w:r w:rsidR="00DD1A4E">
        <w:rPr>
          <w:rFonts w:ascii="Arial" w:hAnsi="Arial" w:cs="Arial"/>
          <w:sz w:val="20"/>
          <w:szCs w:val="20"/>
          <w:lang w:val="en-US"/>
        </w:rPr>
        <w:t xml:space="preserve">As mentioned in our answer to Q29, for what is concerns cash-settled financial derivatives, such as for example the Eurex BCOM Index Futures and Options, the base quantity unit is indeed the currency (usually EUR or USD), while for the majority of commodity derivatives contracts rather lots appear to be the most sensitive approach. </w:t>
      </w:r>
      <w:r w:rsidR="00E80005" w:rsidRPr="00013D66">
        <w:rPr>
          <w:rFonts w:ascii="Arial" w:hAnsi="Arial" w:cs="Arial"/>
          <w:sz w:val="20"/>
          <w:szCs w:val="20"/>
          <w:lang w:val="en-US"/>
        </w:rPr>
        <w:t xml:space="preserve">Using historical Euro trade values to determine LIS thresholds </w:t>
      </w:r>
      <w:r w:rsidR="00B00771">
        <w:rPr>
          <w:rFonts w:ascii="Arial" w:hAnsi="Arial" w:cs="Arial"/>
          <w:sz w:val="20"/>
          <w:szCs w:val="20"/>
          <w:lang w:val="en-US"/>
        </w:rPr>
        <w:t xml:space="preserve">for these commodity derivatives </w:t>
      </w:r>
      <w:r w:rsidR="00E80005" w:rsidRPr="00013D66">
        <w:rPr>
          <w:rFonts w:ascii="Arial" w:hAnsi="Arial" w:cs="Arial"/>
          <w:sz w:val="20"/>
          <w:szCs w:val="20"/>
          <w:lang w:val="en-US"/>
        </w:rPr>
        <w:t>– instead of the number of traded lots in particular sub-asset classes – has created unintended and disproportionate thresholds that ignore the actual underlying trading behavior</w:t>
      </w:r>
      <w:r w:rsidR="00F47FA1" w:rsidRPr="00013D66">
        <w:rPr>
          <w:rFonts w:ascii="Arial" w:hAnsi="Arial" w:cs="Arial"/>
          <w:sz w:val="20"/>
          <w:szCs w:val="20"/>
          <w:lang w:val="en-US"/>
        </w:rPr>
        <w:t xml:space="preserve">. </w:t>
      </w:r>
      <w:r w:rsidR="00F47FA1" w:rsidRPr="00013D66">
        <w:rPr>
          <w:rFonts w:ascii="Arial" w:eastAsia="Times New Roman" w:hAnsi="Arial" w:cs="Arial"/>
          <w:sz w:val="20"/>
          <w:szCs w:val="20"/>
          <w:lang w:val="en-US"/>
        </w:rPr>
        <w:t xml:space="preserve">Liquidity should therefore not be measured only by using the notional value of the transactions, but a liquidity assessment should be based on a combination of thresholds including measures </w:t>
      </w:r>
      <w:proofErr w:type="spellStart"/>
      <w:r w:rsidR="00F47FA1" w:rsidRPr="00013D66">
        <w:rPr>
          <w:rFonts w:ascii="Arial" w:eastAsia="Times New Roman" w:hAnsi="Arial" w:cs="Arial"/>
          <w:sz w:val="20"/>
          <w:szCs w:val="20"/>
          <w:lang w:val="en-US"/>
        </w:rPr>
        <w:t>normalised</w:t>
      </w:r>
      <w:proofErr w:type="spellEnd"/>
      <w:r w:rsidR="00F47FA1" w:rsidRPr="00013D66">
        <w:rPr>
          <w:rFonts w:ascii="Arial" w:eastAsia="Times New Roman" w:hAnsi="Arial" w:cs="Arial"/>
          <w:sz w:val="20"/>
          <w:szCs w:val="20"/>
          <w:lang w:val="en-US"/>
        </w:rPr>
        <w:t xml:space="preserve"> to a base quantity unit that is native to the asset class. For </w:t>
      </w:r>
      <w:r w:rsidR="00B00771">
        <w:rPr>
          <w:rFonts w:ascii="Arial" w:eastAsia="Times New Roman" w:hAnsi="Arial" w:cs="Arial"/>
          <w:sz w:val="20"/>
          <w:szCs w:val="20"/>
          <w:lang w:val="en-US"/>
        </w:rPr>
        <w:t xml:space="preserve">the majority of </w:t>
      </w:r>
      <w:r w:rsidR="00F47FA1" w:rsidRPr="00013D66">
        <w:rPr>
          <w:rFonts w:ascii="Arial" w:eastAsia="Times New Roman" w:hAnsi="Arial" w:cs="Arial"/>
          <w:sz w:val="20"/>
          <w:szCs w:val="20"/>
          <w:lang w:val="en-US"/>
        </w:rPr>
        <w:t>commodit</w:t>
      </w:r>
      <w:r w:rsidR="00B00771">
        <w:rPr>
          <w:rFonts w:ascii="Arial" w:eastAsia="Times New Roman" w:hAnsi="Arial" w:cs="Arial"/>
          <w:sz w:val="20"/>
          <w:szCs w:val="20"/>
          <w:lang w:val="en-US"/>
        </w:rPr>
        <w:t>y derivatives</w:t>
      </w:r>
      <w:r w:rsidR="00F47FA1" w:rsidRPr="00013D66">
        <w:rPr>
          <w:rFonts w:ascii="Arial" w:eastAsia="Times New Roman" w:hAnsi="Arial" w:cs="Arial"/>
          <w:sz w:val="20"/>
          <w:szCs w:val="20"/>
          <w:lang w:val="en-US"/>
        </w:rPr>
        <w:t>, this will typically be a specific unit of measure (e.g. MW).</w:t>
      </w:r>
    </w:p>
    <w:p w14:paraId="3968821C" w14:textId="0E6C102E" w:rsidR="008C0BFC" w:rsidRDefault="008C0BFC" w:rsidP="00CD798D">
      <w:pPr>
        <w:jc w:val="both"/>
        <w:rPr>
          <w:rFonts w:ascii="Arial" w:hAnsi="Arial" w:cs="Arial"/>
          <w:sz w:val="20"/>
          <w:szCs w:val="20"/>
          <w:lang w:val="en-US"/>
        </w:rPr>
      </w:pPr>
      <w:r>
        <w:rPr>
          <w:rFonts w:ascii="Arial" w:hAnsi="Arial" w:cs="Arial"/>
          <w:sz w:val="20"/>
          <w:szCs w:val="20"/>
          <w:lang w:val="en-US"/>
        </w:rPr>
        <w:t>DBG appreciates that while working o</w:t>
      </w:r>
      <w:r w:rsidR="00311AEC">
        <w:rPr>
          <w:rFonts w:ascii="Arial" w:hAnsi="Arial" w:cs="Arial"/>
          <w:sz w:val="20"/>
          <w:szCs w:val="20"/>
          <w:lang w:val="en-US"/>
        </w:rPr>
        <w:t>n</w:t>
      </w:r>
      <w:r>
        <w:rPr>
          <w:rFonts w:ascii="Arial" w:hAnsi="Arial" w:cs="Arial"/>
          <w:sz w:val="20"/>
          <w:szCs w:val="20"/>
          <w:lang w:val="en-US"/>
        </w:rPr>
        <w:t xml:space="preserve"> a revised methodology for both waivers, </w:t>
      </w:r>
      <w:proofErr w:type="gramStart"/>
      <w:r>
        <w:rPr>
          <w:rFonts w:ascii="Arial" w:hAnsi="Arial" w:cs="Arial"/>
          <w:sz w:val="20"/>
          <w:szCs w:val="20"/>
          <w:lang w:val="en-US"/>
        </w:rPr>
        <w:t>or</w:t>
      </w:r>
      <w:proofErr w:type="gramEnd"/>
      <w:r>
        <w:rPr>
          <w:rFonts w:ascii="Arial" w:hAnsi="Arial" w:cs="Arial"/>
          <w:sz w:val="20"/>
          <w:szCs w:val="20"/>
          <w:lang w:val="en-US"/>
        </w:rPr>
        <w:t xml:space="preserve"> when a new methodology is not deemed feasible, ESMA</w:t>
      </w:r>
      <w:r w:rsidRPr="00013D66">
        <w:rPr>
          <w:rFonts w:ascii="Arial" w:hAnsi="Arial" w:cs="Arial"/>
          <w:sz w:val="20"/>
          <w:szCs w:val="20"/>
          <w:lang w:val="en-US"/>
        </w:rPr>
        <w:t xml:space="preserve"> </w:t>
      </w:r>
      <w:r>
        <w:rPr>
          <w:rFonts w:ascii="Arial" w:hAnsi="Arial" w:cs="Arial"/>
          <w:sz w:val="20"/>
          <w:szCs w:val="20"/>
          <w:lang w:val="en-US"/>
        </w:rPr>
        <w:t>could</w:t>
      </w:r>
      <w:r w:rsidRPr="00013D66">
        <w:rPr>
          <w:rFonts w:ascii="Arial" w:hAnsi="Arial" w:cs="Arial"/>
          <w:sz w:val="20"/>
          <w:szCs w:val="20"/>
          <w:lang w:val="en-US"/>
        </w:rPr>
        <w:t xml:space="preserve"> </w:t>
      </w:r>
      <w:r>
        <w:rPr>
          <w:rFonts w:ascii="Arial" w:hAnsi="Arial" w:cs="Arial"/>
          <w:sz w:val="20"/>
          <w:szCs w:val="20"/>
          <w:lang w:val="en-US"/>
        </w:rPr>
        <w:t>propose</w:t>
      </w:r>
      <w:r w:rsidRPr="00013D66">
        <w:rPr>
          <w:rFonts w:ascii="Arial" w:hAnsi="Arial" w:cs="Arial"/>
          <w:sz w:val="20"/>
          <w:szCs w:val="20"/>
          <w:lang w:val="en-US"/>
        </w:rPr>
        <w:t xml:space="preserve"> a less comprehensive amendment of the methodology by recalibrating the current parameters.  </w:t>
      </w:r>
    </w:p>
    <w:p w14:paraId="035F2359" w14:textId="032A446D" w:rsidR="008C0BFC" w:rsidRPr="00311AEC" w:rsidRDefault="008C0BFC" w:rsidP="00CD798D">
      <w:pPr>
        <w:jc w:val="both"/>
        <w:rPr>
          <w:rFonts w:ascii="Arial" w:hAnsi="Arial" w:cs="Arial"/>
          <w:sz w:val="20"/>
          <w:szCs w:val="20"/>
          <w:lang w:val="en-US"/>
        </w:rPr>
      </w:pPr>
      <w:r>
        <w:rPr>
          <w:rFonts w:ascii="Arial" w:hAnsi="Arial" w:cs="Arial"/>
          <w:sz w:val="20"/>
          <w:szCs w:val="20"/>
          <w:lang w:val="en-US"/>
        </w:rPr>
        <w:t>Please note that the proposals for revised thresholds for commodity derivatives are based on the assumption that, for the bucket grouping according to time to delivery, each financial instrument (e.g. Phelix Monthly Futures) is considered individually for the purpose of the calculation. For example, the July 18 expiry in the Phelix Monthly Futures would not be placed in one maturity bucket with other futures products with the same underlying, e.g. the Second Week July 18 Phelix Weekly Futures. Any other way of conducting these calculations would inevitably produce inaccurate outcomes in terms of liquidity profiles of the instruments in question.</w:t>
      </w:r>
    </w:p>
    <w:p w14:paraId="2EF94074" w14:textId="14E1E706" w:rsidR="001D503E" w:rsidRPr="004315A6" w:rsidRDefault="001D503E" w:rsidP="00CD798D">
      <w:pPr>
        <w:jc w:val="both"/>
        <w:rPr>
          <w:rFonts w:ascii="Arial" w:eastAsia="Times New Roman" w:hAnsi="Arial" w:cs="Arial"/>
          <w:sz w:val="18"/>
          <w:lang w:val="en-US" w:eastAsia="de-DE"/>
        </w:rPr>
      </w:pPr>
      <w:r w:rsidRPr="00013D66">
        <w:rPr>
          <w:rFonts w:ascii="Arial" w:hAnsi="Arial" w:cs="Arial"/>
          <w:sz w:val="20"/>
          <w:lang w:val="fr-FR"/>
        </w:rPr>
        <w:t>&lt;ESMA_QUESTION_CP_MIFID_NQT_31&gt;</w:t>
      </w:r>
    </w:p>
    <w:p w14:paraId="14CF814B" w14:textId="77777777" w:rsidR="00A74CF8" w:rsidRPr="004315A6" w:rsidRDefault="00A74CF8">
      <w:pPr>
        <w:rPr>
          <w:rFonts w:ascii="Arial" w:hAnsi="Arial" w:cs="Arial"/>
          <w:lang w:val="en-US"/>
        </w:rPr>
      </w:pPr>
    </w:p>
    <w:sectPr w:rsidR="00A74CF8" w:rsidRPr="004315A6" w:rsidSect="00B80C0E">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467CC" w14:textId="77777777" w:rsidR="00A74840" w:rsidRDefault="00A74840" w:rsidP="001D503E">
      <w:pPr>
        <w:spacing w:after="0" w:line="240" w:lineRule="auto"/>
      </w:pPr>
      <w:r>
        <w:separator/>
      </w:r>
    </w:p>
  </w:endnote>
  <w:endnote w:type="continuationSeparator" w:id="0">
    <w:p w14:paraId="18DBFE58" w14:textId="77777777" w:rsidR="00A74840" w:rsidRDefault="00A74840" w:rsidP="001D503E">
      <w:pPr>
        <w:spacing w:after="0" w:line="240" w:lineRule="auto"/>
      </w:pPr>
      <w:r>
        <w:continuationSeparator/>
      </w:r>
    </w:p>
  </w:endnote>
  <w:endnote w:type="continuationNotice" w:id="1">
    <w:p w14:paraId="3E9433C6" w14:textId="77777777" w:rsidR="00A74840" w:rsidRDefault="00A74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74840" w:rsidRPr="00616B9B" w14:paraId="183ACA12" w14:textId="77777777" w:rsidTr="00B80C0E">
      <w:trPr>
        <w:trHeight w:val="284"/>
      </w:trPr>
      <w:tc>
        <w:tcPr>
          <w:tcW w:w="8460" w:type="dxa"/>
        </w:tcPr>
        <w:p w14:paraId="6FA73CC1" w14:textId="77777777" w:rsidR="00A74840" w:rsidRPr="00315E96" w:rsidRDefault="00A74840" w:rsidP="00B80C0E">
          <w:pPr>
            <w:pStyle w:val="00Footer"/>
            <w:rPr>
              <w:lang w:val="fr-FR"/>
            </w:rPr>
          </w:pPr>
        </w:p>
      </w:tc>
      <w:tc>
        <w:tcPr>
          <w:tcW w:w="952" w:type="dxa"/>
        </w:tcPr>
        <w:p w14:paraId="7DD2BA1C" w14:textId="07A4418D" w:rsidR="00A74840" w:rsidRPr="00616B9B" w:rsidRDefault="00A74840" w:rsidP="00B80C0E">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11</w:t>
          </w:r>
          <w:r w:rsidRPr="00616B9B">
            <w:rPr>
              <w:rFonts w:cs="Arial"/>
              <w:noProof/>
              <w:sz w:val="22"/>
              <w:szCs w:val="22"/>
            </w:rPr>
            <w:fldChar w:fldCharType="end"/>
          </w:r>
        </w:p>
      </w:tc>
    </w:tr>
  </w:tbl>
  <w:p w14:paraId="2266DECC" w14:textId="77777777" w:rsidR="00A74840" w:rsidRDefault="00A7484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F623" w14:textId="77777777" w:rsidR="00A74840" w:rsidRDefault="00A74840" w:rsidP="00B80C0E">
    <w:pPr>
      <w:pStyle w:val="Fuzeile"/>
      <w:tabs>
        <w:tab w:val="clear" w:pos="4513"/>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CDF6" w14:textId="77777777" w:rsidR="00A74840" w:rsidRDefault="00A748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D965B" w14:textId="77777777" w:rsidR="00A74840" w:rsidRDefault="00A74840" w:rsidP="001D503E">
      <w:pPr>
        <w:spacing w:after="0" w:line="240" w:lineRule="auto"/>
      </w:pPr>
      <w:r>
        <w:separator/>
      </w:r>
    </w:p>
  </w:footnote>
  <w:footnote w:type="continuationSeparator" w:id="0">
    <w:p w14:paraId="46193620" w14:textId="77777777" w:rsidR="00A74840" w:rsidRDefault="00A74840" w:rsidP="001D503E">
      <w:pPr>
        <w:spacing w:after="0" w:line="240" w:lineRule="auto"/>
      </w:pPr>
      <w:r>
        <w:continuationSeparator/>
      </w:r>
    </w:p>
  </w:footnote>
  <w:footnote w:type="continuationNotice" w:id="1">
    <w:p w14:paraId="019D67AA" w14:textId="77777777" w:rsidR="00A74840" w:rsidRDefault="00A74840">
      <w:pPr>
        <w:spacing w:after="0" w:line="240" w:lineRule="auto"/>
      </w:pPr>
    </w:p>
  </w:footnote>
  <w:footnote w:id="2">
    <w:p w14:paraId="5DB5A09C" w14:textId="562F0F77" w:rsidR="00A74840" w:rsidRPr="00985AAC" w:rsidRDefault="00A74840" w:rsidP="00A22382">
      <w:pPr>
        <w:pStyle w:val="Funotentext"/>
        <w:jc w:val="both"/>
        <w:rPr>
          <w:lang w:val="en-US"/>
        </w:rPr>
      </w:pPr>
      <w:r>
        <w:rPr>
          <w:rStyle w:val="Funotenzeichen"/>
        </w:rPr>
        <w:footnoteRef/>
      </w:r>
      <w:r>
        <w:rPr>
          <w:lang w:val="en-US"/>
        </w:rPr>
        <w:t xml:space="preserve"> This figure is based on own estimates based on overall FX derivatives trading volume illustrated in </w:t>
      </w:r>
      <w:r w:rsidRPr="00985AAC">
        <w:rPr>
          <w:lang w:val="en-US"/>
        </w:rPr>
        <w:t>Schrimpf</w:t>
      </w:r>
      <w:r>
        <w:rPr>
          <w:lang w:val="en-US"/>
        </w:rPr>
        <w:t>/</w:t>
      </w:r>
      <w:r w:rsidRPr="00985AAC">
        <w:rPr>
          <w:lang w:val="en-US"/>
        </w:rPr>
        <w:t>Sushko</w:t>
      </w:r>
      <w:r>
        <w:rPr>
          <w:lang w:val="en-US"/>
        </w:rPr>
        <w:t>,</w:t>
      </w:r>
      <w:r w:rsidRPr="00985AAC">
        <w:rPr>
          <w:lang w:val="en-US"/>
        </w:rPr>
        <w:t xml:space="preserve"> FX trade execution: complex and highly fragmented</w:t>
      </w:r>
      <w:r>
        <w:rPr>
          <w:lang w:val="en-US"/>
        </w:rPr>
        <w:t xml:space="preserve">, p.49, </w:t>
      </w:r>
      <w:r w:rsidRPr="00985AAC">
        <w:rPr>
          <w:lang w:val="en-US"/>
        </w:rPr>
        <w:t>BIS Quarterly Review</w:t>
      </w:r>
      <w:r>
        <w:rPr>
          <w:lang w:val="en-US"/>
        </w:rPr>
        <w:t xml:space="preserve">, </w:t>
      </w:r>
      <w:r w:rsidRPr="00985AAC">
        <w:rPr>
          <w:lang w:val="en-US"/>
        </w:rPr>
        <w:t>December 2019</w:t>
      </w:r>
      <w:r>
        <w:rPr>
          <w:lang w:val="en-US"/>
        </w:rPr>
        <w:t xml:space="preserve">, and </w:t>
      </w:r>
      <w:r w:rsidRPr="00985AAC">
        <w:rPr>
          <w:lang w:val="en-US"/>
        </w:rPr>
        <w:t>volumes published by regulated exchanges offering FX products</w:t>
      </w:r>
      <w:r>
        <w:rPr>
          <w:lang w:val="en-US"/>
        </w:rPr>
        <w:t xml:space="preserve"> (</w:t>
      </w:r>
      <w:hyperlink r:id="rId1" w:history="1">
        <w:r w:rsidRPr="00EF1457">
          <w:rPr>
            <w:rStyle w:val="Hyperlink"/>
            <w:lang w:val="en-US"/>
          </w:rPr>
          <w:t>www.cmegroup.com</w:t>
        </w:r>
      </w:hyperlink>
      <w:r>
        <w:rPr>
          <w:lang w:val="en-US"/>
        </w:rPr>
        <w:t xml:space="preserve">, </w:t>
      </w:r>
      <w:r w:rsidRPr="00985AAC">
        <w:rPr>
          <w:lang w:val="en-US"/>
        </w:rPr>
        <w:t>https://www.sgx.com/research-education/market-updates/20200511-sgx-fx-futures-volume-10-y-o-y-us95-billion-april-2020</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637F" w14:textId="77777777" w:rsidR="00A74840" w:rsidRDefault="00A74840">
    <w:pPr>
      <w:pStyle w:val="Kopfzeile"/>
    </w:pPr>
    <w:r>
      <w:rPr>
        <w:noProof/>
        <w:lang w:eastAsia="de-DE"/>
      </w:rPr>
      <w:drawing>
        <wp:anchor distT="0" distB="0" distL="114300" distR="114300" simplePos="0" relativeHeight="251658245" behindDoc="0" locked="0" layoutInCell="1" allowOverlap="1" wp14:anchorId="3E43ED4E" wp14:editId="4EF3904B">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295" distR="114295" simplePos="0" relativeHeight="251658242" behindDoc="0" locked="0" layoutInCell="1" allowOverlap="1" wp14:anchorId="70F3679B" wp14:editId="44DAA7C2">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F30E0" id="Line 16" o:spid="_x0000_s1026" style="position:absolute;z-index:25165824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4AC6" w14:textId="77777777" w:rsidR="00A74840" w:rsidRDefault="00A74840" w:rsidP="00B80C0E">
    <w:pPr>
      <w:pStyle w:val="Kopfzeile"/>
      <w:jc w:val="right"/>
    </w:pPr>
    <w:r>
      <w:rPr>
        <w:noProof/>
        <w:lang w:eastAsia="de-DE"/>
      </w:rPr>
      <w:drawing>
        <wp:anchor distT="0" distB="0" distL="114300" distR="114300" simplePos="0" relativeHeight="251658244" behindDoc="0" locked="0" layoutInCell="1" allowOverlap="1" wp14:anchorId="1362A076" wp14:editId="49B2805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8240" behindDoc="1" locked="0" layoutInCell="1" allowOverlap="1" wp14:anchorId="5FF19F21" wp14:editId="5372B0E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7FF97" w14:textId="77777777" w:rsidR="00A74840" w:rsidRDefault="00A7484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74840" w:rsidRPr="002F4496" w14:paraId="3400D258" w14:textId="77777777" w:rsidTr="00B80C0E">
      <w:trPr>
        <w:trHeight w:val="284"/>
      </w:trPr>
      <w:tc>
        <w:tcPr>
          <w:tcW w:w="8460" w:type="dxa"/>
        </w:tcPr>
        <w:p w14:paraId="3D26D17B" w14:textId="77777777" w:rsidR="00A74840" w:rsidRPr="000C3B6D" w:rsidRDefault="00A74840" w:rsidP="00B80C0E">
          <w:pPr>
            <w:pStyle w:val="00Footer"/>
            <w:rPr>
              <w:lang w:val="fr-FR"/>
            </w:rPr>
          </w:pPr>
        </w:p>
      </w:tc>
      <w:tc>
        <w:tcPr>
          <w:tcW w:w="952" w:type="dxa"/>
        </w:tcPr>
        <w:p w14:paraId="153F2F28" w14:textId="77777777" w:rsidR="00A74840" w:rsidRPr="00146B34" w:rsidRDefault="00A74840" w:rsidP="00B80C0E">
          <w:pPr>
            <w:pStyle w:val="00aPagenumber"/>
            <w:rPr>
              <w:lang w:val="fr-FR"/>
            </w:rPr>
          </w:pPr>
        </w:p>
      </w:tc>
    </w:tr>
  </w:tbl>
  <w:p w14:paraId="1E925861" w14:textId="77777777" w:rsidR="00A74840" w:rsidRPr="00DB46C3" w:rsidRDefault="00A74840">
    <w:pPr>
      <w:rPr>
        <w:lang w:val="fr-FR"/>
      </w:rPr>
    </w:pPr>
  </w:p>
  <w:p w14:paraId="6F5555FB" w14:textId="77777777" w:rsidR="00A74840" w:rsidRPr="002F4496" w:rsidRDefault="00A74840">
    <w:pPr>
      <w:pStyle w:val="Kopfzeile"/>
      <w:rPr>
        <w:lang w:val="fr-FR"/>
      </w:rPr>
    </w:pPr>
  </w:p>
  <w:p w14:paraId="37D068BC" w14:textId="77777777" w:rsidR="00A74840" w:rsidRPr="002F4496" w:rsidRDefault="00A74840" w:rsidP="00B80C0E">
    <w:pPr>
      <w:pStyle w:val="Kopfzeile"/>
      <w:tabs>
        <w:tab w:val="clear" w:pos="4513"/>
        <w:tab w:val="left" w:pos="8227"/>
      </w:tabs>
      <w:rPr>
        <w:lang w:val="fr-FR"/>
      </w:rPr>
    </w:pPr>
  </w:p>
  <w:p w14:paraId="514EB329" w14:textId="77777777" w:rsidR="00A74840" w:rsidRPr="002F4496" w:rsidRDefault="00A74840" w:rsidP="00B80C0E">
    <w:pPr>
      <w:pStyle w:val="Kopfzeile"/>
      <w:jc w:val="right"/>
      <w:rPr>
        <w:lang w:val="fr-FR"/>
      </w:rPr>
    </w:pPr>
  </w:p>
  <w:p w14:paraId="533C14F1" w14:textId="77777777" w:rsidR="00A74840" w:rsidRPr="002F4496" w:rsidRDefault="00A74840">
    <w:pPr>
      <w:pStyle w:val="Kopfzeile"/>
      <w:rPr>
        <w:lang w:val="fr-FR"/>
      </w:rPr>
    </w:pPr>
  </w:p>
  <w:p w14:paraId="42FC54B7" w14:textId="77777777" w:rsidR="00A74840" w:rsidRPr="002F4496" w:rsidRDefault="00A74840">
    <w:pPr>
      <w:pStyle w:val="Kopfzeile"/>
      <w:rPr>
        <w:lang w:val="fr-FR"/>
      </w:rPr>
    </w:pPr>
  </w:p>
  <w:p w14:paraId="654AD149" w14:textId="77777777" w:rsidR="00A74840" w:rsidRPr="002F4496" w:rsidRDefault="00A74840">
    <w:pPr>
      <w:pStyle w:val="Kopfzeile"/>
      <w:rPr>
        <w:lang w:val="fr-FR"/>
      </w:rPr>
    </w:pPr>
  </w:p>
  <w:p w14:paraId="024BD170" w14:textId="77777777" w:rsidR="00A74840" w:rsidRPr="002F4496" w:rsidRDefault="00A74840">
    <w:pPr>
      <w:pStyle w:val="Kopfzeile"/>
      <w:rPr>
        <w:highlight w:val="yellow"/>
        <w:lang w:val="fr-FR"/>
      </w:rPr>
    </w:pPr>
  </w:p>
  <w:p w14:paraId="31AE6917" w14:textId="77777777" w:rsidR="00A74840" w:rsidRDefault="00A74840">
    <w:pPr>
      <w:pStyle w:val="Kopfzeile"/>
    </w:pPr>
    <w:r>
      <w:rPr>
        <w:noProof/>
        <w:lang w:eastAsia="de-DE"/>
      </w:rPr>
      <mc:AlternateContent>
        <mc:Choice Requires="wps">
          <w:drawing>
            <wp:anchor distT="0" distB="0" distL="114299" distR="114299" simplePos="0" relativeHeight="251658243" behindDoc="0" locked="0" layoutInCell="1" allowOverlap="1" wp14:anchorId="755048F1" wp14:editId="240B3C50">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FD3F9" id="Straight Connector 138" o:spid="_x0000_s1026" style="position:absolute;z-index:251658243;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de-DE"/>
      </w:rPr>
      <w:drawing>
        <wp:anchor distT="0" distB="0" distL="114300" distR="114300" simplePos="0" relativeHeight="251658241" behindDoc="0" locked="0" layoutInCell="1" allowOverlap="1" wp14:anchorId="5E159F27" wp14:editId="7E87900D">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01B6A"/>
    <w:multiLevelType w:val="hybridMultilevel"/>
    <w:tmpl w:val="5712A448"/>
    <w:lvl w:ilvl="0" w:tplc="3B544EB2">
      <w:start w:val="17"/>
      <w:numFmt w:val="bullet"/>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8853AB"/>
    <w:multiLevelType w:val="hybridMultilevel"/>
    <w:tmpl w:val="402C50EE"/>
    <w:lvl w:ilvl="0" w:tplc="D68E8BEC">
      <w:start w:val="1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3440A7"/>
    <w:multiLevelType w:val="hybridMultilevel"/>
    <w:tmpl w:val="B200274A"/>
    <w:lvl w:ilvl="0" w:tplc="4796CB24">
      <w:start w:val="17"/>
      <w:numFmt w:val="bullet"/>
      <w:lvlText w:val=""/>
      <w:lvlJc w:val="left"/>
      <w:pPr>
        <w:ind w:left="360" w:hanging="360"/>
      </w:pPr>
      <w:rPr>
        <w:rFonts w:ascii="Symbol" w:eastAsia="Times New Roman" w:hAnsi="Symbol"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DB53EFC"/>
    <w:multiLevelType w:val="hybridMultilevel"/>
    <w:tmpl w:val="498E42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0C3609D"/>
    <w:multiLevelType w:val="hybridMultilevel"/>
    <w:tmpl w:val="213C6D26"/>
    <w:lvl w:ilvl="0" w:tplc="390CEFE8">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7D270B"/>
    <w:multiLevelType w:val="hybridMultilevel"/>
    <w:tmpl w:val="121C3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2F51E9"/>
    <w:multiLevelType w:val="hybridMultilevel"/>
    <w:tmpl w:val="56FA498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2"/>
  </w:num>
  <w:num w:numId="5">
    <w:abstractNumId w:val="7"/>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3E"/>
    <w:rsid w:val="0000699B"/>
    <w:rsid w:val="00013D66"/>
    <w:rsid w:val="000345F4"/>
    <w:rsid w:val="00053BA8"/>
    <w:rsid w:val="00060800"/>
    <w:rsid w:val="000677B7"/>
    <w:rsid w:val="00070BDA"/>
    <w:rsid w:val="00071BAB"/>
    <w:rsid w:val="0007754E"/>
    <w:rsid w:val="00077C24"/>
    <w:rsid w:val="000847B0"/>
    <w:rsid w:val="00087525"/>
    <w:rsid w:val="00093698"/>
    <w:rsid w:val="00094E0D"/>
    <w:rsid w:val="00095169"/>
    <w:rsid w:val="000A13FA"/>
    <w:rsid w:val="000B1EC2"/>
    <w:rsid w:val="000B3118"/>
    <w:rsid w:val="000B45A5"/>
    <w:rsid w:val="000B7885"/>
    <w:rsid w:val="000B7A6A"/>
    <w:rsid w:val="000D1F26"/>
    <w:rsid w:val="000D5FAB"/>
    <w:rsid w:val="000E4B55"/>
    <w:rsid w:val="000F346C"/>
    <w:rsid w:val="00107E27"/>
    <w:rsid w:val="00115579"/>
    <w:rsid w:val="00142047"/>
    <w:rsid w:val="001512BB"/>
    <w:rsid w:val="001522E0"/>
    <w:rsid w:val="00155BF5"/>
    <w:rsid w:val="00156D03"/>
    <w:rsid w:val="001849C6"/>
    <w:rsid w:val="001903A8"/>
    <w:rsid w:val="0019109B"/>
    <w:rsid w:val="00191D55"/>
    <w:rsid w:val="00192F01"/>
    <w:rsid w:val="00193727"/>
    <w:rsid w:val="001B6BCD"/>
    <w:rsid w:val="001C400C"/>
    <w:rsid w:val="001D2138"/>
    <w:rsid w:val="001D3874"/>
    <w:rsid w:val="001D503E"/>
    <w:rsid w:val="001E5930"/>
    <w:rsid w:val="001F213C"/>
    <w:rsid w:val="002000ED"/>
    <w:rsid w:val="00205581"/>
    <w:rsid w:val="00206A06"/>
    <w:rsid w:val="00211CCD"/>
    <w:rsid w:val="0021213E"/>
    <w:rsid w:val="00221AF6"/>
    <w:rsid w:val="00222E61"/>
    <w:rsid w:val="002266A5"/>
    <w:rsid w:val="00237602"/>
    <w:rsid w:val="0025084F"/>
    <w:rsid w:val="00257E60"/>
    <w:rsid w:val="002629B5"/>
    <w:rsid w:val="0026401F"/>
    <w:rsid w:val="0027430A"/>
    <w:rsid w:val="00274E06"/>
    <w:rsid w:val="0027786B"/>
    <w:rsid w:val="002904FE"/>
    <w:rsid w:val="00297B42"/>
    <w:rsid w:val="002B761B"/>
    <w:rsid w:val="002C1B3B"/>
    <w:rsid w:val="002C44E1"/>
    <w:rsid w:val="002C499A"/>
    <w:rsid w:val="002E6B6D"/>
    <w:rsid w:val="002F3849"/>
    <w:rsid w:val="002F514D"/>
    <w:rsid w:val="003003C3"/>
    <w:rsid w:val="00311AEC"/>
    <w:rsid w:val="003139F5"/>
    <w:rsid w:val="00314C10"/>
    <w:rsid w:val="0031647D"/>
    <w:rsid w:val="003171B0"/>
    <w:rsid w:val="00324998"/>
    <w:rsid w:val="0034284A"/>
    <w:rsid w:val="00344261"/>
    <w:rsid w:val="00347900"/>
    <w:rsid w:val="00352850"/>
    <w:rsid w:val="00361829"/>
    <w:rsid w:val="00367C63"/>
    <w:rsid w:val="00374A6F"/>
    <w:rsid w:val="003812E6"/>
    <w:rsid w:val="003832CE"/>
    <w:rsid w:val="00386E7C"/>
    <w:rsid w:val="00393C18"/>
    <w:rsid w:val="003A0006"/>
    <w:rsid w:val="003A071B"/>
    <w:rsid w:val="003B11A4"/>
    <w:rsid w:val="003B29D8"/>
    <w:rsid w:val="003B4313"/>
    <w:rsid w:val="003C222A"/>
    <w:rsid w:val="003D0A50"/>
    <w:rsid w:val="003D706C"/>
    <w:rsid w:val="003E2129"/>
    <w:rsid w:val="003E5906"/>
    <w:rsid w:val="003E6AF4"/>
    <w:rsid w:val="00400B2A"/>
    <w:rsid w:val="00400D28"/>
    <w:rsid w:val="004072FD"/>
    <w:rsid w:val="0041114B"/>
    <w:rsid w:val="00424C37"/>
    <w:rsid w:val="004315A6"/>
    <w:rsid w:val="004330B6"/>
    <w:rsid w:val="00440AFB"/>
    <w:rsid w:val="00441728"/>
    <w:rsid w:val="004446F9"/>
    <w:rsid w:val="004653BD"/>
    <w:rsid w:val="004728C1"/>
    <w:rsid w:val="004774A3"/>
    <w:rsid w:val="00481A7B"/>
    <w:rsid w:val="00482417"/>
    <w:rsid w:val="004910E9"/>
    <w:rsid w:val="00493C6C"/>
    <w:rsid w:val="0049503C"/>
    <w:rsid w:val="004A0884"/>
    <w:rsid w:val="004A336E"/>
    <w:rsid w:val="004A650D"/>
    <w:rsid w:val="004B5E74"/>
    <w:rsid w:val="004C20D9"/>
    <w:rsid w:val="004C389B"/>
    <w:rsid w:val="004C7109"/>
    <w:rsid w:val="004E5217"/>
    <w:rsid w:val="004E58C8"/>
    <w:rsid w:val="004F08DE"/>
    <w:rsid w:val="004F5204"/>
    <w:rsid w:val="004F568F"/>
    <w:rsid w:val="00510E6E"/>
    <w:rsid w:val="0051116D"/>
    <w:rsid w:val="005147CC"/>
    <w:rsid w:val="00514EC7"/>
    <w:rsid w:val="00515939"/>
    <w:rsid w:val="00516794"/>
    <w:rsid w:val="005205CC"/>
    <w:rsid w:val="005240B0"/>
    <w:rsid w:val="0052476C"/>
    <w:rsid w:val="0052719E"/>
    <w:rsid w:val="00527AFD"/>
    <w:rsid w:val="00541EA0"/>
    <w:rsid w:val="00545B5A"/>
    <w:rsid w:val="00551033"/>
    <w:rsid w:val="00555891"/>
    <w:rsid w:val="0055715E"/>
    <w:rsid w:val="00561D40"/>
    <w:rsid w:val="00563AB5"/>
    <w:rsid w:val="0056424E"/>
    <w:rsid w:val="005710E2"/>
    <w:rsid w:val="005759C0"/>
    <w:rsid w:val="0058272F"/>
    <w:rsid w:val="00584173"/>
    <w:rsid w:val="005B5F77"/>
    <w:rsid w:val="005C05FD"/>
    <w:rsid w:val="005C1D37"/>
    <w:rsid w:val="005C22D6"/>
    <w:rsid w:val="005C535C"/>
    <w:rsid w:val="005D03C1"/>
    <w:rsid w:val="005D43BF"/>
    <w:rsid w:val="005E194D"/>
    <w:rsid w:val="005E7168"/>
    <w:rsid w:val="005F0A54"/>
    <w:rsid w:val="005F6C90"/>
    <w:rsid w:val="005F6CB8"/>
    <w:rsid w:val="00601F8F"/>
    <w:rsid w:val="00602737"/>
    <w:rsid w:val="00603630"/>
    <w:rsid w:val="006064BC"/>
    <w:rsid w:val="0061141F"/>
    <w:rsid w:val="00626CED"/>
    <w:rsid w:val="006315C8"/>
    <w:rsid w:val="006346F6"/>
    <w:rsid w:val="00641709"/>
    <w:rsid w:val="00642ACD"/>
    <w:rsid w:val="00644FBB"/>
    <w:rsid w:val="006476D6"/>
    <w:rsid w:val="00662C39"/>
    <w:rsid w:val="00673053"/>
    <w:rsid w:val="00673793"/>
    <w:rsid w:val="00676FEF"/>
    <w:rsid w:val="00677A81"/>
    <w:rsid w:val="00681F8C"/>
    <w:rsid w:val="00682845"/>
    <w:rsid w:val="00682EE3"/>
    <w:rsid w:val="00690E44"/>
    <w:rsid w:val="0069653E"/>
    <w:rsid w:val="006A4D8F"/>
    <w:rsid w:val="006B0A0A"/>
    <w:rsid w:val="006D4250"/>
    <w:rsid w:val="006D613A"/>
    <w:rsid w:val="006E2FA6"/>
    <w:rsid w:val="006F4DB3"/>
    <w:rsid w:val="00706534"/>
    <w:rsid w:val="00710664"/>
    <w:rsid w:val="0071298A"/>
    <w:rsid w:val="00715491"/>
    <w:rsid w:val="00732470"/>
    <w:rsid w:val="00733F5C"/>
    <w:rsid w:val="00735CFD"/>
    <w:rsid w:val="007450BF"/>
    <w:rsid w:val="00747CBA"/>
    <w:rsid w:val="0075112C"/>
    <w:rsid w:val="0076417E"/>
    <w:rsid w:val="00771C24"/>
    <w:rsid w:val="0077287E"/>
    <w:rsid w:val="00782BF4"/>
    <w:rsid w:val="007849E8"/>
    <w:rsid w:val="00793D14"/>
    <w:rsid w:val="007963A1"/>
    <w:rsid w:val="00797CC0"/>
    <w:rsid w:val="007A15FC"/>
    <w:rsid w:val="007A429C"/>
    <w:rsid w:val="007A4320"/>
    <w:rsid w:val="007B2BD7"/>
    <w:rsid w:val="007C1C38"/>
    <w:rsid w:val="007C506E"/>
    <w:rsid w:val="007C7C93"/>
    <w:rsid w:val="007D1355"/>
    <w:rsid w:val="007D6832"/>
    <w:rsid w:val="007E46A6"/>
    <w:rsid w:val="007E7935"/>
    <w:rsid w:val="007F62FA"/>
    <w:rsid w:val="00803969"/>
    <w:rsid w:val="00811D41"/>
    <w:rsid w:val="00812344"/>
    <w:rsid w:val="00813771"/>
    <w:rsid w:val="00823919"/>
    <w:rsid w:val="00836096"/>
    <w:rsid w:val="00837C45"/>
    <w:rsid w:val="008455CE"/>
    <w:rsid w:val="008471CF"/>
    <w:rsid w:val="00850F33"/>
    <w:rsid w:val="00862AB9"/>
    <w:rsid w:val="0086375A"/>
    <w:rsid w:val="008667F5"/>
    <w:rsid w:val="0087430B"/>
    <w:rsid w:val="00874A5E"/>
    <w:rsid w:val="0088537D"/>
    <w:rsid w:val="008879DA"/>
    <w:rsid w:val="008B2B79"/>
    <w:rsid w:val="008B4707"/>
    <w:rsid w:val="008B6D34"/>
    <w:rsid w:val="008C0BFC"/>
    <w:rsid w:val="008C5A49"/>
    <w:rsid w:val="008C6CDF"/>
    <w:rsid w:val="008D6D29"/>
    <w:rsid w:val="008E406F"/>
    <w:rsid w:val="008F47FF"/>
    <w:rsid w:val="0090579D"/>
    <w:rsid w:val="00915025"/>
    <w:rsid w:val="00915803"/>
    <w:rsid w:val="009273F7"/>
    <w:rsid w:val="00932E13"/>
    <w:rsid w:val="0093538D"/>
    <w:rsid w:val="009637AB"/>
    <w:rsid w:val="00963CA1"/>
    <w:rsid w:val="00966FC0"/>
    <w:rsid w:val="009719A2"/>
    <w:rsid w:val="00971EA1"/>
    <w:rsid w:val="00976A1A"/>
    <w:rsid w:val="009815FE"/>
    <w:rsid w:val="00983836"/>
    <w:rsid w:val="0098528C"/>
    <w:rsid w:val="00985AAC"/>
    <w:rsid w:val="009878CD"/>
    <w:rsid w:val="009946A7"/>
    <w:rsid w:val="00995A9A"/>
    <w:rsid w:val="009B5DA8"/>
    <w:rsid w:val="009D2314"/>
    <w:rsid w:val="009D4739"/>
    <w:rsid w:val="009E30CD"/>
    <w:rsid w:val="00A12092"/>
    <w:rsid w:val="00A217D2"/>
    <w:rsid w:val="00A21FA8"/>
    <w:rsid w:val="00A22382"/>
    <w:rsid w:val="00A23A54"/>
    <w:rsid w:val="00A26659"/>
    <w:rsid w:val="00A3566B"/>
    <w:rsid w:val="00A629A6"/>
    <w:rsid w:val="00A66865"/>
    <w:rsid w:val="00A70D08"/>
    <w:rsid w:val="00A7285B"/>
    <w:rsid w:val="00A74840"/>
    <w:rsid w:val="00A74CF8"/>
    <w:rsid w:val="00A7571B"/>
    <w:rsid w:val="00A75904"/>
    <w:rsid w:val="00A80C44"/>
    <w:rsid w:val="00A8752F"/>
    <w:rsid w:val="00A956C1"/>
    <w:rsid w:val="00AA02D7"/>
    <w:rsid w:val="00AC054D"/>
    <w:rsid w:val="00AC5C73"/>
    <w:rsid w:val="00AD16DC"/>
    <w:rsid w:val="00B0001E"/>
    <w:rsid w:val="00B00771"/>
    <w:rsid w:val="00B0322D"/>
    <w:rsid w:val="00B0538A"/>
    <w:rsid w:val="00B061ED"/>
    <w:rsid w:val="00B10E84"/>
    <w:rsid w:val="00B13CC7"/>
    <w:rsid w:val="00B1747A"/>
    <w:rsid w:val="00B2749E"/>
    <w:rsid w:val="00B3488C"/>
    <w:rsid w:val="00B40922"/>
    <w:rsid w:val="00B4175A"/>
    <w:rsid w:val="00B42B9B"/>
    <w:rsid w:val="00B55A97"/>
    <w:rsid w:val="00B6189A"/>
    <w:rsid w:val="00B7775F"/>
    <w:rsid w:val="00B80C0E"/>
    <w:rsid w:val="00B8153D"/>
    <w:rsid w:val="00B817C2"/>
    <w:rsid w:val="00B82112"/>
    <w:rsid w:val="00B83461"/>
    <w:rsid w:val="00B865C7"/>
    <w:rsid w:val="00B873A3"/>
    <w:rsid w:val="00B878DA"/>
    <w:rsid w:val="00BA0AFB"/>
    <w:rsid w:val="00BA2494"/>
    <w:rsid w:val="00BA5DC7"/>
    <w:rsid w:val="00BA7748"/>
    <w:rsid w:val="00BB32E3"/>
    <w:rsid w:val="00BB7A34"/>
    <w:rsid w:val="00BD64DA"/>
    <w:rsid w:val="00BE08D8"/>
    <w:rsid w:val="00BE731A"/>
    <w:rsid w:val="00BF1188"/>
    <w:rsid w:val="00BF27BF"/>
    <w:rsid w:val="00C003A9"/>
    <w:rsid w:val="00C00F57"/>
    <w:rsid w:val="00C17933"/>
    <w:rsid w:val="00C21B5F"/>
    <w:rsid w:val="00C27AFB"/>
    <w:rsid w:val="00C300E8"/>
    <w:rsid w:val="00C30CD6"/>
    <w:rsid w:val="00C313F1"/>
    <w:rsid w:val="00C31DF9"/>
    <w:rsid w:val="00C40E96"/>
    <w:rsid w:val="00C535AE"/>
    <w:rsid w:val="00C57B96"/>
    <w:rsid w:val="00C661A8"/>
    <w:rsid w:val="00C7144D"/>
    <w:rsid w:val="00C751A2"/>
    <w:rsid w:val="00C76CA7"/>
    <w:rsid w:val="00C8316D"/>
    <w:rsid w:val="00C8582F"/>
    <w:rsid w:val="00C86F2E"/>
    <w:rsid w:val="00C9111A"/>
    <w:rsid w:val="00C9359A"/>
    <w:rsid w:val="00C93B78"/>
    <w:rsid w:val="00C93F81"/>
    <w:rsid w:val="00C94413"/>
    <w:rsid w:val="00C94D3A"/>
    <w:rsid w:val="00C94FD1"/>
    <w:rsid w:val="00C975EF"/>
    <w:rsid w:val="00CA626B"/>
    <w:rsid w:val="00CB219C"/>
    <w:rsid w:val="00CC0539"/>
    <w:rsid w:val="00CC7BD8"/>
    <w:rsid w:val="00CD1AC6"/>
    <w:rsid w:val="00CD3531"/>
    <w:rsid w:val="00CD6933"/>
    <w:rsid w:val="00CD798D"/>
    <w:rsid w:val="00CF0E1A"/>
    <w:rsid w:val="00CF6453"/>
    <w:rsid w:val="00D074E6"/>
    <w:rsid w:val="00D078BA"/>
    <w:rsid w:val="00D120CC"/>
    <w:rsid w:val="00D12349"/>
    <w:rsid w:val="00D16E94"/>
    <w:rsid w:val="00D17869"/>
    <w:rsid w:val="00D17890"/>
    <w:rsid w:val="00D208EA"/>
    <w:rsid w:val="00D30ECC"/>
    <w:rsid w:val="00D3153A"/>
    <w:rsid w:val="00D340AA"/>
    <w:rsid w:val="00D35A9C"/>
    <w:rsid w:val="00D41AFD"/>
    <w:rsid w:val="00D45370"/>
    <w:rsid w:val="00D45AD0"/>
    <w:rsid w:val="00D5780F"/>
    <w:rsid w:val="00D741F1"/>
    <w:rsid w:val="00D82596"/>
    <w:rsid w:val="00D8795F"/>
    <w:rsid w:val="00D913FC"/>
    <w:rsid w:val="00D91B72"/>
    <w:rsid w:val="00DA5ADD"/>
    <w:rsid w:val="00DB48D6"/>
    <w:rsid w:val="00DC1047"/>
    <w:rsid w:val="00DC161F"/>
    <w:rsid w:val="00DC4565"/>
    <w:rsid w:val="00DD1A4E"/>
    <w:rsid w:val="00DD435A"/>
    <w:rsid w:val="00DE06EC"/>
    <w:rsid w:val="00DE72FF"/>
    <w:rsid w:val="00DF0DDD"/>
    <w:rsid w:val="00E03C20"/>
    <w:rsid w:val="00E06D73"/>
    <w:rsid w:val="00E1491A"/>
    <w:rsid w:val="00E17BA4"/>
    <w:rsid w:val="00E26030"/>
    <w:rsid w:val="00E30F43"/>
    <w:rsid w:val="00E5768F"/>
    <w:rsid w:val="00E652F0"/>
    <w:rsid w:val="00E66C7D"/>
    <w:rsid w:val="00E758FB"/>
    <w:rsid w:val="00E80005"/>
    <w:rsid w:val="00E812E1"/>
    <w:rsid w:val="00E92AB9"/>
    <w:rsid w:val="00E931F0"/>
    <w:rsid w:val="00E9443B"/>
    <w:rsid w:val="00E9447D"/>
    <w:rsid w:val="00E96D5B"/>
    <w:rsid w:val="00EA06DF"/>
    <w:rsid w:val="00EA13C6"/>
    <w:rsid w:val="00EA30E0"/>
    <w:rsid w:val="00EA41C5"/>
    <w:rsid w:val="00EB0868"/>
    <w:rsid w:val="00EB5B7C"/>
    <w:rsid w:val="00EC2D2A"/>
    <w:rsid w:val="00ED1025"/>
    <w:rsid w:val="00ED2D45"/>
    <w:rsid w:val="00EE5A6C"/>
    <w:rsid w:val="00F1189C"/>
    <w:rsid w:val="00F13C85"/>
    <w:rsid w:val="00F14E1B"/>
    <w:rsid w:val="00F16CFC"/>
    <w:rsid w:val="00F23531"/>
    <w:rsid w:val="00F30C02"/>
    <w:rsid w:val="00F44286"/>
    <w:rsid w:val="00F4762C"/>
    <w:rsid w:val="00F47FA1"/>
    <w:rsid w:val="00F50629"/>
    <w:rsid w:val="00F52EBA"/>
    <w:rsid w:val="00F602C2"/>
    <w:rsid w:val="00F6072E"/>
    <w:rsid w:val="00F72A83"/>
    <w:rsid w:val="00F81187"/>
    <w:rsid w:val="00F82357"/>
    <w:rsid w:val="00F85D54"/>
    <w:rsid w:val="00F91D9B"/>
    <w:rsid w:val="00F923B7"/>
    <w:rsid w:val="00F9416A"/>
    <w:rsid w:val="00F94409"/>
    <w:rsid w:val="00FA31D8"/>
    <w:rsid w:val="00FA5816"/>
    <w:rsid w:val="00FB04CF"/>
    <w:rsid w:val="00FC4F95"/>
    <w:rsid w:val="00FC5A9F"/>
    <w:rsid w:val="00FD21E3"/>
    <w:rsid w:val="00FD7423"/>
    <w:rsid w:val="00FE0BF4"/>
    <w:rsid w:val="00FE4088"/>
    <w:rsid w:val="00FE7F7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FA11D7"/>
  <w15:chartTrackingRefBased/>
  <w15:docId w15:val="{1D6BC778-DE4A-4500-9278-B134616B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503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1D503E"/>
  </w:style>
  <w:style w:type="paragraph" w:styleId="Fuzeile">
    <w:name w:val="footer"/>
    <w:basedOn w:val="Standard"/>
    <w:link w:val="FuzeileZchn"/>
    <w:uiPriority w:val="99"/>
    <w:unhideWhenUsed/>
    <w:rsid w:val="001D503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1D503E"/>
  </w:style>
  <w:style w:type="paragraph" w:customStyle="1" w:styleId="00Footer">
    <w:name w:val="00_Footer"/>
    <w:basedOn w:val="Standard"/>
    <w:locked/>
    <w:rsid w:val="001D503E"/>
    <w:pPr>
      <w:spacing w:after="0" w:line="200" w:lineRule="exact"/>
    </w:pPr>
    <w:rPr>
      <w:rFonts w:ascii="Arial" w:eastAsia="Times New Roman" w:hAnsi="Arial" w:cs="Times New Roman"/>
      <w:color w:val="2D4190"/>
      <w:sz w:val="16"/>
      <w:szCs w:val="24"/>
      <w:lang w:val="en-GB" w:eastAsia="de-DE"/>
    </w:rPr>
  </w:style>
  <w:style w:type="paragraph" w:customStyle="1" w:styleId="00aPagenumber">
    <w:name w:val="00a_Page number"/>
    <w:basedOn w:val="00Footer"/>
    <w:locked/>
    <w:rsid w:val="001D503E"/>
    <w:pPr>
      <w:spacing w:line="280" w:lineRule="atLeast"/>
      <w:jc w:val="right"/>
    </w:pPr>
    <w:rPr>
      <w:color w:val="000000"/>
      <w:sz w:val="20"/>
    </w:rPr>
  </w:style>
  <w:style w:type="paragraph" w:styleId="Listenabsatz">
    <w:name w:val="List Paragraph"/>
    <w:basedOn w:val="Standard"/>
    <w:uiPriority w:val="34"/>
    <w:qFormat/>
    <w:rsid w:val="001D503E"/>
    <w:pPr>
      <w:ind w:left="720"/>
      <w:contextualSpacing/>
    </w:pPr>
  </w:style>
  <w:style w:type="paragraph" w:styleId="Sprechblasentext">
    <w:name w:val="Balloon Text"/>
    <w:basedOn w:val="Standard"/>
    <w:link w:val="SprechblasentextZchn"/>
    <w:uiPriority w:val="99"/>
    <w:semiHidden/>
    <w:unhideWhenUsed/>
    <w:rsid w:val="0021213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213E"/>
    <w:rPr>
      <w:rFonts w:ascii="Segoe UI" w:hAnsi="Segoe UI" w:cs="Segoe UI"/>
      <w:sz w:val="18"/>
      <w:szCs w:val="18"/>
    </w:rPr>
  </w:style>
  <w:style w:type="character" w:styleId="Kommentarzeichen">
    <w:name w:val="annotation reference"/>
    <w:basedOn w:val="Absatz-Standardschriftart"/>
    <w:uiPriority w:val="99"/>
    <w:semiHidden/>
    <w:unhideWhenUsed/>
    <w:rsid w:val="0021213E"/>
    <w:rPr>
      <w:sz w:val="16"/>
      <w:szCs w:val="16"/>
    </w:rPr>
  </w:style>
  <w:style w:type="paragraph" w:styleId="Kommentartext">
    <w:name w:val="annotation text"/>
    <w:basedOn w:val="Standard"/>
    <w:link w:val="KommentartextZchn"/>
    <w:uiPriority w:val="99"/>
    <w:unhideWhenUsed/>
    <w:rsid w:val="0021213E"/>
    <w:pPr>
      <w:spacing w:line="240" w:lineRule="auto"/>
    </w:pPr>
    <w:rPr>
      <w:sz w:val="20"/>
      <w:szCs w:val="20"/>
    </w:rPr>
  </w:style>
  <w:style w:type="character" w:customStyle="1" w:styleId="KommentartextZchn">
    <w:name w:val="Kommentartext Zchn"/>
    <w:basedOn w:val="Absatz-Standardschriftart"/>
    <w:link w:val="Kommentartext"/>
    <w:uiPriority w:val="99"/>
    <w:rsid w:val="0021213E"/>
    <w:rPr>
      <w:sz w:val="20"/>
      <w:szCs w:val="20"/>
    </w:rPr>
  </w:style>
  <w:style w:type="paragraph" w:customStyle="1" w:styleId="Default">
    <w:name w:val="Default"/>
    <w:rsid w:val="00B865C7"/>
    <w:pPr>
      <w:autoSpaceDE w:val="0"/>
      <w:autoSpaceDN w:val="0"/>
      <w:adjustRightInd w:val="0"/>
      <w:spacing w:after="0" w:line="240" w:lineRule="auto"/>
    </w:pPr>
    <w:rPr>
      <w:rFonts w:ascii="Arial" w:hAnsi="Arial" w:cs="Arial"/>
      <w:color w:val="000000"/>
      <w:sz w:val="24"/>
      <w:szCs w:val="24"/>
      <w:lang w:val="en-US"/>
    </w:rPr>
  </w:style>
  <w:style w:type="character" w:customStyle="1" w:styleId="highlight">
    <w:name w:val="highlight"/>
    <w:basedOn w:val="Absatz-Standardschriftart"/>
    <w:rsid w:val="00B865C7"/>
  </w:style>
  <w:style w:type="character" w:customStyle="1" w:styleId="s13">
    <w:name w:val="s13"/>
    <w:basedOn w:val="Absatz-Standardschriftart"/>
    <w:rsid w:val="00B865C7"/>
  </w:style>
  <w:style w:type="paragraph" w:styleId="Kommentarthema">
    <w:name w:val="annotation subject"/>
    <w:basedOn w:val="Kommentartext"/>
    <w:next w:val="Kommentartext"/>
    <w:link w:val="KommentarthemaZchn"/>
    <w:uiPriority w:val="99"/>
    <w:semiHidden/>
    <w:unhideWhenUsed/>
    <w:rsid w:val="00B865C7"/>
    <w:rPr>
      <w:b/>
      <w:bCs/>
    </w:rPr>
  </w:style>
  <w:style w:type="character" w:customStyle="1" w:styleId="KommentarthemaZchn">
    <w:name w:val="Kommentarthema Zchn"/>
    <w:basedOn w:val="KommentartextZchn"/>
    <w:link w:val="Kommentarthema"/>
    <w:uiPriority w:val="99"/>
    <w:semiHidden/>
    <w:rsid w:val="00B865C7"/>
    <w:rPr>
      <w:b/>
      <w:bCs/>
      <w:sz w:val="20"/>
      <w:szCs w:val="20"/>
    </w:rPr>
  </w:style>
  <w:style w:type="paragraph" w:styleId="Funotentext">
    <w:name w:val="footnote text"/>
    <w:basedOn w:val="Standard"/>
    <w:link w:val="FunotentextZchn"/>
    <w:uiPriority w:val="99"/>
    <w:semiHidden/>
    <w:unhideWhenUsed/>
    <w:rsid w:val="0000699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0699B"/>
    <w:rPr>
      <w:sz w:val="20"/>
      <w:szCs w:val="20"/>
    </w:rPr>
  </w:style>
  <w:style w:type="character" w:styleId="Funotenzeichen">
    <w:name w:val="footnote reference"/>
    <w:basedOn w:val="Absatz-Standardschriftart"/>
    <w:uiPriority w:val="99"/>
    <w:semiHidden/>
    <w:unhideWhenUsed/>
    <w:rsid w:val="0000699B"/>
    <w:rPr>
      <w:vertAlign w:val="superscript"/>
    </w:rPr>
  </w:style>
  <w:style w:type="character" w:styleId="Hyperlink">
    <w:name w:val="Hyperlink"/>
    <w:basedOn w:val="Absatz-Standardschriftart"/>
    <w:uiPriority w:val="99"/>
    <w:unhideWhenUsed/>
    <w:rsid w:val="00985AAC"/>
    <w:rPr>
      <w:color w:val="0563C1" w:themeColor="hyperlink"/>
      <w:u w:val="single"/>
    </w:rPr>
  </w:style>
  <w:style w:type="character" w:styleId="NichtaufgelsteErwhnung">
    <w:name w:val="Unresolved Mention"/>
    <w:basedOn w:val="Absatz-Standardschriftart"/>
    <w:uiPriority w:val="99"/>
    <w:semiHidden/>
    <w:unhideWhenUsed/>
    <w:rsid w:val="00985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726740">
      <w:bodyDiv w:val="1"/>
      <w:marLeft w:val="0"/>
      <w:marRight w:val="0"/>
      <w:marTop w:val="0"/>
      <w:marBottom w:val="0"/>
      <w:divBdr>
        <w:top w:val="none" w:sz="0" w:space="0" w:color="auto"/>
        <w:left w:val="none" w:sz="0" w:space="0" w:color="auto"/>
        <w:bottom w:val="none" w:sz="0" w:space="0" w:color="auto"/>
        <w:right w:val="none" w:sz="0" w:space="0" w:color="auto"/>
      </w:divBdr>
    </w:div>
    <w:div w:id="867641044">
      <w:bodyDiv w:val="1"/>
      <w:marLeft w:val="0"/>
      <w:marRight w:val="0"/>
      <w:marTop w:val="0"/>
      <w:marBottom w:val="0"/>
      <w:divBdr>
        <w:top w:val="none" w:sz="0" w:space="0" w:color="auto"/>
        <w:left w:val="none" w:sz="0" w:space="0" w:color="auto"/>
        <w:bottom w:val="none" w:sz="0" w:space="0" w:color="auto"/>
        <w:right w:val="none" w:sz="0" w:space="0" w:color="auto"/>
      </w:divBdr>
    </w:div>
    <w:div w:id="910504215">
      <w:bodyDiv w:val="1"/>
      <w:marLeft w:val="0"/>
      <w:marRight w:val="0"/>
      <w:marTop w:val="0"/>
      <w:marBottom w:val="0"/>
      <w:divBdr>
        <w:top w:val="none" w:sz="0" w:space="0" w:color="auto"/>
        <w:left w:val="none" w:sz="0" w:space="0" w:color="auto"/>
        <w:bottom w:val="none" w:sz="0" w:space="0" w:color="auto"/>
        <w:right w:val="none" w:sz="0" w:space="0" w:color="auto"/>
      </w:divBdr>
    </w:div>
    <w:div w:id="920875339">
      <w:bodyDiv w:val="1"/>
      <w:marLeft w:val="0"/>
      <w:marRight w:val="0"/>
      <w:marTop w:val="0"/>
      <w:marBottom w:val="0"/>
      <w:divBdr>
        <w:top w:val="none" w:sz="0" w:space="0" w:color="auto"/>
        <w:left w:val="none" w:sz="0" w:space="0" w:color="auto"/>
        <w:bottom w:val="none" w:sz="0" w:space="0" w:color="auto"/>
        <w:right w:val="none" w:sz="0" w:space="0" w:color="auto"/>
      </w:divBdr>
    </w:div>
    <w:div w:id="1107850228">
      <w:bodyDiv w:val="1"/>
      <w:marLeft w:val="0"/>
      <w:marRight w:val="0"/>
      <w:marTop w:val="0"/>
      <w:marBottom w:val="0"/>
      <w:divBdr>
        <w:top w:val="none" w:sz="0" w:space="0" w:color="auto"/>
        <w:left w:val="none" w:sz="0" w:space="0" w:color="auto"/>
        <w:bottom w:val="none" w:sz="0" w:space="0" w:color="auto"/>
        <w:right w:val="none" w:sz="0" w:space="0" w:color="auto"/>
      </w:divBdr>
    </w:div>
    <w:div w:id="12050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me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dirty="0"/>
              <a:t>EEX Italian</a:t>
            </a:r>
            <a:r>
              <a:rPr lang="en-US" b="1" baseline="0" dirty="0"/>
              <a:t> power market</a:t>
            </a:r>
            <a:endParaRPr lang="en-US" b="1" dirty="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manualLayout>
          <c:layoutTarget val="inner"/>
          <c:xMode val="edge"/>
          <c:yMode val="edge"/>
          <c:x val="4.8160018220862889E-2"/>
          <c:y val="5.0925925925925923E-2"/>
          <c:w val="0.93287640181340969"/>
          <c:h val="0.76983486439195103"/>
        </c:manualLayout>
      </c:layout>
      <c:areaChart>
        <c:grouping val="stacked"/>
        <c:varyColors val="0"/>
        <c:ser>
          <c:idx val="0"/>
          <c:order val="0"/>
          <c:tx>
            <c:strRef>
              <c:f>'Data adjustment'!$B$26</c:f>
              <c:strCache>
                <c:ptCount val="1"/>
                <c:pt idx="0">
                  <c:v>Share EEX Screen</c:v>
                </c:pt>
              </c:strCache>
            </c:strRef>
          </c:tx>
          <c:spPr>
            <a:solidFill>
              <a:srgbClr val="FF6400"/>
            </a:solidFill>
            <a:ln>
              <a:noFill/>
            </a:ln>
            <a:effectLst/>
          </c:spPr>
          <c:cat>
            <c:numRef>
              <c:f>'Data adjustment'!$C$1:$BG$1</c:f>
              <c:numCache>
                <c:formatCode>[$-407]mmm/\ yy;@</c:formatCode>
                <c:ptCount val="57"/>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numCache>
            </c:numRef>
          </c:cat>
          <c:val>
            <c:numRef>
              <c:f>'Data adjustment'!$C$26:$BG$26</c:f>
              <c:numCache>
                <c:formatCode>0%</c:formatCode>
                <c:ptCount val="57"/>
                <c:pt idx="0">
                  <c:v>0</c:v>
                </c:pt>
                <c:pt idx="1">
                  <c:v>0</c:v>
                </c:pt>
                <c:pt idx="2">
                  <c:v>0</c:v>
                </c:pt>
                <c:pt idx="3">
                  <c:v>2.2867296510204062E-2</c:v>
                </c:pt>
                <c:pt idx="4">
                  <c:v>1.5226304638503359E-2</c:v>
                </c:pt>
                <c:pt idx="5">
                  <c:v>3.0147180117090947E-2</c:v>
                </c:pt>
                <c:pt idx="6">
                  <c:v>2.2122758134790744E-2</c:v>
                </c:pt>
                <c:pt idx="7">
                  <c:v>3.4876109356865664E-2</c:v>
                </c:pt>
                <c:pt idx="8">
                  <c:v>5.7723755386538726E-2</c:v>
                </c:pt>
                <c:pt idx="9">
                  <c:v>4.9456173467379891E-2</c:v>
                </c:pt>
                <c:pt idx="10">
                  <c:v>3.6449857108409832E-2</c:v>
                </c:pt>
                <c:pt idx="11">
                  <c:v>3.0935379476720971E-2</c:v>
                </c:pt>
                <c:pt idx="12">
                  <c:v>4.3394762422654332E-2</c:v>
                </c:pt>
                <c:pt idx="13">
                  <c:v>7.6139660206407708E-2</c:v>
                </c:pt>
                <c:pt idx="14">
                  <c:v>9.4550793486230966E-2</c:v>
                </c:pt>
                <c:pt idx="15">
                  <c:v>6.0117149778445171E-2</c:v>
                </c:pt>
                <c:pt idx="16">
                  <c:v>7.955840273914401E-2</c:v>
                </c:pt>
                <c:pt idx="17">
                  <c:v>8.5584446598652011E-2</c:v>
                </c:pt>
                <c:pt idx="18">
                  <c:v>8.683275703916099E-2</c:v>
                </c:pt>
                <c:pt idx="19">
                  <c:v>0.1269902172834162</c:v>
                </c:pt>
                <c:pt idx="20">
                  <c:v>0.12558382615506661</c:v>
                </c:pt>
                <c:pt idx="21">
                  <c:v>0.12614745932921825</c:v>
                </c:pt>
                <c:pt idx="22">
                  <c:v>0.14096339984794784</c:v>
                </c:pt>
                <c:pt idx="23">
                  <c:v>0.12884098993746354</c:v>
                </c:pt>
                <c:pt idx="24">
                  <c:v>0.17857589946691502</c:v>
                </c:pt>
                <c:pt idx="25">
                  <c:v>0.15333133403808652</c:v>
                </c:pt>
                <c:pt idx="26">
                  <c:v>0.12715707856265901</c:v>
                </c:pt>
                <c:pt idx="27">
                  <c:v>0.17310259177165968</c:v>
                </c:pt>
                <c:pt idx="28">
                  <c:v>0.16754248262674121</c:v>
                </c:pt>
                <c:pt idx="29">
                  <c:v>0.16104423469941961</c:v>
                </c:pt>
                <c:pt idx="30">
                  <c:v>0.13471413094267182</c:v>
                </c:pt>
                <c:pt idx="31">
                  <c:v>0.18073044704528454</c:v>
                </c:pt>
                <c:pt idx="32">
                  <c:v>0.19124831311309723</c:v>
                </c:pt>
                <c:pt idx="33">
                  <c:v>0.19112780346626265</c:v>
                </c:pt>
                <c:pt idx="34">
                  <c:v>0.14952146347809109</c:v>
                </c:pt>
                <c:pt idx="35">
                  <c:v>0.15779717583437936</c:v>
                </c:pt>
                <c:pt idx="36">
                  <c:v>0.12486374333791178</c:v>
                </c:pt>
                <c:pt idx="37">
                  <c:v>0.10652015274760897</c:v>
                </c:pt>
                <c:pt idx="38">
                  <c:v>0.17051499540295298</c:v>
                </c:pt>
                <c:pt idx="39">
                  <c:v>0.18097850551981823</c:v>
                </c:pt>
                <c:pt idx="40">
                  <c:v>0.18779989686876752</c:v>
                </c:pt>
                <c:pt idx="41">
                  <c:v>0.14026214286918584</c:v>
                </c:pt>
                <c:pt idx="42">
                  <c:v>0.12437378516959155</c:v>
                </c:pt>
                <c:pt idx="43">
                  <c:v>0.13865637726230853</c:v>
                </c:pt>
                <c:pt idx="44">
                  <c:v>0.20016484146917446</c:v>
                </c:pt>
                <c:pt idx="45">
                  <c:v>0.20065088413913884</c:v>
                </c:pt>
                <c:pt idx="46">
                  <c:v>0.21425049070410448</c:v>
                </c:pt>
                <c:pt idx="47">
                  <c:v>0.16778813236636586</c:v>
                </c:pt>
                <c:pt idx="48">
                  <c:v>0.17131525537557493</c:v>
                </c:pt>
                <c:pt idx="49">
                  <c:v>0.15193214313055572</c:v>
                </c:pt>
                <c:pt idx="50">
                  <c:v>0.19211426048099817</c:v>
                </c:pt>
                <c:pt idx="51">
                  <c:v>0.13473508904975426</c:v>
                </c:pt>
                <c:pt idx="52">
                  <c:v>0.17810375544292656</c:v>
                </c:pt>
                <c:pt idx="53">
                  <c:v>0.13339919906403502</c:v>
                </c:pt>
                <c:pt idx="54">
                  <c:v>0.15510178217472115</c:v>
                </c:pt>
                <c:pt idx="55">
                  <c:v>0.20552765540808762</c:v>
                </c:pt>
                <c:pt idx="56">
                  <c:v>0.17246011998039512</c:v>
                </c:pt>
              </c:numCache>
            </c:numRef>
          </c:val>
          <c:extLst>
            <c:ext xmlns:c16="http://schemas.microsoft.com/office/drawing/2014/chart" uri="{C3380CC4-5D6E-409C-BE32-E72D297353CC}">
              <c16:uniqueId val="{00000000-9A9E-448F-8CC1-CAFE866356A2}"/>
            </c:ext>
          </c:extLst>
        </c:ser>
        <c:ser>
          <c:idx val="1"/>
          <c:order val="1"/>
          <c:tx>
            <c:strRef>
              <c:f>'Data adjustment'!$B$28</c:f>
              <c:strCache>
                <c:ptCount val="1"/>
                <c:pt idx="0">
                  <c:v>Share EEX TR</c:v>
                </c:pt>
              </c:strCache>
            </c:strRef>
          </c:tx>
          <c:spPr>
            <a:solidFill>
              <a:srgbClr val="C00000"/>
            </a:solidFill>
            <a:ln w="25400">
              <a:noFill/>
            </a:ln>
            <a:effectLst/>
          </c:spPr>
          <c:cat>
            <c:numRef>
              <c:f>'Data adjustment'!$C$1:$BG$1</c:f>
              <c:numCache>
                <c:formatCode>[$-407]mmm/\ yy;@</c:formatCode>
                <c:ptCount val="57"/>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numCache>
            </c:numRef>
          </c:cat>
          <c:val>
            <c:numRef>
              <c:f>'Data adjustment'!$C$28:$BG$28</c:f>
              <c:numCache>
                <c:formatCode>0%</c:formatCode>
                <c:ptCount val="57"/>
                <c:pt idx="0">
                  <c:v>1.3580296319074829E-2</c:v>
                </c:pt>
                <c:pt idx="1">
                  <c:v>3.7551916670648826E-2</c:v>
                </c:pt>
                <c:pt idx="2">
                  <c:v>7.8953510220890727E-2</c:v>
                </c:pt>
                <c:pt idx="3">
                  <c:v>9.4155818251957582E-2</c:v>
                </c:pt>
                <c:pt idx="4">
                  <c:v>0.1289317180241922</c:v>
                </c:pt>
                <c:pt idx="5">
                  <c:v>0.17098832838065231</c:v>
                </c:pt>
                <c:pt idx="6">
                  <c:v>0.17707762015513787</c:v>
                </c:pt>
                <c:pt idx="7">
                  <c:v>0.1414526639677533</c:v>
                </c:pt>
                <c:pt idx="8">
                  <c:v>0.15655405109426651</c:v>
                </c:pt>
                <c:pt idx="9">
                  <c:v>0.1165110794616097</c:v>
                </c:pt>
                <c:pt idx="10">
                  <c:v>0.15360584024575646</c:v>
                </c:pt>
                <c:pt idx="11">
                  <c:v>0.20506348612994416</c:v>
                </c:pt>
                <c:pt idx="12">
                  <c:v>0.35343272942914661</c:v>
                </c:pt>
                <c:pt idx="13">
                  <c:v>0.36381243082891762</c:v>
                </c:pt>
                <c:pt idx="14">
                  <c:v>0.36075674956072573</c:v>
                </c:pt>
                <c:pt idx="15">
                  <c:v>0.41640234513538998</c:v>
                </c:pt>
                <c:pt idx="16">
                  <c:v>0.41013126707441278</c:v>
                </c:pt>
                <c:pt idx="17">
                  <c:v>0.3924709703667395</c:v>
                </c:pt>
                <c:pt idx="18">
                  <c:v>0.42916856128714165</c:v>
                </c:pt>
                <c:pt idx="19">
                  <c:v>0.27080052713431446</c:v>
                </c:pt>
                <c:pt idx="20">
                  <c:v>0.35453143934591813</c:v>
                </c:pt>
                <c:pt idx="21">
                  <c:v>0.45235720614823482</c:v>
                </c:pt>
                <c:pt idx="22">
                  <c:v>0.39402994100370164</c:v>
                </c:pt>
                <c:pt idx="23">
                  <c:v>0.40668474650704584</c:v>
                </c:pt>
                <c:pt idx="24">
                  <c:v>0.38976493667921308</c:v>
                </c:pt>
                <c:pt idx="25">
                  <c:v>0.44887464028404223</c:v>
                </c:pt>
                <c:pt idx="26">
                  <c:v>0.47257287284672744</c:v>
                </c:pt>
                <c:pt idx="27">
                  <c:v>0.51897873840574371</c:v>
                </c:pt>
                <c:pt idx="28">
                  <c:v>0.48390619383337208</c:v>
                </c:pt>
                <c:pt idx="29">
                  <c:v>0.47017247929025091</c:v>
                </c:pt>
                <c:pt idx="30">
                  <c:v>0.44541035078547742</c:v>
                </c:pt>
                <c:pt idx="31">
                  <c:v>0.47346640161025483</c:v>
                </c:pt>
                <c:pt idx="32">
                  <c:v>0.46311697265495366</c:v>
                </c:pt>
                <c:pt idx="33">
                  <c:v>0.44363240441564772</c:v>
                </c:pt>
                <c:pt idx="34">
                  <c:v>0.47606342288141013</c:v>
                </c:pt>
                <c:pt idx="35">
                  <c:v>0.47948882062623172</c:v>
                </c:pt>
                <c:pt idx="36">
                  <c:v>0.51495134017319943</c:v>
                </c:pt>
                <c:pt idx="37">
                  <c:v>0.48208844955794139</c:v>
                </c:pt>
                <c:pt idx="38">
                  <c:v>0.52651068168609372</c:v>
                </c:pt>
                <c:pt idx="39">
                  <c:v>0.51085584190062094</c:v>
                </c:pt>
                <c:pt idx="40">
                  <c:v>0.53209394915474928</c:v>
                </c:pt>
                <c:pt idx="41">
                  <c:v>0.60136792975204756</c:v>
                </c:pt>
                <c:pt idx="42">
                  <c:v>0.6403430659670204</c:v>
                </c:pt>
                <c:pt idx="43">
                  <c:v>0.61429304502141391</c:v>
                </c:pt>
                <c:pt idx="44">
                  <c:v>0.58476010919431476</c:v>
                </c:pt>
                <c:pt idx="45">
                  <c:v>0.58910312995885106</c:v>
                </c:pt>
                <c:pt idx="46">
                  <c:v>0.60627538337087372</c:v>
                </c:pt>
                <c:pt idx="47">
                  <c:v>0.64106095988038458</c:v>
                </c:pt>
                <c:pt idx="48">
                  <c:v>0.64410374744185872</c:v>
                </c:pt>
                <c:pt idx="49">
                  <c:v>0.71840275096922723</c:v>
                </c:pt>
                <c:pt idx="50">
                  <c:v>0.64540382689964748</c:v>
                </c:pt>
                <c:pt idx="51">
                  <c:v>0.72110361882515461</c:v>
                </c:pt>
                <c:pt idx="52">
                  <c:v>0.62058674758104415</c:v>
                </c:pt>
                <c:pt idx="53">
                  <c:v>0.65852037132321484</c:v>
                </c:pt>
                <c:pt idx="54">
                  <c:v>0.70306124013873916</c:v>
                </c:pt>
                <c:pt idx="55">
                  <c:v>0.66773796133785623</c:v>
                </c:pt>
                <c:pt idx="56">
                  <c:v>0.66046844289782214</c:v>
                </c:pt>
              </c:numCache>
            </c:numRef>
          </c:val>
          <c:extLst>
            <c:ext xmlns:c16="http://schemas.microsoft.com/office/drawing/2014/chart" uri="{C3380CC4-5D6E-409C-BE32-E72D297353CC}">
              <c16:uniqueId val="{00000001-9A9E-448F-8CC1-CAFE866356A2}"/>
            </c:ext>
          </c:extLst>
        </c:ser>
        <c:dLbls>
          <c:showLegendKey val="0"/>
          <c:showVal val="0"/>
          <c:showCatName val="0"/>
          <c:showSerName val="0"/>
          <c:showPercent val="0"/>
          <c:showBubbleSize val="0"/>
        </c:dLbls>
        <c:axId val="180630216"/>
        <c:axId val="275077744"/>
      </c:areaChart>
      <c:dateAx>
        <c:axId val="180630216"/>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75077744"/>
        <c:crosses val="autoZero"/>
        <c:auto val="1"/>
        <c:lblOffset val="100"/>
        <c:baseTimeUnit val="months"/>
      </c:dateAx>
      <c:valAx>
        <c:axId val="275077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80630216"/>
        <c:crosses val="autoZero"/>
        <c:crossBetween val="midCat"/>
      </c:valAx>
      <c:spPr>
        <a:noFill/>
        <a:ln>
          <a:noFill/>
        </a:ln>
        <a:effectLst/>
      </c:spPr>
    </c:plotArea>
    <c:legend>
      <c:legendPos val="r"/>
      <c:layout>
        <c:manualLayout>
          <c:xMode val="edge"/>
          <c:yMode val="edge"/>
          <c:x val="6.3385935229170728E-2"/>
          <c:y val="0.19965223097112861"/>
          <c:w val="0.14598045595540227"/>
          <c:h val="0.1562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5e216652-7cb1-42d3-a22f-fb5c7f348db5" origin="defaultValue">
  <element uid="id_classification_internalonly"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9742CDA3EBE7494587163B8E118BA823" ma:contentTypeVersion="1" ma:contentTypeDescription="Create a new document." ma:contentTypeScope="" ma:versionID="572906fb181fd679aa1ad5591eac5bcc">
  <xsd:schema xmlns:xsd="http://www.w3.org/2001/XMLSchema" xmlns:xs="http://www.w3.org/2001/XMLSchema" xmlns:p="http://schemas.microsoft.com/office/2006/metadata/properties" xmlns:ns2="df456490-b339-48a6-b6e8-b5a0ccf2834f" targetNamespace="http://schemas.microsoft.com/office/2006/metadata/properties" ma:root="true" ma:fieldsID="bb32fadb0bd12becd5f08432b8afd9c2" ns2:_="">
    <xsd:import namespace="df456490-b339-48a6-b6e8-b5a0ccf2834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56490-b339-48a6-b6e8-b5a0ccf283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ZGVmYXVsdFZhbHVlIj48ZWxlbWVudCB1aWQ9ImlkX2NsYXNzaWZpY2F0aW9uX2ludGVybmFsb25seSIgdmFsdWU9IiIgeG1sbnM9Imh0dHA6Ly93d3cuYm9sZG9uamFtZXMuY29tLzIwMDgvMDEvc2llL2ludGVybmFsL2xhYmVsIiAvPjwvc2lzbD48VXNlck5hbWU+T0FBRFx2YTMzNDwvVXNlck5hbWU+PERhdGVUaW1lPjE2LjAzLjIwMjAgMTg6MDk6MTA8L0RhdGVUaW1lPjxMYWJlbFN0cmluZz5JbnRlcm5hbDwvTGFiZWxTdHJpbmc+PC9pdGVtPjwvbGFiZWxIaXN0b3J5Pg==</Value>
</WrappedLabelHistory>
</file>

<file path=customXml/item4.xml><?xml version="1.0" encoding="utf-8"?>
<p:properties xmlns:p="http://schemas.microsoft.com/office/2006/metadata/properties" xmlns:xsi="http://www.w3.org/2001/XMLSchema-instance" xmlns:pc="http://schemas.microsoft.com/office/infopath/2007/PartnerControls">
  <documentManagement>
    <SharedWithUsers xmlns="df456490-b339-48a6-b6e8-b5a0ccf2834f">
      <UserInfo>
        <DisplayName>Markus Ernst</DisplayName>
        <AccountId>1269</AccountId>
        <AccountType/>
      </UserInfo>
      <UserInfo>
        <DisplayName>Christiane Baumgarten</DisplayName>
        <AccountId>228</AccountId>
        <AccountType/>
      </UserInfo>
      <UserInfo>
        <DisplayName>Ellen De Vocht</DisplayName>
        <AccountId>1275</AccountId>
        <AccountType/>
      </UserInfo>
      <UserInfo>
        <DisplayName>Vincent Pohle</DisplayName>
        <AccountId>1185</AccountId>
        <AccountType/>
      </UserInfo>
      <UserInfo>
        <DisplayName>Vassiliki Veliou</DisplayName>
        <AccountId>1195</AccountId>
        <AccountType/>
      </UserInfo>
      <UserInfo>
        <DisplayName>Kirstin Meissner</DisplayName>
        <AccountId>1272</AccountId>
        <AccountType/>
      </UserInfo>
      <UserInfo>
        <DisplayName>Justus Weissmueller</DisplayName>
        <AccountId>1101</AccountId>
        <AccountType/>
      </UserInfo>
      <UserInfo>
        <DisplayName>Mariam Guellner</DisplayName>
        <AccountId>1274</AccountId>
        <AccountType/>
      </UserInfo>
      <UserInfo>
        <DisplayName>Sandra Vincent</DisplayName>
        <AccountId>1201</AccountId>
        <AccountType/>
      </UserInfo>
      <UserInfo>
        <DisplayName>Severine Vandelanoite</DisplayName>
        <AccountId>1237</AccountId>
        <AccountType/>
      </UserInfo>
      <UserInfo>
        <DisplayName>Matthias Stoetzel</DisplayName>
        <AccountId>85</AccountId>
        <AccountType/>
      </UserInfo>
      <UserInfo>
        <DisplayName>Marco Winteroll</DisplayName>
        <AccountId>29</AccountId>
        <AccountType/>
      </UserInfo>
      <UserInfo>
        <DisplayName>Martin Reck</DisplayName>
        <AccountId>1356</AccountId>
        <AccountType/>
      </UserInfo>
      <UserInfo>
        <DisplayName>Cord Gebhardt</DisplayName>
        <AccountId>1357</AccountId>
        <AccountType/>
      </UserInfo>
      <UserInfo>
        <DisplayName>Michael Krogmann</DisplayName>
        <AccountId>95</AccountId>
        <AccountType/>
      </UserInfo>
      <UserInfo>
        <DisplayName>Martin Oakley</DisplayName>
        <AccountId>882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EB64E-0F80-4120-B7A3-C5CF2882609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8EC0708-B4E9-45B1-8F26-DCDC2242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56490-b339-48a6-b6e8-b5a0ccf28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A3F91-D2F4-407F-9D2A-AE8CDAAEC7A6}">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A591A718-8474-4B12-A60A-96A6F87B53C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f456490-b339-48a6-b6e8-b5a0ccf2834f"/>
    <ds:schemaRef ds:uri="http://www.w3.org/XML/1998/namespace"/>
  </ds:schemaRefs>
</ds:datastoreItem>
</file>

<file path=customXml/itemProps5.xml><?xml version="1.0" encoding="utf-8"?>
<ds:datastoreItem xmlns:ds="http://schemas.openxmlformats.org/officeDocument/2006/customXml" ds:itemID="{EFBF852C-1DF1-462B-B8AD-FE3912F470D6}">
  <ds:schemaRefs>
    <ds:schemaRef ds:uri="http://schemas.microsoft.com/sharepoint/v3/contenttype/forms"/>
  </ds:schemaRefs>
</ds:datastoreItem>
</file>

<file path=customXml/itemProps6.xml><?xml version="1.0" encoding="utf-8"?>
<ds:datastoreItem xmlns:ds="http://schemas.openxmlformats.org/officeDocument/2006/customXml" ds:itemID="{AD74BC90-41B5-4D3A-8FB2-8EC76872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11497</Words>
  <Characters>72432</Characters>
  <Application>Microsoft Office Word</Application>
  <DocSecurity>0</DocSecurity>
  <Lines>603</Lines>
  <Paragraphs>167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Hackenberg</dc:creator>
  <cp:keywords/>
  <dc:description/>
  <cp:lastModifiedBy>Viktoria Hackenberg</cp:lastModifiedBy>
  <cp:revision>3</cp:revision>
  <dcterms:created xsi:type="dcterms:W3CDTF">2020-06-09T14:21:00Z</dcterms:created>
  <dcterms:modified xsi:type="dcterms:W3CDTF">2020-06-09T16:41:00Z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policy="5e216652-7cb1-42d3-a22f-fb5c7f348db5" origin="defaultValue" xmlns="http://www.boldonj</vt:lpwstr>
  </property>
  <property fmtid="{D5CDD505-2E9C-101B-9397-08002B2CF9AE}" pid="3" name="bjDocumentLabelXML-0">
    <vt:lpwstr>ames.com/2008/01/sie/internal/label"&gt;&lt;element uid="id_classification_internalonly" value="" /&gt;&lt;/sisl&gt;</vt:lpwstr>
  </property>
  <property fmtid="{D5CDD505-2E9C-101B-9397-08002B2CF9AE}" pid="4" name="bjDocumentSecurityLabel">
    <vt:lpwstr>Internal</vt:lpwstr>
  </property>
  <property fmtid="{D5CDD505-2E9C-101B-9397-08002B2CF9AE}" pid="5" name="DBG_Classification_ID">
    <vt:lpwstr>2</vt:lpwstr>
  </property>
  <property fmtid="{D5CDD505-2E9C-101B-9397-08002B2CF9AE}" pid="6" name="DBG_Classification_Name">
    <vt:lpwstr>Internal</vt:lpwstr>
  </property>
  <property fmtid="{D5CDD505-2E9C-101B-9397-08002B2CF9AE}" pid="7" name="bjSaver">
    <vt:lpwstr>LjYLDCXtUlFsWBadWSD71mX7WeRNhh+h</vt:lpwstr>
  </property>
  <property fmtid="{D5CDD505-2E9C-101B-9397-08002B2CF9AE}" pid="8" name="bjLabelHistoryID">
    <vt:lpwstr>{A7EA3F91-D2F4-407F-9D2A-AE8CDAAEC7A6}</vt:lpwstr>
  </property>
  <property fmtid="{D5CDD505-2E9C-101B-9397-08002B2CF9AE}" pid="9" name="ContentTypeId">
    <vt:lpwstr>0x0101009742CDA3EBE7494587163B8E118BA823</vt:lpwstr>
  </property>
  <property fmtid="{D5CDD505-2E9C-101B-9397-08002B2CF9AE}" pid="10" name="docIndexRef">
    <vt:lpwstr>16f5e489-0e78-475a-8bbb-031fb601be81</vt:lpwstr>
  </property>
</Properties>
</file>