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5DCC7BC8" w14:textId="77777777" w:rsidTr="00315E96">
        <w:trPr>
          <w:trHeight w:val="284"/>
        </w:trPr>
        <w:tc>
          <w:tcPr>
            <w:tcW w:w="9412" w:type="dxa"/>
          </w:tcPr>
          <w:p w14:paraId="16A89E45" w14:textId="134B4D37" w:rsidR="00C2094B" w:rsidRPr="00583885" w:rsidRDefault="00A52EBB" w:rsidP="0071740A">
            <w:pPr>
              <w:pStyle w:val="Fuzeile"/>
              <w:rPr>
                <w:rFonts w:cs="Arial"/>
                <w:sz w:val="22"/>
                <w:szCs w:val="22"/>
              </w:rPr>
            </w:pPr>
            <w:permStart w:id="1707502347" w:edGrp="everyone"/>
            <w:permEnd w:id="1707502347"/>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775D3F">
              <w:rPr>
                <w:rFonts w:cs="Arial"/>
                <w:color w:val="FFFFFF" w:themeColor="background1"/>
                <w:sz w:val="22"/>
                <w:szCs w:val="22"/>
              </w:rPr>
              <w:t>10 March</w:t>
            </w:r>
            <w:r w:rsidR="00B61CD3">
              <w:rPr>
                <w:rFonts w:cs="Arial"/>
                <w:color w:val="FFFFFF" w:themeColor="background1"/>
                <w:sz w:val="22"/>
                <w:szCs w:val="22"/>
              </w:rPr>
              <w:t xml:space="preserve"> 2020</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6188D59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F107EF" w:rsidRPr="00F107EF">
              <w:rPr>
                <w:rFonts w:cs="Arial"/>
              </w:rPr>
              <w:t xml:space="preserve">MiFID II/ MiFIR review report on the transparency regime for </w:t>
            </w:r>
            <w:r w:rsidR="00D320F7">
              <w:rPr>
                <w:rFonts w:cs="Arial"/>
              </w:rPr>
              <w:t>non-</w:t>
            </w:r>
            <w:r w:rsidR="00F107EF" w:rsidRPr="00F107EF">
              <w:rPr>
                <w:rFonts w:cs="Arial"/>
              </w:rPr>
              <w:t xml:space="preserve">equity and the trading obligations for </w:t>
            </w:r>
            <w:r w:rsidR="00D320F7">
              <w:rPr>
                <w:rFonts w:cs="Arial"/>
              </w:rPr>
              <w:t>derivatives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3C9BD149" w:rsidR="00620D7C" w:rsidRPr="00A52EBB" w:rsidRDefault="00620D7C" w:rsidP="00B1467D">
            <w:pPr>
              <w:pStyle w:val="02Date"/>
              <w:rPr>
                <w:rFonts w:cs="Arial"/>
              </w:rPr>
            </w:pPr>
            <w:r w:rsidRPr="00A52EBB">
              <w:rPr>
                <w:rFonts w:cs="Arial"/>
              </w:rPr>
              <w:lastRenderedPageBreak/>
              <w:t xml:space="preserve">Date: </w:t>
            </w:r>
            <w:r w:rsidR="00775D3F">
              <w:rPr>
                <w:rFonts w:cs="Arial"/>
              </w:rPr>
              <w:t>10 March</w:t>
            </w:r>
            <w:r w:rsidR="00B61CD3">
              <w:rPr>
                <w:rFonts w:cs="Arial"/>
              </w:rPr>
              <w:t xml:space="preserve"> 2020</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59964C76"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F107EF" w:rsidRPr="00F107EF">
        <w:rPr>
          <w:rFonts w:cs="Arial"/>
        </w:rPr>
        <w:t>transparency regime for</w:t>
      </w:r>
      <w:r w:rsidR="007254DD">
        <w:rPr>
          <w:rFonts w:cs="Arial"/>
        </w:rPr>
        <w:t xml:space="preserve"> non-</w:t>
      </w:r>
      <w:r w:rsidR="00F107EF" w:rsidRPr="00F107EF">
        <w:rPr>
          <w:rFonts w:cs="Arial"/>
        </w:rPr>
        <w:t xml:space="preserve">equity instruments and the trading obligations for </w:t>
      </w:r>
      <w:r w:rsidR="007254DD">
        <w:rPr>
          <w:rFonts w:cs="Arial"/>
        </w:rPr>
        <w:t>derivatives</w:t>
      </w:r>
      <w:r w:rsidR="00F107EF" w:rsidRPr="00F107EF">
        <w:rPr>
          <w:rFonts w:cs="Arial"/>
        </w:rPr>
        <w:t xml:space="preserve"> MiFID II/ MiFIR review report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21FE3BEA"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w:t>
      </w:r>
      <w:r w:rsidR="007254DD">
        <w:rPr>
          <w:rFonts w:cs="Arial"/>
        </w:rPr>
        <w:t>_MIFID_NQT</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C99ECBD"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252000BB"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 xml:space="preserve">ESMA_REPLYFORM or </w:t>
      </w:r>
    </w:p>
    <w:p w14:paraId="6A062D93" w14:textId="4BC853F2" w:rsidR="000D17AA" w:rsidRPr="00EF0769" w:rsidRDefault="00021E83" w:rsidP="000D17AA">
      <w:pPr>
        <w:pStyle w:val="04BodyText"/>
        <w:spacing w:before="120" w:after="120"/>
        <w:jc w:val="left"/>
        <w:rPr>
          <w:rFonts w:cs="Arial"/>
        </w:rPr>
      </w:pPr>
      <w:r w:rsidRPr="00EF0769">
        <w:rPr>
          <w:rFonts w:cs="Arial"/>
        </w:rPr>
        <w:lastRenderedPageBreak/>
        <w:t>ESMA_</w:t>
      </w:r>
      <w:r w:rsidR="00227C1A">
        <w:rPr>
          <w:rFonts w:cs="Arial"/>
        </w:rPr>
        <w:t>CP</w:t>
      </w:r>
      <w:r w:rsidR="007254DD">
        <w:rPr>
          <w:rFonts w:cs="Arial"/>
        </w:rPr>
        <w:t>_MIFID_NQT</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3E5B9D78" w:rsidR="00F574D0" w:rsidRPr="00EF0769" w:rsidRDefault="00F574D0" w:rsidP="00F574D0">
      <w:pPr>
        <w:pStyle w:val="04BodyText"/>
        <w:spacing w:before="120" w:after="120"/>
        <w:rPr>
          <w:rFonts w:cs="Arial"/>
        </w:rPr>
      </w:pPr>
      <w:r w:rsidRPr="00EF0769">
        <w:rPr>
          <w:rFonts w:cs="Arial"/>
        </w:rPr>
        <w:t xml:space="preserve">Responses must </w:t>
      </w:r>
      <w:r w:rsidRPr="00775D3F">
        <w:rPr>
          <w:rFonts w:cs="Arial"/>
        </w:rPr>
        <w:t xml:space="preserve">reach us by </w:t>
      </w:r>
      <w:r w:rsidR="00F107EF" w:rsidRPr="00775D3F">
        <w:rPr>
          <w:rFonts w:cs="Arial"/>
          <w:b/>
        </w:rPr>
        <w:t>1</w:t>
      </w:r>
      <w:r w:rsidR="00775D3F" w:rsidRPr="00775D3F">
        <w:rPr>
          <w:rFonts w:cs="Arial"/>
          <w:b/>
        </w:rPr>
        <w:t>9</w:t>
      </w:r>
      <w:r w:rsidR="00227C1A" w:rsidRPr="00775D3F">
        <w:rPr>
          <w:rFonts w:cs="Arial"/>
          <w:b/>
        </w:rPr>
        <w:t xml:space="preserve"> </w:t>
      </w:r>
      <w:r w:rsidR="007254DD" w:rsidRPr="00775D3F">
        <w:rPr>
          <w:rFonts w:cs="Arial"/>
          <w:b/>
        </w:rPr>
        <w:t>April</w:t>
      </w:r>
      <w:r w:rsidR="00F107EF" w:rsidRPr="00775D3F">
        <w:rPr>
          <w:rFonts w:cs="Arial"/>
          <w:b/>
        </w:rPr>
        <w:t xml:space="preserve"> 2020</w:t>
      </w:r>
      <w:r w:rsidR="00021E83" w:rsidRPr="00775D3F">
        <w:rPr>
          <w:rFonts w:cs="Arial"/>
          <w:b/>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berschrift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tzhaltertext"/>
              <w:rFonts w:cs="Arial"/>
            </w:rPr>
            <w:id w:val="651570699"/>
            <w:text/>
          </w:sdtPr>
          <w:sdtEndPr>
            <w:rPr>
              <w:rStyle w:val="Platzhaltertext"/>
            </w:rPr>
          </w:sdtEndPr>
          <w:sdtContent>
            <w:tc>
              <w:tcPr>
                <w:tcW w:w="5595" w:type="dxa"/>
                <w:shd w:val="clear" w:color="auto" w:fill="auto"/>
              </w:tcPr>
              <w:p w14:paraId="7A68491E" w14:textId="657EB408" w:rsidR="00C2682A" w:rsidRPr="00AB6D88" w:rsidRDefault="00D913B8" w:rsidP="00D913B8">
                <w:pPr>
                  <w:rPr>
                    <w:rStyle w:val="Platzhaltertext"/>
                    <w:rFonts w:cs="Arial"/>
                  </w:rPr>
                </w:pPr>
                <w:r>
                  <w:rPr>
                    <w:rStyle w:val="Platzhaltertext"/>
                    <w:rFonts w:cs="Arial"/>
                  </w:rPr>
                  <w:t>Börse Stuttgart</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3510BA50" w:rsidR="00C2682A" w:rsidRPr="00AB6D88" w:rsidRDefault="000440DB"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D913B8">
                  <w:rPr>
                    <w:rFonts w:cs="Arial"/>
                  </w:rPr>
                  <w:t>Regulated markets/Exchanges/Trading Systems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E0D441" w14:textId="77777777" w:rsidR="00C2682A" w:rsidRPr="00AB6D88" w:rsidRDefault="00C2682A"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2AEDFC7E" w:rsidR="00C2682A" w:rsidRPr="00AB6D88" w:rsidRDefault="00D913B8" w:rsidP="00FA5524">
                <w:pPr>
                  <w:rPr>
                    <w:rFonts w:cs="Arial"/>
                  </w:rPr>
                </w:pPr>
                <w:r>
                  <w:rPr>
                    <w:rFonts w:cs="Arial"/>
                  </w:rPr>
                  <w:t>Germany</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berschrift1"/>
        <w:numPr>
          <w:ilvl w:val="0"/>
          <w:numId w:val="0"/>
        </w:numPr>
        <w:ind w:left="431" w:hanging="431"/>
      </w:pPr>
      <w:r>
        <w:t>Introduction</w:t>
      </w:r>
    </w:p>
    <w:p w14:paraId="0A354328" w14:textId="77777777" w:rsidR="00F87897" w:rsidRPr="001D47A5" w:rsidRDefault="00F87897" w:rsidP="00F87897">
      <w:pPr>
        <w:rPr>
          <w:rStyle w:val="IntensiveHervorhebung"/>
        </w:rPr>
      </w:pPr>
      <w:r w:rsidRPr="001D47A5">
        <w:rPr>
          <w:rStyle w:val="IntensiveHervorhebung"/>
        </w:rPr>
        <w:t>Please make your introductory comments below, if any:</w:t>
      </w:r>
    </w:p>
    <w:p w14:paraId="385E0DBA" w14:textId="77777777" w:rsidR="00F87897" w:rsidRPr="00BF28DA" w:rsidRDefault="00F87897" w:rsidP="00F87897"/>
    <w:p w14:paraId="0B417B41" w14:textId="16C5E9F9" w:rsidR="00F87897" w:rsidRPr="006F4535" w:rsidRDefault="00F87897" w:rsidP="00F87897">
      <w:r w:rsidRPr="006F4535">
        <w:t>&lt;ESMA_COMMENT_</w:t>
      </w:r>
      <w:r w:rsidR="00227C1A">
        <w:t>CP</w:t>
      </w:r>
      <w:r w:rsidR="007254DD">
        <w:t>_MIFID_NQT</w:t>
      </w:r>
      <w:r w:rsidR="00F107EF">
        <w:t>_</w:t>
      </w:r>
      <w:r w:rsidRPr="006F4535">
        <w:t>1&gt;</w:t>
      </w:r>
    </w:p>
    <w:p w14:paraId="1AAD56E3" w14:textId="77777777" w:rsidR="00D913B8" w:rsidRPr="00D913B8" w:rsidRDefault="00D913B8" w:rsidP="00D913B8">
      <w:pPr>
        <w:rPr>
          <w:lang w:val="en-US"/>
        </w:rPr>
      </w:pPr>
      <w:permStart w:id="1454525006" w:edGrp="everyone"/>
      <w:r w:rsidRPr="00D913B8">
        <w:rPr>
          <w:lang w:val="en-US"/>
        </w:rPr>
        <w:t xml:space="preserve">Börse Stuttgart is one of Germany’s leading floor-based exchanges and a first choice of retail investors. Investors can trade equities, </w:t>
      </w:r>
      <w:proofErr w:type="spellStart"/>
      <w:r w:rsidRPr="00D913B8">
        <w:rPr>
          <w:lang w:val="en-US"/>
        </w:rPr>
        <w:t>securitised</w:t>
      </w:r>
      <w:proofErr w:type="spellEnd"/>
      <w:r w:rsidRPr="00D913B8">
        <w:rPr>
          <w:lang w:val="en-US"/>
        </w:rPr>
        <w:t xml:space="preserve"> derivatives, bonds, ETFs and investment funds while benefiting from top-quality execution at the best prices. Börse Stuttgart leads the German market for exchange-based trading in corporate bonds and is number one in Europe in the </w:t>
      </w:r>
      <w:proofErr w:type="spellStart"/>
      <w:r w:rsidRPr="00D913B8">
        <w:rPr>
          <w:lang w:val="en-US"/>
        </w:rPr>
        <w:t>securitised</w:t>
      </w:r>
      <w:proofErr w:type="spellEnd"/>
      <w:r w:rsidRPr="00D913B8">
        <w:rPr>
          <w:lang w:val="en-US"/>
        </w:rPr>
        <w:t xml:space="preserve"> derivatives segment. In 2019, Börse Stuttgart recorded a total trading volume of around EUR 69 billion across all asset classes, making it Europe’s tenth largest exchange.</w:t>
      </w:r>
    </w:p>
    <w:p w14:paraId="06EB0228" w14:textId="77777777" w:rsidR="00D913B8" w:rsidRPr="00D913B8" w:rsidRDefault="00D913B8" w:rsidP="00D913B8">
      <w:pPr>
        <w:rPr>
          <w:lang w:val="en-US"/>
        </w:rPr>
      </w:pPr>
    </w:p>
    <w:p w14:paraId="00BE7B26" w14:textId="77777777" w:rsidR="00D913B8" w:rsidRPr="00D913B8" w:rsidRDefault="00D913B8" w:rsidP="00D913B8">
      <w:r w:rsidRPr="00D913B8">
        <w:rPr>
          <w:lang w:val="en-US"/>
        </w:rPr>
        <w:t xml:space="preserve">Börse Stuttgart welcomes the possibility to respond to the ESMA Consultation Paper on </w:t>
      </w:r>
      <w:r w:rsidRPr="00D913B8">
        <w:rPr>
          <w:i/>
          <w:lang w:val="en-US"/>
        </w:rPr>
        <w:t>“MiFID II/</w:t>
      </w:r>
      <w:proofErr w:type="spellStart"/>
      <w:r w:rsidRPr="00D913B8">
        <w:rPr>
          <w:i/>
          <w:lang w:val="en-US"/>
        </w:rPr>
        <w:t>MiFIR</w:t>
      </w:r>
      <w:proofErr w:type="spellEnd"/>
      <w:r w:rsidRPr="00D913B8">
        <w:rPr>
          <w:i/>
          <w:lang w:val="en-US"/>
        </w:rPr>
        <w:t xml:space="preserve"> review report on the transparency regime for non-equity instruments and the trading obligation for derivatives”.</w:t>
      </w:r>
      <w:r w:rsidRPr="00D913B8">
        <w:rPr>
          <w:lang w:val="en-US"/>
        </w:rPr>
        <w:t xml:space="preserve"> We would like to address in particular the insufficient level of pre- and post-trade transparency in the non-equity space. Börse Stuttgart believes that MiFID II/</w:t>
      </w:r>
      <w:proofErr w:type="spellStart"/>
      <w:r w:rsidRPr="00D913B8">
        <w:rPr>
          <w:lang w:val="en-US"/>
        </w:rPr>
        <w:t>MiFIR</w:t>
      </w:r>
      <w:proofErr w:type="spellEnd"/>
      <w:r w:rsidRPr="00D913B8">
        <w:rPr>
          <w:lang w:val="en-US"/>
        </w:rPr>
        <w:t xml:space="preserve"> has not delivered on its objective to increase transparency. </w:t>
      </w:r>
      <w:r w:rsidRPr="00D913B8">
        <w:t xml:space="preserve">In particular, the trading of bonds and securitised derivatives remains opaque. The large majority of these instruments is traded OTC and thus with limited access for market participants as well as less transparency compared to multilateral venues. Moreover, trading in bonds and securitised derivatives is very fragmented with 293 non-equity trading venues whereof 166 are bond SIs and 45 securitised derivatives SIs. </w:t>
      </w:r>
    </w:p>
    <w:p w14:paraId="6A22288E" w14:textId="3B6FB395" w:rsidR="00F87897" w:rsidRDefault="00D913B8" w:rsidP="00F87897">
      <w:r w:rsidRPr="00D913B8">
        <w:t>Börse Stuttgart calls on ESMA to support initiatives that would shift a significant share of trading of bonds and securitised derivatives – which are important asset classes for Börse Stuttgart based on trading volume – to transparent and multilateral trading venues</w:t>
      </w:r>
      <w:r w:rsidR="00E97AD5">
        <w:t xml:space="preserve"> </w:t>
      </w:r>
      <w:r w:rsidR="00E97AD5" w:rsidRPr="000440DB">
        <w:t>in order to benefit from the</w:t>
      </w:r>
      <w:r w:rsidR="00E97AD5" w:rsidRPr="000440DB">
        <w:rPr>
          <w:rFonts w:asciiTheme="minorHAnsi" w:eastAsia="Trebuchet MS" w:hAnsiTheme="minorHAnsi" w:cstheme="majorHAnsi"/>
          <w:sz w:val="22"/>
          <w:szCs w:val="22"/>
          <w:lang w:eastAsia="en-US"/>
        </w:rPr>
        <w:t xml:space="preserve"> </w:t>
      </w:r>
      <w:r w:rsidR="00E97AD5" w:rsidRPr="000440DB">
        <w:t>advantages of a transparent price formation process</w:t>
      </w:r>
      <w:r w:rsidR="00CB0DAD" w:rsidRPr="000440DB">
        <w:t xml:space="preserve"> on regulated markets</w:t>
      </w:r>
      <w:r w:rsidRPr="000440DB">
        <w:t xml:space="preserve">. </w:t>
      </w:r>
      <w:r w:rsidRPr="00D913B8">
        <w:rPr>
          <w:lang w:val="en-US"/>
        </w:rPr>
        <w:t>Bonds and derivatives markets with deep pools of high-quality liquidity are a crucial component of healthy ecosystems as well as an important contribution to competitive, transparent and stable EU financial markets. Börse Stuttgart believes that more needs to be done to ensure that the transparency objectives of MiFID II/</w:t>
      </w:r>
      <w:proofErr w:type="spellStart"/>
      <w:r w:rsidRPr="00D913B8">
        <w:rPr>
          <w:lang w:val="en-US"/>
        </w:rPr>
        <w:t>MiFIR</w:t>
      </w:r>
      <w:proofErr w:type="spellEnd"/>
      <w:r w:rsidRPr="00D913B8">
        <w:rPr>
          <w:lang w:val="en-US"/>
        </w:rPr>
        <w:t xml:space="preserve"> are fulfilled. </w:t>
      </w:r>
      <w:permEnd w:id="1454525006"/>
    </w:p>
    <w:p w14:paraId="3B7AB56A" w14:textId="3EA6C574" w:rsidR="00F87897" w:rsidRPr="00BF28DA" w:rsidRDefault="00F87897" w:rsidP="00F87897">
      <w:r w:rsidRPr="00BF28DA">
        <w:t>&lt;ESMA_COMMENT_</w:t>
      </w:r>
      <w:r w:rsidR="00227C1A">
        <w:t>CP</w:t>
      </w:r>
      <w:r w:rsidR="007254DD">
        <w:t>_MIFID_NQT</w:t>
      </w:r>
      <w:r w:rsidR="00F107EF">
        <w:t>_</w:t>
      </w:r>
      <w:r w:rsidRPr="00BF28DA">
        <w:t>1&gt;</w:t>
      </w:r>
    </w:p>
    <w:p w14:paraId="6D8E7793" w14:textId="77777777" w:rsidR="00F87897" w:rsidRDefault="00F87897">
      <w:pPr>
        <w:rPr>
          <w:rFonts w:eastAsiaTheme="minorEastAsia" w:cstheme="minorBidi"/>
          <w:b/>
          <w:sz w:val="22"/>
          <w:szCs w:val="20"/>
          <w:lang w:eastAsia="en-US"/>
        </w:rPr>
      </w:pPr>
      <w:r>
        <w:br w:type="page"/>
      </w:r>
    </w:p>
    <w:p w14:paraId="0D8E3AF7" w14:textId="678DC6FD" w:rsidR="00A8728B" w:rsidRPr="00070630" w:rsidRDefault="007254DD" w:rsidP="00431B0A">
      <w:pPr>
        <w:pStyle w:val="CPQuestions"/>
      </w:pPr>
      <w:r w:rsidRPr="007254DD">
        <w:lastRenderedPageBreak/>
        <w:t>What benefits or impacts would you see in increased pre-trade transparency in the different non-equity markets? How could the benefits/impacts of such pre-trade transparency be achieved/be mitigated via changes of the Level 1 text?</w:t>
      </w:r>
      <w:r w:rsidR="00276A5A">
        <w:t>.</w:t>
      </w:r>
    </w:p>
    <w:p w14:paraId="2478D340" w14:textId="3C29782D" w:rsidR="00A8728B" w:rsidRDefault="00A8728B" w:rsidP="00A8728B">
      <w:r>
        <w:t>&lt;ESMA_QUESTION</w:t>
      </w:r>
      <w:r w:rsidR="00D920D1">
        <w:t>_</w:t>
      </w:r>
      <w:r w:rsidR="00227C1A">
        <w:t>CP</w:t>
      </w:r>
      <w:r w:rsidR="007254DD">
        <w:t>_MIFID_NQT</w:t>
      </w:r>
      <w:r w:rsidR="00F107EF">
        <w:t>_</w:t>
      </w:r>
      <w:r>
        <w:t>1&gt;</w:t>
      </w:r>
    </w:p>
    <w:p w14:paraId="446A9953" w14:textId="77777777" w:rsidR="00D913B8" w:rsidRPr="00D913B8" w:rsidRDefault="00D913B8" w:rsidP="00D913B8">
      <w:permStart w:id="1955866996" w:edGrp="everyone"/>
      <w:r w:rsidRPr="00D913B8">
        <w:t>Börse Stuttgart believes that the objective in MiFID II/</w:t>
      </w:r>
      <w:proofErr w:type="spellStart"/>
      <w:r w:rsidRPr="00D913B8">
        <w:t>MiFIR</w:t>
      </w:r>
      <w:proofErr w:type="spellEnd"/>
      <w:r w:rsidRPr="00D913B8">
        <w:t xml:space="preserve"> to increase the pre- and post-trade transparency for non-equity instruments has not been achieved. We agree with ESMA’s conclusion that “</w:t>
      </w:r>
      <w:r w:rsidRPr="00D913B8">
        <w:rPr>
          <w:i/>
        </w:rPr>
        <w:t>the level of pre-trade transparency in non-equity markets remains limited following the application of MiFID II</w:t>
      </w:r>
      <w:r w:rsidRPr="00D913B8">
        <w:t>” (ESMA Consultation Paper, p. 33, para. 70) and that “</w:t>
      </w:r>
      <w:r w:rsidRPr="00D913B8">
        <w:rPr>
          <w:i/>
        </w:rPr>
        <w:t>the overall level of real-time post-trade transparency appears to be very limited</w:t>
      </w:r>
      <w:r w:rsidRPr="00D913B8">
        <w:t xml:space="preserve">” (ESMA Consultation Paper, p. 56, para. 150). In particular, the trading of bonds and securitised derivatives remains generally rather opaque and fragmented with 293 non-equity trading venues whereof 166 are bond SIs and 45 securitised derivatives SIs. Consequently, the large majority of these instruments is traded OTC and thus with limited access for market participants as well as less transparency compared to multilateral venues. </w:t>
      </w:r>
    </w:p>
    <w:p w14:paraId="4888DCBE" w14:textId="77777777" w:rsidR="00D913B8" w:rsidRPr="00D913B8" w:rsidRDefault="00D913B8" w:rsidP="00D913B8">
      <w:r w:rsidRPr="00D913B8">
        <w:t>Börse Stuttgart calls on ESMA to support initiatives that would shift a significant share of trading of bonds and securitised derivatives to transparent and multilateral trading venues.</w:t>
      </w:r>
    </w:p>
    <w:p w14:paraId="45894BD3" w14:textId="77777777" w:rsidR="00D913B8" w:rsidRPr="00D913B8" w:rsidRDefault="00D913B8" w:rsidP="00D913B8">
      <w:r w:rsidRPr="00D913B8">
        <w:t>With regard to the bond market, investors should be provided with increased visibility on the most liquid bonds, that is bonds that actively trade. Therefore, the number of liquid bonds should be increased so that the trading activity is visible in the market. It would also benefit a clear price formation process. Börse Stuttgart suggests to change the criteria for assessing the liquidity of bonds in order to increase the number of bonds that can be deemed liquid and as a consequence subject to the transparency regime. A higher degree of transparency will benefit investors, both professional and retail, but also entities such as pension funds and insurance companies ultimately benefiting the real economy. In addition, Börse Stuttgart supports a simplified waiver regime.</w:t>
      </w:r>
    </w:p>
    <w:p w14:paraId="3F2EBF96" w14:textId="77777777" w:rsidR="00D913B8" w:rsidRPr="00D913B8" w:rsidRDefault="00D913B8" w:rsidP="00D913B8">
      <w:pPr>
        <w:rPr>
          <w:lang w:val="en-US"/>
        </w:rPr>
      </w:pPr>
      <w:r w:rsidRPr="00D913B8">
        <w:t xml:space="preserve">As already laid down in the ESMA consultation on SIs in non-equity instruments, Börse Stuttgart advocates to use the 100,000 EUR denomination threshold for both bonds and securitised derivatives to delineate lit (regulated markets, MTF) trading from dark (OTC, SI) trading. Trading at and below the 100,000 EUR threshold would only be allowed on transparent regulated markets and MTFs. This would significantly reduce market fragmentation, aggregate liquidity and increase pre- and post-trade transparency, in particular for retail investors. </w:t>
      </w:r>
      <w:r w:rsidRPr="00D913B8">
        <w:rPr>
          <w:lang w:val="en-US"/>
        </w:rPr>
        <w:t xml:space="preserve">The 100,000 EUR threshold would be consistent with the threshold used for the wholesale disclosure regime defined by the Prospectus Regulation and would also be in line with the one currently used for the purpose of the calculations to determine whether a bond is liquid or not. Börse Stuttgart believes that with regard to </w:t>
      </w:r>
      <w:proofErr w:type="spellStart"/>
      <w:r w:rsidRPr="00D913B8">
        <w:rPr>
          <w:lang w:val="en-US"/>
        </w:rPr>
        <w:t>securitised</w:t>
      </w:r>
      <w:proofErr w:type="spellEnd"/>
      <w:r w:rsidRPr="00D913B8">
        <w:rPr>
          <w:lang w:val="en-US"/>
        </w:rPr>
        <w:t xml:space="preserve"> derivatives such a change would also simplify the fragmented execution landscape.</w:t>
      </w:r>
    </w:p>
    <w:p w14:paraId="4A4CF699" w14:textId="7CD53C8F" w:rsidR="00A8728B" w:rsidRDefault="00D913B8" w:rsidP="00A8728B">
      <w:r w:rsidRPr="00D913B8">
        <w:rPr>
          <w:lang w:val="en-US"/>
        </w:rPr>
        <w:t>Investors – especially retail investors – would profit from the change as it would allow for a better interaction on multilateral markets.</w:t>
      </w:r>
      <w:permEnd w:id="1955866996"/>
    </w:p>
    <w:p w14:paraId="059D15D7" w14:textId="3C370F9E" w:rsidR="00A8728B" w:rsidRDefault="00A8728B" w:rsidP="00A8728B">
      <w:r>
        <w:t>&lt;ESMA_QUESTION</w:t>
      </w:r>
      <w:r w:rsidR="00D920D1">
        <w:t>_</w:t>
      </w:r>
      <w:r w:rsidR="00227C1A">
        <w:t>CP</w:t>
      </w:r>
      <w:r w:rsidR="007254DD">
        <w:t>_MIFID_NQT</w:t>
      </w:r>
      <w:r w:rsidR="00F107EF">
        <w:t>_</w:t>
      </w:r>
      <w:r>
        <w:t>1&gt;</w:t>
      </w:r>
    </w:p>
    <w:p w14:paraId="765B8CCE" w14:textId="77777777" w:rsidR="00C228C1" w:rsidRDefault="00C228C1" w:rsidP="00A8728B"/>
    <w:p w14:paraId="3135A16A" w14:textId="35DBECDC" w:rsidR="00431DA4" w:rsidRPr="00431DA4" w:rsidRDefault="007254DD" w:rsidP="00EF383B">
      <w:pPr>
        <w:pStyle w:val="CPQuestions"/>
      </w:pPr>
      <w:r w:rsidRPr="007254DD">
        <w:t>What proposals do you have for improving the level of pre-trade transparency available? Do you believe that the simplification of the regime for pre-trade transparency waivers would contribute to the improvement of the level of pre-trade transparency available?</w:t>
      </w:r>
    </w:p>
    <w:p w14:paraId="717E2C9B" w14:textId="02342204" w:rsidR="00A8728B" w:rsidRDefault="00A8728B" w:rsidP="00A8728B">
      <w:r>
        <w:t>&lt;ESMA_QUESTION</w:t>
      </w:r>
      <w:r w:rsidR="00D920D1">
        <w:t>_</w:t>
      </w:r>
      <w:r w:rsidR="00227C1A">
        <w:t>CP</w:t>
      </w:r>
      <w:r w:rsidR="007254DD">
        <w:t>_MIFID_NQT</w:t>
      </w:r>
      <w:r w:rsidR="00F107EF">
        <w:t>_</w:t>
      </w:r>
      <w:r>
        <w:t>2&gt;</w:t>
      </w:r>
    </w:p>
    <w:p w14:paraId="108232FE" w14:textId="0EF74C38" w:rsidR="00A8728B" w:rsidRDefault="007A4C81" w:rsidP="00A8728B">
      <w:permStart w:id="1066216518" w:edGrp="everyone"/>
      <w:r w:rsidRPr="007A4C81">
        <w:lastRenderedPageBreak/>
        <w:t xml:space="preserve">Yes, Börse Stuttgart believes that the pre-trade transparency regime needs to be simplified and made more coherent for the market. We support ESMA’s proposal to remove the SSTI waiver and to lower the LIS threshold. As pointed out under Q1, the liquidity calculations should also be reviewed so that bonds that actively trade fall within the scope of the transparency regime. Börse Stuttgart generally supports strengthening transparency as it benefits the market in general and investors in particular. However, the market should be given sufficient time to implement any changes proposed by ESMA in this regard. </w:t>
      </w:r>
      <w:permEnd w:id="1066216518"/>
    </w:p>
    <w:p w14:paraId="6DEAF756" w14:textId="7F38DFEA" w:rsidR="00A8728B" w:rsidRDefault="00A8728B" w:rsidP="00A8728B">
      <w:r>
        <w:t>&lt;ESMA_QUESTION</w:t>
      </w:r>
      <w:r w:rsidR="00D920D1">
        <w:t>_</w:t>
      </w:r>
      <w:r w:rsidR="00227C1A">
        <w:t>CP</w:t>
      </w:r>
      <w:r w:rsidR="007254DD">
        <w:t>_MIFID_NQT</w:t>
      </w:r>
      <w:r w:rsidR="00F107EF">
        <w:t>_</w:t>
      </w:r>
      <w:r>
        <w:t>2&gt;</w:t>
      </w:r>
    </w:p>
    <w:p w14:paraId="6A1F9FDE" w14:textId="77777777" w:rsidR="002E1760" w:rsidRDefault="002E1760" w:rsidP="00A8728B"/>
    <w:p w14:paraId="5A44EAC7" w14:textId="58C35D04" w:rsidR="002E1760" w:rsidRPr="00431DA4" w:rsidRDefault="007254DD" w:rsidP="00293D78">
      <w:pPr>
        <w:pStyle w:val="CPQuestions"/>
      </w:pPr>
      <w:r w:rsidRPr="007254DD">
        <w:t>Are you supportive of ESMA’s proposal to delete the pre-trade SSTI-waiver? Would you compensate for this by lowering the pre-trade LIS-thresholds across all asset classes or only for selected asset classes? What would be the appropriate level for such adjusted LIS-thresholds? If you do not support ESMA’s proposal to delete the pre-trade SSTI-waiver, what should be the way forward on the SSTI-waiver in your view?</w:t>
      </w:r>
    </w:p>
    <w:p w14:paraId="20EFBA0C" w14:textId="5FF0A6A3" w:rsidR="002E1760" w:rsidRDefault="002E1760" w:rsidP="002E1760">
      <w:r>
        <w:t>&lt;ESMA_QUESTION_</w:t>
      </w:r>
      <w:r w:rsidR="00227C1A">
        <w:t>CP</w:t>
      </w:r>
      <w:r w:rsidR="007254DD">
        <w:t>_MIFID_NQT</w:t>
      </w:r>
      <w:r w:rsidR="00F107EF">
        <w:t>_</w:t>
      </w:r>
      <w:r>
        <w:t>3&gt;</w:t>
      </w:r>
    </w:p>
    <w:p w14:paraId="27C12B76" w14:textId="77777777" w:rsidR="002E1760" w:rsidRDefault="002E1760" w:rsidP="002E1760">
      <w:permStart w:id="473446270" w:edGrp="everyone"/>
      <w:r>
        <w:t>TYPE YOUR TEXT HERE</w:t>
      </w:r>
      <w:permEnd w:id="473446270"/>
    </w:p>
    <w:p w14:paraId="38AD242F" w14:textId="5BFF8517" w:rsidR="002E1760" w:rsidRDefault="002E1760" w:rsidP="002E1760">
      <w:r>
        <w:t>&lt;ESMA_QUESTION_</w:t>
      </w:r>
      <w:r w:rsidR="00227C1A">
        <w:t>CP</w:t>
      </w:r>
      <w:r w:rsidR="007254DD">
        <w:t>_MIFID_NQT</w:t>
      </w:r>
      <w:r w:rsidR="00F107EF">
        <w:t>_</w:t>
      </w:r>
      <w:r>
        <w:t>3&gt;</w:t>
      </w:r>
    </w:p>
    <w:p w14:paraId="65520281" w14:textId="77777777" w:rsidR="002E1760" w:rsidRDefault="002E1760" w:rsidP="00A8728B"/>
    <w:p w14:paraId="1636EA21" w14:textId="3747DB04" w:rsidR="002E1760" w:rsidRPr="00431DA4" w:rsidRDefault="007254DD" w:rsidP="00293D78">
      <w:pPr>
        <w:pStyle w:val="CPQuestions"/>
      </w:pPr>
      <w:r w:rsidRPr="007254DD">
        <w:t>What are your views on the use of the SSTI for the SI-quoting obligations. Should it remain (Option 1) or be replaced by linking the quoting obligation to another threshold (e.g. a certain percentage of the LIS-threshold) (Option 2)? Please explain</w:t>
      </w:r>
      <w:r w:rsidR="00B61CD3">
        <w:t>.</w:t>
      </w:r>
    </w:p>
    <w:p w14:paraId="53C0B09B" w14:textId="7657C17F" w:rsidR="002E1760" w:rsidRDefault="002E1760" w:rsidP="002E1760">
      <w:r>
        <w:t>&lt;ESMA_QUESTION_</w:t>
      </w:r>
      <w:r w:rsidR="00227C1A">
        <w:t>CP</w:t>
      </w:r>
      <w:r w:rsidR="007254DD">
        <w:t>_MIFID_NQT</w:t>
      </w:r>
      <w:r w:rsidR="00F107EF">
        <w:t>_</w:t>
      </w:r>
      <w:r>
        <w:t>4&gt;</w:t>
      </w:r>
    </w:p>
    <w:p w14:paraId="22440220" w14:textId="77777777" w:rsidR="002E1760" w:rsidRDefault="002E1760" w:rsidP="002E1760">
      <w:permStart w:id="1101743476" w:edGrp="everyone"/>
      <w:r>
        <w:t>TYPE YOUR TEXT HERE</w:t>
      </w:r>
      <w:permEnd w:id="1101743476"/>
    </w:p>
    <w:p w14:paraId="26125AF8" w14:textId="6B643FEF" w:rsidR="002E1760" w:rsidRDefault="002E1760" w:rsidP="002E1760">
      <w:r>
        <w:t>&lt;ESMA_QUESTION_</w:t>
      </w:r>
      <w:r w:rsidR="00227C1A">
        <w:t>CP</w:t>
      </w:r>
      <w:r w:rsidR="007254DD">
        <w:t>_MIFID_NQT</w:t>
      </w:r>
      <w:r w:rsidR="00F107EF">
        <w:t>_</w:t>
      </w:r>
      <w:r>
        <w:t>4&gt;</w:t>
      </w:r>
    </w:p>
    <w:p w14:paraId="2938B1AA" w14:textId="77777777" w:rsidR="002E1760" w:rsidRDefault="002E1760" w:rsidP="002E1760"/>
    <w:p w14:paraId="7F048ADD" w14:textId="66E775F9" w:rsidR="002E1760" w:rsidRPr="00431DA4" w:rsidRDefault="007254DD" w:rsidP="00293D78">
      <w:pPr>
        <w:pStyle w:val="CPQuestions"/>
      </w:pPr>
      <w:r w:rsidRPr="007254DD">
        <w:t>Would you support turning the hedging exemption into a limited negotiated trade waiver? If so, would you support Option 1 or Option 2? If not, please explain why</w:t>
      </w:r>
      <w:r w:rsidR="00B61CD3">
        <w:t>.</w:t>
      </w:r>
    </w:p>
    <w:p w14:paraId="6C5044C2" w14:textId="0F366BCF" w:rsidR="00227C1A" w:rsidRDefault="00227C1A" w:rsidP="00227C1A">
      <w:r>
        <w:t>&lt;ESMA_QUESTION_CP</w:t>
      </w:r>
      <w:r w:rsidR="007254DD">
        <w:t>_MIFID_NQT</w:t>
      </w:r>
      <w:r w:rsidR="00F107EF">
        <w:t>_</w:t>
      </w:r>
      <w:r w:rsidR="0062022D">
        <w:t>5</w:t>
      </w:r>
      <w:r>
        <w:t>&gt;</w:t>
      </w:r>
    </w:p>
    <w:p w14:paraId="5E6AA5B5" w14:textId="77777777" w:rsidR="00227C1A" w:rsidRDefault="00227C1A" w:rsidP="00227C1A">
      <w:permStart w:id="1725855520" w:edGrp="everyone"/>
      <w:r>
        <w:t>TYPE YOUR TEXT HERE</w:t>
      </w:r>
      <w:permEnd w:id="1725855520"/>
    </w:p>
    <w:p w14:paraId="3C640BDD" w14:textId="6C310C96" w:rsidR="00227C1A" w:rsidRDefault="00227C1A" w:rsidP="00227C1A">
      <w:r>
        <w:t>&lt;ESMA_QUESTION_CP</w:t>
      </w:r>
      <w:r w:rsidR="007254DD">
        <w:t>_MIFID_NQT</w:t>
      </w:r>
      <w:r w:rsidR="00F107EF">
        <w:t>_</w:t>
      </w:r>
      <w:r w:rsidR="0062022D">
        <w:t>5</w:t>
      </w:r>
      <w:r>
        <w:t>&gt;</w:t>
      </w:r>
    </w:p>
    <w:p w14:paraId="6527E178" w14:textId="3385D4D9" w:rsidR="002E1760" w:rsidRDefault="002E1760" w:rsidP="002E1760"/>
    <w:p w14:paraId="3043648C" w14:textId="77777777" w:rsidR="00B27E7B" w:rsidRDefault="00B27E7B" w:rsidP="002E1760"/>
    <w:p w14:paraId="46019DAC" w14:textId="6C95E4EE" w:rsidR="002E1760" w:rsidRPr="00431DA4" w:rsidRDefault="007254DD" w:rsidP="00293D78">
      <w:pPr>
        <w:pStyle w:val="CPQuestions"/>
      </w:pPr>
      <w:r w:rsidRPr="007254DD">
        <w:t xml:space="preserve">Do you agree with ESMA’s observations on the emergence of new trading systems and the proposed way forward requiring a Level 1 change and ESMA to issue an Opinion for each new trading system defining its characteristics and the </w:t>
      </w:r>
      <w:r w:rsidRPr="007254DD">
        <w:lastRenderedPageBreak/>
        <w:t>transparency requirements? Would you have suggestions for the timeline and process of such Opinions? Please explain</w:t>
      </w:r>
      <w:r w:rsidR="00B61CD3">
        <w:t>.</w:t>
      </w:r>
    </w:p>
    <w:p w14:paraId="470AAA99" w14:textId="532FAE54" w:rsidR="0062022D" w:rsidRDefault="0062022D" w:rsidP="0062022D">
      <w:r>
        <w:t>&lt;ESMA_QUESTION_CP</w:t>
      </w:r>
      <w:r w:rsidR="007254DD">
        <w:t>_MIFID_NQT</w:t>
      </w:r>
      <w:r w:rsidR="00F107EF">
        <w:t>_</w:t>
      </w:r>
      <w:r w:rsidR="00A263DF">
        <w:t>6</w:t>
      </w:r>
      <w:r>
        <w:t>&gt;</w:t>
      </w:r>
    </w:p>
    <w:p w14:paraId="7F3F849F" w14:textId="75190156" w:rsidR="0062022D" w:rsidRDefault="007A4C81" w:rsidP="0062022D">
      <w:permStart w:id="203298670" w:edGrp="everyone"/>
      <w:r w:rsidRPr="007A4C81">
        <w:t>Börse Stuttgart does not share ESMA’s observations and disagrees with the proposed way forward, that is requiring a Level 1 change for ESMA to issue an Opinion for each new trading system. It is not in ESMAs competence to define characteristics and transparency requirements for new trading systems. It is the competence of the legislators to define the scope of the rules. We believe that the approach ESMA is suggesting undermines the legislative process and increases legal uncertainty. Moreover, such an approval process in the form of an Opinion bears the risk to delay innovation and might potentially shift trading to less regulated and transparent markets (OTC markets).</w:t>
      </w:r>
      <w:permEnd w:id="203298670"/>
    </w:p>
    <w:p w14:paraId="42CFCE2F" w14:textId="1383F8B4" w:rsidR="0062022D" w:rsidRDefault="0062022D" w:rsidP="0062022D">
      <w:r>
        <w:t>&lt;ESMA_QUESTION_CP</w:t>
      </w:r>
      <w:r w:rsidR="007254DD">
        <w:t>_MIFID_NQT</w:t>
      </w:r>
      <w:r w:rsidR="00F107EF">
        <w:t>_</w:t>
      </w:r>
      <w:r w:rsidR="00A263DF">
        <w:t>6</w:t>
      </w:r>
      <w:r>
        <w:t>&gt;</w:t>
      </w:r>
    </w:p>
    <w:p w14:paraId="3925B5D2" w14:textId="77777777" w:rsidR="0062022D" w:rsidRDefault="0062022D" w:rsidP="009003B8">
      <w:pPr>
        <w:jc w:val="both"/>
        <w:rPr>
          <w:i/>
        </w:rPr>
      </w:pPr>
    </w:p>
    <w:p w14:paraId="76BCFD79" w14:textId="243F1871" w:rsidR="002E1760" w:rsidRPr="00431DA4" w:rsidRDefault="007254DD" w:rsidP="00293D78">
      <w:pPr>
        <w:pStyle w:val="CPQuestions"/>
      </w:pPr>
      <w:r w:rsidRPr="007254DD">
        <w:t>Do you agree with the proposal for the definition of hybrid system? Are there in your view trading systems currently not or not appropriately covered in RTS 2 on which ESMA should provide further guidance? Please explain</w:t>
      </w:r>
      <w:r w:rsidR="00A263DF">
        <w:t>.</w:t>
      </w:r>
    </w:p>
    <w:p w14:paraId="4B54F009" w14:textId="25456547" w:rsidR="00A263DF" w:rsidRDefault="00A263DF" w:rsidP="00A263DF">
      <w:r>
        <w:t>&lt;ESMA_QUESTION_CP</w:t>
      </w:r>
      <w:r w:rsidR="007254DD">
        <w:t>_MIFID_NQT</w:t>
      </w:r>
      <w:r w:rsidR="00F107EF">
        <w:t>_</w:t>
      </w:r>
      <w:r>
        <w:t>7&gt;</w:t>
      </w:r>
    </w:p>
    <w:p w14:paraId="14896476" w14:textId="149C69E4" w:rsidR="00A263DF" w:rsidRDefault="007A4C81" w:rsidP="00A263DF">
      <w:permStart w:id="795872801" w:edGrp="everyone"/>
      <w:r w:rsidRPr="007A4C81">
        <w:t xml:space="preserve">Although Börse Stuttgart agrees that the definition of a hybrid systems could be clarified, we caution against substantial changes that would put well-established and proven business models operated by established exchanges at risk. </w:t>
      </w:r>
      <w:permEnd w:id="795872801"/>
    </w:p>
    <w:p w14:paraId="75DFB883" w14:textId="4820BBD8" w:rsidR="00A263DF" w:rsidRDefault="00A263DF" w:rsidP="00A263DF">
      <w:r>
        <w:t>&lt;ESMA_QUESTION_CP</w:t>
      </w:r>
      <w:r w:rsidR="007254DD">
        <w:t>_MIFID_NQT</w:t>
      </w:r>
      <w:r w:rsidR="00F107EF">
        <w:t>_</w:t>
      </w:r>
      <w:r>
        <w:t>7&gt;</w:t>
      </w:r>
    </w:p>
    <w:p w14:paraId="22B67BE4" w14:textId="77777777" w:rsidR="00C228C1" w:rsidRDefault="00C228C1" w:rsidP="00A263DF"/>
    <w:p w14:paraId="4DBBAEDF" w14:textId="3F7FCC4B" w:rsidR="002E1760" w:rsidRPr="00431DA4" w:rsidRDefault="007254DD" w:rsidP="00293D78">
      <w:pPr>
        <w:pStyle w:val="CPQuestions"/>
      </w:pPr>
      <w:r w:rsidRPr="007254DD">
        <w:t>Do you agree with ESMA’s proposal to require SIs to make available data free of charge 15 minutes after publication? Please explain</w:t>
      </w:r>
      <w:r w:rsidR="008418E3">
        <w:t>.</w:t>
      </w:r>
    </w:p>
    <w:p w14:paraId="34308112" w14:textId="01E84FC1" w:rsidR="00A263DF" w:rsidRDefault="00A263DF" w:rsidP="00A263DF">
      <w:r>
        <w:t>&lt;ESMA_QUESTION_CP</w:t>
      </w:r>
      <w:r w:rsidR="007254DD">
        <w:t>_MIFID_NQT</w:t>
      </w:r>
      <w:r w:rsidR="00F107EF">
        <w:t>_</w:t>
      </w:r>
      <w:r w:rsidR="00C228C1">
        <w:t>8</w:t>
      </w:r>
      <w:r>
        <w:t>&gt;</w:t>
      </w:r>
    </w:p>
    <w:p w14:paraId="33D0D26E" w14:textId="77777777" w:rsidR="007A4C81" w:rsidRPr="007A4C81" w:rsidRDefault="007A4C81" w:rsidP="007A4C81">
      <w:permStart w:id="1747589383" w:edGrp="everyone"/>
      <w:r w:rsidRPr="007A4C81">
        <w:t xml:space="preserve">Börse Stuttgart agrees that SIs should make available data free of charge 15 minutes after publication. SIs should be subject to the same obligations as trading venues. This would increase the available pre-trade information for investors and facilitate investment decisions. </w:t>
      </w:r>
    </w:p>
    <w:p w14:paraId="43D46422" w14:textId="100881F8" w:rsidR="00A263DF" w:rsidRDefault="007A4C81" w:rsidP="00A263DF">
      <w:r w:rsidRPr="007A4C81">
        <w:t>Moreover, Börse Stuttgart believes that it would ensure a level playing field regarding delayed pre-trade transparency between trading venues and SIs. Under the current regime, SI are able to leverage the delayed free of charge pre-trade data from trading venues to determine their prices whereas trading participants on trading venues are not able to access pre-trade data from SIs free of charge.</w:t>
      </w:r>
      <w:r>
        <w:t xml:space="preserve"> </w:t>
      </w:r>
      <w:permEnd w:id="1747589383"/>
    </w:p>
    <w:p w14:paraId="461248F6" w14:textId="19787DD3" w:rsidR="00A263DF" w:rsidRDefault="00A263DF" w:rsidP="00A263DF">
      <w:r>
        <w:t>&lt;ESMA_QUESTION_CP</w:t>
      </w:r>
      <w:r w:rsidR="007254DD">
        <w:t>_MIFID_NQT</w:t>
      </w:r>
      <w:r w:rsidR="00F107EF">
        <w:t>_</w:t>
      </w:r>
      <w:r w:rsidR="00C228C1">
        <w:t>8</w:t>
      </w:r>
      <w:r>
        <w:t>&gt;</w:t>
      </w:r>
    </w:p>
    <w:p w14:paraId="4685F2B0" w14:textId="77777777" w:rsidR="00C228C1" w:rsidRDefault="00C228C1" w:rsidP="00A263DF"/>
    <w:p w14:paraId="1BBC244E" w14:textId="4608BF5A" w:rsidR="002E1760" w:rsidRPr="00431DA4" w:rsidRDefault="007254DD" w:rsidP="00293D78">
      <w:pPr>
        <w:pStyle w:val="CPQuestions"/>
      </w:pPr>
      <w:r w:rsidRPr="007254DD">
        <w:t>Would you see value in further standardising the pre-trade transparency information to increase the usability and comparability of the information? Please explain</w:t>
      </w:r>
      <w:r w:rsidR="008418E3">
        <w:t>.</w:t>
      </w:r>
    </w:p>
    <w:p w14:paraId="1BC97A10" w14:textId="490926D2" w:rsidR="002E1760" w:rsidRDefault="002E1760" w:rsidP="002E1760">
      <w:r>
        <w:t>&lt;ESMA_QUESTION_</w:t>
      </w:r>
      <w:r w:rsidR="00227C1A">
        <w:t>CP</w:t>
      </w:r>
      <w:r w:rsidR="007254DD">
        <w:t>_MIFID_NQT</w:t>
      </w:r>
      <w:r w:rsidR="00F107EF">
        <w:t>_</w:t>
      </w:r>
      <w:r>
        <w:t>9&gt;</w:t>
      </w:r>
    </w:p>
    <w:p w14:paraId="1B5C745B" w14:textId="30AFD7CD" w:rsidR="002E1760" w:rsidRDefault="00C812D3" w:rsidP="002E1760">
      <w:bookmarkStart w:id="3" w:name="_GoBack"/>
      <w:permStart w:id="1400726192" w:edGrp="everyone"/>
      <w:r w:rsidRPr="000440DB">
        <w:lastRenderedPageBreak/>
        <w:t>Börse Stuttgart believes that in a first step the low level of transparency in the SI and OTC space has to be addressed. In a second step, we do see</w:t>
      </w:r>
      <w:r w:rsidR="007A4C81" w:rsidRPr="000440DB">
        <w:t xml:space="preserve"> </w:t>
      </w:r>
      <w:bookmarkEnd w:id="3"/>
      <w:r w:rsidR="007A4C81" w:rsidRPr="007A4C81">
        <w:t xml:space="preserve">a certain degree of value in further standardising the pre-trade transparency information to increase the usability and comparability of the information. </w:t>
      </w:r>
      <w:r>
        <w:t xml:space="preserve">However, </w:t>
      </w:r>
      <w:r w:rsidR="007A4C81" w:rsidRPr="007A4C81">
        <w:t>Börse Stuttgart would like to highlight that trading venues have already invested considerable resources into ensuring compliance with the current requirements. Therefore, a cautious approach is needed, which is based on a cost-benefit analysis. Any changes should keep the costs to a minimum and amendments should only be proposed where a clear benefit is demonstrated.</w:t>
      </w:r>
      <w:r w:rsidR="007A4C81">
        <w:t xml:space="preserve"> </w:t>
      </w:r>
      <w:permEnd w:id="1400726192"/>
    </w:p>
    <w:p w14:paraId="44E897E8" w14:textId="7F1EDFFB" w:rsidR="002E1760" w:rsidRDefault="002E1760" w:rsidP="002E1760">
      <w:r>
        <w:t>&lt;ESMA_QUESTION_</w:t>
      </w:r>
      <w:r w:rsidR="00227C1A">
        <w:t>CP</w:t>
      </w:r>
      <w:r w:rsidR="007254DD">
        <w:t>_MIFID_NQT</w:t>
      </w:r>
      <w:r w:rsidR="00F107EF">
        <w:t>_</w:t>
      </w:r>
      <w:r>
        <w:t>9&gt;</w:t>
      </w:r>
    </w:p>
    <w:p w14:paraId="2A1878BF" w14:textId="77777777" w:rsidR="00C228C1" w:rsidRDefault="00C228C1" w:rsidP="002E1760"/>
    <w:p w14:paraId="07DD0C95" w14:textId="60685201" w:rsidR="002E1760" w:rsidRPr="00431DA4" w:rsidRDefault="001129F9" w:rsidP="00293D78">
      <w:pPr>
        <w:pStyle w:val="CPQuestions"/>
      </w:pPr>
      <w:r w:rsidRPr="001129F9">
        <w:t>Do you agree with ESMA’s assessment of the level of post-trade transparency and with the need of a more streamlined and uniform post-trade regime which does not include options at the discretion of the different jurisdictions? If not, please explain why and, where available, support your assessment with data</w:t>
      </w:r>
      <w:r w:rsidR="00FC7836">
        <w:t>.</w:t>
      </w:r>
    </w:p>
    <w:p w14:paraId="463877C3" w14:textId="77E3E7C8" w:rsidR="008418E3" w:rsidRDefault="008418E3" w:rsidP="008418E3">
      <w:r>
        <w:t>&lt;ESMA_QUESTION_CP</w:t>
      </w:r>
      <w:r w:rsidR="007254DD">
        <w:t>_MIFID_NQT</w:t>
      </w:r>
      <w:r w:rsidR="00F107EF">
        <w:t>_</w:t>
      </w:r>
      <w:r>
        <w:t>10&gt;</w:t>
      </w:r>
    </w:p>
    <w:p w14:paraId="7F574030" w14:textId="7335CB7B" w:rsidR="008418E3" w:rsidRDefault="007A4C81" w:rsidP="008418E3">
      <w:permStart w:id="929114806" w:edGrp="everyone"/>
      <w:r w:rsidRPr="007A4C81">
        <w:t xml:space="preserve">Yes, Börse Stuttgart thinks that there should be a more uniform regime in order to have a level playing field across jurisdictions. </w:t>
      </w:r>
      <w:permEnd w:id="929114806"/>
    </w:p>
    <w:p w14:paraId="51467529" w14:textId="15FE6D4B" w:rsidR="008418E3" w:rsidRDefault="008418E3" w:rsidP="008418E3">
      <w:r>
        <w:t>&lt;ESMA_QUESTION_CP</w:t>
      </w:r>
      <w:r w:rsidR="007254DD">
        <w:t>_MIFID_NQT</w:t>
      </w:r>
      <w:r w:rsidR="00F107EF">
        <w:t>_</w:t>
      </w:r>
      <w:r>
        <w:t>10&gt;</w:t>
      </w:r>
    </w:p>
    <w:p w14:paraId="17098C53" w14:textId="24750EED" w:rsidR="00C228C1" w:rsidRDefault="00C228C1" w:rsidP="008418E3"/>
    <w:p w14:paraId="39CA5930" w14:textId="22CC5E08" w:rsidR="00B27E7B" w:rsidRDefault="00B27E7B" w:rsidP="008418E3"/>
    <w:p w14:paraId="15401959" w14:textId="571926E6" w:rsidR="00B27E7B" w:rsidRDefault="00B27E7B" w:rsidP="008418E3"/>
    <w:p w14:paraId="7AF62EE7" w14:textId="51723C98" w:rsidR="00B27E7B" w:rsidRDefault="00B27E7B" w:rsidP="008418E3"/>
    <w:p w14:paraId="268B639E" w14:textId="77777777" w:rsidR="00B27E7B" w:rsidRDefault="00B27E7B" w:rsidP="008418E3"/>
    <w:p w14:paraId="64590B3D" w14:textId="029FC383" w:rsidR="009003B8" w:rsidRDefault="001129F9" w:rsidP="00293D78">
      <w:pPr>
        <w:pStyle w:val="CPQuestions"/>
      </w:pPr>
      <w:r w:rsidRPr="001129F9">
        <w:t>Do you agree with this proposal? What would be the appropriate level of such a revised LIS-threshold in your view</w:t>
      </w:r>
      <w:r>
        <w:t>?</w:t>
      </w:r>
    </w:p>
    <w:p w14:paraId="4711211D" w14:textId="6D69DEE1" w:rsidR="00F469F8" w:rsidRDefault="00F469F8" w:rsidP="00F469F8">
      <w:r>
        <w:t>&lt;ESMA_QUESTION_CP</w:t>
      </w:r>
      <w:r w:rsidR="007254DD">
        <w:t>_MIFID_NQT</w:t>
      </w:r>
      <w:r w:rsidR="00F107EF">
        <w:t>_</w:t>
      </w:r>
      <w:r>
        <w:t>11&gt;</w:t>
      </w:r>
    </w:p>
    <w:p w14:paraId="77303C55" w14:textId="77777777" w:rsidR="00F469F8" w:rsidRDefault="00F469F8" w:rsidP="00F469F8">
      <w:permStart w:id="675495160" w:edGrp="everyone"/>
      <w:r>
        <w:t>TYPE YOUR TEXT HERE</w:t>
      </w:r>
      <w:permEnd w:id="675495160"/>
    </w:p>
    <w:p w14:paraId="1087912D" w14:textId="1A2E1CC5" w:rsidR="00F469F8" w:rsidRDefault="00F469F8" w:rsidP="00F469F8">
      <w:r>
        <w:t>&lt;ESMA_QUESTION_CP</w:t>
      </w:r>
      <w:r w:rsidR="007254DD">
        <w:t>_MIFID_NQT</w:t>
      </w:r>
      <w:r w:rsidR="00F107EF">
        <w:t>_</w:t>
      </w:r>
      <w:r>
        <w:t>11&gt;</w:t>
      </w:r>
    </w:p>
    <w:p w14:paraId="3BD92E69" w14:textId="77777777" w:rsidR="00C228C1" w:rsidRDefault="00C228C1" w:rsidP="00F469F8"/>
    <w:p w14:paraId="15D63B6D" w14:textId="0495BF6C" w:rsidR="00F469F8" w:rsidRDefault="001129F9" w:rsidP="00F469F8">
      <w:pPr>
        <w:pStyle w:val="CPQuestions"/>
      </w:pPr>
      <w:r w:rsidRPr="001129F9">
        <w:t>In your view, should the real time publication of volume masking transactions apply to transactions in illiquid instruments and above LIS waiver (Option 1) or to transactions above LIS only (Option 2 and Option 3). Please elaborate. If you support another alternative, please explain which one and why</w:t>
      </w:r>
      <w:r w:rsidR="00F469F8">
        <w:t>.</w:t>
      </w:r>
    </w:p>
    <w:p w14:paraId="56B290CC" w14:textId="3D646A05" w:rsidR="00F469F8" w:rsidRDefault="00F469F8" w:rsidP="00F469F8">
      <w:r>
        <w:t>&lt;ESMA_QUESTION_CP</w:t>
      </w:r>
      <w:r w:rsidR="007254DD">
        <w:t>_MIFID_NQT</w:t>
      </w:r>
      <w:r w:rsidR="00F107EF">
        <w:t>_</w:t>
      </w:r>
      <w:r>
        <w:t>1</w:t>
      </w:r>
      <w:r w:rsidR="002868FC">
        <w:t>2</w:t>
      </w:r>
      <w:r>
        <w:t>&gt;</w:t>
      </w:r>
    </w:p>
    <w:p w14:paraId="1B69D7E6" w14:textId="77777777" w:rsidR="00F469F8" w:rsidRDefault="00F469F8" w:rsidP="00F469F8">
      <w:permStart w:id="227761104" w:edGrp="everyone"/>
      <w:r>
        <w:t>TYPE YOUR TEXT HERE</w:t>
      </w:r>
      <w:permEnd w:id="227761104"/>
    </w:p>
    <w:p w14:paraId="468C5AB6" w14:textId="5D33ECBD" w:rsidR="00F469F8" w:rsidRDefault="00F469F8" w:rsidP="00F469F8">
      <w:r>
        <w:t>&lt;ESMA_QUESTION_CP</w:t>
      </w:r>
      <w:r w:rsidR="007254DD">
        <w:t>_MIFID_NQT</w:t>
      </w:r>
      <w:r w:rsidR="00F107EF">
        <w:t>_</w:t>
      </w:r>
      <w:r>
        <w:t>1</w:t>
      </w:r>
      <w:r w:rsidR="002868FC">
        <w:t>2</w:t>
      </w:r>
      <w:r>
        <w:t>&gt;</w:t>
      </w:r>
    </w:p>
    <w:p w14:paraId="1180CEE3" w14:textId="77777777" w:rsidR="009003B8" w:rsidRDefault="009003B8" w:rsidP="002E1760"/>
    <w:p w14:paraId="158D9AFB" w14:textId="1784951B" w:rsidR="00646C30" w:rsidRDefault="001129F9" w:rsidP="00646C30">
      <w:pPr>
        <w:pStyle w:val="CPQuestions"/>
      </w:pPr>
      <w:r w:rsidRPr="001129F9">
        <w:t xml:space="preserve">Do you agree with the publication of the price and volume of all transactions after a certain period of time, such as two calendar weeks (Option 1 and 2) or do you </w:t>
      </w:r>
      <w:r w:rsidRPr="001129F9">
        <w:lastRenderedPageBreak/>
        <w:t>support the two-steps approach for LIS transactions (Option 3)? Please explain why and provide any alternative you would support. Which is the optimal option in case a consolidated tape would emerge in the future</w:t>
      </w:r>
      <w:r w:rsidR="00C228C1">
        <w:t>?</w:t>
      </w:r>
    </w:p>
    <w:p w14:paraId="747F51B8" w14:textId="3109D538" w:rsidR="00646C30" w:rsidRDefault="00646C30" w:rsidP="00646C30">
      <w:r>
        <w:t>&lt;ESMA_QUESTION_CP</w:t>
      </w:r>
      <w:r w:rsidR="007254DD">
        <w:t>_MIFID_NQT</w:t>
      </w:r>
      <w:r w:rsidR="00F107EF">
        <w:t>_</w:t>
      </w:r>
      <w:r>
        <w:t>1</w:t>
      </w:r>
      <w:r w:rsidR="00101BF1">
        <w:t>3</w:t>
      </w:r>
      <w:r>
        <w:t>&gt;</w:t>
      </w:r>
    </w:p>
    <w:p w14:paraId="536EE512" w14:textId="77777777" w:rsidR="00646C30" w:rsidRDefault="00646C30" w:rsidP="00646C30">
      <w:permStart w:id="308116658" w:edGrp="everyone"/>
      <w:r>
        <w:t>TYPE YOUR TEXT HERE</w:t>
      </w:r>
      <w:permEnd w:id="308116658"/>
    </w:p>
    <w:p w14:paraId="6056CCA9" w14:textId="450A35FD" w:rsidR="00646C30" w:rsidRDefault="00646C30" w:rsidP="00646C30">
      <w:r>
        <w:t>&lt;ESMA_QUESTION_CP</w:t>
      </w:r>
      <w:r w:rsidR="007254DD">
        <w:t>_MIFID_NQT</w:t>
      </w:r>
      <w:r w:rsidR="00F107EF">
        <w:t>_</w:t>
      </w:r>
      <w:r>
        <w:t>1</w:t>
      </w:r>
      <w:r w:rsidR="002F1683">
        <w:t>3</w:t>
      </w:r>
      <w:r>
        <w:t>&gt;</w:t>
      </w:r>
    </w:p>
    <w:p w14:paraId="7CF66986" w14:textId="77777777" w:rsidR="002868FC" w:rsidRDefault="002868FC" w:rsidP="002E1760"/>
    <w:p w14:paraId="143B3CBB" w14:textId="16510DB6" w:rsidR="00646C30" w:rsidRDefault="001129F9" w:rsidP="00646C30">
      <w:pPr>
        <w:pStyle w:val="CPQuestions"/>
      </w:pPr>
      <w:r w:rsidRPr="001129F9">
        <w:t>Do</w:t>
      </w:r>
      <w:r w:rsidR="004454CA">
        <w:t xml:space="preserve"> </w:t>
      </w:r>
      <w:r w:rsidR="004454CA" w:rsidRPr="004454CA">
        <w:t>you agree with ESMA’s proposed way forward to issue further guidance and put a stronger focus on enforcement to improve the quality of post-trade data? Are there any other measures necessary at the legislative level to improve the quality of post-trade data? What changes to the transparency regime in Level 1 could lead to a substantial improvement of data quality</w:t>
      </w:r>
      <w:r w:rsidR="00C228C1">
        <w:t>?</w:t>
      </w:r>
    </w:p>
    <w:p w14:paraId="3F959FEF" w14:textId="515D2CA4" w:rsidR="00646C30" w:rsidRDefault="00646C30" w:rsidP="00646C30">
      <w:r>
        <w:t>&lt;ESMA_QUESTION_CP</w:t>
      </w:r>
      <w:r w:rsidR="007254DD">
        <w:t>_MIFID_NQT</w:t>
      </w:r>
      <w:r w:rsidR="00F107EF">
        <w:t>_</w:t>
      </w:r>
      <w:r>
        <w:t>1</w:t>
      </w:r>
      <w:r w:rsidR="00101BF1">
        <w:t>4</w:t>
      </w:r>
      <w:r>
        <w:t>&gt;</w:t>
      </w:r>
    </w:p>
    <w:p w14:paraId="7C73BC9F" w14:textId="77777777" w:rsidR="00A90E97" w:rsidRPr="00A90E97" w:rsidRDefault="00A90E97" w:rsidP="00A90E97">
      <w:permStart w:id="699085938" w:edGrp="everyone"/>
      <w:r w:rsidRPr="00A90E97">
        <w:t xml:space="preserve">Börse Stuttgart sees merit in ESMA focusing more on enforcement and the correct trade flagging to increase the quality of post-trade transparency. This is particular important for OTC and SI trading where transparency is still limited. </w:t>
      </w:r>
    </w:p>
    <w:p w14:paraId="7F181F10" w14:textId="77777777" w:rsidR="00A90E97" w:rsidRPr="00A90E97" w:rsidRDefault="00A90E97" w:rsidP="00A90E97">
      <w:r w:rsidRPr="00A90E97">
        <w:t xml:space="preserve">However, Börse Stuttgart would like to highlight another issue, which should be considered as a priority before focussing on enforcement. Trading venues still face significant obstacles with regard to the data we have to submit, in particular in relation to inconsistent assignments of CFI codes. The inconsistent assignment of CFI codes by the National Numbering Agencies (NNA) remains one of the most common data issue exchanges are facing. Often the CFI codes received by the NNA do not match the type of instrument listing. On this basis, it is not possible to report all appropriate fields as they may not be required for the incorrect CFI type assigned leading to errors as data fields not shown cannot be reported. Due to this issue there are still unresolved errors on FIRDS data. Also in these cases the errors cannot be corrected until the NNAs amend the CFI codes. Unfortunately, the NNAs responsible for assigning CFI codes usually amend the CFI only in a large timeframe post-listing. This can result in exchanges having different CFI codes depending at what point they sourced the data and leading to a significant number of inconsistency warnings for non-equity instruments admitted to European markets, as well as to high efforts for the amended transparency reporting. </w:t>
      </w:r>
    </w:p>
    <w:p w14:paraId="6A257108" w14:textId="76A7DC37" w:rsidR="00646C30" w:rsidRDefault="00A90E97" w:rsidP="00646C30">
      <w:r w:rsidRPr="00A90E97">
        <w:t>Börse Stuttgart strongly urges ESMA to liaise with the NNAs in order to find a solution to the issues arising from inconsistent CFI assignments and finally to improve the accuracy of the respective data.</w:t>
      </w:r>
      <w:r>
        <w:t xml:space="preserve"> </w:t>
      </w:r>
      <w:permEnd w:id="699085938"/>
    </w:p>
    <w:p w14:paraId="396E3E9C" w14:textId="07F3E39D" w:rsidR="00646C30" w:rsidRDefault="00646C30" w:rsidP="00646C30">
      <w:r>
        <w:t>&lt;ESMA_QUESTION_CP</w:t>
      </w:r>
      <w:r w:rsidR="007254DD">
        <w:t>_MIFID_NQT</w:t>
      </w:r>
      <w:r w:rsidR="00F107EF">
        <w:t>_</w:t>
      </w:r>
      <w:r>
        <w:t>1</w:t>
      </w:r>
      <w:r w:rsidR="00101BF1">
        <w:t>4</w:t>
      </w:r>
      <w:r>
        <w:t>&gt;</w:t>
      </w:r>
    </w:p>
    <w:p w14:paraId="5564C66E" w14:textId="77777777" w:rsidR="002868FC" w:rsidRDefault="002868FC" w:rsidP="002E1760"/>
    <w:p w14:paraId="161D490C" w14:textId="2BC1D9EF" w:rsidR="00646C30" w:rsidRDefault="001129F9" w:rsidP="00646C30">
      <w:pPr>
        <w:pStyle w:val="CPQuestions"/>
      </w:pPr>
      <w:r w:rsidRPr="001129F9">
        <w:t>What would be the optimal transparency regime to help with the potential creation of a CTP</w:t>
      </w:r>
      <w:r>
        <w:t>?</w:t>
      </w:r>
    </w:p>
    <w:p w14:paraId="7C881817" w14:textId="00C34E3C" w:rsidR="00646C30" w:rsidRDefault="00646C30" w:rsidP="00646C30">
      <w:r>
        <w:t>&lt;ESMA_QUESTION_CP</w:t>
      </w:r>
      <w:r w:rsidR="007254DD">
        <w:t>_MIFID_NQT</w:t>
      </w:r>
      <w:r w:rsidR="00F107EF">
        <w:t>_</w:t>
      </w:r>
      <w:r>
        <w:t>1</w:t>
      </w:r>
      <w:r w:rsidR="00101BF1">
        <w:t>5</w:t>
      </w:r>
      <w:r>
        <w:t>&gt;</w:t>
      </w:r>
    </w:p>
    <w:p w14:paraId="0C11162E" w14:textId="77777777" w:rsidR="00646C30" w:rsidRDefault="00646C30" w:rsidP="00646C30">
      <w:permStart w:id="1271415520" w:edGrp="everyone"/>
      <w:r>
        <w:t>TYPE YOUR TEXT HERE</w:t>
      </w:r>
      <w:permEnd w:id="1271415520"/>
    </w:p>
    <w:p w14:paraId="068CA4E0" w14:textId="23D13543" w:rsidR="00646C30" w:rsidRDefault="00646C30" w:rsidP="00646C30">
      <w:r>
        <w:t>&lt;ESMA_QUESTION_CP</w:t>
      </w:r>
      <w:r w:rsidR="007254DD">
        <w:t>_MIFID_NQT</w:t>
      </w:r>
      <w:r w:rsidR="00F107EF">
        <w:t>_</w:t>
      </w:r>
      <w:r>
        <w:t>1</w:t>
      </w:r>
      <w:r w:rsidR="00101BF1">
        <w:t>5</w:t>
      </w:r>
      <w:r>
        <w:t>&gt;</w:t>
      </w:r>
    </w:p>
    <w:p w14:paraId="5C9DE7C3" w14:textId="4C797A6A" w:rsidR="002868FC" w:rsidRDefault="002868FC" w:rsidP="002E1760"/>
    <w:p w14:paraId="6B5A226D" w14:textId="7BE79B57" w:rsidR="00B27E7B" w:rsidRDefault="00B27E7B" w:rsidP="002E1760"/>
    <w:p w14:paraId="7F3F6099" w14:textId="3D69C17F" w:rsidR="00B27E7B" w:rsidRDefault="00B27E7B" w:rsidP="002E1760"/>
    <w:p w14:paraId="1D30FEFA" w14:textId="7BB28E7D" w:rsidR="00B27E7B" w:rsidRDefault="00B27E7B" w:rsidP="002E1760"/>
    <w:p w14:paraId="0C11512B" w14:textId="77777777" w:rsidR="00B27E7B" w:rsidRDefault="00B27E7B" w:rsidP="002E1760"/>
    <w:p w14:paraId="30D0FB22" w14:textId="071AFDEC" w:rsidR="00646C30" w:rsidRDefault="00B27E7B" w:rsidP="00646C30">
      <w:pPr>
        <w:pStyle w:val="CPQuestions"/>
      </w:pPr>
      <w:r w:rsidRPr="00B27E7B">
        <w:t>Do you agree with ESMA’s above assessment? If not, please explain</w:t>
      </w:r>
      <w:r w:rsidR="00292E82">
        <w:t>.</w:t>
      </w:r>
    </w:p>
    <w:p w14:paraId="5C3F1247" w14:textId="75BD1199" w:rsidR="00646C30" w:rsidRDefault="00646C30" w:rsidP="00646C30">
      <w:r>
        <w:t>&lt;ESMA_QUESTION_CP</w:t>
      </w:r>
      <w:r w:rsidR="007254DD">
        <w:t>_MIFID_NQT</w:t>
      </w:r>
      <w:r w:rsidR="00F107EF">
        <w:t>_</w:t>
      </w:r>
      <w:r>
        <w:t>1</w:t>
      </w:r>
      <w:r w:rsidR="00101BF1">
        <w:t>6</w:t>
      </w:r>
      <w:r>
        <w:t>&gt;</w:t>
      </w:r>
    </w:p>
    <w:p w14:paraId="7AAD2035" w14:textId="77777777" w:rsidR="00646C30" w:rsidRDefault="00646C30" w:rsidP="00646C30">
      <w:permStart w:id="2130212544" w:edGrp="everyone"/>
      <w:r>
        <w:t>TYPE YOUR TEXT HERE</w:t>
      </w:r>
      <w:permEnd w:id="2130212544"/>
    </w:p>
    <w:p w14:paraId="5EB9791A" w14:textId="7F6025A0" w:rsidR="00646C30" w:rsidRDefault="00646C30" w:rsidP="00646C30">
      <w:r>
        <w:t>&lt;ESMA_QUESTION_CP</w:t>
      </w:r>
      <w:r w:rsidR="007254DD">
        <w:t>_MIFID_NQT</w:t>
      </w:r>
      <w:r w:rsidR="00F107EF">
        <w:t>_</w:t>
      </w:r>
      <w:r>
        <w:t>1</w:t>
      </w:r>
      <w:r w:rsidR="00101BF1">
        <w:t>6</w:t>
      </w:r>
      <w:r>
        <w:t>&gt;</w:t>
      </w:r>
    </w:p>
    <w:p w14:paraId="0C67D15C" w14:textId="77777777" w:rsidR="002868FC" w:rsidRDefault="002868FC" w:rsidP="002E1760"/>
    <w:p w14:paraId="05D77404" w14:textId="72C966A7" w:rsidR="00646C30" w:rsidRDefault="00B27E7B" w:rsidP="00646C30">
      <w:pPr>
        <w:pStyle w:val="CPQuestions"/>
      </w:pPr>
      <w:r w:rsidRPr="00B27E7B">
        <w:t>Are you of the view that the interpretation of TOTV should remained aligned for both transparency and transaction reporting? If not, please explain why</w:t>
      </w:r>
      <w:r w:rsidR="00292E82">
        <w:t>.</w:t>
      </w:r>
    </w:p>
    <w:p w14:paraId="358A7CC5" w14:textId="0EE236B6" w:rsidR="00646C30" w:rsidRDefault="00646C30" w:rsidP="00646C30">
      <w:r>
        <w:t>&lt;ESMA_QUESTION_CP</w:t>
      </w:r>
      <w:r w:rsidR="007254DD">
        <w:t>_MIFID_NQT</w:t>
      </w:r>
      <w:r w:rsidR="00F107EF">
        <w:t>_</w:t>
      </w:r>
      <w:r>
        <w:t>1</w:t>
      </w:r>
      <w:r w:rsidR="00101BF1">
        <w:t>7</w:t>
      </w:r>
      <w:r>
        <w:t>&gt;</w:t>
      </w:r>
    </w:p>
    <w:p w14:paraId="1CE157B4" w14:textId="77777777" w:rsidR="00646C30" w:rsidRDefault="00646C30" w:rsidP="00646C30">
      <w:permStart w:id="96027498" w:edGrp="everyone"/>
      <w:r>
        <w:t>TYPE YOUR TEXT HERE</w:t>
      </w:r>
      <w:permEnd w:id="96027498"/>
    </w:p>
    <w:p w14:paraId="0BEE4878" w14:textId="65837815" w:rsidR="00646C30" w:rsidRDefault="00646C30" w:rsidP="00646C30">
      <w:r>
        <w:t>&lt;ESMA_QUESTION_CP</w:t>
      </w:r>
      <w:r w:rsidR="007254DD">
        <w:t>_MIFID_NQT</w:t>
      </w:r>
      <w:r w:rsidR="00F107EF">
        <w:t>_</w:t>
      </w:r>
      <w:r>
        <w:t>1</w:t>
      </w:r>
      <w:r w:rsidR="00101BF1">
        <w:t>7</w:t>
      </w:r>
      <w:r>
        <w:t>&gt;</w:t>
      </w:r>
    </w:p>
    <w:p w14:paraId="4F5EE049" w14:textId="77777777" w:rsidR="002868FC" w:rsidRDefault="002868FC" w:rsidP="002E1760"/>
    <w:p w14:paraId="05CF2F4F" w14:textId="3ED35056" w:rsidR="00646C30" w:rsidRDefault="00B27E7B" w:rsidP="00646C30">
      <w:pPr>
        <w:pStyle w:val="CPQuestions"/>
      </w:pPr>
      <w:r w:rsidRPr="00B27E7B">
        <w:t>Which of the three options proposed, would you recommend (Option 1, Option 2 or Option 3)? In case you recommend an alternative way forward, please explain</w:t>
      </w:r>
      <w:r w:rsidR="00C228C1">
        <w:t>.</w:t>
      </w:r>
    </w:p>
    <w:p w14:paraId="7856948E" w14:textId="20BB4D2A" w:rsidR="00646C30" w:rsidRDefault="00646C30" w:rsidP="00646C30">
      <w:r>
        <w:t>&lt;ESMA_QUESTION_CP</w:t>
      </w:r>
      <w:r w:rsidR="007254DD">
        <w:t>_MIFID_NQT</w:t>
      </w:r>
      <w:r w:rsidR="00F107EF">
        <w:t>_</w:t>
      </w:r>
      <w:r>
        <w:t>1</w:t>
      </w:r>
      <w:r w:rsidR="00101BF1">
        <w:t>8</w:t>
      </w:r>
      <w:r>
        <w:t>&gt;</w:t>
      </w:r>
    </w:p>
    <w:p w14:paraId="2C8E07E5" w14:textId="77777777" w:rsidR="00646C30" w:rsidRDefault="00646C30" w:rsidP="00646C30">
      <w:permStart w:id="70923797" w:edGrp="everyone"/>
      <w:r>
        <w:t>TYPE YOUR TEXT HERE</w:t>
      </w:r>
      <w:permEnd w:id="70923797"/>
    </w:p>
    <w:p w14:paraId="5FD19CDA" w14:textId="35D5FD7B" w:rsidR="00646C30" w:rsidRDefault="00646C30" w:rsidP="00646C30">
      <w:r>
        <w:t>&lt;ESMA_QUESTION_CP</w:t>
      </w:r>
      <w:r w:rsidR="007254DD">
        <w:t>_MIFID_NQT</w:t>
      </w:r>
      <w:r w:rsidR="00F107EF">
        <w:t>_</w:t>
      </w:r>
      <w:r>
        <w:t>1</w:t>
      </w:r>
      <w:r w:rsidR="00101BF1">
        <w:t>8</w:t>
      </w:r>
      <w:r>
        <w:t>&gt;</w:t>
      </w:r>
    </w:p>
    <w:p w14:paraId="077B4E09" w14:textId="77777777" w:rsidR="002868FC" w:rsidRDefault="002868FC" w:rsidP="002E1760"/>
    <w:p w14:paraId="206D65E5" w14:textId="7158BD33" w:rsidR="00646C30" w:rsidRDefault="00B27E7B" w:rsidP="00646C30">
      <w:pPr>
        <w:pStyle w:val="CPQuestions"/>
      </w:pPr>
      <w:r w:rsidRPr="00B27E7B">
        <w:t>What is your view on the proposal to delete the possibility for temporarily suspending the transparency provisions? Please explain</w:t>
      </w:r>
      <w:r w:rsidR="00292E82">
        <w:t>.</w:t>
      </w:r>
    </w:p>
    <w:p w14:paraId="1FEAC5A1" w14:textId="1B880F8C" w:rsidR="00646C30" w:rsidRDefault="00646C30" w:rsidP="00646C30">
      <w:r>
        <w:t>&lt;ESMA_QUESTION_CP</w:t>
      </w:r>
      <w:r w:rsidR="007254DD">
        <w:t>_MIFID_NQT</w:t>
      </w:r>
      <w:r w:rsidR="00F107EF">
        <w:t>_</w:t>
      </w:r>
      <w:r>
        <w:t>1</w:t>
      </w:r>
      <w:r w:rsidR="00101BF1">
        <w:t>9</w:t>
      </w:r>
      <w:r>
        <w:t>&gt;</w:t>
      </w:r>
    </w:p>
    <w:p w14:paraId="0CAC7740" w14:textId="4CB006A7" w:rsidR="00646C30" w:rsidRDefault="00A90E97" w:rsidP="00646C30">
      <w:permStart w:id="1628391240" w:edGrp="everyone"/>
      <w:r w:rsidRPr="00A90E97">
        <w:t xml:space="preserve">Börse Stuttgart would like to highlight that this has not been used so far. Therefore, it seems to make sense to delete this requirement. Also, from a practical perspective such a temporary suspension would most likely be very difficult to implement. </w:t>
      </w:r>
      <w:permEnd w:id="1628391240"/>
    </w:p>
    <w:p w14:paraId="4F6789D9" w14:textId="3A669704" w:rsidR="00646C30" w:rsidRDefault="00646C30" w:rsidP="00646C30">
      <w:r>
        <w:t>&lt;ESMA_QUESTION_CP</w:t>
      </w:r>
      <w:r w:rsidR="007254DD">
        <w:t>_MIFID_NQT</w:t>
      </w:r>
      <w:r w:rsidR="00F107EF">
        <w:t>_</w:t>
      </w:r>
      <w:r>
        <w:t>1</w:t>
      </w:r>
      <w:r w:rsidR="00101BF1">
        <w:t>9</w:t>
      </w:r>
      <w:r>
        <w:t>&gt;</w:t>
      </w:r>
    </w:p>
    <w:p w14:paraId="52201B21" w14:textId="77777777" w:rsidR="002868FC" w:rsidRDefault="002868FC" w:rsidP="002E1760"/>
    <w:p w14:paraId="34BD9DE6" w14:textId="6A512B74" w:rsidR="00646C30" w:rsidRDefault="00B27E7B" w:rsidP="00646C30">
      <w:pPr>
        <w:pStyle w:val="CPQuestions"/>
      </w:pPr>
      <w:r w:rsidRPr="00B27E7B">
        <w:t>Do you have any remarks on the assessment of Article 28 of MiFIR? Please explain</w:t>
      </w:r>
      <w:r w:rsidR="00292E82">
        <w:t>.</w:t>
      </w:r>
    </w:p>
    <w:p w14:paraId="695F6362" w14:textId="2D093C75" w:rsidR="00646C30" w:rsidRDefault="00646C30" w:rsidP="00646C30">
      <w:r>
        <w:t>&lt;ESMA_QUESTION_CP</w:t>
      </w:r>
      <w:r w:rsidR="007254DD">
        <w:t>_MIFID_NQT</w:t>
      </w:r>
      <w:r w:rsidR="00F107EF">
        <w:t>_</w:t>
      </w:r>
      <w:r w:rsidR="00101BF1">
        <w:t>20</w:t>
      </w:r>
      <w:r>
        <w:t>&gt;</w:t>
      </w:r>
    </w:p>
    <w:p w14:paraId="2BF6DC09" w14:textId="77777777" w:rsidR="001129F9" w:rsidRDefault="001129F9" w:rsidP="001129F9">
      <w:permStart w:id="951131482" w:edGrp="everyone"/>
      <w:r>
        <w:t>TYPE YOUR TEXT HERE</w:t>
      </w:r>
      <w:permEnd w:id="951131482"/>
    </w:p>
    <w:p w14:paraId="12CBBA0F" w14:textId="66955629" w:rsidR="00646C30" w:rsidRDefault="00646C30" w:rsidP="00646C30">
      <w:r>
        <w:t>&lt;ESMA_QUESTION_CP</w:t>
      </w:r>
      <w:r w:rsidR="007254DD">
        <w:t>_MIFID_NQT</w:t>
      </w:r>
      <w:r w:rsidR="00F107EF">
        <w:t>_</w:t>
      </w:r>
      <w:r w:rsidR="00101BF1">
        <w:t>20</w:t>
      </w:r>
      <w:r>
        <w:t>&gt;</w:t>
      </w:r>
    </w:p>
    <w:p w14:paraId="2CAD7FE8" w14:textId="77777777" w:rsidR="00646C30" w:rsidRDefault="00646C30" w:rsidP="002E1760"/>
    <w:p w14:paraId="1710B270" w14:textId="2B8E1F56" w:rsidR="00646C30" w:rsidRDefault="00B27E7B" w:rsidP="00646C30">
      <w:pPr>
        <w:pStyle w:val="CPQuestions"/>
      </w:pPr>
      <w:r w:rsidRPr="00B27E7B">
        <w:lastRenderedPageBreak/>
        <w:t>Do</w:t>
      </w:r>
      <w:r w:rsidR="004454CA" w:rsidRPr="004454CA">
        <w:t xml:space="preserve"> you have any views on the above-mentioned criteria and whether the criteria are sufficient and appropriate for assessing the liquidity of derivatives? Do you consider it necessary to include further criteria (e.g. currency)? Do you consider that ESMA should make use of the provision in Article 32(4) for asset classes currently not subject to the trading obligations? Please explain</w:t>
      </w:r>
      <w:r w:rsidR="00292E82">
        <w:t>.</w:t>
      </w:r>
    </w:p>
    <w:p w14:paraId="769A2D47" w14:textId="3A75F377" w:rsidR="00646C30" w:rsidRDefault="00646C30" w:rsidP="00646C30">
      <w:r>
        <w:t>&lt;ESMA_QUESTION_CP</w:t>
      </w:r>
      <w:r w:rsidR="007254DD">
        <w:t>_MIFID_NQT</w:t>
      </w:r>
      <w:r w:rsidR="00F107EF">
        <w:t>_</w:t>
      </w:r>
      <w:r w:rsidR="00101BF1">
        <w:t>21</w:t>
      </w:r>
      <w:r>
        <w:t>&gt;</w:t>
      </w:r>
    </w:p>
    <w:p w14:paraId="13C7FEA6" w14:textId="77777777" w:rsidR="00646C30" w:rsidRDefault="00646C30" w:rsidP="00646C30">
      <w:permStart w:id="37382354" w:edGrp="everyone"/>
      <w:r>
        <w:t>TYPE YOUR TEXT HERE</w:t>
      </w:r>
      <w:permEnd w:id="37382354"/>
    </w:p>
    <w:p w14:paraId="7A80D189" w14:textId="4CE6CE8E" w:rsidR="00646C30" w:rsidRDefault="00646C30" w:rsidP="00646C30">
      <w:r>
        <w:t>&lt;ESMA_QUESTION_CP</w:t>
      </w:r>
      <w:r w:rsidR="007254DD">
        <w:t>_MIFID_NQT</w:t>
      </w:r>
      <w:r w:rsidR="00F107EF">
        <w:t>_</w:t>
      </w:r>
      <w:r w:rsidR="00101BF1">
        <w:t>21</w:t>
      </w:r>
      <w:r>
        <w:t>&gt;</w:t>
      </w:r>
    </w:p>
    <w:p w14:paraId="3AF36D8E" w14:textId="0F638690" w:rsidR="00646C30" w:rsidRDefault="00646C30" w:rsidP="002E1760"/>
    <w:p w14:paraId="782DEEAB" w14:textId="152A0458" w:rsidR="00B27E7B" w:rsidRDefault="00B27E7B" w:rsidP="002E1760"/>
    <w:p w14:paraId="07F55EF1" w14:textId="6B47F527" w:rsidR="00B27E7B" w:rsidRDefault="00B27E7B" w:rsidP="002E1760"/>
    <w:p w14:paraId="4294BC73" w14:textId="5F0E552D" w:rsidR="00B27E7B" w:rsidRDefault="00B27E7B" w:rsidP="002E1760"/>
    <w:p w14:paraId="43E6918A" w14:textId="77777777" w:rsidR="00B27E7B" w:rsidRDefault="00B27E7B" w:rsidP="002E1760"/>
    <w:p w14:paraId="27BEB2EF" w14:textId="4EC62648" w:rsidR="00646C30" w:rsidRDefault="00B27E7B" w:rsidP="00646C30">
      <w:pPr>
        <w:pStyle w:val="CPQuestions"/>
      </w:pPr>
      <w:r w:rsidRPr="00B27E7B">
        <w:t>Do you agree that a procedure for the swift suspension of the trading obligation for derivatives is needed? Do you agree with the proposed procedure? Please explain.</w:t>
      </w:r>
    </w:p>
    <w:p w14:paraId="59E34633" w14:textId="7EC2B8C5" w:rsidR="00646C30" w:rsidRDefault="00646C30" w:rsidP="00646C30">
      <w:r>
        <w:t>&lt;ESMA_QUESTION_CP</w:t>
      </w:r>
      <w:r w:rsidR="007254DD">
        <w:t>_MIFID_NQT</w:t>
      </w:r>
      <w:r w:rsidR="00F107EF">
        <w:t>_</w:t>
      </w:r>
      <w:r w:rsidR="00101BF1">
        <w:t>22</w:t>
      </w:r>
      <w:r>
        <w:t>&gt;</w:t>
      </w:r>
    </w:p>
    <w:p w14:paraId="7F090863" w14:textId="77777777" w:rsidR="00646C30" w:rsidRDefault="00646C30" w:rsidP="00646C30">
      <w:permStart w:id="71373738" w:edGrp="everyone"/>
      <w:r>
        <w:t>TYPE YOUR TEXT HERE</w:t>
      </w:r>
      <w:permEnd w:id="71373738"/>
    </w:p>
    <w:p w14:paraId="1893B375" w14:textId="583DB585" w:rsidR="00646C30" w:rsidRDefault="00646C30" w:rsidP="00646C30">
      <w:r>
        <w:t>&lt;ESMA_QUESTION_CP</w:t>
      </w:r>
      <w:r w:rsidR="007254DD">
        <w:t>_MIFID_NQT</w:t>
      </w:r>
      <w:r w:rsidR="00F107EF">
        <w:t>_</w:t>
      </w:r>
      <w:r w:rsidR="00101BF1">
        <w:t>22</w:t>
      </w:r>
      <w:r>
        <w:t>&gt;</w:t>
      </w:r>
    </w:p>
    <w:p w14:paraId="75583BC9" w14:textId="77777777" w:rsidR="00646C30" w:rsidRDefault="00646C30" w:rsidP="002E1760"/>
    <w:p w14:paraId="54FA7545" w14:textId="5B42F806" w:rsidR="00646C30" w:rsidRDefault="00B27E7B" w:rsidP="00646C30">
      <w:pPr>
        <w:pStyle w:val="CPQuestions"/>
      </w:pPr>
      <w:r w:rsidRPr="00B27E7B">
        <w:t>Do you have a view on this or any other issues related to the application of the DTO</w:t>
      </w:r>
      <w:r>
        <w:t>?</w:t>
      </w:r>
    </w:p>
    <w:p w14:paraId="2771BD99" w14:textId="3A460116" w:rsidR="00646C30" w:rsidRDefault="00646C30" w:rsidP="00646C30">
      <w:r>
        <w:t>&lt;ESMA_QUESTION_CP</w:t>
      </w:r>
      <w:r w:rsidR="007254DD">
        <w:t>_MIFID_NQT</w:t>
      </w:r>
      <w:r w:rsidR="00F107EF">
        <w:t>_</w:t>
      </w:r>
      <w:r w:rsidR="00101BF1">
        <w:t>23</w:t>
      </w:r>
      <w:r>
        <w:t>&gt;</w:t>
      </w:r>
    </w:p>
    <w:p w14:paraId="51834EC7" w14:textId="77777777" w:rsidR="00646C30" w:rsidRDefault="00646C30" w:rsidP="00646C30">
      <w:permStart w:id="2102155623" w:edGrp="everyone"/>
      <w:r>
        <w:t>TYPE YOUR TEXT HERE</w:t>
      </w:r>
      <w:permEnd w:id="2102155623"/>
    </w:p>
    <w:p w14:paraId="35720AF9" w14:textId="027E6B1A" w:rsidR="00646C30" w:rsidRDefault="00646C30" w:rsidP="00646C30">
      <w:r>
        <w:t>&lt;ESMA_QUESTION_CP</w:t>
      </w:r>
      <w:r w:rsidR="007254DD">
        <w:t>_MIFID_NQT</w:t>
      </w:r>
      <w:r w:rsidR="00F107EF">
        <w:t>_</w:t>
      </w:r>
      <w:r w:rsidR="00101BF1">
        <w:t>23</w:t>
      </w:r>
      <w:r>
        <w:t>&gt;</w:t>
      </w:r>
    </w:p>
    <w:p w14:paraId="731BD4C3" w14:textId="77777777" w:rsidR="00646C30" w:rsidRDefault="00646C30" w:rsidP="002E1760"/>
    <w:p w14:paraId="0DBE22AC" w14:textId="123438FF" w:rsidR="00646C30" w:rsidRDefault="00B27E7B" w:rsidP="00646C30">
      <w:pPr>
        <w:pStyle w:val="CPQuestions"/>
      </w:pPr>
      <w:r w:rsidRPr="00B27E7B">
        <w:t>Do you have any views on the functioning of the register? Please explain</w:t>
      </w:r>
      <w:r w:rsidR="001138E8">
        <w:t>.</w:t>
      </w:r>
    </w:p>
    <w:p w14:paraId="5244CE44" w14:textId="03F4A256" w:rsidR="00646C30" w:rsidRDefault="00646C30" w:rsidP="00646C30">
      <w:r>
        <w:t>&lt;ESMA_QUESTION_CP</w:t>
      </w:r>
      <w:r w:rsidR="007254DD">
        <w:t>_MIFID_NQT</w:t>
      </w:r>
      <w:r w:rsidR="00F107EF">
        <w:t>_</w:t>
      </w:r>
      <w:r w:rsidR="00101BF1">
        <w:t>24</w:t>
      </w:r>
      <w:r>
        <w:t>&gt;</w:t>
      </w:r>
    </w:p>
    <w:p w14:paraId="34A9DFDE" w14:textId="77777777" w:rsidR="00646C30" w:rsidRDefault="00646C30" w:rsidP="00646C30">
      <w:permStart w:id="160242055" w:edGrp="everyone"/>
      <w:r>
        <w:t>TYPE YOUR TEXT HERE</w:t>
      </w:r>
      <w:permEnd w:id="160242055"/>
    </w:p>
    <w:p w14:paraId="73FE2754" w14:textId="570B75FE" w:rsidR="00646C30" w:rsidRDefault="00646C30" w:rsidP="00646C30">
      <w:r>
        <w:t>&lt;ESMA_QUESTION_CP</w:t>
      </w:r>
      <w:r w:rsidR="007254DD">
        <w:t>_MIFID_NQT</w:t>
      </w:r>
      <w:r w:rsidR="00F107EF">
        <w:t>_</w:t>
      </w:r>
      <w:r w:rsidR="00101BF1">
        <w:t>24</w:t>
      </w:r>
      <w:r>
        <w:t>&gt;</w:t>
      </w:r>
    </w:p>
    <w:p w14:paraId="7837BFFE" w14:textId="77777777" w:rsidR="00646C30" w:rsidRDefault="00646C30" w:rsidP="002E1760"/>
    <w:p w14:paraId="0DCD647E" w14:textId="46393DDA" w:rsidR="00646C30" w:rsidRDefault="00B27E7B" w:rsidP="00646C30">
      <w:pPr>
        <w:pStyle w:val="CPQuestions"/>
      </w:pPr>
      <w:r w:rsidRPr="00B27E7B">
        <w:t>Do you agree that the current quarterly liquidity calculation for bonds is appropriate or would you be of the view that the liquidity determination of bonds should be simplified and provide for more stable results? Please explain</w:t>
      </w:r>
      <w:r w:rsidR="00646C30">
        <w:t>.</w:t>
      </w:r>
    </w:p>
    <w:p w14:paraId="1B94FAEF" w14:textId="27551F0C" w:rsidR="00646C30" w:rsidRDefault="00646C30" w:rsidP="00646C30">
      <w:r>
        <w:t>&lt;ESMA_QUESTION_CP</w:t>
      </w:r>
      <w:r w:rsidR="007254DD">
        <w:t>_MIFID_NQT</w:t>
      </w:r>
      <w:r w:rsidR="00F107EF">
        <w:t>_</w:t>
      </w:r>
      <w:r w:rsidR="00101BF1">
        <w:t>25</w:t>
      </w:r>
      <w:r>
        <w:t>&gt;</w:t>
      </w:r>
    </w:p>
    <w:p w14:paraId="16DFB45D" w14:textId="77777777" w:rsidR="00C85158" w:rsidRPr="00C85158" w:rsidRDefault="00C85158" w:rsidP="00C85158">
      <w:permStart w:id="203690501" w:edGrp="everyone"/>
      <w:r w:rsidRPr="00C85158">
        <w:lastRenderedPageBreak/>
        <w:t>Börse Stuttgart agrees with ESMA that the current level of pre- and post-trade transparency for bonds is very low. We think that the low number of bonds classified as liquid (0,2% of total bonds in Q3 2019) shows that the liquidity determination process is not delivering on the MiFID II/</w:t>
      </w:r>
      <w:proofErr w:type="spellStart"/>
      <w:r w:rsidRPr="00C85158">
        <w:t>MiFIR</w:t>
      </w:r>
      <w:proofErr w:type="spellEnd"/>
      <w:r w:rsidRPr="00C85158">
        <w:t xml:space="preserve"> objective to increase transparency. </w:t>
      </w:r>
    </w:p>
    <w:p w14:paraId="1F171A98" w14:textId="77777777" w:rsidR="00C85158" w:rsidRPr="00C85158" w:rsidRDefault="00C85158" w:rsidP="00C85158">
      <w:r w:rsidRPr="00C85158">
        <w:t>In Börse Stuttgart’s opinion the limited number of liquid bonds can be attributed to:</w:t>
      </w:r>
    </w:p>
    <w:p w14:paraId="546405A5" w14:textId="77777777" w:rsidR="00C85158" w:rsidRPr="00C85158" w:rsidRDefault="00C85158" w:rsidP="00C85158">
      <w:pPr>
        <w:numPr>
          <w:ilvl w:val="0"/>
          <w:numId w:val="39"/>
        </w:numPr>
      </w:pPr>
      <w:r w:rsidRPr="00C85158">
        <w:t>Criteria that have bee incorrectly defined</w:t>
      </w:r>
    </w:p>
    <w:p w14:paraId="1C396F46" w14:textId="77777777" w:rsidR="00C85158" w:rsidRPr="00C85158" w:rsidRDefault="00C85158" w:rsidP="00C85158">
      <w:pPr>
        <w:numPr>
          <w:ilvl w:val="0"/>
          <w:numId w:val="39"/>
        </w:numPr>
      </w:pPr>
      <w:r w:rsidRPr="00C85158">
        <w:t>Numerical parameters that are not appropriate</w:t>
      </w:r>
    </w:p>
    <w:p w14:paraId="626E8C38" w14:textId="77777777" w:rsidR="00C85158" w:rsidRPr="00C85158" w:rsidRDefault="00C85158" w:rsidP="00C85158">
      <w:pPr>
        <w:numPr>
          <w:ilvl w:val="0"/>
          <w:numId w:val="39"/>
        </w:numPr>
      </w:pPr>
      <w:r w:rsidRPr="00C85158">
        <w:t>Inaccurate or incomplete reporting from market stakeholder</w:t>
      </w:r>
    </w:p>
    <w:p w14:paraId="46063E99" w14:textId="77777777" w:rsidR="00C85158" w:rsidRPr="00C85158" w:rsidRDefault="00C85158" w:rsidP="00C85158"/>
    <w:p w14:paraId="789C4FE4" w14:textId="77777777" w:rsidR="00C85158" w:rsidRPr="00C85158" w:rsidRDefault="00C85158" w:rsidP="00C85158">
      <w:r w:rsidRPr="00C85158">
        <w:t>Börse Stuttgart would like to refer to a series of proposals suggested by FESE that aim to address the misleading calculations for fixed income markets.</w:t>
      </w:r>
    </w:p>
    <w:p w14:paraId="1FB1D5A4" w14:textId="77777777" w:rsidR="00C85158" w:rsidRPr="00C85158" w:rsidRDefault="00C85158" w:rsidP="00C85158">
      <w:pPr>
        <w:numPr>
          <w:ilvl w:val="0"/>
          <w:numId w:val="39"/>
        </w:numPr>
      </w:pPr>
      <w:r w:rsidRPr="00C85158">
        <w:t xml:space="preserve">Market reality shows that certain bonds never trade, because of for example level of structure, the size of the issued amount, the short-term maturity, private placement target, etc. An internal survey run by FESE showed that from a total number of about 107,000 bonds listed on 12 exchanges in 2019, 82% of these bonds never traded in the electronic order book (EOB). ESMA confirms in its consultation paper that most bonds that have been determined as illiquid in one quarter, remain illiquid through the next quarter accounting for 90-95% of illiquid bonds. It would therefore be reasonable to differentiate the types of bonds for the purpose of the transparency calculations excluding bonds that do not trade. </w:t>
      </w:r>
    </w:p>
    <w:p w14:paraId="045DB924" w14:textId="77777777" w:rsidR="00C85158" w:rsidRPr="00C85158" w:rsidRDefault="00C85158" w:rsidP="00C85158">
      <w:pPr>
        <w:numPr>
          <w:ilvl w:val="0"/>
          <w:numId w:val="39"/>
        </w:numPr>
      </w:pPr>
      <w:r w:rsidRPr="00C85158">
        <w:t>A bonds is currently classified as liquid when it is traded on a percentage of days greater or equal than 80%. However, a publication by the AMF (“Measuring liquidity on the corporate bond market”, March 2019) showed that this does not reflect market reality. Instead the average number of days traded is substantially lower than 80% threshold.</w:t>
      </w:r>
    </w:p>
    <w:p w14:paraId="1A945546" w14:textId="77777777" w:rsidR="00C85158" w:rsidRPr="00C85158" w:rsidRDefault="00C85158" w:rsidP="00C85158">
      <w:pPr>
        <w:numPr>
          <w:ilvl w:val="0"/>
          <w:numId w:val="39"/>
        </w:numPr>
      </w:pPr>
      <w:r w:rsidRPr="00C85158">
        <w:t xml:space="preserve">A bond is currently classified as liquid when it has an average daily notional amount (ADNA) greater or equal to 100,000 EUR. The FESE survey showed that approximately 30% of EOB trades in 2019 had a notional amount equal or above 100,000 EUR. The wide gap between this figure and the 0,2% of liquid bonds identified in the Q3 2019 quarterly assessment casts doubt on the appropriateness of this threshold. </w:t>
      </w:r>
    </w:p>
    <w:p w14:paraId="479824F0" w14:textId="77777777" w:rsidR="00C85158" w:rsidRPr="00C85158" w:rsidRDefault="00C85158" w:rsidP="00C85158">
      <w:pPr>
        <w:numPr>
          <w:ilvl w:val="0"/>
          <w:numId w:val="39"/>
        </w:numPr>
      </w:pPr>
      <w:r w:rsidRPr="00C85158">
        <w:t>The FESE survey shows that over 7000,000 trades executed on European regulated markets are not considered for the liquidity test. There seems to be no valid reason why a trade below 100,000 EUR on a regulated market would not support the liquidity of a bond. Therefore, it is recommended to include trades below 100,000 EUR in the liquidity test.</w:t>
      </w:r>
    </w:p>
    <w:p w14:paraId="32CDE21B" w14:textId="77777777" w:rsidR="00C85158" w:rsidRPr="00C85158" w:rsidRDefault="00C85158" w:rsidP="00C85158">
      <w:pPr>
        <w:numPr>
          <w:ilvl w:val="0"/>
          <w:numId w:val="39"/>
        </w:numPr>
      </w:pPr>
      <w:r w:rsidRPr="00C85158">
        <w:t>In order to better understand the impact of the thresholds included in MiFID II/</w:t>
      </w:r>
      <w:proofErr w:type="spellStart"/>
      <w:r w:rsidRPr="00C85158">
        <w:t>MiFIR</w:t>
      </w:r>
      <w:proofErr w:type="spellEnd"/>
      <w:r w:rsidRPr="00C85158">
        <w:t xml:space="preserve"> simulations with different transparency thresholds should be conducted, e.g. a series of simulations could be run within next year’s calibration in order to understand whether the impact on the number of liquid bonds will be substantial or not.</w:t>
      </w:r>
    </w:p>
    <w:p w14:paraId="1F67F443" w14:textId="77777777" w:rsidR="00C85158" w:rsidRPr="00C85158" w:rsidRDefault="00C85158" w:rsidP="00C85158">
      <w:pPr>
        <w:numPr>
          <w:ilvl w:val="0"/>
          <w:numId w:val="39"/>
        </w:numPr>
      </w:pPr>
      <w:r w:rsidRPr="00C85158">
        <w:t>Additionally, a full assessment of the underlying data should be performed and the data adjusted when required (before running new transparency calculations).</w:t>
      </w:r>
    </w:p>
    <w:p w14:paraId="3D6B6F67" w14:textId="2623A534" w:rsidR="00646C30" w:rsidRDefault="00C85158" w:rsidP="00646C30">
      <w:r w:rsidRPr="00C85158">
        <w:t xml:space="preserve">ESMA should consider reviewing how to access its database. It cannot be accessed via an API and the files are generally heavy and difficult to download. </w:t>
      </w:r>
      <w:permEnd w:id="203690501"/>
    </w:p>
    <w:p w14:paraId="5D9D8E52" w14:textId="76951D44" w:rsidR="00646C30" w:rsidRDefault="00646C30" w:rsidP="00646C30">
      <w:r>
        <w:t>&lt;ESMA_QUESTION_CP</w:t>
      </w:r>
      <w:r w:rsidR="007254DD">
        <w:t>_MIFID_NQT</w:t>
      </w:r>
      <w:r w:rsidR="00F107EF">
        <w:t>_</w:t>
      </w:r>
      <w:r w:rsidR="00101BF1">
        <w:t>25</w:t>
      </w:r>
      <w:r>
        <w:t>&gt;</w:t>
      </w:r>
    </w:p>
    <w:p w14:paraId="0069B9B5" w14:textId="77777777" w:rsidR="00646C30" w:rsidRDefault="00646C30" w:rsidP="002E1760"/>
    <w:p w14:paraId="73060707" w14:textId="500D0DD5" w:rsidR="00646C30" w:rsidRDefault="00B27E7B" w:rsidP="00646C30">
      <w:pPr>
        <w:pStyle w:val="CPQuestions"/>
      </w:pPr>
      <w:r w:rsidRPr="00B27E7B">
        <w:t>Do you agree with ESMA proposal to move to stage 2 for the determination of the liquidity assessment of bonds? Please explain</w:t>
      </w:r>
      <w:r w:rsidR="00907865" w:rsidRPr="00907865">
        <w:t>.</w:t>
      </w:r>
    </w:p>
    <w:p w14:paraId="4948932D" w14:textId="36899E6E" w:rsidR="00646C30" w:rsidRDefault="00646C30" w:rsidP="00646C30">
      <w:r>
        <w:t>&lt;ESMA_QUESTION_CP</w:t>
      </w:r>
      <w:r w:rsidR="007254DD">
        <w:t>_MIFID_NQT</w:t>
      </w:r>
      <w:r w:rsidR="00F107EF">
        <w:t>_</w:t>
      </w:r>
      <w:r w:rsidR="00101BF1">
        <w:t>26</w:t>
      </w:r>
      <w:r>
        <w:t>&gt;</w:t>
      </w:r>
    </w:p>
    <w:p w14:paraId="00430256" w14:textId="65034286" w:rsidR="00646C30" w:rsidRDefault="00E01DE4" w:rsidP="00646C30">
      <w:permStart w:id="1935441367" w:edGrp="everyone"/>
      <w:r w:rsidRPr="00E01DE4">
        <w:lastRenderedPageBreak/>
        <w:t xml:space="preserve">Börse Stuttgart believes that the move from stage 1 to stage 2 for the liquidity assessment of bonds would generally increase the level of transparency for bonds. Nevertheless, we do think that it has only very limited impact on the overall market transparency (an increase of 50% is still minimal regarding the total number of liquid bonds in stage 1). A broader review of RTS 2 for the methodology to perform the transparency calculations might be necessary. At this stage, Börse Stuttgart supports ESMA’s suggestion to move from stage 1 to stage 2 for the determination of the liquidity assessment for bonds. </w:t>
      </w:r>
      <w:permEnd w:id="1935441367"/>
    </w:p>
    <w:p w14:paraId="25BD60AE" w14:textId="1905889C" w:rsidR="00646C30" w:rsidRDefault="00646C30" w:rsidP="00646C30">
      <w:r>
        <w:t>&lt;ESMA_QUESTION_CP</w:t>
      </w:r>
      <w:r w:rsidR="007254DD">
        <w:t>_MIFID_NQT</w:t>
      </w:r>
      <w:r w:rsidR="00F107EF">
        <w:t>_</w:t>
      </w:r>
      <w:r w:rsidR="00101BF1">
        <w:t>26</w:t>
      </w:r>
      <w:r>
        <w:t>&gt;</w:t>
      </w:r>
    </w:p>
    <w:p w14:paraId="6D32B8F8" w14:textId="77777777" w:rsidR="00646C30" w:rsidRDefault="00646C30" w:rsidP="002E1760"/>
    <w:p w14:paraId="4DEEEE71" w14:textId="3E7A20C4" w:rsidR="00646C30" w:rsidRDefault="00B27E7B" w:rsidP="00646C30">
      <w:pPr>
        <w:pStyle w:val="CPQuestions"/>
      </w:pPr>
      <w:r w:rsidRPr="00B27E7B">
        <w:t>Do you agree with ESMA proposal not to move to stage 2 for the determination of the pre-trade SSTI thresholds for all non-equity instruments except bonds? Please explain</w:t>
      </w:r>
      <w:r w:rsidR="001129F9">
        <w:t>.</w:t>
      </w:r>
    </w:p>
    <w:p w14:paraId="623E31B3" w14:textId="07441431" w:rsidR="00646C30" w:rsidRDefault="00646C30" w:rsidP="00646C30">
      <w:r>
        <w:t>&lt;ESMA_QUESTION_CP</w:t>
      </w:r>
      <w:r w:rsidR="007254DD">
        <w:t>_MIFID_NQT</w:t>
      </w:r>
      <w:r w:rsidR="00F107EF">
        <w:t>_</w:t>
      </w:r>
      <w:r w:rsidR="00101BF1">
        <w:t>27</w:t>
      </w:r>
      <w:r>
        <w:t>&gt;</w:t>
      </w:r>
    </w:p>
    <w:p w14:paraId="07059944" w14:textId="77777777" w:rsidR="00646C30" w:rsidRDefault="00646C30" w:rsidP="00646C30">
      <w:permStart w:id="1284132493" w:edGrp="everyone"/>
      <w:r>
        <w:t>TYPE YOUR TEXT HERE</w:t>
      </w:r>
      <w:permEnd w:id="1284132493"/>
    </w:p>
    <w:p w14:paraId="7CD57521" w14:textId="50137320" w:rsidR="00646C30" w:rsidRDefault="00646C30" w:rsidP="00646C30">
      <w:r>
        <w:t>&lt;ESMA_QUESTION_CP</w:t>
      </w:r>
      <w:r w:rsidR="007254DD">
        <w:t>_MIFID_NQT</w:t>
      </w:r>
      <w:r w:rsidR="00F107EF">
        <w:t>_</w:t>
      </w:r>
      <w:r w:rsidR="00101BF1">
        <w:t>27</w:t>
      </w:r>
      <w:r>
        <w:t>&gt;</w:t>
      </w:r>
    </w:p>
    <w:p w14:paraId="23FB725E" w14:textId="7F6A2E13" w:rsidR="00646C30" w:rsidRDefault="00646C30" w:rsidP="002E1760"/>
    <w:p w14:paraId="27769207" w14:textId="0ACCEB97" w:rsidR="00B27E7B" w:rsidRDefault="00B27E7B" w:rsidP="002E1760"/>
    <w:p w14:paraId="7276B98C" w14:textId="4FB92AD1" w:rsidR="00B27E7B" w:rsidRDefault="00B27E7B" w:rsidP="002E1760"/>
    <w:p w14:paraId="0DAC709E" w14:textId="77777777" w:rsidR="00B27E7B" w:rsidRDefault="00B27E7B" w:rsidP="002E1760"/>
    <w:p w14:paraId="005F51E6" w14:textId="1790009A" w:rsidR="00646C30" w:rsidRDefault="00B27E7B" w:rsidP="00646C30">
      <w:pPr>
        <w:pStyle w:val="CPQuestions"/>
      </w:pPr>
      <w:r w:rsidRPr="00B27E7B">
        <w:t>Do you agree with ESMA proposal to move to stage 2 for the determination of the pre-trade SSTI thresholds for bonds (except ETCs and ETNs)? Please explain</w:t>
      </w:r>
      <w:r w:rsidR="00646C30">
        <w:t>.</w:t>
      </w:r>
    </w:p>
    <w:p w14:paraId="63D59E8C" w14:textId="18B5F172" w:rsidR="00646C30" w:rsidRDefault="00646C30" w:rsidP="00646C30">
      <w:r>
        <w:t>&lt;ESMA_QUESTION_CP</w:t>
      </w:r>
      <w:r w:rsidR="007254DD">
        <w:t>_MIFID_NQT</w:t>
      </w:r>
      <w:r w:rsidR="00F107EF">
        <w:t>_</w:t>
      </w:r>
      <w:r>
        <w:t>2</w:t>
      </w:r>
      <w:r w:rsidR="00101BF1">
        <w:t>8</w:t>
      </w:r>
      <w:r>
        <w:t>&gt;</w:t>
      </w:r>
    </w:p>
    <w:p w14:paraId="15305155" w14:textId="02C1CBAE" w:rsidR="00646C30" w:rsidRDefault="0082065A" w:rsidP="00646C30">
      <w:permStart w:id="1735202609" w:edGrp="everyone"/>
      <w:r w:rsidRPr="0082065A">
        <w:t>Yes, Börse Stuttgart agrees with ESMA’s proposal to move to stage 2.</w:t>
      </w:r>
      <w:permEnd w:id="1735202609"/>
    </w:p>
    <w:p w14:paraId="79ACDE07" w14:textId="6C439D4C" w:rsidR="00646C30" w:rsidRDefault="00646C30" w:rsidP="00646C30">
      <w:r>
        <w:t>&lt;ESMA_QUESTION_CP</w:t>
      </w:r>
      <w:r w:rsidR="007254DD">
        <w:t>_MIFID_NQT</w:t>
      </w:r>
      <w:r w:rsidR="00F107EF">
        <w:t>_</w:t>
      </w:r>
      <w:r w:rsidR="00101BF1">
        <w:t>28</w:t>
      </w:r>
      <w:r>
        <w:t>&gt;</w:t>
      </w:r>
    </w:p>
    <w:p w14:paraId="77CE9C90" w14:textId="77777777" w:rsidR="00646C30" w:rsidRDefault="00646C30" w:rsidP="002E1760"/>
    <w:p w14:paraId="4C59416A" w14:textId="08E7855B" w:rsidR="00646C30" w:rsidRDefault="00B27E7B" w:rsidP="00646C30">
      <w:pPr>
        <w:pStyle w:val="CPQuestions"/>
      </w:pPr>
      <w:r w:rsidRPr="00B27E7B">
        <w:t>What is your view on the current calibration of the ADNA and ADNT for commodity derivatives? Are there specific sub-asset classes for which the current calibration is problematic? Please justify your views and proposals with quantitative elements where available</w:t>
      </w:r>
      <w:r>
        <w:t>.</w:t>
      </w:r>
    </w:p>
    <w:p w14:paraId="172F5827" w14:textId="1C5B0BB2" w:rsidR="00646C30" w:rsidRDefault="00646C30" w:rsidP="00646C30">
      <w:r>
        <w:t>&lt;ESMA_QUESTION_CP</w:t>
      </w:r>
      <w:r w:rsidR="007254DD">
        <w:t>_MIFID_NQT</w:t>
      </w:r>
      <w:r w:rsidR="00F107EF">
        <w:t>_</w:t>
      </w:r>
      <w:r w:rsidR="00101BF1">
        <w:t>29</w:t>
      </w:r>
      <w:r>
        <w:t>&gt;</w:t>
      </w:r>
    </w:p>
    <w:p w14:paraId="0E557F14" w14:textId="77777777" w:rsidR="00646C30" w:rsidRDefault="00646C30" w:rsidP="00646C30">
      <w:permStart w:id="1113393043" w:edGrp="everyone"/>
      <w:r>
        <w:t>TYPE YOUR TEXT HERE</w:t>
      </w:r>
      <w:permEnd w:id="1113393043"/>
    </w:p>
    <w:p w14:paraId="00F8CA82" w14:textId="0109B071" w:rsidR="00646C30" w:rsidRDefault="00646C30" w:rsidP="00646C30">
      <w:r>
        <w:t>&lt;ESMA_QUESTION_CP</w:t>
      </w:r>
      <w:r w:rsidR="007254DD">
        <w:t>_MIFID_NQT</w:t>
      </w:r>
      <w:r w:rsidR="00F107EF">
        <w:t>_</w:t>
      </w:r>
      <w:r w:rsidR="00101BF1">
        <w:t>29</w:t>
      </w:r>
      <w:r>
        <w:t>&gt;</w:t>
      </w:r>
    </w:p>
    <w:p w14:paraId="637D7F18" w14:textId="77777777" w:rsidR="00646C30" w:rsidRDefault="00646C30" w:rsidP="002E1760"/>
    <w:p w14:paraId="60819974" w14:textId="29986451" w:rsidR="00646C30" w:rsidRDefault="00B27E7B" w:rsidP="00646C30">
      <w:pPr>
        <w:pStyle w:val="CPQuestions"/>
      </w:pPr>
      <w:r w:rsidRPr="00B27E7B">
        <w:t>In relation to the segmentation criteria used for commodity derivatives: what is your view on the segmentation criteria currently used? Do you have suggestions to amend them? What is your view on ESMA’s proposals SC1 to SC3? In your view, for which sub-asset classes the “delivery/cash settlement location” parameter is relevant</w:t>
      </w:r>
      <w:r w:rsidR="00646C30">
        <w:t>.</w:t>
      </w:r>
    </w:p>
    <w:p w14:paraId="66E8E55C" w14:textId="23F785A6" w:rsidR="00646C30" w:rsidRDefault="00646C30" w:rsidP="00646C30">
      <w:r>
        <w:lastRenderedPageBreak/>
        <w:t>&lt;ESMA_QUESTION_CP</w:t>
      </w:r>
      <w:r w:rsidR="007254DD">
        <w:t>_MIFID_NQT</w:t>
      </w:r>
      <w:r w:rsidR="00F107EF">
        <w:t>_</w:t>
      </w:r>
      <w:r w:rsidR="00101BF1">
        <w:t>30</w:t>
      </w:r>
      <w:r>
        <w:t>&gt;</w:t>
      </w:r>
    </w:p>
    <w:p w14:paraId="0FB3DBAF" w14:textId="77777777" w:rsidR="00646C30" w:rsidRDefault="00646C30" w:rsidP="00646C30">
      <w:permStart w:id="547110296" w:edGrp="everyone"/>
      <w:r>
        <w:t>TYPE YOUR TEXT HERE</w:t>
      </w:r>
      <w:permEnd w:id="547110296"/>
    </w:p>
    <w:p w14:paraId="01FF7336" w14:textId="7A10F27A" w:rsidR="00646C30" w:rsidRDefault="00646C30" w:rsidP="00646C30">
      <w:r>
        <w:t>&lt;ESMA_QUESTION_CP</w:t>
      </w:r>
      <w:r w:rsidR="007254DD">
        <w:t>_MIFID_NQT</w:t>
      </w:r>
      <w:r w:rsidR="00F107EF">
        <w:t>_</w:t>
      </w:r>
      <w:r w:rsidR="00101BF1">
        <w:t>30</w:t>
      </w:r>
      <w:r>
        <w:t>&gt;</w:t>
      </w:r>
    </w:p>
    <w:p w14:paraId="773321E3" w14:textId="7FA7ED22" w:rsidR="00B27E7B" w:rsidRDefault="00B27E7B" w:rsidP="00646C30"/>
    <w:p w14:paraId="5D75AF4A" w14:textId="072F1002" w:rsidR="00B27E7B" w:rsidRDefault="00B27E7B" w:rsidP="00B27E7B">
      <w:pPr>
        <w:pStyle w:val="CPQuestions"/>
      </w:pPr>
      <w:r w:rsidRPr="00B27E7B">
        <w:t>What is your view on the analysis and proposals related to the pre-trade LIS thresholds for commodity derivatives? Which proposal to mitigate the counterintuitive effect of the current percentile approach do you prefer (i.e. keep the current methodology but modify its parameters, or change the methodology e.g. using a different metric for the liquidity criteria)? Please justify your views and proposals with quantitative elements where available</w:t>
      </w:r>
      <w:r>
        <w:t>.</w:t>
      </w:r>
    </w:p>
    <w:p w14:paraId="06D29F86" w14:textId="06D8E075" w:rsidR="00B27E7B" w:rsidRDefault="00B27E7B" w:rsidP="00B27E7B">
      <w:r>
        <w:t>&lt;ESMA_QUESTION_CP_MIFID_NQT_31&gt;</w:t>
      </w:r>
    </w:p>
    <w:p w14:paraId="593E91E6" w14:textId="77777777" w:rsidR="00B27E7B" w:rsidRDefault="00B27E7B" w:rsidP="00B27E7B">
      <w:permStart w:id="1615734835" w:edGrp="everyone"/>
      <w:r>
        <w:t>TYPE YOUR TEXT HERE</w:t>
      </w:r>
      <w:permEnd w:id="1615734835"/>
    </w:p>
    <w:p w14:paraId="50700390" w14:textId="10BA10CC" w:rsidR="00B27E7B" w:rsidRDefault="00B27E7B" w:rsidP="00B27E7B">
      <w:r>
        <w:t>&lt;ESMA_QUESTION_CP_MIFID_NQT_31&gt;</w:t>
      </w:r>
    </w:p>
    <w:p w14:paraId="6841324D" w14:textId="77777777" w:rsidR="00B27E7B" w:rsidRDefault="00B27E7B" w:rsidP="00646C30"/>
    <w:sectPr w:rsidR="00B27E7B"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819E2" w14:textId="77777777" w:rsidR="00047350" w:rsidRDefault="00047350">
      <w:r>
        <w:separator/>
      </w:r>
    </w:p>
    <w:p w14:paraId="36D5B02B" w14:textId="77777777" w:rsidR="00047350" w:rsidRDefault="00047350"/>
  </w:endnote>
  <w:endnote w:type="continuationSeparator" w:id="0">
    <w:p w14:paraId="6F308D14" w14:textId="77777777" w:rsidR="00047350" w:rsidRDefault="00047350">
      <w:r>
        <w:continuationSeparator/>
      </w:r>
    </w:p>
    <w:p w14:paraId="34A13672" w14:textId="77777777" w:rsidR="00047350" w:rsidRDefault="00047350"/>
  </w:endnote>
  <w:endnote w:type="continuationNotice" w:id="1">
    <w:p w14:paraId="0735500C" w14:textId="77777777" w:rsidR="00047350" w:rsidRDefault="00047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616B9B" w14:paraId="313FAE1A" w14:textId="77777777" w:rsidTr="00315E96">
      <w:trPr>
        <w:trHeight w:val="284"/>
      </w:trPr>
      <w:tc>
        <w:tcPr>
          <w:tcW w:w="8460" w:type="dxa"/>
        </w:tcPr>
        <w:p w14:paraId="0BEF8BC6" w14:textId="77777777" w:rsidR="00F107EF" w:rsidRPr="00315E96" w:rsidRDefault="00F107EF" w:rsidP="00315E96">
          <w:pPr>
            <w:pStyle w:val="00Footer"/>
            <w:rPr>
              <w:lang w:val="fr-FR"/>
            </w:rPr>
          </w:pPr>
        </w:p>
      </w:tc>
      <w:tc>
        <w:tcPr>
          <w:tcW w:w="952" w:type="dxa"/>
        </w:tcPr>
        <w:p w14:paraId="7FD1DE07" w14:textId="68328C4B" w:rsidR="00F107EF" w:rsidRPr="00616B9B" w:rsidRDefault="00F107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0440DB">
            <w:rPr>
              <w:rFonts w:cs="Arial"/>
              <w:noProof/>
              <w:sz w:val="22"/>
              <w:szCs w:val="22"/>
            </w:rPr>
            <w:t>12</w:t>
          </w:r>
          <w:r w:rsidRPr="00616B9B">
            <w:rPr>
              <w:rFonts w:cs="Arial"/>
              <w:noProof/>
              <w:sz w:val="22"/>
              <w:szCs w:val="22"/>
            </w:rPr>
            <w:fldChar w:fldCharType="end"/>
          </w:r>
        </w:p>
      </w:tc>
    </w:tr>
  </w:tbl>
  <w:p w14:paraId="7306E326" w14:textId="77777777" w:rsidR="00F107EF" w:rsidRDefault="00F107E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75726" w14:textId="77777777" w:rsidR="00B61CD3" w:rsidRDefault="00B61CD3" w:rsidP="00B61CD3">
    <w:pPr>
      <w:pStyle w:val="Fuzeile"/>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822F5" w14:textId="77777777" w:rsidR="00F107EF" w:rsidRDefault="00F107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75FDD" w14:textId="77777777" w:rsidR="00047350" w:rsidRDefault="00047350">
      <w:r>
        <w:separator/>
      </w:r>
    </w:p>
    <w:p w14:paraId="17954807" w14:textId="77777777" w:rsidR="00047350" w:rsidRDefault="00047350"/>
  </w:footnote>
  <w:footnote w:type="continuationSeparator" w:id="0">
    <w:p w14:paraId="6B62BF90" w14:textId="77777777" w:rsidR="00047350" w:rsidRDefault="00047350">
      <w:r>
        <w:continuationSeparator/>
      </w:r>
    </w:p>
    <w:p w14:paraId="465BF8F0" w14:textId="77777777" w:rsidR="00047350" w:rsidRDefault="00047350"/>
  </w:footnote>
  <w:footnote w:type="continuationNotice" w:id="1">
    <w:p w14:paraId="6881F32D" w14:textId="77777777" w:rsidR="00047350" w:rsidRDefault="0004735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47985" w14:textId="77777777" w:rsidR="00F107EF" w:rsidRDefault="00F107EF">
    <w:pPr>
      <w:pStyle w:val="Kopfzeile"/>
    </w:pPr>
    <w:r>
      <w:rPr>
        <w:noProof/>
        <w:lang w:val="de-DE"/>
      </w:rPr>
      <w:drawing>
        <wp:anchor distT="0" distB="0" distL="114300" distR="114300" simplePos="0" relativeHeight="251658240"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6192"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F96916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8EEA6" w14:textId="77777777" w:rsidR="00F107EF" w:rsidRDefault="00F107EF" w:rsidP="00013CCE">
    <w:pPr>
      <w:pStyle w:val="Kopfzeile"/>
      <w:jc w:val="right"/>
    </w:pPr>
    <w:r>
      <w:rPr>
        <w:noProof/>
        <w:lang w:val="de-DE"/>
      </w:rPr>
      <w:drawing>
        <wp:anchor distT="0" distB="0" distL="114300" distR="114300" simplePos="0" relativeHeight="251657216"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5168"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EA3DA" w14:textId="77777777" w:rsidR="00F107EF" w:rsidRDefault="00F107EF"/>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14:paraId="60C7474C" w14:textId="77777777" w:rsidTr="000C06C9">
      <w:trPr>
        <w:trHeight w:val="284"/>
      </w:trPr>
      <w:tc>
        <w:tcPr>
          <w:tcW w:w="8460" w:type="dxa"/>
        </w:tcPr>
        <w:p w14:paraId="54B7E7F0" w14:textId="77777777" w:rsidR="00F107EF" w:rsidRPr="000C3B6D" w:rsidRDefault="00F107EF" w:rsidP="000C06C9">
          <w:pPr>
            <w:pStyle w:val="00Footer"/>
            <w:rPr>
              <w:lang w:val="fr-FR"/>
            </w:rPr>
          </w:pPr>
        </w:p>
      </w:tc>
      <w:tc>
        <w:tcPr>
          <w:tcW w:w="952" w:type="dxa"/>
        </w:tcPr>
        <w:p w14:paraId="2E49D042" w14:textId="77777777" w:rsidR="00F107EF" w:rsidRPr="00146B34" w:rsidRDefault="00F107EF" w:rsidP="000C06C9">
          <w:pPr>
            <w:pStyle w:val="00aPagenumber"/>
            <w:rPr>
              <w:lang w:val="fr-FR"/>
            </w:rPr>
          </w:pPr>
        </w:p>
      </w:tc>
    </w:tr>
  </w:tbl>
  <w:p w14:paraId="580707D9" w14:textId="77777777" w:rsidR="00F107EF" w:rsidRPr="00DB46C3" w:rsidRDefault="00F107EF">
    <w:pPr>
      <w:rPr>
        <w:lang w:val="fr-FR"/>
      </w:rPr>
    </w:pPr>
  </w:p>
  <w:p w14:paraId="20C4F67C" w14:textId="77777777" w:rsidR="00F107EF" w:rsidRPr="002F4496" w:rsidRDefault="00F107EF">
    <w:pPr>
      <w:pStyle w:val="Kopfzeile"/>
      <w:rPr>
        <w:lang w:val="fr-FR"/>
      </w:rPr>
    </w:pPr>
  </w:p>
  <w:p w14:paraId="3F30C70B" w14:textId="77777777" w:rsidR="00F107EF" w:rsidRPr="002F4496" w:rsidRDefault="00F107EF" w:rsidP="000C06C9">
    <w:pPr>
      <w:pStyle w:val="Kopfzeile"/>
      <w:tabs>
        <w:tab w:val="clear" w:pos="4536"/>
        <w:tab w:val="clear" w:pos="9072"/>
        <w:tab w:val="left" w:pos="8227"/>
      </w:tabs>
      <w:rPr>
        <w:lang w:val="fr-FR"/>
      </w:rPr>
    </w:pPr>
  </w:p>
  <w:p w14:paraId="4D50BC39" w14:textId="77777777" w:rsidR="00F107EF" w:rsidRPr="002F4496" w:rsidRDefault="00F107EF" w:rsidP="00583885">
    <w:pPr>
      <w:pStyle w:val="Kopfzeile"/>
      <w:jc w:val="right"/>
      <w:rPr>
        <w:lang w:val="fr-FR"/>
      </w:rPr>
    </w:pPr>
  </w:p>
  <w:p w14:paraId="2D51BEA2" w14:textId="77777777" w:rsidR="00F107EF" w:rsidRPr="002F4496" w:rsidRDefault="00F107EF">
    <w:pPr>
      <w:pStyle w:val="Kopfzeile"/>
      <w:rPr>
        <w:lang w:val="fr-FR"/>
      </w:rPr>
    </w:pPr>
  </w:p>
  <w:p w14:paraId="340B2438" w14:textId="77777777" w:rsidR="00F107EF" w:rsidRPr="002F4496" w:rsidRDefault="00F107EF">
    <w:pPr>
      <w:pStyle w:val="Kopfzeile"/>
      <w:rPr>
        <w:lang w:val="fr-FR"/>
      </w:rPr>
    </w:pPr>
  </w:p>
  <w:p w14:paraId="2A794A3E" w14:textId="77777777" w:rsidR="00F107EF" w:rsidRPr="002F4496" w:rsidRDefault="00F107EF">
    <w:pPr>
      <w:pStyle w:val="Kopfzeile"/>
      <w:rPr>
        <w:lang w:val="fr-FR"/>
      </w:rPr>
    </w:pPr>
  </w:p>
  <w:p w14:paraId="0A21F475" w14:textId="77777777" w:rsidR="00F107EF" w:rsidRPr="002F4496" w:rsidRDefault="00F107EF">
    <w:pPr>
      <w:pStyle w:val="Kopfzeile"/>
      <w:rPr>
        <w:highlight w:val="yellow"/>
        <w:lang w:val="fr-FR"/>
      </w:rPr>
    </w:pPr>
  </w:p>
  <w:p w14:paraId="53ABEE5D" w14:textId="77777777" w:rsidR="00F107EF" w:rsidRDefault="00F107EF">
    <w:pPr>
      <w:pStyle w:val="Kopfzeile"/>
    </w:pPr>
    <w:r>
      <w:rPr>
        <w:noProof/>
        <w:lang w:val="de-DE"/>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BBE968B"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C2D05AB"/>
    <w:multiLevelType w:val="hybridMultilevel"/>
    <w:tmpl w:val="62D64AFA"/>
    <w:lvl w:ilvl="0" w:tplc="944E13B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9"/>
  </w:num>
  <w:num w:numId="16">
    <w:abstractNumId w:val="1"/>
  </w:num>
  <w:num w:numId="17">
    <w:abstractNumId w:val="13"/>
  </w:num>
  <w:num w:numId="18">
    <w:abstractNumId w:val="14"/>
  </w:num>
  <w:num w:numId="19">
    <w:abstractNumId w:val="16"/>
  </w:num>
  <w:num w:numId="20">
    <w:abstractNumId w:val="25"/>
  </w:num>
  <w:num w:numId="21">
    <w:abstractNumId w:val="35"/>
  </w:num>
  <w:num w:numId="22">
    <w:abstractNumId w:val="23"/>
  </w:num>
  <w:num w:numId="23">
    <w:abstractNumId w:val="8"/>
  </w:num>
  <w:num w:numId="24">
    <w:abstractNumId w:val="28"/>
  </w:num>
  <w:num w:numId="25">
    <w:abstractNumId w:val="27"/>
  </w:num>
  <w:num w:numId="26">
    <w:abstractNumId w:val="18"/>
  </w:num>
  <w:num w:numId="27">
    <w:abstractNumId w:val="31"/>
  </w:num>
  <w:num w:numId="28">
    <w:abstractNumId w:val="37"/>
  </w:num>
  <w:num w:numId="29">
    <w:abstractNumId w:val="6"/>
  </w:num>
  <w:num w:numId="30">
    <w:abstractNumId w:val="2"/>
  </w:num>
  <w:num w:numId="31">
    <w:abstractNumId w:val="20"/>
  </w:num>
  <w:num w:numId="32">
    <w:abstractNumId w:val="19"/>
  </w:num>
  <w:num w:numId="33">
    <w:abstractNumId w:val="33"/>
  </w:num>
  <w:num w:numId="34">
    <w:abstractNumId w:val="32"/>
  </w:num>
  <w:num w:numId="35">
    <w:abstractNumId w:val="4"/>
  </w:num>
  <w:num w:numId="36">
    <w:abstractNumId w:val="34"/>
  </w:num>
  <w:num w:numId="37">
    <w:abstractNumId w:val="19"/>
    <w:lvlOverride w:ilvl="0">
      <w:startOverride w:val="1"/>
    </w:lvlOverride>
  </w:num>
  <w:num w:numId="38">
    <w:abstractNumId w:val="19"/>
  </w:num>
  <w:num w:numId="39">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2Lgx40o0Uhp5wsRzMTxIke0OjJoVruNyahcyx0E87CxFvMT1xt0Ass1m86SRwjfA74HFUokCGJg7JKl0Sxmaig==" w:salt="NENOzH7pfTpZXs2MZdg8ww=="/>
  <w:defaultTabStop w:val="709"/>
  <w:autoHyphenation/>
  <w:hyphenationZone w:val="567"/>
  <w:characterSpacingControl w:val="doNotCompress"/>
  <w:hdrShapeDefaults>
    <o:shapedefaults v:ext="edit" spidmax="1638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40DB"/>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4C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6F8F"/>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5D3F"/>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4C81"/>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065A"/>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0E97"/>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0CE"/>
    <w:rsid w:val="00AB6B5E"/>
    <w:rsid w:val="00AC047F"/>
    <w:rsid w:val="00AC3934"/>
    <w:rsid w:val="00AC4B91"/>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0F23"/>
    <w:rsid w:val="00C81195"/>
    <w:rsid w:val="00C812D3"/>
    <w:rsid w:val="00C81798"/>
    <w:rsid w:val="00C8515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0DAD"/>
    <w:rsid w:val="00CB12A5"/>
    <w:rsid w:val="00CB17FA"/>
    <w:rsid w:val="00CB23D8"/>
    <w:rsid w:val="00CB2ED9"/>
    <w:rsid w:val="00CB3332"/>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3B8"/>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1DE4"/>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AD5"/>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2d4491,#283583"/>
    </o:shapedefaults>
    <o:shapelayout v:ext="edit">
      <o:idmap v:ext="edit" data="1"/>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46C30"/>
    <w:rPr>
      <w:rFonts w:ascii="Arial" w:hAnsi="Arial"/>
      <w:szCs w:val="24"/>
      <w:lang w:eastAsia="de-DE"/>
    </w:rPr>
  </w:style>
  <w:style w:type="paragraph" w:styleId="berschrift1">
    <w:name w:val="heading 1"/>
    <w:basedOn w:val="Standard"/>
    <w:next w:val="Standard"/>
    <w:link w:val="berschrift1Zchn"/>
    <w:qFormat/>
    <w:locked/>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locked/>
    <w:rsid w:val="00886A60"/>
    <w:pPr>
      <w:keepNext/>
      <w:keepLines/>
      <w:spacing w:before="200" w:after="120"/>
      <w:outlineLvl w:val="1"/>
    </w:pPr>
    <w:rPr>
      <w:b/>
      <w:bCs/>
      <w:szCs w:val="26"/>
    </w:rPr>
  </w:style>
  <w:style w:type="paragraph" w:styleId="berschrift3">
    <w:name w:val="heading 3"/>
    <w:basedOn w:val="Standard"/>
    <w:next w:val="Standard"/>
    <w:link w:val="berschrift3Zchn"/>
    <w:qFormat/>
    <w:locked/>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locked/>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locked/>
    <w:rsid w:val="005B64CB"/>
    <w:pPr>
      <w:tabs>
        <w:tab w:val="center" w:pos="4536"/>
        <w:tab w:val="right" w:pos="9072"/>
      </w:tabs>
    </w:pPr>
  </w:style>
  <w:style w:type="paragraph" w:styleId="Fuzeile">
    <w:name w:val="footer"/>
    <w:basedOn w:val="Standard"/>
    <w:link w:val="FuzeileZchn"/>
    <w:uiPriority w:val="99"/>
    <w:locked/>
    <w:rsid w:val="005B64CB"/>
    <w:pPr>
      <w:tabs>
        <w:tab w:val="center" w:pos="4536"/>
        <w:tab w:val="right" w:pos="9072"/>
      </w:tabs>
    </w:pPr>
  </w:style>
  <w:style w:type="table" w:styleId="Tabellenraster">
    <w:name w:val="Table Grid"/>
    <w:basedOn w:val="NormaleTabel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rsid w:val="003E3ACA"/>
    <w:pPr>
      <w:spacing w:line="200" w:lineRule="exact"/>
    </w:pPr>
    <w:rPr>
      <w:color w:val="2D4190"/>
      <w:sz w:val="16"/>
    </w:rPr>
  </w:style>
  <w:style w:type="paragraph" w:customStyle="1" w:styleId="05aTitle">
    <w:name w:val="05a_Title"/>
    <w:basedOn w:val="Standard"/>
    <w:locked/>
    <w:rsid w:val="00791EB4"/>
    <w:pPr>
      <w:spacing w:line="340" w:lineRule="exact"/>
    </w:pPr>
    <w:rPr>
      <w:b/>
      <w:color w:val="000000"/>
      <w:sz w:val="28"/>
    </w:rPr>
  </w:style>
  <w:style w:type="paragraph" w:customStyle="1" w:styleId="02Date">
    <w:name w:val="02_Date"/>
    <w:basedOn w:val="Stand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rd"/>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eitenzahl">
    <w:name w:val="page number"/>
    <w:basedOn w:val="Absatz-Standardschriftar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Verzeichnis2">
    <w:name w:val="toc 2"/>
    <w:basedOn w:val="Standard"/>
    <w:next w:val="Stand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rd"/>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zeichen">
    <w:name w:val="annotation reference"/>
    <w:locked/>
    <w:rsid w:val="004B1E61"/>
    <w:rPr>
      <w:sz w:val="16"/>
      <w:szCs w:val="16"/>
    </w:rPr>
  </w:style>
  <w:style w:type="paragraph" w:styleId="Kommentartext">
    <w:name w:val="annotation text"/>
    <w:basedOn w:val="Standard"/>
    <w:link w:val="KommentartextZchn"/>
    <w:locked/>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locked/>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locked/>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Paragraphe de liste"/>
    <w:basedOn w:val="Standard"/>
    <w:link w:val="ListenabsatzZchn"/>
    <w:uiPriority w:val="34"/>
    <w:qFormat/>
    <w:locked/>
    <w:rsid w:val="002A0C82"/>
    <w:pPr>
      <w:ind w:left="720"/>
      <w:contextualSpacing/>
    </w:pPr>
  </w:style>
  <w:style w:type="paragraph" w:styleId="Inhaltsverzeichnisberschrift">
    <w:name w:val="TOC Heading"/>
    <w:basedOn w:val="berschrift1"/>
    <w:next w:val="Standard"/>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rsid w:val="008E1B6A"/>
  </w:style>
  <w:style w:type="paragraph" w:customStyle="1" w:styleId="ManualNumPar1">
    <w:name w:val="Manual NumPar 1"/>
    <w:basedOn w:val="Standard"/>
    <w:next w:val="Standard"/>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Hervorhebung">
    <w:name w:val="Emphasis"/>
    <w:uiPriority w:val="20"/>
    <w:qFormat/>
    <w:locked/>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lock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lock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lock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lock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lock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chriftung">
    <w:name w:val="caption"/>
    <w:basedOn w:val="Standard"/>
    <w:next w:val="Stand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struktur">
    <w:name w:val="Document Map"/>
    <w:basedOn w:val="Standard"/>
    <w:link w:val="DokumentstrukturZchn"/>
    <w:locked/>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lock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lock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ett">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locked/>
    <w:rsid w:val="002D6E1A"/>
  </w:style>
  <w:style w:type="character" w:styleId="BesuchterLink">
    <w:name w:val="FollowedHyperlink"/>
    <w:unhideWhenUsed/>
    <w:lock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lock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Paragraphe de liste Zchn"/>
    <w:link w:val="Listenabsatz"/>
    <w:uiPriority w:val="34"/>
    <w:locked/>
    <w:rsid w:val="002D6E1A"/>
    <w:rPr>
      <w:rFonts w:ascii="Georgia" w:hAnsi="Georgia"/>
      <w:sz w:val="22"/>
      <w:szCs w:val="24"/>
      <w:lang w:eastAsia="de-DE"/>
    </w:rPr>
  </w:style>
  <w:style w:type="paragraph" w:customStyle="1" w:styleId="04anumbering0">
    <w:name w:val="04anumbering"/>
    <w:basedOn w:val="Standard"/>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locked/>
    <w:rsid w:val="002D6E1A"/>
    <w:pPr>
      <w:ind w:left="708"/>
      <w:contextualSpacing w:val="0"/>
      <w:jc w:val="both"/>
    </w:pPr>
    <w:rPr>
      <w:b/>
      <w:szCs w:val="20"/>
      <w:u w:val="single"/>
    </w:rPr>
  </w:style>
  <w:style w:type="paragraph" w:customStyle="1" w:styleId="Bullet">
    <w:name w:val="Bullet"/>
    <w:basedOn w:val="Standard"/>
    <w:locke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locked/>
    <w:rsid w:val="002D6E1A"/>
    <w:rPr>
      <w:vertAlign w:val="superscript"/>
    </w:rPr>
  </w:style>
  <w:style w:type="character" w:styleId="Platzhalt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eTabel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rsid w:val="00952F2C"/>
  </w:style>
  <w:style w:type="paragraph" w:customStyle="1" w:styleId="aStyle">
    <w:name w:val="a) Style"/>
    <w:basedOn w:val="Standard"/>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berschrift5Zchn">
    <w:name w:val="Überschrift 5 Zchn"/>
    <w:aliases w:val="Questions Zchn"/>
    <w:link w:val="berschrift5"/>
    <w:uiPriority w:val="9"/>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rd"/>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berschrift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berschrift1"/>
    <w:next w:val="Standard"/>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locked/>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Standard"/>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locked/>
    <w:rsid w:val="000D2D0B"/>
    <w:pPr>
      <w:spacing w:before="120" w:after="120"/>
      <w:ind w:left="850"/>
      <w:jc w:val="both"/>
    </w:pPr>
    <w:rPr>
      <w:rFonts w:ascii="Times New Roman" w:hAnsi="Times New Roman"/>
      <w:sz w:val="24"/>
      <w:lang w:eastAsia="en-US"/>
    </w:rPr>
  </w:style>
  <w:style w:type="paragraph" w:customStyle="1" w:styleId="Text2">
    <w:name w:val="Text 2"/>
    <w:basedOn w:val="Standard"/>
    <w:locked/>
    <w:rsid w:val="000D2D0B"/>
    <w:pPr>
      <w:spacing w:before="120" w:after="120"/>
      <w:ind w:left="1417"/>
      <w:jc w:val="both"/>
    </w:pPr>
    <w:rPr>
      <w:rFonts w:ascii="Times New Roman" w:hAnsi="Times New Roman"/>
      <w:sz w:val="24"/>
      <w:lang w:eastAsia="en-US"/>
    </w:rPr>
  </w:style>
  <w:style w:type="paragraph" w:customStyle="1" w:styleId="Text3">
    <w:name w:val="Text 3"/>
    <w:basedOn w:val="Standard"/>
    <w:locked/>
    <w:rsid w:val="000D2D0B"/>
    <w:pPr>
      <w:spacing w:before="120" w:after="120"/>
      <w:ind w:left="1984"/>
      <w:jc w:val="both"/>
    </w:pPr>
    <w:rPr>
      <w:rFonts w:ascii="Times New Roman" w:hAnsi="Times New Roman"/>
      <w:sz w:val="24"/>
      <w:lang w:eastAsia="en-US"/>
    </w:rPr>
  </w:style>
  <w:style w:type="paragraph" w:customStyle="1" w:styleId="Text4">
    <w:name w:val="Text 4"/>
    <w:basedOn w:val="Standard"/>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locke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Standard"/>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rd"/>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locked/>
    <w:rsid w:val="000D2D0B"/>
    <w:pPr>
      <w:spacing w:after="240"/>
    </w:pPr>
    <w:rPr>
      <w:rFonts w:ascii="Times New Roman" w:hAnsi="Times New Roman"/>
      <w:sz w:val="24"/>
      <w:lang w:eastAsia="en-US"/>
    </w:rPr>
  </w:style>
  <w:style w:type="paragraph" w:customStyle="1" w:styleId="Datedadoption">
    <w:name w:val="Date d'adoption"/>
    <w:basedOn w:val="Standard"/>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locke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locked/>
    <w:rsid w:val="000D2D0B"/>
    <w:rPr>
      <w:rFonts w:cs="Arial"/>
      <w:sz w:val="24"/>
      <w:lang w:eastAsia="en-US"/>
    </w:rPr>
  </w:style>
  <w:style w:type="paragraph" w:customStyle="1" w:styleId="Rfrenceinstitutionnelle">
    <w:name w:val="Référence institutionnelle"/>
    <w:basedOn w:val="Standard"/>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locked/>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Standard"/>
    <w:locked/>
    <w:rsid w:val="000D2D0B"/>
    <w:pPr>
      <w:jc w:val="center"/>
    </w:pPr>
    <w:rPr>
      <w:rFonts w:ascii="Times New Roman" w:hAnsi="Times New Roman"/>
      <w:b/>
      <w:sz w:val="24"/>
      <w:lang w:eastAsia="en-US"/>
    </w:rPr>
  </w:style>
  <w:style w:type="paragraph" w:customStyle="1" w:styleId="Statut">
    <w:name w:val="Statut"/>
    <w:basedOn w:val="Standard"/>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rd"/>
    <w:next w:val="Standard"/>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locke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locked/>
    <w:rsid w:val="000D2D0B"/>
    <w:pPr>
      <w:spacing w:before="360"/>
      <w:jc w:val="center"/>
    </w:pPr>
    <w:rPr>
      <w:rFonts w:ascii="Times New Roman" w:hAnsi="Times New Roman"/>
      <w:sz w:val="24"/>
      <w:lang w:eastAsia="en-US"/>
    </w:rPr>
  </w:style>
  <w:style w:type="paragraph" w:customStyle="1" w:styleId="Rfrencecroise">
    <w:name w:val="Référence croisée"/>
    <w:basedOn w:val="Standard"/>
    <w:locke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rd"/>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locked/>
    <w:rsid w:val="000D2D0B"/>
    <w:pPr>
      <w:spacing w:after="240"/>
    </w:pPr>
  </w:style>
  <w:style w:type="paragraph" w:customStyle="1" w:styleId="Accompagnant">
    <w:name w:val="Accompagnant"/>
    <w:basedOn w:val="Standard"/>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rd"/>
    <w:next w:val="Standard"/>
    <w:locked/>
    <w:rsid w:val="000D2D0B"/>
    <w:pPr>
      <w:spacing w:before="360"/>
      <w:jc w:val="center"/>
    </w:pPr>
    <w:rPr>
      <w:rFonts w:ascii="Times New Roman" w:hAnsi="Times New Roman"/>
      <w:sz w:val="24"/>
      <w:lang w:eastAsia="en-US"/>
    </w:rPr>
  </w:style>
  <w:style w:type="paragraph" w:styleId="Listennummer2">
    <w:name w:val="List Number 2"/>
    <w:basedOn w:val="Standard"/>
    <w:locke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locke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locked/>
    <w:rsid w:val="000D2D0B"/>
    <w:pPr>
      <w:ind w:left="720"/>
      <w:contextualSpacing/>
    </w:pPr>
    <w:rPr>
      <w:rFonts w:ascii="Cambria" w:hAnsi="Cambria"/>
      <w:sz w:val="24"/>
      <w:lang w:val="en-US" w:eastAsia="en-US"/>
    </w:rPr>
  </w:style>
  <w:style w:type="paragraph" w:customStyle="1" w:styleId="Listeavsnitt1">
    <w:name w:val="Listeavsnitt1"/>
    <w:basedOn w:val="Standard"/>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rd"/>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Standard"/>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rd"/>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locke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sid w:val="003A6E9A"/>
    <w:rPr>
      <w:b/>
      <w:i w:val="0"/>
      <w:iCs/>
      <w:sz w:val="20"/>
    </w:rPr>
  </w:style>
  <w:style w:type="paragraph" w:customStyle="1" w:styleId="NEW-Paragraph-Level1">
    <w:name w:val="NEW-Paragraph-Level1"/>
    <w:basedOn w:val="Standard"/>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Standard"/>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locked/>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2020</Year>
    <TaxCatchAll xmlns="20fbe147-bbda-4e53-b6b1-7e8bbff3fe19">
      <Value>1</Value>
      <Value>14</Value>
      <Value>478</Value>
      <Value>484</Value>
      <Value>434</Value>
    </TaxCatchAll>
    <_dlc_DocId xmlns="20fbe147-bbda-4e53-b6b1-7e8bbff3fe19">ESMA70-156-2410</_dlc_DocId>
    <_dlc_DocIdUrl xmlns="20fbe147-bbda-4e53-b6b1-7e8bbff3fe19">
      <Url>https://sherpa.esma.europa.eu/sites/MKT/SMK/_layouts/15/DocIdRedir.aspx?ID=ESMA70-156-2410</Url>
      <Description>ESMA70-156-2410</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MiFIR 52(1)(6) - Transparency and DVC and TOD</TermName>
          <TermId xmlns="http://schemas.microsoft.com/office/infopath/2007/PartnerControls">af5d7a71-37b0-44f8-9596-7b2aead30867</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4.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http://schemas.microsoft.com/sharepoint/v4"/>
    <ds:schemaRef ds:uri="http://purl.org/dc/elements/1.1/"/>
    <ds:schemaRef ds:uri="20fbe147-bbda-4e53-b6b1-7e8bbff3fe19"/>
    <ds:schemaRef ds:uri="http://schemas.microsoft.com/sharepoint/v3"/>
    <ds:schemaRef ds:uri="http://www.w3.org/XML/1998/namespace"/>
  </ds:schemaRefs>
</ds:datastoreItem>
</file>

<file path=customXml/itemProps4.xml><?xml version="1.0" encoding="utf-8"?>
<ds:datastoreItem xmlns:ds="http://schemas.openxmlformats.org/officeDocument/2006/customXml" ds:itemID="{9767B63E-DF16-4980-AA38-0B9BBAEB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136CBA-5890-4F08-BCC9-30B790D5BB9F}">
  <ds:schemaRefs>
    <ds:schemaRef ds:uri="http://schemas.openxmlformats.org/officeDocument/2006/bibliography"/>
  </ds:schemaRefs>
</ds:datastoreItem>
</file>

<file path=customXml/itemProps6.xml><?xml version="1.0" encoding="utf-8"?>
<ds:datastoreItem xmlns:ds="http://schemas.openxmlformats.org/officeDocument/2006/customXml" ds:itemID="{888C53D7-15A2-451C-8882-66B26E119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3891</Words>
  <Characters>22416</Characters>
  <Application>Microsoft Office Word</Application>
  <DocSecurity>8</DocSecurity>
  <Lines>186</Lines>
  <Paragraphs>52</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26255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Polk, Lea Anna</cp:lastModifiedBy>
  <cp:revision>10</cp:revision>
  <cp:lastPrinted>2015-02-18T11:01:00Z</cp:lastPrinted>
  <dcterms:created xsi:type="dcterms:W3CDTF">2020-06-03T15:03:00Z</dcterms:created>
  <dcterms:modified xsi:type="dcterms:W3CDTF">2020-06-12T12:00:00Z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1e9343ef-4172-4dae-8e17-5a879c7dfc56</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434;#MiFID reports|3c5cc422-10d2-4956-abed-da9583ea216a</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478;#MiFID reports - MiFIR 52(1)(6) - Transparency and DVC and TOD|af5d7a71-37b0-44f8-9596-7b2aead30867</vt:lpwstr>
  </property>
</Properties>
</file>