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Piedepgina"/>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bookmarkStart w:id="0" w:name="_GoBack"/>
      <w:bookmarkEnd w:id="0"/>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9" w:history="1">
        <w:r w:rsidRPr="005B6B12">
          <w:rPr>
            <w:rStyle w:val="Hipervnculo"/>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tu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xtodelmarcadordeposicin"/>
              <w:rFonts w:cs="Arial"/>
            </w:rPr>
            <w:id w:val="651570699"/>
            <w:text/>
          </w:sdtPr>
          <w:sdtEndPr>
            <w:rPr>
              <w:rStyle w:val="Textodelmarcadordeposicin"/>
            </w:rPr>
          </w:sdtEndPr>
          <w:sdtContent>
            <w:tc>
              <w:tcPr>
                <w:tcW w:w="5595" w:type="dxa"/>
                <w:shd w:val="clear" w:color="auto" w:fill="auto"/>
              </w:tcPr>
              <w:p w14:paraId="7A68491E" w14:textId="16805C3E" w:rsidR="00C2682A" w:rsidRPr="00AB6D88" w:rsidRDefault="00BE079F" w:rsidP="00BE079F">
                <w:pPr>
                  <w:rPr>
                    <w:rStyle w:val="Textodelmarcadordeposicin"/>
                    <w:rFonts w:cs="Arial"/>
                  </w:rPr>
                </w:pPr>
                <w:r>
                  <w:rPr>
                    <w:rStyle w:val="Textodelmarcadordeposicin"/>
                    <w:rFonts w:cs="Arial"/>
                  </w:rPr>
                  <w:t>BME Derivatives Exchange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32395056" w:rsidR="00C2682A" w:rsidRPr="00AB6D88" w:rsidRDefault="0005469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E079F">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C75E281" w:rsidR="00C2682A" w:rsidRPr="00AB6D88" w:rsidRDefault="00BE079F" w:rsidP="00BE079F">
                <w:pPr>
                  <w:rPr>
                    <w:rFonts w:cs="Arial"/>
                  </w:rPr>
                </w:pPr>
                <w:r>
                  <w:rPr>
                    <w:rFonts w:cs="Arial"/>
                  </w:rPr>
                  <w:t>Spain</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tulo1"/>
        <w:numPr>
          <w:ilvl w:val="0"/>
          <w:numId w:val="0"/>
        </w:numPr>
        <w:ind w:left="431" w:hanging="431"/>
      </w:pPr>
      <w:r>
        <w:t>Introduction</w:t>
      </w:r>
    </w:p>
    <w:p w14:paraId="0A354328" w14:textId="77777777" w:rsidR="00F87897" w:rsidRPr="001D47A5" w:rsidRDefault="00F87897" w:rsidP="00F87897">
      <w:pPr>
        <w:rPr>
          <w:rStyle w:val="nfasisintenso"/>
        </w:rPr>
      </w:pPr>
      <w:r w:rsidRPr="001D47A5">
        <w:rPr>
          <w:rStyle w:val="nfasisintenso"/>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6A22288E" w14:textId="77777777" w:rsidR="00F87897" w:rsidRDefault="00F87897" w:rsidP="00F87897">
      <w:permStart w:id="1454525006" w:edGrp="everyone"/>
      <w:r>
        <w:t>TYPE YOUR TEXT HERE</w:t>
      </w:r>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25931B3D" w14:textId="277BE7E8" w:rsidR="006B5718" w:rsidRDefault="00CC1EF5" w:rsidP="00FA506E">
      <w:pPr>
        <w:rPr>
          <w:bCs/>
        </w:rPr>
      </w:pPr>
      <w:permStart w:id="1955866996" w:edGrp="everyone"/>
      <w:r>
        <w:t xml:space="preserve">At BME Derivatives we </w:t>
      </w:r>
      <w:r w:rsidR="00FA506E">
        <w:t>consider t</w:t>
      </w:r>
      <w:r w:rsidR="006B5718" w:rsidRPr="00A93125">
        <w:rPr>
          <w:bCs/>
          <w:lang w:val="en-US"/>
        </w:rPr>
        <w:t>he review of the MiFIR pre</w:t>
      </w:r>
      <w:r w:rsidR="006B5718">
        <w:rPr>
          <w:bCs/>
        </w:rPr>
        <w:t>-trade transparency regime and RTS 2, transparency requirements need to be balanced to avoid damaging liquidity, undermining the price discovery process and pushing market participants towards more bilateral (Over The Counter - OTC) trading outside of transparent and regulated venues and outside central clearing.</w:t>
      </w:r>
    </w:p>
    <w:p w14:paraId="5CD0D358" w14:textId="77777777" w:rsidR="00FA506E" w:rsidRDefault="00FA506E" w:rsidP="00FA506E">
      <w:pPr>
        <w:rPr>
          <w:bCs/>
        </w:rPr>
      </w:pPr>
    </w:p>
    <w:p w14:paraId="0750106F" w14:textId="577C6C59" w:rsidR="006B5718" w:rsidRPr="00FA506E" w:rsidRDefault="00A93125" w:rsidP="00FA506E">
      <w:pPr>
        <w:spacing w:after="120"/>
        <w:rPr>
          <w:bCs/>
        </w:rPr>
      </w:pPr>
      <w:r>
        <w:rPr>
          <w:bCs/>
        </w:rPr>
        <w:t>To promote pre-trade transparency article 8 should include OTC &amp; SI trading activity, if not, a less stringent regulation would create an unfair disadvantage for those trading venues complying with the rule, as well as an incentive to trade in those darker, less transparent, environments, which is precisely what the rule is trying to avoid</w:t>
      </w:r>
    </w:p>
    <w:permEnd w:id="1955866996"/>
    <w:p w14:paraId="3FF76197" w14:textId="77777777" w:rsidR="00A8728B" w:rsidRDefault="00A8728B" w:rsidP="00A8728B"/>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68E19B45" w14:textId="2F57901F" w:rsidR="000C0B31" w:rsidRPr="006B491A" w:rsidRDefault="004A53D8" w:rsidP="006B491A">
      <w:pPr>
        <w:spacing w:after="120"/>
        <w:rPr>
          <w:b/>
          <w:highlight w:val="yellow"/>
        </w:rPr>
      </w:pPr>
      <w:permStart w:id="1066216518" w:edGrp="everyone"/>
      <w:r>
        <w:rPr>
          <w:highlight w:val="yellow"/>
        </w:rPr>
        <w:t>BME Derivatives</w:t>
      </w:r>
      <w:r w:rsidR="00BE079F">
        <w:rPr>
          <w:highlight w:val="yellow"/>
        </w:rPr>
        <w:t xml:space="preserve"> Exchange </w:t>
      </w:r>
      <w:r w:rsidR="000C0B31" w:rsidRPr="006B491A">
        <w:rPr>
          <w:highlight w:val="yellow"/>
        </w:rPr>
        <w:t xml:space="preserve">support ESMA’s current approach and methodology which aims to increase the proportion of lit trading while preserving the needs of market participants for pre-arranged transactions based on an analysis of the instruments’ liquidity. In light of the recent market conditions and in particular to the Covid-19 crisis, we believe the current </w:t>
      </w:r>
      <w:r w:rsidR="000C0B31" w:rsidRPr="006B491A">
        <w:rPr>
          <w:bCs/>
          <w:highlight w:val="yellow"/>
        </w:rPr>
        <w:t>rules are</w:t>
      </w:r>
      <w:r w:rsidR="000C0B31" w:rsidRPr="006B491A">
        <w:rPr>
          <w:highlight w:val="yellow"/>
        </w:rPr>
        <w:t xml:space="preserve"> appropriate and that higher thresholds would have considerably complicated the situation</w:t>
      </w:r>
      <w:r w:rsidR="000C0B31" w:rsidRPr="006B491A">
        <w:rPr>
          <w:b/>
          <w:highlight w:val="yellow"/>
        </w:rPr>
        <w:t xml:space="preserve">. </w:t>
      </w:r>
      <w:r w:rsidR="000C0B31" w:rsidRPr="006B491A">
        <w:rPr>
          <w:highlight w:val="yellow"/>
        </w:rPr>
        <w:t>Volatility</w:t>
      </w:r>
      <w:r w:rsidR="000C0B31" w:rsidRPr="006B491A">
        <w:rPr>
          <w:b/>
          <w:highlight w:val="yellow"/>
        </w:rPr>
        <w:t xml:space="preserve">, </w:t>
      </w:r>
      <w:r w:rsidR="000C0B31" w:rsidRPr="006B491A">
        <w:rPr>
          <w:bCs/>
          <w:highlight w:val="yellow"/>
        </w:rPr>
        <w:t>however</w:t>
      </w:r>
      <w:r w:rsidR="000C0B31" w:rsidRPr="006B491A">
        <w:rPr>
          <w:b/>
          <w:highlight w:val="yellow"/>
        </w:rPr>
        <w:t xml:space="preserve">, </w:t>
      </w:r>
      <w:r w:rsidR="000C0B31" w:rsidRPr="006B491A">
        <w:rPr>
          <w:highlight w:val="yellow"/>
        </w:rPr>
        <w:t>impacted the broader market as well as market makers ability to quote</w:t>
      </w:r>
      <w:r w:rsidR="000C0B31" w:rsidRPr="006B491A">
        <w:rPr>
          <w:b/>
          <w:highlight w:val="yellow"/>
        </w:rPr>
        <w:t xml:space="preserve"> </w:t>
      </w:r>
      <w:r w:rsidR="000C0B31" w:rsidRPr="006B491A">
        <w:rPr>
          <w:bCs/>
          <w:highlight w:val="yellow"/>
        </w:rPr>
        <w:t>and h</w:t>
      </w:r>
      <w:r w:rsidR="000C0B31" w:rsidRPr="006B491A">
        <w:rPr>
          <w:highlight w:val="yellow"/>
        </w:rPr>
        <w:t>ence there seem to be two points where some flexibility could benefit to the hedging needs:</w:t>
      </w:r>
    </w:p>
    <w:p w14:paraId="320E9CAE" w14:textId="46DB3091" w:rsidR="000C0B31" w:rsidRPr="000C0B31" w:rsidRDefault="000C0B31" w:rsidP="000C0B31">
      <w:pPr>
        <w:spacing w:after="120"/>
        <w:jc w:val="both"/>
        <w:rPr>
          <w:b/>
          <w:highlight w:val="yellow"/>
        </w:rPr>
      </w:pPr>
      <w:r w:rsidRPr="000C0B31">
        <w:rPr>
          <w:highlight w:val="yellow"/>
        </w:rPr>
        <w:t xml:space="preserve">Some flexibility to lower minimum thresholds in </w:t>
      </w:r>
      <w:r w:rsidRPr="000C0B31">
        <w:rPr>
          <w:bCs/>
          <w:highlight w:val="yellow"/>
        </w:rPr>
        <w:t>high volatile market conditions</w:t>
      </w:r>
      <w:r w:rsidRPr="000C0B31">
        <w:rPr>
          <w:highlight w:val="yellow"/>
        </w:rPr>
        <w:t xml:space="preserve"> would allow facilitate hedging. We suggest to hal</w:t>
      </w:r>
      <w:r w:rsidR="005D108A">
        <w:rPr>
          <w:highlight w:val="yellow"/>
        </w:rPr>
        <w:t>f</w:t>
      </w:r>
      <w:r w:rsidRPr="000C0B31">
        <w:rPr>
          <w:highlight w:val="yellow"/>
        </w:rPr>
        <w:t xml:space="preserve"> the existing minimum sizes in these cases. As a reminder, in stressed markets market makers can double the spread and halve the quantities. </w:t>
      </w:r>
    </w:p>
    <w:p w14:paraId="108232FE" w14:textId="4C0FC695" w:rsidR="00A8728B" w:rsidRDefault="000C0B31" w:rsidP="00A8728B">
      <w:r w:rsidRPr="006B491A">
        <w:rPr>
          <w:highlight w:val="yellow"/>
        </w:rPr>
        <w:t>Whatever the market conditions, the liquidity criteria to set the minimum volumes thresholds could be fine-tuned. Considering an option contracts for instance, liquidity does not concentrate equally in function of the strike price or the maturity. Indeed, the level of liquidity if much lower (a) deep In-/Out-of-The-Money options and (b) Long-dated options. Based on this discrepancy in the distribution of liquidity, we recommend lower</w:t>
      </w:r>
      <w:r w:rsidR="005D108A">
        <w:rPr>
          <w:highlight w:val="yellow"/>
        </w:rPr>
        <w:t>ing</w:t>
      </w:r>
      <w:r w:rsidRPr="006B491A">
        <w:rPr>
          <w:highlight w:val="yellow"/>
        </w:rPr>
        <w:t xml:space="preserve"> the LIS threshold for deep In-/Out-of-The-Money (Strike price &gt; ±10% of the opening price) and long-dated options (maturity &gt; 12 months).</w:t>
      </w:r>
    </w:p>
    <w:p w14:paraId="79B79A9E" w14:textId="77777777" w:rsidR="00A8728B" w:rsidRDefault="00A8728B" w:rsidP="00A8728B"/>
    <w:p w14:paraId="13B39663" w14:textId="5248AC50" w:rsidR="00A8728B" w:rsidRDefault="00CC1EF5" w:rsidP="00A8728B">
      <w:r>
        <w:t xml:space="preserve">Following the concept of exemption to hedging activities in commodities, we suggest the same can be promoted at FX derivatives, both financial and </w:t>
      </w:r>
      <w:r w:rsidR="00C02B58">
        <w:t>non-financial</w:t>
      </w:r>
      <w:r>
        <w:t xml:space="preserve"> entities should be able to cover currency related risk (for example a European entity buying dollar denominated</w:t>
      </w:r>
      <w:r w:rsidR="00C02B58">
        <w:t xml:space="preserve"> assets</w:t>
      </w:r>
      <w:r w:rsidR="00FA506E">
        <w:t>)</w:t>
      </w:r>
      <w:r w:rsidR="00C02B58">
        <w:t>.</w:t>
      </w:r>
      <w:r>
        <w:t xml:space="preserve"> </w:t>
      </w:r>
      <w:permEnd w:id="1066216518"/>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 xml:space="preserve">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w:t>
      </w:r>
      <w:r w:rsidRPr="007254DD">
        <w:lastRenderedPageBreak/>
        <w:t>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27C12B76" w14:textId="77777777" w:rsidR="002E1760" w:rsidRDefault="002E1760" w:rsidP="002E1760">
      <w:permStart w:id="473446270" w:edGrp="everyone"/>
      <w:r>
        <w:t>TYPE YOUR TEXT HERE</w:t>
      </w:r>
      <w:permEnd w:id="473446270"/>
    </w:p>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77777777" w:rsidR="002E1760" w:rsidRDefault="002E1760" w:rsidP="002E1760">
      <w:permStart w:id="1101743476" w:edGrp="everyone"/>
      <w:r>
        <w:t>TYPE YOUR TEXT HERE</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5E6AA5B5" w14:textId="77777777" w:rsidR="00227C1A" w:rsidRDefault="00227C1A" w:rsidP="00227C1A">
      <w:permStart w:id="1725855520" w:edGrp="everyone"/>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7F3F849F" w14:textId="77777777" w:rsidR="0062022D" w:rsidRDefault="0062022D" w:rsidP="0062022D">
      <w:permStart w:id="203298670" w:edGrp="everyone"/>
      <w:r>
        <w:t>TYPE YOUR TEXT HERE</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14896476" w14:textId="77777777" w:rsidR="00A263DF" w:rsidRDefault="00A263DF" w:rsidP="00A263DF">
      <w:permStart w:id="795872801" w:edGrp="everyone"/>
      <w:r>
        <w:t>TYPE YOUR TEXT HERE</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3E788FF6" w14:textId="3F06F334" w:rsidR="00A263DF" w:rsidRDefault="00156BFB" w:rsidP="00A263DF">
      <w:permStart w:id="1747589383" w:edGrp="everyone"/>
      <w:r w:rsidRPr="00B47DCF">
        <w:rPr>
          <w:highlight w:val="yellow"/>
        </w:rPr>
        <w:lastRenderedPageBreak/>
        <w:t>Yes</w:t>
      </w:r>
      <w:r>
        <w:t>, BME Derivatives agrees with ESMA’s proposal to define that SIs also have to make available data free of charge 15 minutes after its publication. To improve the quality of published pre-trade transparency information, in particular in traditionally opaque markets, the requirements of SIs should be on the same level as those of trading venues. This would not only further level the playing field between SIs and trading venues but would also improve the overall level of pre-trade transparency in financial markets.</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6FD0460E" w14:textId="5026E670" w:rsidR="002E1760" w:rsidRDefault="00001AF4" w:rsidP="002E1760">
      <w:permStart w:id="1400726192" w:edGrp="everyone"/>
      <w:r>
        <w:t>Standardisation</w:t>
      </w:r>
      <w:r w:rsidR="000C0B31">
        <w:t xml:space="preserve"> of pre-trade transparency information </w:t>
      </w:r>
      <w:r>
        <w:t xml:space="preserve">would certainly add value, </w:t>
      </w:r>
      <w:r w:rsidR="000C0B31">
        <w:t xml:space="preserve">simplify usability and comparability of the information offered.  Nevertheless it is of upmost importance to </w:t>
      </w:r>
      <w:r>
        <w:t>remember that</w:t>
      </w:r>
      <w:r w:rsidR="000C0B31">
        <w:t xml:space="preserve"> many venues</w:t>
      </w:r>
      <w:r>
        <w:t xml:space="preserve"> have been complying with the pre-trade transparency</w:t>
      </w:r>
      <w:r w:rsidR="000C0B31">
        <w:t xml:space="preserve"> requirements since the rules were estab</w:t>
      </w:r>
      <w:r w:rsidR="00156BFB">
        <w:t xml:space="preserve">lished over two years ago. </w:t>
      </w:r>
      <w:r>
        <w:t>Standardisation should</w:t>
      </w:r>
      <w:r w:rsidR="000C0B31">
        <w:t xml:space="preserve"> have been an initial aim, and should now be the objective for all those </w:t>
      </w:r>
      <w:r>
        <w:t xml:space="preserve">venues not complying yet, </w:t>
      </w:r>
      <w:r w:rsidR="000C0B31">
        <w:t>while a transitional period should be allowed to those</w:t>
      </w:r>
      <w:r w:rsidR="00156BFB">
        <w:t xml:space="preserve"> already compliant. </w:t>
      </w:r>
      <w:r>
        <w:t xml:space="preserve">At BME Derivatives </w:t>
      </w:r>
      <w:r w:rsidRPr="004A53D8">
        <w:rPr>
          <w:highlight w:val="yellow"/>
        </w:rPr>
        <w:t xml:space="preserve">we strongly support </w:t>
      </w:r>
      <w:r w:rsidR="006574C7">
        <w:rPr>
          <w:highlight w:val="yellow"/>
        </w:rPr>
        <w:t xml:space="preserve">the standardization that should be the one already </w:t>
      </w:r>
      <w:r w:rsidR="00A93125">
        <w:rPr>
          <w:highlight w:val="yellow"/>
        </w:rPr>
        <w:t>e</w:t>
      </w:r>
      <w:r w:rsidR="006574C7">
        <w:rPr>
          <w:highlight w:val="yellow"/>
        </w:rPr>
        <w:t>stablish</w:t>
      </w:r>
      <w:r w:rsidR="00A93125">
        <w:rPr>
          <w:highlight w:val="yellow"/>
        </w:rPr>
        <w:t>ed</w:t>
      </w:r>
      <w:r w:rsidR="006574C7">
        <w:rPr>
          <w:highlight w:val="yellow"/>
        </w:rPr>
        <w:t xml:space="preserve"> by ESMA for the regulated markets.</w:t>
      </w:r>
      <w:permEnd w:id="1400726192"/>
    </w:p>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2B759FF4" w14:textId="77777777" w:rsidR="00374601" w:rsidRDefault="00374601" w:rsidP="00374601">
      <w:pPr>
        <w:spacing w:after="120"/>
        <w:rPr>
          <w:lang w:val="en-US"/>
        </w:rPr>
      </w:pPr>
      <w:permStart w:id="929114806" w:edGrp="everyone"/>
      <w:r>
        <w:rPr>
          <w:lang w:val="en-US"/>
        </w:rPr>
        <w:t>BME Derivatives consider that more post-trade transparency information should be made available to enhance competition among market participants, reduce information asymmetries, deliver high quality information for market users to enable them to make better informed investment decisions, and to ensure a level playing field across jurisdictions. So we support a uniform post trade regimen for all NAs.</w:t>
      </w:r>
    </w:p>
    <w:p w14:paraId="5A861799" w14:textId="77777777" w:rsidR="00374601" w:rsidRDefault="00374601" w:rsidP="00374601">
      <w:pPr>
        <w:rPr>
          <w:lang w:val="en-US"/>
        </w:rPr>
      </w:pPr>
      <w:r>
        <w:rPr>
          <w:lang w:val="en-US"/>
        </w:rPr>
        <w:t>In our opinion the post-trade regime is working properly, but it should apply same regulatory standards without exception to the OTC markets as well.</w:t>
      </w:r>
    </w:p>
    <w:permEnd w:id="929114806"/>
    <w:p w14:paraId="6A307131" w14:textId="77777777" w:rsidR="008418E3" w:rsidRDefault="008418E3" w:rsidP="008418E3"/>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77303C55" w14:textId="351FD855" w:rsidR="00F469F8" w:rsidRPr="006574C7" w:rsidRDefault="00F469F8" w:rsidP="00F469F8">
      <w:permStart w:id="675495160" w:edGrp="everyone"/>
      <w:r>
        <w:t>TYPE YOUR TEXT HERE</w:t>
      </w:r>
    </w:p>
    <w:permEnd w:id="675495160"/>
    <w:p w14:paraId="23E72A4B" w14:textId="77777777" w:rsidR="00F469F8" w:rsidRDefault="00F469F8" w:rsidP="00F469F8"/>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lastRenderedPageBreak/>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757BCECE" w14:textId="42920565" w:rsidR="00F469F8" w:rsidRDefault="006D7715" w:rsidP="00F469F8">
      <w:permStart w:id="227761104" w:edGrp="everyone"/>
      <w:r w:rsidRPr="006D7715">
        <w:rPr>
          <w:lang w:val="en-US"/>
        </w:rPr>
        <w:t xml:space="preserve">BME Derivatives Exchange would prefer to ensure deferrals for illiquid instruments </w:t>
      </w:r>
      <w:r w:rsidR="00FA506E">
        <w:rPr>
          <w:lang w:val="en-US"/>
        </w:rPr>
        <w:t xml:space="preserve">considering they have a LIS of </w:t>
      </w:r>
      <w:r w:rsidR="00054691">
        <w:rPr>
          <w:lang w:val="en-US"/>
        </w:rPr>
        <w:t>z</w:t>
      </w:r>
      <w:r w:rsidR="00FA506E">
        <w:rPr>
          <w:lang w:val="en-US"/>
        </w:rPr>
        <w:t>ero. The option 2 and 3 proposed makes the LIS for the illiquid contracts to do not exist, making them impossible to reach any LIS level (as the liquid instruments has).</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266D947F" w14:textId="02840829" w:rsidR="00FD2766" w:rsidRPr="00FD2766" w:rsidRDefault="00FD2766" w:rsidP="00FD2766">
      <w:pPr>
        <w:rPr>
          <w:lang w:val="en-US"/>
        </w:rPr>
      </w:pPr>
      <w:permStart w:id="308116658" w:edGrp="everyone"/>
      <w:r w:rsidRPr="00FD2766">
        <w:rPr>
          <w:lang w:val="en-US"/>
        </w:rPr>
        <w:t xml:space="preserve">We agree that price and volume need to be published for transparency purposes, and we suggest that if the deferral is too long then it will not be </w:t>
      </w:r>
      <w:r w:rsidR="00FA506E">
        <w:rPr>
          <w:lang w:val="en-US"/>
        </w:rPr>
        <w:t xml:space="preserve">out </w:t>
      </w:r>
      <w:r w:rsidRPr="00FD2766">
        <w:rPr>
          <w:lang w:val="en-US"/>
        </w:rPr>
        <w:t xml:space="preserve">of use </w:t>
      </w:r>
      <w:r w:rsidR="00FA506E">
        <w:rPr>
          <w:lang w:val="en-US"/>
        </w:rPr>
        <w:t>for the</w:t>
      </w:r>
      <w:r w:rsidRPr="00FD2766">
        <w:rPr>
          <w:lang w:val="en-US"/>
        </w:rPr>
        <w:t xml:space="preserve"> market participants.</w:t>
      </w:r>
    </w:p>
    <w:p w14:paraId="536EE512" w14:textId="7BCE8E2B" w:rsidR="00646C30" w:rsidRPr="00FD2766" w:rsidRDefault="00FA506E" w:rsidP="00FD2766">
      <w:pPr>
        <w:rPr>
          <w:lang w:val="en-US"/>
        </w:rPr>
      </w:pPr>
      <w:r>
        <w:rPr>
          <w:lang w:val="en-US"/>
        </w:rPr>
        <w:t xml:space="preserve">From BME Derivatives point of </w:t>
      </w:r>
      <w:r w:rsidR="00FD2766" w:rsidRPr="00FD2766">
        <w:rPr>
          <w:lang w:val="en-US"/>
        </w:rPr>
        <w:t>view, post-trade information published after t + 2 could be an optimal deferral option and we support LIS level equal as zero for illiquid instruments.</w:t>
      </w:r>
    </w:p>
    <w:permEnd w:id="308116658"/>
    <w:p w14:paraId="3BEBD891" w14:textId="78B6449E" w:rsidR="00646C30" w:rsidRDefault="00646C30" w:rsidP="00646C30"/>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551ACA2A" w14:textId="386F5E85" w:rsidR="00F75D3C" w:rsidRPr="00FA506E" w:rsidRDefault="00D575E7" w:rsidP="00D575E7">
      <w:pPr>
        <w:spacing w:after="120"/>
      </w:pPr>
      <w:permStart w:id="699085938" w:edGrp="everyone"/>
      <w:r>
        <w:t>BME Deriva</w:t>
      </w:r>
      <w:r w:rsidR="00FA506E">
        <w:t xml:space="preserve">tives Exchange </w:t>
      </w:r>
      <w:r w:rsidR="00CA7F1B">
        <w:rPr>
          <w:lang w:val="en-US"/>
        </w:rPr>
        <w:t>support</w:t>
      </w:r>
      <w:r w:rsidR="00FA506E">
        <w:rPr>
          <w:lang w:val="en-US"/>
        </w:rPr>
        <w:t>s</w:t>
      </w:r>
      <w:r w:rsidR="00CA7F1B">
        <w:rPr>
          <w:lang w:val="en-US"/>
        </w:rPr>
        <w:t xml:space="preserve"> </w:t>
      </w:r>
      <w:r w:rsidR="00CA7F1B" w:rsidRPr="00CA7F1B">
        <w:rPr>
          <w:lang w:val="en-US"/>
        </w:rPr>
        <w:t>that it should be mandatory to comply equally with t</w:t>
      </w:r>
      <w:r w:rsidR="00CA7F1B">
        <w:rPr>
          <w:lang w:val="en-US"/>
        </w:rPr>
        <w:t>he transparency and publication rules by all market</w:t>
      </w:r>
      <w:r w:rsidR="00CA7F1B" w:rsidRPr="00CA7F1B">
        <w:rPr>
          <w:lang w:val="en-US"/>
        </w:rPr>
        <w:t xml:space="preserve"> partici</w:t>
      </w:r>
      <w:r w:rsidR="00CA7F1B">
        <w:rPr>
          <w:lang w:val="en-US"/>
        </w:rPr>
        <w:t>pants, including OTC markets and APAs.</w:t>
      </w:r>
    </w:p>
    <w:permEnd w:id="699085938"/>
    <w:p w14:paraId="6A257108" w14:textId="0591E2A7" w:rsidR="00646C30" w:rsidRDefault="00646C30" w:rsidP="00646C30"/>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25FD5E09" w14:textId="0C5A1C75" w:rsidR="00646C30" w:rsidRDefault="00646C30" w:rsidP="00646C30">
      <w:permStart w:id="1271415520" w:edGrp="everyone"/>
      <w:r>
        <w:t>TYPE YOUR TEXT HERE</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lastRenderedPageBreak/>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276C5268" w14:textId="76E5DEC3" w:rsidR="00646C30" w:rsidRDefault="00FA506E" w:rsidP="00646C30">
      <w:permStart w:id="2130212544" w:edGrp="everyone"/>
      <w:r w:rsidRPr="00FA506E">
        <w:t>Yes, BME Derivatives Exchange agrees with ESMA’s assessment that TOTV definition could be broader looking for meet MIFIR transparency objectives</w:t>
      </w:r>
      <w:r w:rsidR="00E40578" w:rsidRPr="00E40578">
        <w:t>.</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CE157B4" w14:textId="7B16EE69" w:rsidR="00646C30" w:rsidRDefault="00FA506E" w:rsidP="00646C30">
      <w:permStart w:id="96027498" w:edGrp="everyone"/>
      <w:r w:rsidRPr="00FA506E">
        <w:t>Yes, BME Derivatives Exchange agrees with ESMA view that the interpretation of TOTV should remained aligned for both transparency and transaction reporting.</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8758180" w14:textId="77777777" w:rsidR="00FA506E" w:rsidRDefault="00FA506E" w:rsidP="00FA506E">
      <w:permStart w:id="70923797" w:edGrp="everyone"/>
      <w:r>
        <w:t>BME Derivatives Exchange is in favour of Option3 as it looks for an equal treatment for TOTV and OTC traded fulfilling transparency objectives.</w:t>
      </w:r>
    </w:p>
    <w:p w14:paraId="76A077FD" w14:textId="77777777" w:rsidR="00FA506E" w:rsidRDefault="00FA506E" w:rsidP="00FA506E"/>
    <w:p w14:paraId="2C8E07E5" w14:textId="3EF5CC03" w:rsidR="00646C30" w:rsidRDefault="00FA506E" w:rsidP="00646C30">
      <w:r>
        <w:t xml:space="preserve"> As it is said that non price formation transactions will be exempted from post trade transparency and transaction reporting, the new regulation must take into account that we cannot consider all the OTC trades as non-price formation transaction because if it is not cleared defines, all the OTC trades would be under the exemption and the goal of this Option 3  will not be achieved.</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175F1B09" w14:textId="77777777" w:rsidR="00630E88" w:rsidRDefault="00646C30" w:rsidP="00646C30">
      <w:permStart w:id="1628391240" w:edGrp="everyone"/>
      <w:r>
        <w:t>TYPE YOUR TEXT HERE</w:t>
      </w:r>
    </w:p>
    <w:p w14:paraId="0CAC7740" w14:textId="488E7234" w:rsidR="00646C30" w:rsidRDefault="00630E88" w:rsidP="00646C30">
      <w:r w:rsidRPr="00630E88">
        <w:rPr>
          <w:lang w:val="en-US"/>
        </w:rPr>
        <w:t>Given this has not been used to date; it is unclear to us if it is a necessary requirement to retain. We also would suggest that such a temporary suspension could be hard to implement from a systems perspective</w:t>
      </w:r>
      <w:r w:rsidRPr="00503BE9">
        <w:rPr>
          <w:rFonts w:asciiTheme="minorHAnsi" w:hAnsiTheme="minorHAnsi" w:cstheme="majorHAnsi"/>
        </w:rPr>
        <w:t>.</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7777777" w:rsidR="001129F9" w:rsidRDefault="001129F9" w:rsidP="001129F9">
      <w:permStart w:id="951131482" w:edGrp="everyone"/>
      <w:r>
        <w:t>TYPE YOUR TEXT HERE</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w:t>
      </w:r>
      <w:r w:rsidR="004454CA" w:rsidRPr="004454CA">
        <w:lastRenderedPageBreak/>
        <w:t>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7777777" w:rsidR="00646C30" w:rsidRDefault="00646C30" w:rsidP="00646C30">
      <w:permStart w:id="2102155623" w:edGrp="everyone"/>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D6B6F67" w14:textId="77777777" w:rsidR="00646C30" w:rsidRDefault="00646C30" w:rsidP="00646C30">
      <w:permStart w:id="203690501" w:edGrp="everyone"/>
      <w:r>
        <w:t>TYPE YOUR TEXT HERE</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77777777" w:rsidR="00646C30" w:rsidRDefault="00646C30" w:rsidP="00646C30">
      <w:permStart w:id="1935441367" w:edGrp="everyone"/>
      <w:r>
        <w:t>TYPE YOUR TEXT HERE</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lastRenderedPageBreak/>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78BD61F9" w14:textId="77777777" w:rsidR="002E1524" w:rsidRDefault="002E1524" w:rsidP="002E1524">
      <w:permStart w:id="1615734835" w:edGrp="everyone"/>
      <w:r>
        <w:lastRenderedPageBreak/>
        <w:t>Trade registration is an important way to allow transactions in illiquid/nascent commodity markets in the most transparent way. However, excessively high LIS thresholds lead market participants to revert to more bilateral trading outside transparent and supervised venues, and outside CCP clearing.</w:t>
      </w:r>
    </w:p>
    <w:p w14:paraId="14647649" w14:textId="77777777" w:rsidR="002E1524" w:rsidRDefault="002E1524" w:rsidP="002E1524"/>
    <w:p w14:paraId="593E91E6" w14:textId="6D1A867D" w:rsidR="00B27E7B" w:rsidRDefault="002E1524" w:rsidP="00B27E7B">
      <w:r>
        <w:t>The minimum threshold of 500,000 EUR is too high and should be decreased significantly. By bringing the LIS value more closely in line with the actual market, the overall negative market impact should be reduced.</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19E2" w14:textId="77777777" w:rsidR="00047350" w:rsidRDefault="00047350">
      <w:r>
        <w:separator/>
      </w:r>
    </w:p>
    <w:p w14:paraId="36D5B02B" w14:textId="77777777" w:rsidR="00047350" w:rsidRDefault="00047350"/>
  </w:endnote>
  <w:endnote w:type="continuationSeparator" w:id="0">
    <w:p w14:paraId="6F308D14" w14:textId="77777777" w:rsidR="00047350" w:rsidRDefault="00047350">
      <w:r>
        <w:continuationSeparator/>
      </w:r>
    </w:p>
    <w:p w14:paraId="34A13672" w14:textId="77777777" w:rsidR="00047350" w:rsidRDefault="00047350"/>
  </w:endnote>
  <w:endnote w:type="continuationNotice" w:id="1">
    <w:p w14:paraId="0735500C" w14:textId="77777777" w:rsidR="00047350" w:rsidRDefault="00047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318B" w14:textId="77777777" w:rsidR="00054691" w:rsidRDefault="000546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1524">
            <w:rPr>
              <w:rFonts w:cs="Arial"/>
              <w:noProof/>
              <w:sz w:val="22"/>
              <w:szCs w:val="22"/>
            </w:rPr>
            <w:t>11</w:t>
          </w:r>
          <w:r w:rsidRPr="00616B9B">
            <w:rPr>
              <w:rFonts w:cs="Arial"/>
              <w:noProof/>
              <w:sz w:val="22"/>
              <w:szCs w:val="22"/>
            </w:rPr>
            <w:fldChar w:fldCharType="end"/>
          </w:r>
        </w:p>
      </w:tc>
    </w:tr>
  </w:tbl>
  <w:p w14:paraId="7306E326" w14:textId="77777777" w:rsidR="00F107EF" w:rsidRDefault="00F107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B61CD3" w:rsidRDefault="00B61CD3" w:rsidP="00B61CD3">
    <w:pPr>
      <w:pStyle w:val="Piedepgina"/>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F107EF" w:rsidRDefault="00F107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5FDD" w14:textId="77777777" w:rsidR="00047350" w:rsidRDefault="00047350">
      <w:r>
        <w:separator/>
      </w:r>
    </w:p>
    <w:p w14:paraId="17954807" w14:textId="77777777" w:rsidR="00047350" w:rsidRDefault="00047350"/>
  </w:footnote>
  <w:footnote w:type="continuationSeparator" w:id="0">
    <w:p w14:paraId="6B62BF90" w14:textId="77777777" w:rsidR="00047350" w:rsidRDefault="00047350">
      <w:r>
        <w:continuationSeparator/>
      </w:r>
    </w:p>
    <w:p w14:paraId="465BF8F0" w14:textId="77777777" w:rsidR="00047350" w:rsidRDefault="00047350"/>
  </w:footnote>
  <w:footnote w:type="continuationNotice" w:id="1">
    <w:p w14:paraId="6881F32D" w14:textId="77777777" w:rsidR="00047350" w:rsidRDefault="00047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7781" w14:textId="77777777" w:rsidR="00054691" w:rsidRDefault="000546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F107EF" w:rsidRDefault="00F107EF">
    <w:pPr>
      <w:pStyle w:val="Encabezado"/>
    </w:pPr>
    <w:r>
      <w:rPr>
        <w:noProof/>
        <w:lang w:val="es-ES" w:eastAsia="es-ES"/>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AD2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F107EF" w:rsidRDefault="00F107EF" w:rsidP="00013CCE">
    <w:pPr>
      <w:pStyle w:val="Encabezado"/>
      <w:jc w:val="right"/>
    </w:pPr>
    <w:r>
      <w:rPr>
        <w:noProof/>
        <w:lang w:val="es-ES" w:eastAsia="es-ES"/>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F107EF" w:rsidRDefault="00F107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Encabezado"/>
      <w:rPr>
        <w:lang w:val="fr-FR"/>
      </w:rPr>
    </w:pPr>
  </w:p>
  <w:p w14:paraId="3F30C70B" w14:textId="77777777" w:rsidR="00F107EF" w:rsidRPr="002F4496" w:rsidRDefault="00F107EF" w:rsidP="000C06C9">
    <w:pPr>
      <w:pStyle w:val="Encabezado"/>
      <w:tabs>
        <w:tab w:val="clear" w:pos="4536"/>
        <w:tab w:val="clear" w:pos="9072"/>
        <w:tab w:val="left" w:pos="8227"/>
      </w:tabs>
      <w:rPr>
        <w:lang w:val="fr-FR"/>
      </w:rPr>
    </w:pPr>
  </w:p>
  <w:p w14:paraId="4D50BC39" w14:textId="77777777" w:rsidR="00F107EF" w:rsidRPr="002F4496" w:rsidRDefault="00F107EF" w:rsidP="00583885">
    <w:pPr>
      <w:pStyle w:val="Encabezado"/>
      <w:jc w:val="right"/>
      <w:rPr>
        <w:lang w:val="fr-FR"/>
      </w:rPr>
    </w:pPr>
  </w:p>
  <w:p w14:paraId="2D51BEA2" w14:textId="77777777" w:rsidR="00F107EF" w:rsidRPr="002F4496" w:rsidRDefault="00F107EF">
    <w:pPr>
      <w:pStyle w:val="Encabezado"/>
      <w:rPr>
        <w:lang w:val="fr-FR"/>
      </w:rPr>
    </w:pPr>
  </w:p>
  <w:p w14:paraId="340B2438" w14:textId="77777777" w:rsidR="00F107EF" w:rsidRPr="002F4496" w:rsidRDefault="00F107EF">
    <w:pPr>
      <w:pStyle w:val="Encabezado"/>
      <w:rPr>
        <w:lang w:val="fr-FR"/>
      </w:rPr>
    </w:pPr>
  </w:p>
  <w:p w14:paraId="2A794A3E" w14:textId="77777777" w:rsidR="00F107EF" w:rsidRPr="002F4496" w:rsidRDefault="00F107EF">
    <w:pPr>
      <w:pStyle w:val="Encabezado"/>
      <w:rPr>
        <w:lang w:val="fr-FR"/>
      </w:rPr>
    </w:pPr>
  </w:p>
  <w:p w14:paraId="0A21F475" w14:textId="77777777" w:rsidR="00F107EF" w:rsidRPr="002F4496" w:rsidRDefault="00F107EF">
    <w:pPr>
      <w:pStyle w:val="Encabezado"/>
      <w:rPr>
        <w:highlight w:val="yellow"/>
        <w:lang w:val="fr-FR"/>
      </w:rPr>
    </w:pPr>
  </w:p>
  <w:p w14:paraId="53ABEE5D" w14:textId="77777777" w:rsidR="00F107EF" w:rsidRDefault="00F107EF">
    <w:pPr>
      <w:pStyle w:val="Encabezado"/>
    </w:pPr>
    <w:r>
      <w:rPr>
        <w:noProof/>
        <w:lang w:val="es-ES" w:eastAsia="es-E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D8C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3CED0D5A"/>
    <w:multiLevelType w:val="hybridMultilevel"/>
    <w:tmpl w:val="9554504E"/>
    <w:lvl w:ilvl="0" w:tplc="4E50B24C">
      <w:start w:val="1"/>
      <w:numFmt w:val="lowerRoman"/>
      <w:lvlText w:val="(%1)"/>
      <w:lvlJc w:val="left"/>
      <w:pPr>
        <w:ind w:left="720" w:hanging="72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433D41C3"/>
    <w:multiLevelType w:val="hybridMultilevel"/>
    <w:tmpl w:val="3FB425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8"/>
  </w:num>
  <w:num w:numId="3">
    <w:abstractNumId w:val="10"/>
  </w:num>
  <w:num w:numId="4">
    <w:abstractNumId w:val="23"/>
  </w:num>
  <w:num w:numId="5">
    <w:abstractNumId w:val="25"/>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9"/>
  </w:num>
  <w:num w:numId="16">
    <w:abstractNumId w:val="1"/>
  </w:num>
  <w:num w:numId="17">
    <w:abstractNumId w:val="12"/>
  </w:num>
  <w:num w:numId="18">
    <w:abstractNumId w:val="13"/>
  </w:num>
  <w:num w:numId="19">
    <w:abstractNumId w:val="15"/>
  </w:num>
  <w:num w:numId="20">
    <w:abstractNumId w:val="26"/>
  </w:num>
  <w:num w:numId="21">
    <w:abstractNumId w:val="36"/>
  </w:num>
  <w:num w:numId="22">
    <w:abstractNumId w:val="24"/>
  </w:num>
  <w:num w:numId="23">
    <w:abstractNumId w:val="8"/>
  </w:num>
  <w:num w:numId="24">
    <w:abstractNumId w:val="29"/>
  </w:num>
  <w:num w:numId="25">
    <w:abstractNumId w:val="28"/>
  </w:num>
  <w:num w:numId="26">
    <w:abstractNumId w:val="19"/>
  </w:num>
  <w:num w:numId="27">
    <w:abstractNumId w:val="32"/>
  </w:num>
  <w:num w:numId="28">
    <w:abstractNumId w:val="38"/>
  </w:num>
  <w:num w:numId="29">
    <w:abstractNumId w:val="6"/>
  </w:num>
  <w:num w:numId="30">
    <w:abstractNumId w:val="2"/>
  </w:num>
  <w:num w:numId="31">
    <w:abstractNumId w:val="21"/>
  </w:num>
  <w:num w:numId="32">
    <w:abstractNumId w:val="20"/>
  </w:num>
  <w:num w:numId="33">
    <w:abstractNumId w:val="34"/>
  </w:num>
  <w:num w:numId="34">
    <w:abstractNumId w:val="33"/>
  </w:num>
  <w:num w:numId="35">
    <w:abstractNumId w:val="4"/>
  </w:num>
  <w:num w:numId="36">
    <w:abstractNumId w:val="35"/>
  </w:num>
  <w:num w:numId="37">
    <w:abstractNumId w:val="20"/>
    <w:lvlOverride w:ilvl="0">
      <w:startOverride w:val="1"/>
    </w:lvlOverride>
  </w:num>
  <w:num w:numId="38">
    <w:abstractNumId w:val="2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2662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370"/>
    <w:rsid w:val="000006AD"/>
    <w:rsid w:val="00001490"/>
    <w:rsid w:val="00001AF4"/>
    <w:rsid w:val="00002232"/>
    <w:rsid w:val="00002491"/>
    <w:rsid w:val="0000378E"/>
    <w:rsid w:val="00003AEB"/>
    <w:rsid w:val="00005BBA"/>
    <w:rsid w:val="00005D8C"/>
    <w:rsid w:val="00006C2B"/>
    <w:rsid w:val="00006F21"/>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691"/>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0B31"/>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BFB"/>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A5E9D"/>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524"/>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2A"/>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60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3326"/>
    <w:rsid w:val="0043453F"/>
    <w:rsid w:val="00434A74"/>
    <w:rsid w:val="00437929"/>
    <w:rsid w:val="00437A4A"/>
    <w:rsid w:val="00440541"/>
    <w:rsid w:val="0044162D"/>
    <w:rsid w:val="0044277A"/>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53D8"/>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08A"/>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E88"/>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574C7"/>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4AB"/>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71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71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820"/>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3125"/>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079F"/>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2B58"/>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A7F1B"/>
    <w:rsid w:val="00CB0B78"/>
    <w:rsid w:val="00CB12A5"/>
    <w:rsid w:val="00CB17FA"/>
    <w:rsid w:val="00CB23D8"/>
    <w:rsid w:val="00CB2ED9"/>
    <w:rsid w:val="00CB3332"/>
    <w:rsid w:val="00CB36A5"/>
    <w:rsid w:val="00CB56B4"/>
    <w:rsid w:val="00CB7286"/>
    <w:rsid w:val="00CB7947"/>
    <w:rsid w:val="00CC1783"/>
    <w:rsid w:val="00CC1EF5"/>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575E7"/>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578"/>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539B"/>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D3C"/>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06E"/>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000B"/>
    <w:rsid w:val="00FD13EA"/>
    <w:rsid w:val="00FD2766"/>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2d4491,#283583"/>
    </o:shapedefaults>
    <o:shapelayout v:ext="edit">
      <o:idmap v:ext="edit" data="1"/>
    </o:shapelayout>
  </w:shapeDefaults>
  <w:decimalSymbol w:val=","/>
  <w:listSeparator w:val=";"/>
  <w14:docId w14:val="58C3B7DE"/>
  <w15:docId w15:val="{66A1B900-ADBE-4F3C-870A-A46BF9ED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semiHidden="1" w:uiPriority="39" w:unhideWhenUsed="1"/>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46C30"/>
    <w:rPr>
      <w:rFonts w:ascii="Arial" w:hAnsi="Arial"/>
      <w:szCs w:val="24"/>
      <w:lang w:eastAsia="de-DE"/>
    </w:rPr>
  </w:style>
  <w:style w:type="paragraph" w:styleId="Ttulo1">
    <w:name w:val="heading 1"/>
    <w:basedOn w:val="Normal"/>
    <w:next w:val="Normal"/>
    <w:link w:val="Ttulo1Car"/>
    <w:qFormat/>
    <w:locked/>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3"/>
      </w:numPr>
      <w:spacing w:before="200"/>
      <w:jc w:val="both"/>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locked/>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Paragraphe de liste Car"/>
    <w:link w:val="Prrafodelista"/>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aconnme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1969380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25890601">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6E0E9BB-8605-42F7-B771-10F602051519}">
  <ds:schemaRefs>
    <ds:schemaRef ds:uri="http://schemas.openxmlformats.org/officeDocument/2006/bibliography"/>
  </ds:schemaRefs>
</ds:datastoreItem>
</file>

<file path=customXml/itemProps6.xml><?xml version="1.0" encoding="utf-8"?>
<ds:datastoreItem xmlns:ds="http://schemas.openxmlformats.org/officeDocument/2006/customXml" ds:itemID="{DA227679-37DB-4F0B-8D16-962F8BB0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2926</Words>
  <Characters>16095</Characters>
  <Application>Microsoft Office Word</Application>
  <DocSecurity>12</DocSecurity>
  <Lines>134</Lines>
  <Paragraphs>37</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18984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Carlos Angel López Marqués</cp:lastModifiedBy>
  <cp:revision>2</cp:revision>
  <cp:lastPrinted>2015-02-18T11:01:00Z</cp:lastPrinted>
  <dcterms:created xsi:type="dcterms:W3CDTF">2020-06-12T07:01:00Z</dcterms:created>
  <dcterms:modified xsi:type="dcterms:W3CDTF">2020-06-12T07:01:00Z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y fmtid="{D5CDD505-2E9C-101B-9397-08002B2CF9AE}" pid="10" name="MSIP_Label_a119c9c6-c312-493f-bc91-1871f81047af_Enabled">
    <vt:lpwstr>True</vt:lpwstr>
  </property>
  <property fmtid="{D5CDD505-2E9C-101B-9397-08002B2CF9AE}" pid="11" name="MSIP_Label_a119c9c6-c312-493f-bc91-1871f81047af_SiteId">
    <vt:lpwstr>faac5f16-6c6a-4379-bf59-205b22f007ec</vt:lpwstr>
  </property>
  <property fmtid="{D5CDD505-2E9C-101B-9397-08002B2CF9AE}" pid="12" name="MSIP_Label_a119c9c6-c312-493f-bc91-1871f81047af_Owner">
    <vt:lpwstr>cmarques@grupobme.es</vt:lpwstr>
  </property>
  <property fmtid="{D5CDD505-2E9C-101B-9397-08002B2CF9AE}" pid="13" name="MSIP_Label_a119c9c6-c312-493f-bc91-1871f81047af_SetDate">
    <vt:lpwstr>2020-06-12T07:01:04.9451121Z</vt:lpwstr>
  </property>
  <property fmtid="{D5CDD505-2E9C-101B-9397-08002B2CF9AE}" pid="14" name="MSIP_Label_a119c9c6-c312-493f-bc91-1871f81047af_Name">
    <vt:lpwstr>Internal</vt:lpwstr>
  </property>
  <property fmtid="{D5CDD505-2E9C-101B-9397-08002B2CF9AE}" pid="15" name="MSIP_Label_a119c9c6-c312-493f-bc91-1871f81047af_Application">
    <vt:lpwstr>Microsoft Azure Information Protection</vt:lpwstr>
  </property>
  <property fmtid="{D5CDD505-2E9C-101B-9397-08002B2CF9AE}" pid="16" name="MSIP_Label_a119c9c6-c312-493f-bc91-1871f81047af_ActionId">
    <vt:lpwstr>25079f9f-245a-48a3-8492-146fec94829a</vt:lpwstr>
  </property>
  <property fmtid="{D5CDD505-2E9C-101B-9397-08002B2CF9AE}" pid="17" name="MSIP_Label_a119c9c6-c312-493f-bc91-1871f81047af_Extended_MSFT_Method">
    <vt:lpwstr>Automatic</vt:lpwstr>
  </property>
  <property fmtid="{D5CDD505-2E9C-101B-9397-08002B2CF9AE}" pid="18" name="Sensitivity">
    <vt:lpwstr>Internal</vt:lpwstr>
  </property>
</Properties>
</file>