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416ABC" w:rsidRPr="00A52EBB" w14:paraId="5DCC7BC8" w14:textId="77777777" w:rsidTr="00315E96">
        <w:trPr>
          <w:trHeight w:val="284"/>
        </w:trPr>
        <w:tc>
          <w:tcPr>
            <w:tcW w:w="9412" w:type="dxa"/>
          </w:tcPr>
          <w:p w14:paraId="16A89E45" w14:textId="134B4D37" w:rsidR="00C2094B" w:rsidRPr="00583885" w:rsidRDefault="00A52EBB" w:rsidP="0071740A">
            <w:pPr>
              <w:pStyle w:val="Footer"/>
              <w:rPr>
                <w:rFonts w:cs="Arial"/>
                <w:sz w:val="22"/>
                <w:szCs w:val="22"/>
              </w:rPr>
            </w:pPr>
            <w:permStart w:id="1707502347" w:edGrp="everyone"/>
            <w:permEnd w:id="1707502347"/>
            <w:r w:rsidRPr="00583885">
              <w:rPr>
                <w:rFonts w:cs="Arial"/>
                <w:color w:val="FFFFFF" w:themeColor="background1"/>
                <w:sz w:val="22"/>
                <w:szCs w:val="22"/>
              </w:rPr>
              <w:ptab w:relativeTo="margin" w:alignment="center" w:leader="none"/>
            </w:r>
            <w:r w:rsidRPr="00583885">
              <w:rPr>
                <w:rFonts w:cs="Arial"/>
                <w:color w:val="FFFFFF" w:themeColor="background1"/>
                <w:sz w:val="22"/>
                <w:szCs w:val="22"/>
              </w:rPr>
              <w:ptab w:relativeTo="margin" w:alignment="right" w:leader="none"/>
            </w:r>
            <w:r w:rsidR="00775D3F">
              <w:rPr>
                <w:rFonts w:cs="Arial"/>
                <w:color w:val="FFFFFF" w:themeColor="background1"/>
                <w:sz w:val="22"/>
                <w:szCs w:val="22"/>
              </w:rPr>
              <w:t>10 March</w:t>
            </w:r>
            <w:r w:rsidR="00B61CD3">
              <w:rPr>
                <w:rFonts w:cs="Arial"/>
                <w:color w:val="FFFFFF" w:themeColor="background1"/>
                <w:sz w:val="22"/>
                <w:szCs w:val="22"/>
              </w:rPr>
              <w:t xml:space="preserve"> 2020</w:t>
            </w:r>
          </w:p>
        </w:tc>
      </w:tr>
    </w:tbl>
    <w:p w14:paraId="08B582C6" w14:textId="77777777" w:rsidR="00FD7A8D" w:rsidRPr="00616B9B" w:rsidRDefault="00FD7A8D" w:rsidP="00FD7A8D">
      <w:pPr>
        <w:rPr>
          <w:rFonts w:cs="Arial"/>
          <w:vanish/>
        </w:rPr>
      </w:pPr>
    </w:p>
    <w:tbl>
      <w:tblPr>
        <w:tblpPr w:leftFromText="8505" w:vertAnchor="page" w:horzAnchor="page" w:tblpX="1248" w:tblpY="4401"/>
        <w:tblW w:w="9397" w:type="dxa"/>
        <w:tblLayout w:type="fixed"/>
        <w:tblCellMar>
          <w:left w:w="0" w:type="dxa"/>
          <w:right w:w="0" w:type="dxa"/>
        </w:tblCellMar>
        <w:tblLook w:val="01E0" w:firstRow="1" w:lastRow="1" w:firstColumn="1" w:lastColumn="1" w:noHBand="0" w:noVBand="0"/>
      </w:tblPr>
      <w:tblGrid>
        <w:gridCol w:w="9397"/>
      </w:tblGrid>
      <w:tr w:rsidR="00060F72" w:rsidRPr="00616B9B" w14:paraId="36A24E87" w14:textId="77777777" w:rsidTr="00F107EF">
        <w:trPr>
          <w:trHeight w:hRule="exact" w:val="1985"/>
        </w:trPr>
        <w:tc>
          <w:tcPr>
            <w:tcW w:w="9397" w:type="dxa"/>
            <w:vAlign w:val="bottom"/>
          </w:tcPr>
          <w:p w14:paraId="3666949C" w14:textId="6188D59D" w:rsidR="00791EB4" w:rsidRDefault="00AE627C" w:rsidP="00DD2CDA">
            <w:pPr>
              <w:pStyle w:val="01aDBTitle"/>
              <w:jc w:val="left"/>
              <w:rPr>
                <w:rFonts w:cs="Arial"/>
              </w:rPr>
            </w:pPr>
            <w:r w:rsidRPr="00616B9B">
              <w:rPr>
                <w:rFonts w:cs="Arial"/>
              </w:rPr>
              <w:t>Reply form</w:t>
            </w:r>
            <w:r w:rsidR="00B835D5" w:rsidRPr="00616B9B">
              <w:rPr>
                <w:rFonts w:cs="Arial"/>
              </w:rPr>
              <w:t xml:space="preserve"> </w:t>
            </w:r>
            <w:r w:rsidR="0043173B" w:rsidRPr="00616B9B">
              <w:rPr>
                <w:rFonts w:cs="Arial"/>
              </w:rPr>
              <w:t>for</w:t>
            </w:r>
            <w:r w:rsidR="00027ECF" w:rsidRPr="00616B9B">
              <w:rPr>
                <w:rFonts w:cs="Arial"/>
              </w:rPr>
              <w:t xml:space="preserve"> the</w:t>
            </w:r>
            <w:r w:rsidR="00DD2CDA">
              <w:t xml:space="preserve"> </w:t>
            </w:r>
            <w:r w:rsidR="00DD2CDA" w:rsidRPr="00DD2CDA">
              <w:rPr>
                <w:rFonts w:cs="Arial"/>
              </w:rPr>
              <w:t>Consultation Paper on</w:t>
            </w:r>
            <w:r w:rsidR="000E49B7" w:rsidRPr="000E49B7">
              <w:rPr>
                <w:rFonts w:cs="Arial"/>
              </w:rPr>
              <w:t xml:space="preserve"> </w:t>
            </w:r>
            <w:r w:rsidR="00F107EF" w:rsidRPr="00F107EF">
              <w:rPr>
                <w:rFonts w:cs="Arial"/>
              </w:rPr>
              <w:t xml:space="preserve">MiFID II/ MiFIR review report on the transparency regime for </w:t>
            </w:r>
            <w:r w:rsidR="00D320F7">
              <w:rPr>
                <w:rFonts w:cs="Arial"/>
              </w:rPr>
              <w:t>non-</w:t>
            </w:r>
            <w:r w:rsidR="00F107EF" w:rsidRPr="00F107EF">
              <w:rPr>
                <w:rFonts w:cs="Arial"/>
              </w:rPr>
              <w:t xml:space="preserve">equity and the trading obligations for </w:t>
            </w:r>
            <w:r w:rsidR="00D320F7">
              <w:rPr>
                <w:rFonts w:cs="Arial"/>
              </w:rPr>
              <w:t>derivatives</w:t>
            </w:r>
          </w:p>
          <w:p w14:paraId="186004BC" w14:textId="77777777" w:rsidR="00B61CD3" w:rsidRPr="00616B9B" w:rsidRDefault="00B61CD3" w:rsidP="00DD2CDA">
            <w:pPr>
              <w:pStyle w:val="01aDBTitle"/>
              <w:jc w:val="left"/>
              <w:rPr>
                <w:rFonts w:cs="Arial"/>
              </w:rPr>
            </w:pPr>
          </w:p>
        </w:tc>
      </w:tr>
      <w:tr w:rsidR="00060F72" w:rsidRPr="00616B9B" w14:paraId="4A9A8CFD" w14:textId="77777777" w:rsidTr="00B835D5">
        <w:trPr>
          <w:trHeight w:hRule="exact" w:val="605"/>
        </w:trPr>
        <w:tc>
          <w:tcPr>
            <w:tcW w:w="9397" w:type="dxa"/>
            <w:tcMar>
              <w:top w:w="142" w:type="dxa"/>
            </w:tcMar>
          </w:tcPr>
          <w:p w14:paraId="0BAB6DA8" w14:textId="77777777" w:rsidR="00D91010" w:rsidRPr="00616B9B" w:rsidRDefault="00013CCE" w:rsidP="00027ECF">
            <w:pPr>
              <w:pStyle w:val="01bDBSubtitle"/>
              <w:rPr>
                <w:rFonts w:ascii="Arial" w:hAnsi="Arial" w:cs="Arial"/>
              </w:rPr>
            </w:pPr>
            <w:r w:rsidRPr="00616B9B">
              <w:rPr>
                <w:rFonts w:ascii="Arial" w:hAnsi="Arial" w:cs="Arial"/>
              </w:rPr>
              <w:t xml:space="preserve"> </w:t>
            </w:r>
          </w:p>
        </w:tc>
      </w:tr>
    </w:tbl>
    <w:p w14:paraId="46E7260B" w14:textId="77777777" w:rsidR="00620D7C" w:rsidRPr="00616B9B" w:rsidRDefault="00620D7C" w:rsidP="00C00012">
      <w:pPr>
        <w:pStyle w:val="05HeadlinenoIndex"/>
        <w:rPr>
          <w:rFonts w:cs="Arial"/>
        </w:rPr>
        <w:sectPr w:rsidR="00620D7C" w:rsidRPr="00616B9B" w:rsidSect="006E3C72">
          <w:headerReference w:type="default" r:id="rId13"/>
          <w:footerReference w:type="default" r:id="rId14"/>
          <w:headerReference w:type="first" r:id="rId15"/>
          <w:footerReference w:type="first" r:id="rId16"/>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A52EBB" w14:paraId="44C1664D" w14:textId="77777777" w:rsidTr="00315E96">
        <w:trPr>
          <w:trHeight w:hRule="exact" w:val="964"/>
        </w:trPr>
        <w:tc>
          <w:tcPr>
            <w:tcW w:w="2325" w:type="dxa"/>
          </w:tcPr>
          <w:p w14:paraId="2CAB5AA6" w14:textId="3C9BD149" w:rsidR="00620D7C" w:rsidRPr="00A52EBB" w:rsidRDefault="00620D7C" w:rsidP="00B1467D">
            <w:pPr>
              <w:pStyle w:val="02Date"/>
              <w:rPr>
                <w:rFonts w:cs="Arial"/>
              </w:rPr>
            </w:pPr>
            <w:r w:rsidRPr="00A52EBB">
              <w:rPr>
                <w:rFonts w:cs="Arial"/>
              </w:rPr>
              <w:lastRenderedPageBreak/>
              <w:t xml:space="preserve">Date: </w:t>
            </w:r>
            <w:r w:rsidR="00775D3F">
              <w:rPr>
                <w:rFonts w:cs="Arial"/>
              </w:rPr>
              <w:t>10 March</w:t>
            </w:r>
            <w:r w:rsidR="00B61CD3">
              <w:rPr>
                <w:rFonts w:cs="Arial"/>
              </w:rPr>
              <w:t xml:space="preserve"> 2020</w:t>
            </w:r>
          </w:p>
        </w:tc>
      </w:tr>
    </w:tbl>
    <w:p w14:paraId="4A7E6333" w14:textId="77777777" w:rsidR="00F574D0" w:rsidRPr="00616B9B" w:rsidRDefault="00F574D0" w:rsidP="00F574D0">
      <w:pPr>
        <w:pStyle w:val="05HeadlinenoIndex"/>
        <w:rPr>
          <w:rFonts w:cs="Arial"/>
        </w:rPr>
      </w:pPr>
      <w:bookmarkStart w:id="0" w:name="_Toc280628648"/>
      <w:r w:rsidRPr="00616B9B">
        <w:rPr>
          <w:rFonts w:cs="Arial"/>
        </w:rPr>
        <w:t xml:space="preserve">Responding to this paper </w:t>
      </w:r>
    </w:p>
    <w:p w14:paraId="6DB08373" w14:textId="59964C76" w:rsidR="00F574D0" w:rsidRPr="00EF0769" w:rsidRDefault="00F574D0" w:rsidP="00F574D0">
      <w:pPr>
        <w:pStyle w:val="04BodyText"/>
        <w:spacing w:before="120" w:after="120"/>
        <w:rPr>
          <w:rFonts w:cs="Arial"/>
        </w:rPr>
      </w:pPr>
      <w:r w:rsidRPr="00EF0769">
        <w:rPr>
          <w:rFonts w:cs="Arial"/>
        </w:rPr>
        <w:t>The European Securities and Markets Authority (ESMA) invites responses to the s</w:t>
      </w:r>
      <w:r w:rsidR="00955F48" w:rsidRPr="00EF0769">
        <w:rPr>
          <w:rFonts w:cs="Arial"/>
        </w:rPr>
        <w:t xml:space="preserve">pecific questions listed in the </w:t>
      </w:r>
      <w:r w:rsidR="000E49B7">
        <w:rPr>
          <w:rFonts w:cs="Arial"/>
        </w:rPr>
        <w:t xml:space="preserve">Consultation Paper on the </w:t>
      </w:r>
      <w:r w:rsidR="00F107EF" w:rsidRPr="00F107EF">
        <w:rPr>
          <w:rFonts w:cs="Arial"/>
        </w:rPr>
        <w:t>transparency regime for</w:t>
      </w:r>
      <w:r w:rsidR="007254DD">
        <w:rPr>
          <w:rFonts w:cs="Arial"/>
        </w:rPr>
        <w:t xml:space="preserve"> non-</w:t>
      </w:r>
      <w:r w:rsidR="00F107EF" w:rsidRPr="00F107EF">
        <w:rPr>
          <w:rFonts w:cs="Arial"/>
        </w:rPr>
        <w:t xml:space="preserve">equity instruments and the trading obligations for </w:t>
      </w:r>
      <w:r w:rsidR="007254DD">
        <w:rPr>
          <w:rFonts w:cs="Arial"/>
        </w:rPr>
        <w:t>derivatives</w:t>
      </w:r>
      <w:r w:rsidR="00F107EF" w:rsidRPr="00F107EF">
        <w:rPr>
          <w:rFonts w:cs="Arial"/>
        </w:rPr>
        <w:t xml:space="preserve"> MiFID II/ MiFIR review report </w:t>
      </w:r>
      <w:r w:rsidR="00015B5E" w:rsidRPr="00EF0769">
        <w:rPr>
          <w:rFonts w:cs="Arial"/>
        </w:rPr>
        <w:t>published on the ESMA website</w:t>
      </w:r>
      <w:r w:rsidR="004E49B0" w:rsidRPr="00EF0769">
        <w:rPr>
          <w:rFonts w:cs="Arial"/>
        </w:rPr>
        <w:t>.</w:t>
      </w:r>
    </w:p>
    <w:p w14:paraId="27AFD082" w14:textId="77777777" w:rsidR="001D000A" w:rsidRDefault="001D000A" w:rsidP="00F574D0">
      <w:pPr>
        <w:autoSpaceDE w:val="0"/>
        <w:autoSpaceDN w:val="0"/>
        <w:adjustRightInd w:val="0"/>
        <w:spacing w:before="120" w:after="120" w:line="276" w:lineRule="auto"/>
        <w:jc w:val="both"/>
        <w:rPr>
          <w:rStyle w:val="Strong4"/>
          <w:rFonts w:cs="Arial"/>
          <w:i/>
        </w:rPr>
      </w:pPr>
    </w:p>
    <w:p w14:paraId="1EDEDD47" w14:textId="77777777" w:rsidR="00F574D0" w:rsidRPr="00EF0769" w:rsidRDefault="00F574D0" w:rsidP="00F574D0">
      <w:pPr>
        <w:autoSpaceDE w:val="0"/>
        <w:autoSpaceDN w:val="0"/>
        <w:adjustRightInd w:val="0"/>
        <w:spacing w:before="120" w:after="120" w:line="276" w:lineRule="auto"/>
        <w:jc w:val="both"/>
        <w:rPr>
          <w:rStyle w:val="Strong4"/>
          <w:rFonts w:cs="Arial"/>
          <w:i/>
        </w:rPr>
      </w:pPr>
      <w:r w:rsidRPr="00EF0769">
        <w:rPr>
          <w:rStyle w:val="Strong4"/>
          <w:rFonts w:cs="Arial"/>
          <w:i/>
        </w:rPr>
        <w:t>Instructions</w:t>
      </w:r>
    </w:p>
    <w:p w14:paraId="66DB9C4C" w14:textId="77777777" w:rsidR="00F574D0" w:rsidRPr="00EF0769" w:rsidRDefault="00D75FEE" w:rsidP="00F574D0">
      <w:pPr>
        <w:pStyle w:val="04BodyText"/>
        <w:spacing w:before="120" w:after="120"/>
        <w:rPr>
          <w:rFonts w:cs="Arial"/>
        </w:rPr>
      </w:pPr>
      <w:r w:rsidRPr="00EF0769">
        <w:rPr>
          <w:rFonts w:cs="Arial"/>
        </w:rPr>
        <w:t xml:space="preserve">Please note that, in order to facilitate the analysis of the large number of responses expected, you are requested to use this file to send your response to ESMA so as to allow us to process it properly. Therefore, </w:t>
      </w:r>
      <w:r w:rsidR="00332304">
        <w:rPr>
          <w:rFonts w:cs="Arial"/>
        </w:rPr>
        <w:t xml:space="preserve">ESMA will only be able to consider responses which follow the instructions described </w:t>
      </w:r>
      <w:r w:rsidRPr="00EF0769">
        <w:rPr>
          <w:rFonts w:cs="Arial"/>
        </w:rPr>
        <w:t>below</w:t>
      </w:r>
      <w:r w:rsidR="00F574D0" w:rsidRPr="00EF0769">
        <w:rPr>
          <w:rFonts w:cs="Arial"/>
        </w:rPr>
        <w:t>:</w:t>
      </w:r>
    </w:p>
    <w:p w14:paraId="1207EF98" w14:textId="77777777" w:rsidR="00F574D0" w:rsidRPr="00293D78" w:rsidRDefault="00F574D0" w:rsidP="00366E20">
      <w:pPr>
        <w:pStyle w:val="04BodyText"/>
        <w:numPr>
          <w:ilvl w:val="0"/>
          <w:numId w:val="35"/>
        </w:numPr>
        <w:spacing w:before="120" w:after="120"/>
        <w:rPr>
          <w:rFonts w:cs="Arial"/>
        </w:rPr>
      </w:pPr>
      <w:r w:rsidRPr="00293D78">
        <w:rPr>
          <w:rFonts w:cs="Arial"/>
        </w:rPr>
        <w:t xml:space="preserve">use </w:t>
      </w:r>
      <w:r w:rsidR="00332304" w:rsidRPr="00293D78">
        <w:rPr>
          <w:rFonts w:cs="Arial"/>
        </w:rPr>
        <w:t>this form</w:t>
      </w:r>
      <w:r w:rsidR="00955F48" w:rsidRPr="00293D78">
        <w:rPr>
          <w:rFonts w:cs="Arial"/>
        </w:rPr>
        <w:t xml:space="preserve"> and send </w:t>
      </w:r>
      <w:r w:rsidR="00332304" w:rsidRPr="00293D78">
        <w:rPr>
          <w:rFonts w:cs="Arial"/>
        </w:rPr>
        <w:t>your</w:t>
      </w:r>
      <w:r w:rsidR="00955F48" w:rsidRPr="00293D78">
        <w:rPr>
          <w:rFonts w:cs="Arial"/>
        </w:rPr>
        <w:t xml:space="preserve"> responses in Word format (pdf documents will not be considered except for annexes);</w:t>
      </w:r>
    </w:p>
    <w:p w14:paraId="557F67D8" w14:textId="21FE3BEA" w:rsidR="00F574D0" w:rsidRPr="00293D78" w:rsidRDefault="00D75FEE" w:rsidP="00366E20">
      <w:pPr>
        <w:pStyle w:val="04BodyText"/>
        <w:numPr>
          <w:ilvl w:val="0"/>
          <w:numId w:val="35"/>
        </w:numPr>
        <w:spacing w:before="120" w:after="120"/>
        <w:rPr>
          <w:rFonts w:cs="Arial"/>
        </w:rPr>
      </w:pPr>
      <w:r w:rsidRPr="00293D78">
        <w:rPr>
          <w:rFonts w:cs="Arial"/>
        </w:rPr>
        <w:t xml:space="preserve">do </w:t>
      </w:r>
      <w:r w:rsidR="00F574D0" w:rsidRPr="00293D78">
        <w:rPr>
          <w:rFonts w:cs="Arial"/>
        </w:rPr>
        <w:t>not remove the tags of type &lt;ESMA_</w:t>
      </w:r>
      <w:r w:rsidR="00431B0A" w:rsidRPr="00293D78">
        <w:rPr>
          <w:rFonts w:cs="Arial"/>
        </w:rPr>
        <w:t>QUESTION_</w:t>
      </w:r>
      <w:r w:rsidR="00227C1A">
        <w:rPr>
          <w:rFonts w:cs="Arial"/>
        </w:rPr>
        <w:t>CP</w:t>
      </w:r>
      <w:r w:rsidR="007254DD">
        <w:rPr>
          <w:rFonts w:cs="Arial"/>
        </w:rPr>
        <w:t>_MIFID_NQT</w:t>
      </w:r>
      <w:r w:rsidR="00227C1A">
        <w:rPr>
          <w:rFonts w:cs="Arial"/>
        </w:rPr>
        <w:t>_</w:t>
      </w:r>
      <w:r w:rsidR="000E49B7">
        <w:rPr>
          <w:rFonts w:cs="Arial"/>
        </w:rPr>
        <w:t>1</w:t>
      </w:r>
      <w:r w:rsidR="00F574D0" w:rsidRPr="00293D78">
        <w:rPr>
          <w:rFonts w:cs="Arial"/>
        </w:rPr>
        <w:t>&gt; - i.e. the response to one question has to be framed by the 2 tags corresponding to the question; and</w:t>
      </w:r>
    </w:p>
    <w:p w14:paraId="13BFAA34" w14:textId="77777777" w:rsidR="00F574D0" w:rsidRPr="00293D78" w:rsidRDefault="00F574D0" w:rsidP="00366E20">
      <w:pPr>
        <w:pStyle w:val="04BodyText"/>
        <w:numPr>
          <w:ilvl w:val="0"/>
          <w:numId w:val="35"/>
        </w:numPr>
        <w:spacing w:before="120" w:after="120"/>
        <w:rPr>
          <w:rFonts w:cs="Arial"/>
        </w:rPr>
      </w:pPr>
      <w:r w:rsidRPr="00293D78">
        <w:rPr>
          <w:rFonts w:cs="Arial"/>
        </w:rPr>
        <w:t xml:space="preserve">if </w:t>
      </w:r>
      <w:r w:rsidR="00D75FEE" w:rsidRPr="00293D78">
        <w:rPr>
          <w:rFonts w:cs="Arial"/>
        </w:rPr>
        <w:t>you do not have a</w:t>
      </w:r>
      <w:r w:rsidRPr="00293D78">
        <w:rPr>
          <w:rFonts w:cs="Arial"/>
        </w:rPr>
        <w:t xml:space="preserve"> response to a question, </w:t>
      </w:r>
      <w:r w:rsidR="00D75FEE" w:rsidRPr="00293D78">
        <w:rPr>
          <w:rFonts w:cs="Arial"/>
        </w:rPr>
        <w:t xml:space="preserve">do </w:t>
      </w:r>
      <w:r w:rsidRPr="00293D78">
        <w:rPr>
          <w:rFonts w:cs="Arial"/>
        </w:rPr>
        <w:t>not delete it and leave the text “TYPE YOUR TEXT HERE” between the tags.</w:t>
      </w:r>
    </w:p>
    <w:p w14:paraId="3AF15379" w14:textId="77777777" w:rsidR="00F574D0" w:rsidRPr="00EF0769" w:rsidRDefault="00F574D0" w:rsidP="00F574D0">
      <w:pPr>
        <w:pStyle w:val="04bList"/>
        <w:numPr>
          <w:ilvl w:val="0"/>
          <w:numId w:val="0"/>
        </w:numPr>
        <w:spacing w:before="120" w:after="120"/>
        <w:rPr>
          <w:rFonts w:cs="Arial"/>
        </w:rPr>
      </w:pPr>
      <w:r w:rsidRPr="00EF0769">
        <w:rPr>
          <w:rFonts w:cs="Arial"/>
        </w:rPr>
        <w:t>Responses are most helpful:</w:t>
      </w:r>
    </w:p>
    <w:p w14:paraId="571C26D7" w14:textId="77777777" w:rsidR="00F574D0" w:rsidRPr="00293D78" w:rsidRDefault="00F574D0" w:rsidP="00366E20">
      <w:pPr>
        <w:pStyle w:val="04BodyText"/>
        <w:numPr>
          <w:ilvl w:val="0"/>
          <w:numId w:val="36"/>
        </w:numPr>
        <w:spacing w:before="120" w:after="120"/>
        <w:rPr>
          <w:rFonts w:cs="Arial"/>
        </w:rPr>
      </w:pPr>
      <w:r w:rsidRPr="00293D78">
        <w:rPr>
          <w:rFonts w:cs="Arial"/>
        </w:rPr>
        <w:t>if they respond to the question stated;</w:t>
      </w:r>
    </w:p>
    <w:p w14:paraId="6E0AF6CC" w14:textId="77777777" w:rsidR="002E1760" w:rsidRPr="00293D78" w:rsidRDefault="002E1760" w:rsidP="00366E20">
      <w:pPr>
        <w:pStyle w:val="04BodyText"/>
        <w:numPr>
          <w:ilvl w:val="0"/>
          <w:numId w:val="36"/>
        </w:numPr>
        <w:spacing w:before="120" w:after="120"/>
        <w:rPr>
          <w:rFonts w:cs="Arial"/>
        </w:rPr>
      </w:pPr>
      <w:r w:rsidRPr="00293D78">
        <w:rPr>
          <w:rFonts w:cs="Arial"/>
        </w:rPr>
        <w:t>indicate the specific question to which the comment relates;</w:t>
      </w:r>
    </w:p>
    <w:p w14:paraId="35AAD124" w14:textId="77777777" w:rsidR="002E1760" w:rsidRPr="00293D78" w:rsidRDefault="002E1760" w:rsidP="00366E20">
      <w:pPr>
        <w:pStyle w:val="04BodyText"/>
        <w:numPr>
          <w:ilvl w:val="0"/>
          <w:numId w:val="36"/>
        </w:numPr>
        <w:spacing w:before="120" w:after="120"/>
        <w:rPr>
          <w:rFonts w:cs="Arial"/>
        </w:rPr>
      </w:pPr>
      <w:r w:rsidRPr="00293D78">
        <w:rPr>
          <w:rFonts w:cs="Arial"/>
        </w:rPr>
        <w:t>contain a clear rationale; and</w:t>
      </w:r>
    </w:p>
    <w:p w14:paraId="7526349B" w14:textId="77777777" w:rsidR="002E1760" w:rsidRPr="00293D78" w:rsidRDefault="002E1760" w:rsidP="00366E20">
      <w:pPr>
        <w:pStyle w:val="04BodyText"/>
        <w:numPr>
          <w:ilvl w:val="0"/>
          <w:numId w:val="36"/>
        </w:numPr>
        <w:spacing w:before="120" w:after="120"/>
        <w:rPr>
          <w:rFonts w:cs="Arial"/>
        </w:rPr>
      </w:pPr>
      <w:r w:rsidRPr="00293D78">
        <w:rPr>
          <w:rFonts w:cs="Arial"/>
        </w:rPr>
        <w:t>describe any alternatives ESMA should consider.</w:t>
      </w:r>
    </w:p>
    <w:p w14:paraId="55BD190A" w14:textId="77777777" w:rsidR="001D000A" w:rsidRDefault="001D000A" w:rsidP="000D17AA">
      <w:pPr>
        <w:pStyle w:val="04BodyText"/>
        <w:spacing w:before="120" w:after="120"/>
        <w:jc w:val="left"/>
        <w:rPr>
          <w:rFonts w:cs="Arial"/>
          <w:b/>
        </w:rPr>
      </w:pPr>
    </w:p>
    <w:p w14:paraId="527682DA" w14:textId="77777777" w:rsidR="000D17AA" w:rsidRPr="00EF0769" w:rsidRDefault="00606240" w:rsidP="000D17AA">
      <w:pPr>
        <w:pStyle w:val="04BodyText"/>
        <w:spacing w:before="120" w:after="120"/>
        <w:jc w:val="left"/>
        <w:rPr>
          <w:rFonts w:cs="Arial"/>
          <w:b/>
        </w:rPr>
      </w:pPr>
      <w:r>
        <w:rPr>
          <w:rFonts w:cs="Arial"/>
          <w:b/>
        </w:rPr>
        <w:t>Naming protocol</w:t>
      </w:r>
    </w:p>
    <w:p w14:paraId="2786C674" w14:textId="77777777" w:rsidR="000D17AA" w:rsidRPr="00EF0769" w:rsidRDefault="000D17AA" w:rsidP="000D17AA">
      <w:pPr>
        <w:pStyle w:val="04BodyText"/>
        <w:spacing w:before="120" w:after="120"/>
        <w:jc w:val="left"/>
        <w:rPr>
          <w:rFonts w:cs="Arial"/>
        </w:rPr>
      </w:pPr>
      <w:r w:rsidRPr="00EF0769">
        <w:rPr>
          <w:rFonts w:cs="Arial"/>
        </w:rPr>
        <w:t xml:space="preserve">In order to facilitate the handling of </w:t>
      </w:r>
      <w:r w:rsidR="009003B8" w:rsidRPr="00EF0769">
        <w:rPr>
          <w:rFonts w:cs="Arial"/>
        </w:rPr>
        <w:t>stakeholders’</w:t>
      </w:r>
      <w:r w:rsidRPr="00EF0769">
        <w:rPr>
          <w:rFonts w:cs="Arial"/>
        </w:rPr>
        <w:t xml:space="preserve"> responses please save your document using the following format:</w:t>
      </w:r>
    </w:p>
    <w:p w14:paraId="78782123" w14:textId="7C99ECBD" w:rsidR="000D17AA" w:rsidRPr="00EF0769" w:rsidRDefault="00021E83" w:rsidP="000D17AA">
      <w:pPr>
        <w:pStyle w:val="04BodyText"/>
        <w:spacing w:before="120" w:after="120"/>
        <w:jc w:val="left"/>
        <w:rPr>
          <w:rFonts w:cs="Arial"/>
        </w:rPr>
      </w:pPr>
      <w:r w:rsidRPr="00EF0769">
        <w:rPr>
          <w:rFonts w:cs="Arial"/>
        </w:rPr>
        <w:t>ESMA_</w:t>
      </w:r>
      <w:r w:rsidR="00227C1A">
        <w:rPr>
          <w:rFonts w:cs="Arial"/>
        </w:rPr>
        <w:t>CP</w:t>
      </w:r>
      <w:r w:rsidR="007254DD">
        <w:rPr>
          <w:rFonts w:cs="Arial"/>
        </w:rPr>
        <w:t>_MIFID_NQT</w:t>
      </w:r>
      <w:r w:rsidR="00227C1A">
        <w:rPr>
          <w:rFonts w:cs="Arial"/>
        </w:rPr>
        <w:t>_</w:t>
      </w:r>
      <w:r w:rsidRPr="00EF0769">
        <w:rPr>
          <w:rFonts w:cs="Arial"/>
        </w:rPr>
        <w:t>NAMEOFCOMPANY_NAMEOFDOCUMENT</w:t>
      </w:r>
      <w:r w:rsidR="000D17AA" w:rsidRPr="00EF0769">
        <w:rPr>
          <w:rFonts w:cs="Arial"/>
        </w:rPr>
        <w:t>.</w:t>
      </w:r>
    </w:p>
    <w:p w14:paraId="339C231E" w14:textId="77777777" w:rsidR="00021E83" w:rsidRPr="00EF0769" w:rsidRDefault="00E90774" w:rsidP="000D17AA">
      <w:pPr>
        <w:pStyle w:val="04BodyText"/>
        <w:spacing w:before="120" w:after="120"/>
        <w:jc w:val="left"/>
        <w:rPr>
          <w:rFonts w:cs="Arial"/>
        </w:rPr>
      </w:pPr>
      <w:r>
        <w:rPr>
          <w:rFonts w:cs="Arial"/>
        </w:rPr>
        <w:t>e</w:t>
      </w:r>
      <w:r w:rsidR="000D17AA" w:rsidRPr="00EF0769">
        <w:rPr>
          <w:rFonts w:cs="Arial"/>
        </w:rPr>
        <w:t xml:space="preserve">.g. if the respondent were ESMA, the </w:t>
      </w:r>
      <w:r w:rsidR="00021E83" w:rsidRPr="00EF0769">
        <w:rPr>
          <w:rFonts w:cs="Arial"/>
        </w:rPr>
        <w:t>name of the reply form would be:</w:t>
      </w:r>
    </w:p>
    <w:p w14:paraId="07FC02DB" w14:textId="252000BB" w:rsidR="00021E83" w:rsidRPr="00EF0769" w:rsidRDefault="00021E83" w:rsidP="000D17AA">
      <w:pPr>
        <w:pStyle w:val="04BodyText"/>
        <w:spacing w:before="120" w:after="120"/>
        <w:jc w:val="left"/>
        <w:rPr>
          <w:rFonts w:cs="Arial"/>
        </w:rPr>
      </w:pPr>
      <w:r w:rsidRPr="00EF0769">
        <w:rPr>
          <w:rFonts w:cs="Arial"/>
        </w:rPr>
        <w:t>ESMA_</w:t>
      </w:r>
      <w:r w:rsidR="00227C1A">
        <w:rPr>
          <w:rFonts w:cs="Arial"/>
        </w:rPr>
        <w:t>CP</w:t>
      </w:r>
      <w:r w:rsidR="007254DD">
        <w:rPr>
          <w:rFonts w:cs="Arial"/>
        </w:rPr>
        <w:t>_MIFID_NQT</w:t>
      </w:r>
      <w:r w:rsidR="00227C1A">
        <w:rPr>
          <w:rFonts w:cs="Arial"/>
        </w:rPr>
        <w:t>_</w:t>
      </w:r>
      <w:r w:rsidRPr="00EF0769">
        <w:rPr>
          <w:rFonts w:cs="Arial"/>
        </w:rPr>
        <w:t xml:space="preserve">ESMA_REPLYFORM or </w:t>
      </w:r>
    </w:p>
    <w:p w14:paraId="6A062D93" w14:textId="4BC853F2" w:rsidR="000D17AA" w:rsidRPr="00EF0769" w:rsidRDefault="00021E83" w:rsidP="000D17AA">
      <w:pPr>
        <w:pStyle w:val="04BodyText"/>
        <w:spacing w:before="120" w:after="120"/>
        <w:jc w:val="left"/>
        <w:rPr>
          <w:rFonts w:cs="Arial"/>
        </w:rPr>
      </w:pPr>
      <w:r w:rsidRPr="00EF0769">
        <w:rPr>
          <w:rFonts w:cs="Arial"/>
        </w:rPr>
        <w:t>ESMA_</w:t>
      </w:r>
      <w:r w:rsidR="00227C1A">
        <w:rPr>
          <w:rFonts w:cs="Arial"/>
        </w:rPr>
        <w:t>CP</w:t>
      </w:r>
      <w:r w:rsidR="007254DD">
        <w:rPr>
          <w:rFonts w:cs="Arial"/>
        </w:rPr>
        <w:t>_MIFID_NQT</w:t>
      </w:r>
      <w:r w:rsidR="00227C1A">
        <w:rPr>
          <w:rFonts w:cs="Arial"/>
        </w:rPr>
        <w:t>_</w:t>
      </w:r>
      <w:r w:rsidRPr="00EF0769">
        <w:rPr>
          <w:rFonts w:cs="Arial"/>
        </w:rPr>
        <w:t>ANNEX1</w:t>
      </w:r>
    </w:p>
    <w:p w14:paraId="0A0F4C14" w14:textId="77777777" w:rsidR="00332304" w:rsidRDefault="00332304" w:rsidP="00332304">
      <w:pPr>
        <w:autoSpaceDE w:val="0"/>
        <w:autoSpaceDN w:val="0"/>
        <w:adjustRightInd w:val="0"/>
        <w:spacing w:before="120" w:after="120" w:line="276" w:lineRule="auto"/>
        <w:jc w:val="both"/>
        <w:rPr>
          <w:rFonts w:cs="Arial"/>
          <w:b/>
          <w:bCs/>
          <w:i/>
          <w:color w:val="000000"/>
          <w:szCs w:val="20"/>
          <w:lang w:eastAsia="en-GB"/>
        </w:rPr>
      </w:pPr>
    </w:p>
    <w:p w14:paraId="07E64F6B" w14:textId="77777777" w:rsidR="00332304" w:rsidRPr="00EF0769" w:rsidRDefault="00332304" w:rsidP="00332304">
      <w:pPr>
        <w:autoSpaceDE w:val="0"/>
        <w:autoSpaceDN w:val="0"/>
        <w:adjustRightInd w:val="0"/>
        <w:spacing w:before="120" w:after="120" w:line="276" w:lineRule="auto"/>
        <w:jc w:val="both"/>
        <w:rPr>
          <w:rFonts w:cs="Arial"/>
          <w:b/>
          <w:bCs/>
          <w:i/>
          <w:color w:val="000000"/>
          <w:szCs w:val="20"/>
          <w:lang w:eastAsia="en-GB"/>
        </w:rPr>
      </w:pPr>
      <w:r>
        <w:rPr>
          <w:rFonts w:cs="Arial"/>
          <w:b/>
          <w:bCs/>
          <w:i/>
          <w:color w:val="000000"/>
          <w:szCs w:val="20"/>
          <w:lang w:eastAsia="en-GB"/>
        </w:rPr>
        <w:t>Deadline</w:t>
      </w:r>
    </w:p>
    <w:p w14:paraId="29817F88" w14:textId="3E5B9D78" w:rsidR="00F574D0" w:rsidRPr="00EF0769" w:rsidRDefault="00F574D0" w:rsidP="00F574D0">
      <w:pPr>
        <w:pStyle w:val="04BodyText"/>
        <w:spacing w:before="120" w:after="120"/>
        <w:rPr>
          <w:rFonts w:cs="Arial"/>
        </w:rPr>
      </w:pPr>
      <w:r w:rsidRPr="00EF0769">
        <w:rPr>
          <w:rFonts w:cs="Arial"/>
        </w:rPr>
        <w:t xml:space="preserve">Responses must </w:t>
      </w:r>
      <w:r w:rsidRPr="00775D3F">
        <w:rPr>
          <w:rFonts w:cs="Arial"/>
        </w:rPr>
        <w:t xml:space="preserve">reach us by </w:t>
      </w:r>
      <w:r w:rsidR="00F107EF" w:rsidRPr="00775D3F">
        <w:rPr>
          <w:rFonts w:cs="Arial"/>
          <w:b/>
        </w:rPr>
        <w:t>1</w:t>
      </w:r>
      <w:r w:rsidR="00775D3F" w:rsidRPr="00775D3F">
        <w:rPr>
          <w:rFonts w:cs="Arial"/>
          <w:b/>
        </w:rPr>
        <w:t>9</w:t>
      </w:r>
      <w:r w:rsidR="00227C1A" w:rsidRPr="00775D3F">
        <w:rPr>
          <w:rFonts w:cs="Arial"/>
          <w:b/>
        </w:rPr>
        <w:t xml:space="preserve"> </w:t>
      </w:r>
      <w:r w:rsidR="007254DD" w:rsidRPr="00775D3F">
        <w:rPr>
          <w:rFonts w:cs="Arial"/>
          <w:b/>
        </w:rPr>
        <w:t>April</w:t>
      </w:r>
      <w:r w:rsidR="00F107EF" w:rsidRPr="00775D3F">
        <w:rPr>
          <w:rFonts w:cs="Arial"/>
          <w:b/>
        </w:rPr>
        <w:t xml:space="preserve"> 2020</w:t>
      </w:r>
      <w:r w:rsidR="00021E83" w:rsidRPr="00775D3F">
        <w:rPr>
          <w:rFonts w:cs="Arial"/>
          <w:b/>
        </w:rPr>
        <w:t>.</w:t>
      </w:r>
    </w:p>
    <w:p w14:paraId="68065F11" w14:textId="77777777" w:rsidR="00332304" w:rsidRDefault="002E1760" w:rsidP="002E1760">
      <w:pPr>
        <w:autoSpaceDE w:val="0"/>
        <w:autoSpaceDN w:val="0"/>
        <w:adjustRightInd w:val="0"/>
        <w:spacing w:before="120" w:after="120" w:line="276" w:lineRule="auto"/>
        <w:jc w:val="both"/>
        <w:rPr>
          <w:rFonts w:cs="Arial"/>
          <w:b/>
          <w:bCs/>
          <w:i/>
          <w:color w:val="000000"/>
          <w:szCs w:val="20"/>
          <w:lang w:eastAsia="en-GB"/>
        </w:rPr>
      </w:pPr>
      <w:bookmarkStart w:id="1" w:name="_Toc335141334"/>
      <w:r w:rsidRPr="005B6B12">
        <w:t xml:space="preserve">All contributions should be submitted online at </w:t>
      </w:r>
      <w:hyperlink r:id="rId17" w:history="1">
        <w:r w:rsidRPr="005B6B12">
          <w:rPr>
            <w:rStyle w:val="Hyperlink"/>
          </w:rPr>
          <w:t>www.esma.europa.eu</w:t>
        </w:r>
      </w:hyperlink>
      <w:r w:rsidRPr="005B6B12">
        <w:t xml:space="preserve"> under the heading ‘Your input - Consultations’.</w:t>
      </w:r>
    </w:p>
    <w:p w14:paraId="577A0723" w14:textId="77777777" w:rsidR="00A3026E" w:rsidRDefault="00A3026E" w:rsidP="00F574D0">
      <w:pPr>
        <w:autoSpaceDE w:val="0"/>
        <w:autoSpaceDN w:val="0"/>
        <w:adjustRightInd w:val="0"/>
        <w:spacing w:before="120" w:after="120" w:line="276" w:lineRule="auto"/>
        <w:jc w:val="both"/>
        <w:rPr>
          <w:rFonts w:cs="Arial"/>
          <w:b/>
          <w:bCs/>
          <w:i/>
          <w:color w:val="000000"/>
          <w:szCs w:val="20"/>
          <w:lang w:eastAsia="en-GB"/>
        </w:rPr>
      </w:pPr>
    </w:p>
    <w:p w14:paraId="7F709C22" w14:textId="77777777"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lastRenderedPageBreak/>
        <w:t>Publication of responses</w:t>
      </w:r>
      <w:bookmarkEnd w:id="1"/>
    </w:p>
    <w:p w14:paraId="1E22BD10" w14:textId="77777777" w:rsidR="00F574D0" w:rsidRPr="00EF0769" w:rsidRDefault="00F574D0" w:rsidP="00F574D0">
      <w:pPr>
        <w:pStyle w:val="04BodyText"/>
        <w:spacing w:before="120" w:after="120"/>
        <w:rPr>
          <w:rFonts w:cs="Arial"/>
        </w:rPr>
      </w:pPr>
      <w:r w:rsidRPr="00EF0769">
        <w:rPr>
          <w:rFonts w:cs="Arial"/>
        </w:rPr>
        <w:t xml:space="preserve">All contributions received will be published following the end of the consultation period, unless otherwise requested. </w:t>
      </w:r>
      <w:r w:rsidRPr="00EF0769">
        <w:rPr>
          <w:rFonts w:cs="Arial"/>
          <w:b/>
        </w:rPr>
        <w:t>Please clearly indicate by ticking the appropriate checkbox in the website submission form if you do not wish your contribution to be publicly disclosed. A standard confidentiality statement in an email message will not be treated as a request for non-disclosure.</w:t>
      </w:r>
      <w:r w:rsidRPr="00EF0769">
        <w:rPr>
          <w:rFonts w:cs="Arial"/>
        </w:rPr>
        <w:t xml:space="preserve"> Note also that a confidential response may be requested from us in accordance with ESMA’s rules on access to documents. We may consult you if we receive such a request. Any decision we make is reviewable by ESMA’s Board of Appeal and the European Ombudsman.</w:t>
      </w:r>
    </w:p>
    <w:p w14:paraId="35BBDA44" w14:textId="77777777"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2" w:name="_Toc335141335"/>
    </w:p>
    <w:p w14:paraId="02B1392D" w14:textId="77777777"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Data protection</w:t>
      </w:r>
      <w:bookmarkEnd w:id="2"/>
    </w:p>
    <w:p w14:paraId="63EB17FC" w14:textId="77777777" w:rsidR="00F574D0" w:rsidRDefault="00F574D0" w:rsidP="00F574D0">
      <w:pPr>
        <w:autoSpaceDE w:val="0"/>
        <w:autoSpaceDN w:val="0"/>
        <w:adjustRightInd w:val="0"/>
        <w:spacing w:before="120" w:after="120" w:line="276" w:lineRule="auto"/>
        <w:jc w:val="both"/>
        <w:rPr>
          <w:rFonts w:cs="Arial"/>
          <w:szCs w:val="20"/>
        </w:rPr>
      </w:pPr>
      <w:r w:rsidRPr="00EF0769">
        <w:rPr>
          <w:rFonts w:cs="Arial"/>
          <w:szCs w:val="20"/>
        </w:rPr>
        <w:t xml:space="preserve">Information on data protection can be found at </w:t>
      </w:r>
      <w:hyperlink r:id="rId18" w:history="1">
        <w:r w:rsidRPr="00EF0769">
          <w:rPr>
            <w:rStyle w:val="Hyperlink"/>
            <w:rFonts w:cs="Arial"/>
            <w:szCs w:val="20"/>
          </w:rPr>
          <w:t>www.esma.europa.eu</w:t>
        </w:r>
      </w:hyperlink>
      <w:r w:rsidRPr="00EF0769">
        <w:rPr>
          <w:rFonts w:cs="Arial"/>
          <w:szCs w:val="20"/>
        </w:rPr>
        <w:t xml:space="preserve"> under the </w:t>
      </w:r>
      <w:r w:rsidR="003755C6" w:rsidRPr="00440AB1">
        <w:rPr>
          <w:rFonts w:cs="Arial"/>
          <w:szCs w:val="22"/>
          <w:lang w:eastAsia="en-GB"/>
        </w:rPr>
        <w:t>heading</w:t>
      </w:r>
      <w:r w:rsidR="00AD0C8A">
        <w:rPr>
          <w:rFonts w:cs="Arial"/>
          <w:szCs w:val="22"/>
          <w:lang w:eastAsia="en-GB"/>
        </w:rPr>
        <w:t>s</w:t>
      </w:r>
      <w:r w:rsidR="003755C6" w:rsidRPr="00440AB1">
        <w:rPr>
          <w:rFonts w:cs="Arial"/>
          <w:szCs w:val="22"/>
          <w:lang w:eastAsia="en-GB"/>
        </w:rPr>
        <w:t xml:space="preserve"> ‘Legal notice’</w:t>
      </w:r>
      <w:r w:rsidR="00AD0C8A">
        <w:rPr>
          <w:rFonts w:cs="Arial"/>
          <w:szCs w:val="22"/>
          <w:lang w:eastAsia="en-GB"/>
        </w:rPr>
        <w:t xml:space="preserve"> </w:t>
      </w:r>
      <w:r w:rsidR="00AD0C8A" w:rsidRPr="00AD0C8A">
        <w:rPr>
          <w:rFonts w:cs="Arial"/>
          <w:szCs w:val="22"/>
          <w:lang w:eastAsia="en-GB"/>
        </w:rPr>
        <w:t>and ‘Data protection’</w:t>
      </w:r>
      <w:r w:rsidRPr="00AD0C8A">
        <w:rPr>
          <w:rFonts w:cs="Arial"/>
          <w:szCs w:val="22"/>
          <w:lang w:eastAsia="en-GB"/>
        </w:rPr>
        <w:t>.</w:t>
      </w:r>
    </w:p>
    <w:p w14:paraId="4D0417EF" w14:textId="77777777" w:rsidR="003755C6" w:rsidRDefault="003755C6" w:rsidP="00F574D0">
      <w:pPr>
        <w:autoSpaceDE w:val="0"/>
        <w:autoSpaceDN w:val="0"/>
        <w:adjustRightInd w:val="0"/>
        <w:spacing w:before="120" w:after="120" w:line="276" w:lineRule="auto"/>
        <w:jc w:val="both"/>
        <w:rPr>
          <w:rFonts w:cs="Arial"/>
          <w:szCs w:val="20"/>
        </w:rPr>
      </w:pPr>
    </w:p>
    <w:bookmarkEnd w:id="0"/>
    <w:p w14:paraId="31170032" w14:textId="77777777" w:rsidR="00332304" w:rsidRDefault="00332304">
      <w:pPr>
        <w:rPr>
          <w:rFonts w:cs="Arial"/>
          <w:b/>
          <w:bCs/>
          <w:kern w:val="32"/>
          <w:sz w:val="24"/>
          <w:szCs w:val="32"/>
        </w:rPr>
      </w:pPr>
      <w:r>
        <w:br w:type="page"/>
      </w:r>
    </w:p>
    <w:p w14:paraId="5A6F45DF" w14:textId="77777777" w:rsidR="00F87897" w:rsidRPr="00AB6D88" w:rsidRDefault="00F87897" w:rsidP="00F87897">
      <w:pPr>
        <w:pStyle w:val="Heading1"/>
        <w:numPr>
          <w:ilvl w:val="0"/>
          <w:numId w:val="0"/>
        </w:numPr>
      </w:pPr>
      <w:r w:rsidRPr="00AB6D88">
        <w:lastRenderedPageBreak/>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2682A" w:rsidRPr="00AB6D88" w14:paraId="0DC9EAA1" w14:textId="77777777" w:rsidTr="00FA5524">
        <w:tc>
          <w:tcPr>
            <w:tcW w:w="3929" w:type="dxa"/>
            <w:shd w:val="clear" w:color="auto" w:fill="auto"/>
          </w:tcPr>
          <w:p w14:paraId="79D84F54" w14:textId="77777777" w:rsidR="00C2682A" w:rsidRPr="00E40A5C" w:rsidRDefault="00C2682A" w:rsidP="00FA5524">
            <w:pPr>
              <w:rPr>
                <w:rFonts w:cs="Arial"/>
                <w:sz w:val="22"/>
              </w:rPr>
            </w:pPr>
            <w:permStart w:id="1306485207" w:edGrp="everyone" w:colFirst="1" w:colLast="1"/>
            <w:r w:rsidRPr="00E40A5C">
              <w:rPr>
                <w:rFonts w:cs="Arial"/>
                <w:sz w:val="22"/>
              </w:rPr>
              <w:t>Name of the company / organisation</w:t>
            </w:r>
          </w:p>
        </w:tc>
        <w:sdt>
          <w:sdtPr>
            <w:rPr>
              <w:rStyle w:val="PlaceholderText"/>
              <w:rFonts w:cs="Arial"/>
            </w:rPr>
            <w:id w:val="651570699"/>
            <w:text/>
          </w:sdtPr>
          <w:sdtEndPr>
            <w:rPr>
              <w:rStyle w:val="PlaceholderText"/>
            </w:rPr>
          </w:sdtEndPr>
          <w:sdtContent>
            <w:tc>
              <w:tcPr>
                <w:tcW w:w="5595" w:type="dxa"/>
                <w:shd w:val="clear" w:color="auto" w:fill="auto"/>
              </w:tcPr>
              <w:p w14:paraId="7A68491E" w14:textId="63B81B1B" w:rsidR="00C2682A" w:rsidRPr="00AB6D88" w:rsidRDefault="00A57FA0" w:rsidP="00FA5524">
                <w:pPr>
                  <w:rPr>
                    <w:rStyle w:val="PlaceholderText"/>
                    <w:rFonts w:cs="Arial"/>
                  </w:rPr>
                </w:pPr>
                <w:r>
                  <w:rPr>
                    <w:rStyle w:val="PlaceholderText"/>
                    <w:rFonts w:cs="Arial"/>
                  </w:rPr>
                  <w:t>AIMA and MFA</w:t>
                </w:r>
              </w:p>
            </w:tc>
          </w:sdtContent>
        </w:sdt>
      </w:tr>
      <w:tr w:rsidR="00C2682A" w:rsidRPr="00AB6D88" w14:paraId="14AD8510" w14:textId="77777777" w:rsidTr="00FA5524">
        <w:tc>
          <w:tcPr>
            <w:tcW w:w="3929" w:type="dxa"/>
            <w:shd w:val="clear" w:color="auto" w:fill="auto"/>
          </w:tcPr>
          <w:p w14:paraId="163AD72A" w14:textId="77777777" w:rsidR="00C2682A" w:rsidRPr="00E40A5C" w:rsidRDefault="00C2682A" w:rsidP="00FA5524">
            <w:pPr>
              <w:rPr>
                <w:rFonts w:cs="Arial"/>
                <w:sz w:val="22"/>
              </w:rPr>
            </w:pPr>
            <w:permStart w:id="1273764253" w:edGrp="everyone" w:colFirst="1" w:colLast="1"/>
            <w:permEnd w:id="1306485207"/>
            <w:r w:rsidRPr="00E40A5C">
              <w:rPr>
                <w:rFonts w:cs="Arial"/>
                <w:sz w:val="22"/>
              </w:rPr>
              <w:t>Activity</w:t>
            </w:r>
          </w:p>
        </w:tc>
        <w:tc>
          <w:tcPr>
            <w:tcW w:w="5595" w:type="dxa"/>
            <w:shd w:val="clear" w:color="auto" w:fill="auto"/>
          </w:tcPr>
          <w:p w14:paraId="6A5D3455" w14:textId="5774D4BA" w:rsidR="00C2682A" w:rsidRPr="00AB6D88" w:rsidRDefault="00360398" w:rsidP="00FA5524">
            <w:pPr>
              <w:rPr>
                <w:rFonts w:cs="Arial"/>
              </w:rPr>
            </w:pPr>
            <w:sdt>
              <w:sdtPr>
                <w:rPr>
                  <w:rFonts w:cs="Arial"/>
                </w:rPr>
                <w:alias w:val="Activity"/>
                <w:tag w:val="Activity"/>
                <w:id w:val="-1255357665"/>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A57FA0">
                  <w:rPr>
                    <w:rFonts w:cs="Arial"/>
                  </w:rPr>
                  <w:t>Investment Services</w:t>
                </w:r>
              </w:sdtContent>
            </w:sdt>
          </w:p>
        </w:tc>
      </w:tr>
      <w:tr w:rsidR="00C2682A" w:rsidRPr="00AB6D88" w14:paraId="523B9D2D" w14:textId="77777777" w:rsidTr="00FA5524">
        <w:tc>
          <w:tcPr>
            <w:tcW w:w="3929" w:type="dxa"/>
            <w:shd w:val="clear" w:color="auto" w:fill="auto"/>
          </w:tcPr>
          <w:p w14:paraId="5FD664AB" w14:textId="77777777" w:rsidR="00C2682A" w:rsidRPr="00E40A5C" w:rsidRDefault="00C2682A" w:rsidP="00FA5524">
            <w:pPr>
              <w:rPr>
                <w:rFonts w:cs="Arial"/>
                <w:sz w:val="22"/>
              </w:rPr>
            </w:pPr>
            <w:permStart w:id="366504703" w:edGrp="everyone" w:colFirst="1" w:colLast="1"/>
            <w:permEnd w:id="1273764253"/>
            <w:r w:rsidRPr="00E40A5C">
              <w:rPr>
                <w:rFonts w:cs="Arial"/>
                <w:sz w:val="22"/>
              </w:rPr>
              <w:t>Are you representing an association?</w:t>
            </w:r>
          </w:p>
        </w:tc>
        <w:sdt>
          <w:sdtPr>
            <w:rPr>
              <w:rFonts w:cs="Arial"/>
            </w:rPr>
            <w:id w:val="-226150188"/>
            <w14:checkbox>
              <w14:checked w14:val="1"/>
              <w14:checkedState w14:val="2612" w14:font="MS Gothic"/>
              <w14:uncheckedState w14:val="2610" w14:font="MS Gothic"/>
            </w14:checkbox>
          </w:sdtPr>
          <w:sdtEndPr/>
          <w:sdtContent>
            <w:tc>
              <w:tcPr>
                <w:tcW w:w="5595" w:type="dxa"/>
                <w:shd w:val="clear" w:color="auto" w:fill="auto"/>
              </w:tcPr>
              <w:p w14:paraId="3EE0D441" w14:textId="2D22FF09" w:rsidR="00C2682A" w:rsidRPr="00AB6D88" w:rsidRDefault="00A57FA0" w:rsidP="00FA5524">
                <w:pPr>
                  <w:rPr>
                    <w:rFonts w:cs="Arial"/>
                  </w:rPr>
                </w:pPr>
                <w:r>
                  <w:rPr>
                    <w:rFonts w:ascii="MS Gothic" w:eastAsia="MS Gothic" w:hAnsi="MS Gothic" w:cs="Arial" w:hint="eastAsia"/>
                  </w:rPr>
                  <w:t>☒</w:t>
                </w:r>
              </w:p>
            </w:tc>
          </w:sdtContent>
        </w:sdt>
      </w:tr>
      <w:tr w:rsidR="00C2682A" w:rsidRPr="00AB6D88" w14:paraId="5F411987" w14:textId="77777777" w:rsidTr="00FA5524">
        <w:tc>
          <w:tcPr>
            <w:tcW w:w="3929" w:type="dxa"/>
            <w:shd w:val="clear" w:color="auto" w:fill="auto"/>
          </w:tcPr>
          <w:p w14:paraId="54099FD6" w14:textId="77777777" w:rsidR="00C2682A" w:rsidRPr="00E40A5C" w:rsidRDefault="00C2682A" w:rsidP="00FA5524">
            <w:pPr>
              <w:rPr>
                <w:rFonts w:cs="Arial"/>
                <w:sz w:val="22"/>
              </w:rPr>
            </w:pPr>
            <w:permStart w:id="1727412903" w:edGrp="everyone" w:colFirst="1" w:colLast="1"/>
            <w:permEnd w:id="366504703"/>
            <w:r w:rsidRPr="00E40A5C">
              <w:rPr>
                <w:rFonts w:cs="Arial"/>
                <w:sz w:val="22"/>
              </w:rPr>
              <w:t>Country/Region</w:t>
            </w:r>
          </w:p>
        </w:tc>
        <w:sdt>
          <w:sdtPr>
            <w:rPr>
              <w:rFonts w:cs="Arial"/>
            </w:rPr>
            <w:alias w:val="Country"/>
            <w:tag w:val="Country"/>
            <w:id w:val="1761644368"/>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tcPr>
              <w:p w14:paraId="1045C271" w14:textId="6183E667" w:rsidR="00C2682A" w:rsidRPr="00AB6D88" w:rsidRDefault="00A57FA0" w:rsidP="00FA5524">
                <w:pPr>
                  <w:rPr>
                    <w:rFonts w:cs="Arial"/>
                  </w:rPr>
                </w:pPr>
                <w:r>
                  <w:rPr>
                    <w:rFonts w:cs="Arial"/>
                  </w:rPr>
                  <w:t>International</w:t>
                </w:r>
              </w:p>
            </w:tc>
          </w:sdtContent>
        </w:sdt>
      </w:tr>
      <w:permEnd w:id="1727412903"/>
    </w:tbl>
    <w:p w14:paraId="5F7D3DE3" w14:textId="77777777" w:rsidR="00C2682A" w:rsidRDefault="00C2682A" w:rsidP="00F87897">
      <w:pPr>
        <w:spacing w:after="120" w:line="264" w:lineRule="auto"/>
      </w:pPr>
    </w:p>
    <w:p w14:paraId="62BC123E" w14:textId="77777777" w:rsidR="00F87897" w:rsidRDefault="00F87897" w:rsidP="00F87897">
      <w:pPr>
        <w:spacing w:after="120" w:line="264" w:lineRule="auto"/>
      </w:pPr>
    </w:p>
    <w:p w14:paraId="6414BA20" w14:textId="77777777" w:rsidR="00F87897" w:rsidRDefault="00F87897" w:rsidP="00F87897">
      <w:pPr>
        <w:pStyle w:val="Heading1"/>
        <w:numPr>
          <w:ilvl w:val="0"/>
          <w:numId w:val="0"/>
        </w:numPr>
        <w:ind w:left="431" w:hanging="431"/>
      </w:pPr>
      <w:r>
        <w:t>Introduction</w:t>
      </w:r>
    </w:p>
    <w:p w14:paraId="0A354328" w14:textId="77777777" w:rsidR="00F87897" w:rsidRPr="001D47A5" w:rsidRDefault="00F87897" w:rsidP="00F87897">
      <w:pPr>
        <w:rPr>
          <w:rStyle w:val="IntenseEmphasis"/>
        </w:rPr>
      </w:pPr>
      <w:r w:rsidRPr="001D47A5">
        <w:rPr>
          <w:rStyle w:val="IntenseEmphasis"/>
        </w:rPr>
        <w:t>Please make your introductory comments below, if any:</w:t>
      </w:r>
    </w:p>
    <w:p w14:paraId="385E0DBA" w14:textId="77777777" w:rsidR="00F87897" w:rsidRPr="00BF28DA" w:rsidRDefault="00F87897" w:rsidP="00F87897"/>
    <w:p w14:paraId="0B417B41" w14:textId="16C5E9F9" w:rsidR="00F87897" w:rsidRPr="006F4535" w:rsidRDefault="00F87897" w:rsidP="00F87897">
      <w:r w:rsidRPr="006F4535">
        <w:t>&lt;ESMA_COMMENT_</w:t>
      </w:r>
      <w:r w:rsidR="00227C1A">
        <w:t>CP</w:t>
      </w:r>
      <w:r w:rsidR="007254DD">
        <w:t>_MIFID_NQT</w:t>
      </w:r>
      <w:r w:rsidR="00F107EF">
        <w:t>_</w:t>
      </w:r>
      <w:r w:rsidRPr="006F4535">
        <w:t>1&gt;</w:t>
      </w:r>
    </w:p>
    <w:p w14:paraId="4F47BA34" w14:textId="77777777" w:rsidR="00A57FA0" w:rsidRPr="00201129" w:rsidRDefault="00A57FA0" w:rsidP="00A57FA0">
      <w:pPr>
        <w:autoSpaceDE w:val="0"/>
        <w:autoSpaceDN w:val="0"/>
        <w:adjustRightInd w:val="0"/>
        <w:jc w:val="both"/>
        <w:rPr>
          <w:rFonts w:ascii="Open Sans" w:hAnsi="Open Sans" w:cs="Open Sans"/>
          <w:szCs w:val="20"/>
        </w:rPr>
      </w:pPr>
      <w:permStart w:id="1454525006" w:edGrp="everyone"/>
      <w:r w:rsidRPr="00201129">
        <w:rPr>
          <w:rFonts w:ascii="Open Sans" w:hAnsi="Open Sans" w:cs="Open Sans"/>
          <w:szCs w:val="20"/>
        </w:rPr>
        <w:t>The Alternative Investment Management Association</w:t>
      </w:r>
      <w:r w:rsidRPr="00201129">
        <w:rPr>
          <w:rStyle w:val="FootnoteReference"/>
          <w:rFonts w:ascii="Open Sans" w:hAnsi="Open Sans" w:cs="Open Sans"/>
          <w:szCs w:val="20"/>
        </w:rPr>
        <w:footnoteReference w:id="2"/>
      </w:r>
      <w:r w:rsidRPr="00201129">
        <w:rPr>
          <w:rFonts w:ascii="Open Sans" w:hAnsi="Open Sans" w:cs="Open Sans"/>
          <w:szCs w:val="20"/>
        </w:rPr>
        <w:t xml:space="preserve"> (“AIMA”) and Managed Funds Association</w:t>
      </w:r>
      <w:r w:rsidRPr="00201129">
        <w:rPr>
          <w:rStyle w:val="FootnoteReference"/>
          <w:rFonts w:ascii="Open Sans" w:hAnsi="Open Sans" w:cs="Open Sans"/>
          <w:szCs w:val="20"/>
        </w:rPr>
        <w:footnoteReference w:id="3"/>
      </w:r>
      <w:r w:rsidRPr="00201129">
        <w:rPr>
          <w:rFonts w:ascii="Open Sans" w:hAnsi="Open Sans" w:cs="Open Sans"/>
          <w:szCs w:val="20"/>
        </w:rPr>
        <w:t xml:space="preserve"> (“MFA”) welcome the opportunity to respond to the European Securities and Markets Authority (“ESMA”) regarding its Consultation Paper: MiFID II/ </w:t>
      </w:r>
      <w:proofErr w:type="spellStart"/>
      <w:r w:rsidRPr="00201129">
        <w:rPr>
          <w:rFonts w:ascii="Open Sans" w:hAnsi="Open Sans" w:cs="Open Sans"/>
          <w:szCs w:val="20"/>
        </w:rPr>
        <w:t>MiFIR</w:t>
      </w:r>
      <w:proofErr w:type="spellEnd"/>
      <w:r w:rsidRPr="00201129">
        <w:rPr>
          <w:rFonts w:ascii="Open Sans" w:hAnsi="Open Sans" w:cs="Open Sans"/>
          <w:szCs w:val="20"/>
        </w:rPr>
        <w:t xml:space="preserve"> review report on the transparency regime for non-equity instruments and the trading obligation for derivatives</w:t>
      </w:r>
      <w:r w:rsidRPr="00201129">
        <w:rPr>
          <w:rStyle w:val="FootnoteReference"/>
          <w:rFonts w:ascii="Open Sans" w:hAnsi="Open Sans" w:cs="Open Sans"/>
          <w:szCs w:val="20"/>
        </w:rPr>
        <w:footnoteReference w:id="4"/>
      </w:r>
      <w:r w:rsidRPr="00201129">
        <w:rPr>
          <w:rFonts w:ascii="Open Sans" w:hAnsi="Open Sans" w:cs="Open Sans"/>
          <w:szCs w:val="20"/>
        </w:rPr>
        <w:t xml:space="preserve"> (“the CP”). </w:t>
      </w:r>
    </w:p>
    <w:p w14:paraId="0DBF4D10" w14:textId="77777777" w:rsidR="00A57FA0" w:rsidRPr="00201129" w:rsidRDefault="00A57FA0" w:rsidP="00A57FA0">
      <w:pPr>
        <w:autoSpaceDE w:val="0"/>
        <w:autoSpaceDN w:val="0"/>
        <w:adjustRightInd w:val="0"/>
        <w:jc w:val="both"/>
        <w:rPr>
          <w:rFonts w:ascii="Open Sans" w:hAnsi="Open Sans" w:cs="Open Sans"/>
          <w:szCs w:val="20"/>
        </w:rPr>
      </w:pPr>
    </w:p>
    <w:p w14:paraId="7EFC0F10" w14:textId="77777777" w:rsidR="00A57FA0" w:rsidRPr="00201129" w:rsidRDefault="00A57FA0" w:rsidP="00A57FA0">
      <w:pPr>
        <w:autoSpaceDE w:val="0"/>
        <w:autoSpaceDN w:val="0"/>
        <w:adjustRightInd w:val="0"/>
        <w:jc w:val="both"/>
        <w:rPr>
          <w:rFonts w:ascii="Open Sans" w:hAnsi="Open Sans" w:cs="Open Sans"/>
          <w:szCs w:val="20"/>
        </w:rPr>
      </w:pPr>
      <w:r w:rsidRPr="00201129">
        <w:rPr>
          <w:rFonts w:ascii="Open Sans" w:hAnsi="Open Sans" w:cs="Open Sans"/>
          <w:szCs w:val="20"/>
        </w:rPr>
        <w:t>In our detailed responses to the questions raised in the CP, we make the following points:</w:t>
      </w:r>
    </w:p>
    <w:p w14:paraId="26DAD81E" w14:textId="77777777" w:rsidR="00A57FA0" w:rsidRPr="00201129" w:rsidRDefault="00A57FA0" w:rsidP="00A57FA0">
      <w:pPr>
        <w:jc w:val="both"/>
        <w:rPr>
          <w:rFonts w:ascii="Open Sans" w:hAnsi="Open Sans" w:cs="Open Sans"/>
          <w:szCs w:val="20"/>
        </w:rPr>
      </w:pPr>
    </w:p>
    <w:p w14:paraId="34A1C1C1" w14:textId="77777777" w:rsidR="00A57FA0" w:rsidRPr="00201129" w:rsidRDefault="00A57FA0" w:rsidP="00A57FA0">
      <w:pPr>
        <w:pStyle w:val="ListParagraph"/>
        <w:numPr>
          <w:ilvl w:val="0"/>
          <w:numId w:val="39"/>
        </w:numPr>
        <w:autoSpaceDE w:val="0"/>
        <w:autoSpaceDN w:val="0"/>
        <w:adjustRightInd w:val="0"/>
        <w:jc w:val="both"/>
        <w:rPr>
          <w:rFonts w:ascii="Open Sans" w:hAnsi="Open Sans" w:cs="Open Sans"/>
          <w:szCs w:val="20"/>
        </w:rPr>
      </w:pPr>
      <w:r w:rsidRPr="00201129">
        <w:rPr>
          <w:rFonts w:ascii="Open Sans" w:hAnsi="Open Sans" w:cs="Open Sans"/>
          <w:szCs w:val="20"/>
        </w:rPr>
        <w:t xml:space="preserve">We agree with ESMA that the MiFID II post-trade transparency framework for non-equities has yet to deliver meaningful transparency and is in urgent need of revision, in part to pave the way for a potential post-trade consolidated tape in Europe, which would be of significant benefit to European financial markets. Accordingly, we suggest that: </w:t>
      </w:r>
    </w:p>
    <w:p w14:paraId="3C92CE33" w14:textId="77777777" w:rsidR="00A57FA0" w:rsidRPr="00201129" w:rsidRDefault="00A57FA0" w:rsidP="00A57FA0">
      <w:pPr>
        <w:autoSpaceDE w:val="0"/>
        <w:autoSpaceDN w:val="0"/>
        <w:adjustRightInd w:val="0"/>
        <w:jc w:val="both"/>
        <w:rPr>
          <w:rFonts w:ascii="Open Sans" w:hAnsi="Open Sans" w:cs="Open Sans"/>
          <w:szCs w:val="20"/>
        </w:rPr>
      </w:pPr>
    </w:p>
    <w:p w14:paraId="66FD4022" w14:textId="77777777" w:rsidR="00A57FA0" w:rsidRPr="00201129" w:rsidRDefault="00A57FA0" w:rsidP="00A57FA0">
      <w:pPr>
        <w:pStyle w:val="ListParagraph"/>
        <w:numPr>
          <w:ilvl w:val="1"/>
          <w:numId w:val="39"/>
        </w:numPr>
        <w:autoSpaceDE w:val="0"/>
        <w:autoSpaceDN w:val="0"/>
        <w:adjustRightInd w:val="0"/>
        <w:jc w:val="both"/>
        <w:rPr>
          <w:rFonts w:ascii="Open Sans" w:hAnsi="Open Sans" w:cs="Open Sans"/>
          <w:szCs w:val="20"/>
        </w:rPr>
      </w:pPr>
      <w:r w:rsidRPr="00201129">
        <w:rPr>
          <w:rFonts w:ascii="Open Sans" w:hAnsi="Open Sans" w:cs="Open Sans"/>
          <w:szCs w:val="20"/>
        </w:rPr>
        <w:t>Deferral periods should be significantly shortened</w:t>
      </w:r>
    </w:p>
    <w:p w14:paraId="1C924EBE" w14:textId="77777777" w:rsidR="00A57FA0" w:rsidRPr="00201129" w:rsidRDefault="00A57FA0" w:rsidP="00A57FA0">
      <w:pPr>
        <w:pStyle w:val="ListParagraph"/>
        <w:numPr>
          <w:ilvl w:val="1"/>
          <w:numId w:val="39"/>
        </w:numPr>
        <w:autoSpaceDE w:val="0"/>
        <w:autoSpaceDN w:val="0"/>
        <w:adjustRightInd w:val="0"/>
        <w:jc w:val="both"/>
        <w:rPr>
          <w:rFonts w:ascii="Open Sans" w:hAnsi="Open Sans" w:cs="Open Sans"/>
          <w:szCs w:val="20"/>
        </w:rPr>
      </w:pPr>
      <w:r w:rsidRPr="00201129">
        <w:rPr>
          <w:rFonts w:ascii="Open Sans" w:hAnsi="Open Sans" w:cs="Open Sans"/>
          <w:szCs w:val="20"/>
        </w:rPr>
        <w:t>The dissemination of the notional amount of large-size trades should be capped</w:t>
      </w:r>
    </w:p>
    <w:p w14:paraId="33E38233" w14:textId="77777777" w:rsidR="00A57FA0" w:rsidRPr="00201129" w:rsidRDefault="00A57FA0" w:rsidP="00A57FA0">
      <w:pPr>
        <w:pStyle w:val="ListParagraph"/>
        <w:numPr>
          <w:ilvl w:val="1"/>
          <w:numId w:val="39"/>
        </w:numPr>
        <w:autoSpaceDE w:val="0"/>
        <w:autoSpaceDN w:val="0"/>
        <w:adjustRightInd w:val="0"/>
        <w:jc w:val="both"/>
        <w:rPr>
          <w:rFonts w:ascii="Open Sans" w:hAnsi="Open Sans" w:cs="Open Sans"/>
          <w:szCs w:val="20"/>
        </w:rPr>
      </w:pPr>
      <w:r w:rsidRPr="00201129">
        <w:rPr>
          <w:rFonts w:ascii="Open Sans" w:hAnsi="Open Sans" w:cs="Open Sans"/>
          <w:szCs w:val="20"/>
        </w:rPr>
        <w:t>The publication of post-trade price data on an aggregated basis across multiple transactions should be removed</w:t>
      </w:r>
    </w:p>
    <w:p w14:paraId="3A06BAB1" w14:textId="77777777" w:rsidR="00A57FA0" w:rsidRPr="00201129" w:rsidRDefault="00A57FA0" w:rsidP="00A57FA0">
      <w:pPr>
        <w:pStyle w:val="ListParagraph"/>
        <w:numPr>
          <w:ilvl w:val="1"/>
          <w:numId w:val="39"/>
        </w:numPr>
        <w:spacing w:after="200" w:line="276" w:lineRule="auto"/>
        <w:jc w:val="both"/>
        <w:rPr>
          <w:rFonts w:ascii="Open Sans" w:hAnsi="Open Sans" w:cs="Open Sans"/>
          <w:szCs w:val="20"/>
        </w:rPr>
      </w:pPr>
      <w:r w:rsidRPr="00201129">
        <w:rPr>
          <w:rFonts w:ascii="Open Sans" w:hAnsi="Open Sans" w:cs="Open Sans"/>
          <w:szCs w:val="20"/>
        </w:rPr>
        <w:t>Deferrals should be harmonised across member states</w:t>
      </w:r>
    </w:p>
    <w:p w14:paraId="2F34DBD0" w14:textId="77777777" w:rsidR="00A57FA0" w:rsidRPr="00201129" w:rsidRDefault="00A57FA0" w:rsidP="00A57FA0">
      <w:pPr>
        <w:pStyle w:val="ListParagraph"/>
        <w:numPr>
          <w:ilvl w:val="1"/>
          <w:numId w:val="39"/>
        </w:numPr>
        <w:spacing w:after="200" w:line="276" w:lineRule="auto"/>
        <w:jc w:val="both"/>
        <w:rPr>
          <w:rFonts w:ascii="Open Sans" w:hAnsi="Open Sans" w:cs="Open Sans"/>
          <w:szCs w:val="20"/>
        </w:rPr>
      </w:pPr>
      <w:r w:rsidRPr="00201129">
        <w:rPr>
          <w:rFonts w:ascii="Open Sans" w:hAnsi="Open Sans" w:cs="Open Sans"/>
          <w:szCs w:val="20"/>
        </w:rPr>
        <w:t xml:space="preserve">OTC derivatives transactions involving a firm that is an SI in the relevant sub-asset class should be subject to post-trade transparency. </w:t>
      </w:r>
    </w:p>
    <w:p w14:paraId="19E1874B" w14:textId="77777777" w:rsidR="00A57FA0" w:rsidRPr="00201129" w:rsidRDefault="00A57FA0" w:rsidP="00A57FA0">
      <w:pPr>
        <w:pStyle w:val="ListParagraph"/>
        <w:ind w:left="1440"/>
        <w:jc w:val="both"/>
        <w:rPr>
          <w:rFonts w:ascii="Open Sans" w:hAnsi="Open Sans" w:cs="Open Sans"/>
          <w:szCs w:val="20"/>
        </w:rPr>
      </w:pPr>
    </w:p>
    <w:p w14:paraId="7C0FFBB8" w14:textId="77777777" w:rsidR="00A57FA0" w:rsidRPr="00201129" w:rsidRDefault="00A57FA0" w:rsidP="00A57FA0">
      <w:pPr>
        <w:pStyle w:val="ListParagraph"/>
        <w:numPr>
          <w:ilvl w:val="0"/>
          <w:numId w:val="39"/>
        </w:numPr>
        <w:autoSpaceDE w:val="0"/>
        <w:autoSpaceDN w:val="0"/>
        <w:adjustRightInd w:val="0"/>
        <w:jc w:val="both"/>
        <w:rPr>
          <w:rFonts w:ascii="Open Sans" w:hAnsi="Open Sans" w:cs="Open Sans"/>
          <w:szCs w:val="20"/>
        </w:rPr>
      </w:pPr>
      <w:r w:rsidRPr="00201129">
        <w:rPr>
          <w:rFonts w:ascii="Open Sans" w:hAnsi="Open Sans" w:cs="Open Sans"/>
          <w:szCs w:val="20"/>
        </w:rPr>
        <w:t>We endorse ESMA’s plan to follow up, in close cooperation with competent authorities, on the compliance of trading venues and APAs with the obligation to provide market data free of charge 15 minutes after publication.</w:t>
      </w:r>
    </w:p>
    <w:p w14:paraId="0C38B9E2" w14:textId="77777777" w:rsidR="00A57FA0" w:rsidRPr="00201129" w:rsidRDefault="00A57FA0" w:rsidP="00A57FA0">
      <w:pPr>
        <w:pStyle w:val="ListParagraph"/>
        <w:rPr>
          <w:rFonts w:ascii="Open Sans" w:hAnsi="Open Sans" w:cs="Open Sans"/>
          <w:szCs w:val="20"/>
        </w:rPr>
      </w:pPr>
    </w:p>
    <w:p w14:paraId="773FC646" w14:textId="77777777" w:rsidR="00A57FA0" w:rsidRPr="00201129" w:rsidRDefault="00A57FA0" w:rsidP="00A57FA0">
      <w:pPr>
        <w:pStyle w:val="ListParagraph"/>
        <w:numPr>
          <w:ilvl w:val="0"/>
          <w:numId w:val="39"/>
        </w:numPr>
        <w:autoSpaceDE w:val="0"/>
        <w:autoSpaceDN w:val="0"/>
        <w:adjustRightInd w:val="0"/>
        <w:jc w:val="both"/>
        <w:rPr>
          <w:rFonts w:ascii="Open Sans" w:hAnsi="Open Sans" w:cs="Open Sans"/>
          <w:bCs/>
          <w:szCs w:val="20"/>
        </w:rPr>
      </w:pPr>
      <w:r w:rsidRPr="00201129">
        <w:rPr>
          <w:rFonts w:ascii="Open Sans" w:hAnsi="Open Sans" w:cs="Open Sans"/>
          <w:bCs/>
          <w:szCs w:val="20"/>
        </w:rPr>
        <w:t xml:space="preserve">Post-trade name give-up by MTFs and OTFs should be prohibited.  EU market participants must be able to access all venues that list instruments subject to the DTO.  Post-trade name give-up effectively prevents buy-side market participants from accessing specific venues, and the practice does not comply with the non-discriminatory access requirements in MiFID II.  There is no legitimate justification for the continued use of the practice for centrally cleared instruments.  </w:t>
      </w:r>
    </w:p>
    <w:p w14:paraId="64A66DF4" w14:textId="77777777" w:rsidR="00A57FA0" w:rsidRPr="00201129" w:rsidRDefault="00A57FA0" w:rsidP="00A57FA0">
      <w:pPr>
        <w:pStyle w:val="ListParagraph"/>
        <w:rPr>
          <w:rFonts w:ascii="Open Sans" w:hAnsi="Open Sans" w:cs="Open Sans"/>
          <w:szCs w:val="20"/>
        </w:rPr>
      </w:pPr>
    </w:p>
    <w:p w14:paraId="5FD513AA" w14:textId="77777777" w:rsidR="00A57FA0" w:rsidRPr="00201129" w:rsidRDefault="00A57FA0" w:rsidP="00A57FA0">
      <w:pPr>
        <w:pStyle w:val="ListParagraph"/>
        <w:numPr>
          <w:ilvl w:val="0"/>
          <w:numId w:val="39"/>
        </w:numPr>
        <w:autoSpaceDE w:val="0"/>
        <w:autoSpaceDN w:val="0"/>
        <w:adjustRightInd w:val="0"/>
        <w:jc w:val="both"/>
        <w:rPr>
          <w:rFonts w:ascii="Open Sans" w:hAnsi="Open Sans" w:cs="Open Sans"/>
          <w:szCs w:val="20"/>
        </w:rPr>
      </w:pPr>
      <w:r w:rsidRPr="00201129">
        <w:rPr>
          <w:rFonts w:ascii="Open Sans" w:hAnsi="Open Sans" w:cs="Open Sans"/>
          <w:szCs w:val="20"/>
        </w:rPr>
        <w:t>Separately, we believe that ESMA should look more holistically at the MiFID II obligations in respect of trade and transaction reporting and the already significant reporting burden that falls on buy-side firms. A key way of addressing this problem would be to move to a reporting model where the sell-side is the primary reporting party for both post-trade and transaction reporting, given that sell-side firms typically have the scale necessary to be able to carry the costs associated with reporting.</w:t>
      </w:r>
    </w:p>
    <w:p w14:paraId="0C603B6D" w14:textId="77777777" w:rsidR="00A57FA0" w:rsidRPr="00201129" w:rsidRDefault="00A57FA0" w:rsidP="00A57FA0">
      <w:pPr>
        <w:pStyle w:val="ListParagraph"/>
        <w:rPr>
          <w:rFonts w:ascii="Open Sans" w:hAnsi="Open Sans" w:cs="Open Sans"/>
          <w:szCs w:val="20"/>
        </w:rPr>
      </w:pPr>
    </w:p>
    <w:p w14:paraId="62D46FD4" w14:textId="77777777" w:rsidR="00A57FA0" w:rsidRPr="00201129" w:rsidRDefault="00A57FA0" w:rsidP="00A57FA0">
      <w:pPr>
        <w:pStyle w:val="ListParagraph"/>
        <w:numPr>
          <w:ilvl w:val="0"/>
          <w:numId w:val="39"/>
        </w:numPr>
        <w:autoSpaceDE w:val="0"/>
        <w:autoSpaceDN w:val="0"/>
        <w:adjustRightInd w:val="0"/>
        <w:jc w:val="both"/>
        <w:rPr>
          <w:rFonts w:ascii="Open Sans" w:hAnsi="Open Sans" w:cs="Open Sans"/>
          <w:szCs w:val="20"/>
        </w:rPr>
      </w:pPr>
      <w:r w:rsidRPr="00201129">
        <w:rPr>
          <w:rFonts w:ascii="Open Sans" w:hAnsi="Open Sans" w:cs="Open Sans"/>
          <w:szCs w:val="20"/>
        </w:rPr>
        <w:t>We would be concerned about any move to adjust the pre-trade large-in-scale waiver for commodity derivatives, which we believe has worked well.</w:t>
      </w:r>
    </w:p>
    <w:p w14:paraId="0AD310CE" w14:textId="77777777" w:rsidR="00A57FA0" w:rsidRPr="00201129" w:rsidRDefault="00A57FA0" w:rsidP="00A57FA0">
      <w:pPr>
        <w:jc w:val="both"/>
        <w:rPr>
          <w:rFonts w:ascii="Open Sans" w:hAnsi="Open Sans" w:cs="Open Sans"/>
          <w:szCs w:val="20"/>
        </w:rPr>
      </w:pPr>
    </w:p>
    <w:p w14:paraId="5E385AD1" w14:textId="77777777" w:rsidR="00A57FA0" w:rsidRPr="00201129" w:rsidRDefault="00A57FA0" w:rsidP="00A57FA0">
      <w:pPr>
        <w:jc w:val="center"/>
        <w:rPr>
          <w:rFonts w:ascii="Open Sans" w:hAnsi="Open Sans" w:cs="Open Sans"/>
          <w:szCs w:val="20"/>
        </w:rPr>
      </w:pPr>
      <w:r w:rsidRPr="00201129">
        <w:rPr>
          <w:rFonts w:ascii="Open Sans" w:hAnsi="Open Sans" w:cs="Open Sans"/>
          <w:szCs w:val="20"/>
        </w:rPr>
        <w:t>***</w:t>
      </w:r>
    </w:p>
    <w:p w14:paraId="3300F5AB" w14:textId="77777777" w:rsidR="00A57FA0" w:rsidRPr="00201129" w:rsidRDefault="00A57FA0" w:rsidP="00A57FA0">
      <w:pPr>
        <w:jc w:val="center"/>
        <w:rPr>
          <w:rFonts w:ascii="Open Sans" w:hAnsi="Open Sans" w:cs="Open Sans"/>
          <w:szCs w:val="20"/>
        </w:rPr>
      </w:pPr>
    </w:p>
    <w:p w14:paraId="46DD709F" w14:textId="77777777" w:rsidR="00A57FA0" w:rsidRPr="00201129" w:rsidRDefault="00A57FA0" w:rsidP="00A57FA0">
      <w:pPr>
        <w:jc w:val="both"/>
        <w:rPr>
          <w:rFonts w:ascii="Open Sans" w:hAnsi="Open Sans" w:cs="Open Sans"/>
          <w:szCs w:val="20"/>
        </w:rPr>
      </w:pPr>
      <w:r w:rsidRPr="00201129">
        <w:rPr>
          <w:rFonts w:ascii="Open Sans" w:hAnsi="Open Sans" w:cs="Open Sans"/>
          <w:szCs w:val="20"/>
        </w:rPr>
        <w:t>We would be happy to discuss any aspect of our response in further detail. Please contact Adam Jacobs-Dean (</w:t>
      </w:r>
      <w:hyperlink r:id="rId19" w:history="1">
        <w:r w:rsidRPr="00201129">
          <w:rPr>
            <w:rStyle w:val="Hyperlink"/>
            <w:rFonts w:ascii="Open Sans" w:hAnsi="Open Sans" w:cs="Open Sans"/>
            <w:szCs w:val="20"/>
          </w:rPr>
          <w:t>ajacobs-dean@aima.org</w:t>
        </w:r>
      </w:hyperlink>
      <w:r w:rsidRPr="00201129">
        <w:rPr>
          <w:rFonts w:ascii="Open Sans" w:hAnsi="Open Sans" w:cs="Open Sans"/>
          <w:szCs w:val="20"/>
        </w:rPr>
        <w:t>) and Michael Pedroni (</w:t>
      </w:r>
      <w:hyperlink r:id="rId20" w:history="1">
        <w:r w:rsidRPr="00201129">
          <w:rPr>
            <w:rStyle w:val="Hyperlink"/>
            <w:rFonts w:ascii="Open Sans" w:hAnsi="Open Sans" w:cs="Open Sans"/>
            <w:szCs w:val="20"/>
          </w:rPr>
          <w:t>mpedroni@managedfunds.org</w:t>
        </w:r>
      </w:hyperlink>
      <w:r w:rsidRPr="00201129">
        <w:rPr>
          <w:rFonts w:ascii="Open Sans" w:hAnsi="Open Sans" w:cs="Open Sans"/>
          <w:szCs w:val="20"/>
        </w:rPr>
        <w:t xml:space="preserve">). </w:t>
      </w:r>
    </w:p>
    <w:permEnd w:id="1454525006"/>
    <w:p w14:paraId="6A22288E" w14:textId="0B87A178" w:rsidR="00F87897" w:rsidRDefault="00F87897" w:rsidP="00F87897"/>
    <w:p w14:paraId="3B7AB56A" w14:textId="3EA6C574" w:rsidR="00F87897" w:rsidRPr="00BF28DA" w:rsidRDefault="00F87897" w:rsidP="00F87897">
      <w:r w:rsidRPr="00BF28DA">
        <w:t>&lt;ESMA_COMMENT_</w:t>
      </w:r>
      <w:r w:rsidR="00227C1A">
        <w:t>CP</w:t>
      </w:r>
      <w:r w:rsidR="007254DD">
        <w:t>_MIFID_NQT</w:t>
      </w:r>
      <w:r w:rsidR="00F107EF">
        <w:t>_</w:t>
      </w:r>
      <w:r w:rsidRPr="00BF28DA">
        <w:t>1&gt;</w:t>
      </w:r>
    </w:p>
    <w:p w14:paraId="6D8E7793" w14:textId="77777777" w:rsidR="00F87897" w:rsidRDefault="00F87897">
      <w:pPr>
        <w:rPr>
          <w:rFonts w:eastAsiaTheme="minorEastAsia" w:cstheme="minorBidi"/>
          <w:b/>
          <w:sz w:val="22"/>
          <w:szCs w:val="20"/>
          <w:lang w:eastAsia="en-US"/>
        </w:rPr>
      </w:pPr>
      <w:r>
        <w:br w:type="page"/>
      </w:r>
    </w:p>
    <w:p w14:paraId="0D8E3AF7" w14:textId="678DC6FD" w:rsidR="00A8728B" w:rsidRPr="00070630" w:rsidRDefault="007254DD" w:rsidP="00431B0A">
      <w:pPr>
        <w:pStyle w:val="CPQuestions"/>
      </w:pPr>
      <w:r w:rsidRPr="007254DD">
        <w:lastRenderedPageBreak/>
        <w:t>What benefits or impacts would you see in increased pre-trade transparency in the different non-equity markets? How could the benefits/impacts of such pre-trade transparency be achieved/be mitigated via changes of the Level 1 text?</w:t>
      </w:r>
      <w:r w:rsidR="00276A5A">
        <w:t>.</w:t>
      </w:r>
    </w:p>
    <w:p w14:paraId="2478D340" w14:textId="3C29782D" w:rsidR="00A8728B" w:rsidRDefault="00A8728B" w:rsidP="00A8728B">
      <w:r>
        <w:t>&lt;ESMA_QUESTION</w:t>
      </w:r>
      <w:r w:rsidR="00D920D1">
        <w:t>_</w:t>
      </w:r>
      <w:r w:rsidR="00227C1A">
        <w:t>CP</w:t>
      </w:r>
      <w:r w:rsidR="007254DD">
        <w:t>_MIFID_NQT</w:t>
      </w:r>
      <w:r w:rsidR="00F107EF">
        <w:t>_</w:t>
      </w:r>
      <w:r>
        <w:t>1&gt;</w:t>
      </w:r>
    </w:p>
    <w:p w14:paraId="0EA53896" w14:textId="77777777" w:rsidR="00A57FA0" w:rsidRPr="00201129" w:rsidRDefault="00A57FA0" w:rsidP="00A57FA0">
      <w:pPr>
        <w:autoSpaceDE w:val="0"/>
        <w:autoSpaceDN w:val="0"/>
        <w:adjustRightInd w:val="0"/>
        <w:jc w:val="both"/>
        <w:rPr>
          <w:rFonts w:ascii="Open Sans" w:hAnsi="Open Sans" w:cs="Open Sans"/>
          <w:b/>
          <w:bCs/>
          <w:szCs w:val="20"/>
        </w:rPr>
      </w:pPr>
      <w:permStart w:id="1955866996" w:edGrp="everyone"/>
      <w:r w:rsidRPr="00201129">
        <w:rPr>
          <w:rFonts w:ascii="Open Sans" w:hAnsi="Open Sans" w:cs="Open Sans"/>
          <w:szCs w:val="20"/>
        </w:rPr>
        <w:t>Increasing pre-trade transparency improves competition among liquidity providers and overall liquidity conditions, reduces transaction costs, and facilitates execution quality analysis.  Non-equities markets continue to lack meaningful pre-trade transparency.</w:t>
      </w:r>
    </w:p>
    <w:permEnd w:id="1955866996"/>
    <w:p w14:paraId="4A4CF699" w14:textId="11EB6598" w:rsidR="00A8728B" w:rsidRDefault="00A8728B" w:rsidP="00A8728B"/>
    <w:p w14:paraId="059D15D7" w14:textId="3C370F9E" w:rsidR="00A8728B" w:rsidRDefault="00A8728B" w:rsidP="00A8728B">
      <w:r>
        <w:t>&lt;ESMA_QUESTION</w:t>
      </w:r>
      <w:r w:rsidR="00D920D1">
        <w:t>_</w:t>
      </w:r>
      <w:r w:rsidR="00227C1A">
        <w:t>CP</w:t>
      </w:r>
      <w:r w:rsidR="007254DD">
        <w:t>_MIFID_NQT</w:t>
      </w:r>
      <w:r w:rsidR="00F107EF">
        <w:t>_</w:t>
      </w:r>
      <w:r>
        <w:t>1&gt;</w:t>
      </w:r>
    </w:p>
    <w:p w14:paraId="765B8CCE" w14:textId="77777777" w:rsidR="00C228C1" w:rsidRDefault="00C228C1" w:rsidP="00A8728B"/>
    <w:p w14:paraId="3135A16A" w14:textId="35DBECDC" w:rsidR="00431DA4" w:rsidRPr="00431DA4" w:rsidRDefault="007254DD" w:rsidP="00EF383B">
      <w:pPr>
        <w:pStyle w:val="CPQuestions"/>
      </w:pPr>
      <w:r w:rsidRPr="007254DD">
        <w:t>What proposals do you have for improving the level of pre-trade transparency available? Do you believe that the simplification of the regime for pre-trade transparency waivers would contribute to the improvement of the level of pre-trade transparency available?</w:t>
      </w:r>
    </w:p>
    <w:p w14:paraId="717E2C9B" w14:textId="02342204" w:rsidR="00A8728B" w:rsidRDefault="00A8728B" w:rsidP="00A8728B">
      <w:r>
        <w:t>&lt;ESMA_QUESTION</w:t>
      </w:r>
      <w:r w:rsidR="00D920D1">
        <w:t>_</w:t>
      </w:r>
      <w:r w:rsidR="00227C1A">
        <w:t>CP</w:t>
      </w:r>
      <w:r w:rsidR="007254DD">
        <w:t>_MIFID_NQT</w:t>
      </w:r>
      <w:r w:rsidR="00F107EF">
        <w:t>_</w:t>
      </w:r>
      <w:r>
        <w:t>2&gt;</w:t>
      </w:r>
    </w:p>
    <w:p w14:paraId="133874B7" w14:textId="77777777" w:rsidR="00A57FA0" w:rsidRPr="00201129" w:rsidRDefault="00A57FA0" w:rsidP="00A57FA0">
      <w:pPr>
        <w:autoSpaceDE w:val="0"/>
        <w:autoSpaceDN w:val="0"/>
        <w:adjustRightInd w:val="0"/>
        <w:jc w:val="both"/>
        <w:rPr>
          <w:rFonts w:ascii="Open Sans" w:hAnsi="Open Sans" w:cs="Open Sans"/>
          <w:bCs/>
          <w:szCs w:val="20"/>
        </w:rPr>
      </w:pPr>
      <w:permStart w:id="1066216518" w:edGrp="everyone"/>
      <w:r w:rsidRPr="00201129">
        <w:rPr>
          <w:rFonts w:ascii="Open Sans" w:hAnsi="Open Sans" w:cs="Open Sans"/>
          <w:bCs/>
          <w:szCs w:val="20"/>
        </w:rPr>
        <w:t xml:space="preserve">Waivers should be </w:t>
      </w:r>
      <w:proofErr w:type="gramStart"/>
      <w:r w:rsidRPr="00201129">
        <w:rPr>
          <w:rFonts w:ascii="Open Sans" w:hAnsi="Open Sans" w:cs="Open Sans"/>
          <w:bCs/>
          <w:szCs w:val="20"/>
        </w:rPr>
        <w:t>simplified</w:t>
      </w:r>
      <w:proofErr w:type="gramEnd"/>
      <w:r w:rsidRPr="00201129">
        <w:rPr>
          <w:rFonts w:ascii="Open Sans" w:hAnsi="Open Sans" w:cs="Open Sans"/>
          <w:bCs/>
          <w:szCs w:val="20"/>
        </w:rPr>
        <w:t xml:space="preserve"> and liquidity thresholds should be recalibrated (including ensuring OTC derivatives subject to the EMIR clearing obligation are always considered liquid for transparency).</w:t>
      </w:r>
    </w:p>
    <w:permEnd w:id="1066216518"/>
    <w:p w14:paraId="108232FE" w14:textId="6028AB17" w:rsidR="00A8728B" w:rsidRDefault="00A8728B" w:rsidP="00A8728B"/>
    <w:p w14:paraId="6DEAF756" w14:textId="7F38DFEA" w:rsidR="00A8728B" w:rsidRDefault="00A8728B" w:rsidP="00A8728B">
      <w:r>
        <w:t>&lt;ESMA_QUESTION</w:t>
      </w:r>
      <w:r w:rsidR="00D920D1">
        <w:t>_</w:t>
      </w:r>
      <w:r w:rsidR="00227C1A">
        <w:t>CP</w:t>
      </w:r>
      <w:r w:rsidR="007254DD">
        <w:t>_MIFID_NQT</w:t>
      </w:r>
      <w:r w:rsidR="00F107EF">
        <w:t>_</w:t>
      </w:r>
      <w:r>
        <w:t>2&gt;</w:t>
      </w:r>
    </w:p>
    <w:p w14:paraId="6A1F9FDE" w14:textId="77777777" w:rsidR="002E1760" w:rsidRDefault="002E1760" w:rsidP="00A8728B"/>
    <w:p w14:paraId="5A44EAC7" w14:textId="58C35D04" w:rsidR="002E1760" w:rsidRPr="00431DA4" w:rsidRDefault="007254DD" w:rsidP="00293D78">
      <w:pPr>
        <w:pStyle w:val="CPQuestions"/>
      </w:pPr>
      <w:r w:rsidRPr="007254DD">
        <w:t>Are you supportive of ESMA’s proposal to delete the pre-trade SSTI-waiver? Would you compensate for this by lowering the pre-trade LIS-thresholds across all asset classes or only for selected asset classes? What would be the appropriate level for such adjusted LIS-thresholds? If you do not support ESMA’s proposal to delete the pre-trade SSTI-waiver, what should be the way forward on the SSTI-waiver in your view?</w:t>
      </w:r>
    </w:p>
    <w:p w14:paraId="20EFBA0C" w14:textId="5FF0A6A3" w:rsidR="002E1760" w:rsidRDefault="002E1760" w:rsidP="002E1760">
      <w:r>
        <w:t>&lt;ESMA_QUESTION_</w:t>
      </w:r>
      <w:r w:rsidR="00227C1A">
        <w:t>CP</w:t>
      </w:r>
      <w:r w:rsidR="007254DD">
        <w:t>_MIFID_NQT</w:t>
      </w:r>
      <w:r w:rsidR="00F107EF">
        <w:t>_</w:t>
      </w:r>
      <w:r>
        <w:t>3&gt;</w:t>
      </w:r>
    </w:p>
    <w:p w14:paraId="65C31209" w14:textId="77777777" w:rsidR="00A57FA0" w:rsidRPr="00201129" w:rsidRDefault="00A57FA0" w:rsidP="00A57FA0">
      <w:pPr>
        <w:autoSpaceDE w:val="0"/>
        <w:autoSpaceDN w:val="0"/>
        <w:adjustRightInd w:val="0"/>
        <w:jc w:val="both"/>
        <w:rPr>
          <w:rFonts w:ascii="Open Sans" w:hAnsi="Open Sans" w:cs="Open Sans"/>
          <w:bCs/>
          <w:szCs w:val="20"/>
        </w:rPr>
      </w:pPr>
      <w:permStart w:id="473446270" w:edGrp="everyone"/>
      <w:r w:rsidRPr="00201129">
        <w:rPr>
          <w:rFonts w:ascii="Open Sans" w:hAnsi="Open Sans" w:cs="Open Sans"/>
          <w:bCs/>
          <w:szCs w:val="20"/>
        </w:rPr>
        <w:t>Yes, removing the SSTI waiver would simplify the regime.  We would support maintaining the current pre-trade LIS waiver.</w:t>
      </w:r>
    </w:p>
    <w:permEnd w:id="473446270"/>
    <w:p w14:paraId="27C12B76" w14:textId="3FE59648" w:rsidR="002E1760" w:rsidRDefault="002E1760" w:rsidP="002E1760"/>
    <w:p w14:paraId="38AD242F" w14:textId="5BFF8517" w:rsidR="002E1760" w:rsidRDefault="002E1760" w:rsidP="002E1760">
      <w:r>
        <w:t>&lt;ESMA_QUESTION_</w:t>
      </w:r>
      <w:r w:rsidR="00227C1A">
        <w:t>CP</w:t>
      </w:r>
      <w:r w:rsidR="007254DD">
        <w:t>_MIFID_NQT</w:t>
      </w:r>
      <w:r w:rsidR="00F107EF">
        <w:t>_</w:t>
      </w:r>
      <w:r>
        <w:t>3&gt;</w:t>
      </w:r>
    </w:p>
    <w:p w14:paraId="65520281" w14:textId="77777777" w:rsidR="002E1760" w:rsidRDefault="002E1760" w:rsidP="00A8728B"/>
    <w:p w14:paraId="1636EA21" w14:textId="3747DB04" w:rsidR="002E1760" w:rsidRPr="00431DA4" w:rsidRDefault="007254DD" w:rsidP="00293D78">
      <w:pPr>
        <w:pStyle w:val="CPQuestions"/>
      </w:pPr>
      <w:r w:rsidRPr="007254DD">
        <w:t>What are your views on the use of the SSTI for the SI-quoting obligations. Should it remain (Option 1) or be replaced by linking the quoting obligation to another threshold (e.g. a certain percentage of the LIS-threshold) (Option 2)? Please explain</w:t>
      </w:r>
      <w:r w:rsidR="00B61CD3">
        <w:t>.</w:t>
      </w:r>
    </w:p>
    <w:p w14:paraId="53C0B09B" w14:textId="7657C17F" w:rsidR="002E1760" w:rsidRDefault="002E1760" w:rsidP="002E1760">
      <w:r>
        <w:t>&lt;ESMA_QUESTION_</w:t>
      </w:r>
      <w:r w:rsidR="00227C1A">
        <w:t>CP</w:t>
      </w:r>
      <w:r w:rsidR="007254DD">
        <w:t>_MIFID_NQT</w:t>
      </w:r>
      <w:r w:rsidR="00F107EF">
        <w:t>_</w:t>
      </w:r>
      <w:r>
        <w:t>4&gt;</w:t>
      </w:r>
    </w:p>
    <w:p w14:paraId="22440220" w14:textId="77777777" w:rsidR="002E1760" w:rsidRDefault="002E1760" w:rsidP="002E1760">
      <w:permStart w:id="1101743476" w:edGrp="everyone"/>
      <w:r>
        <w:t>TYPE YOUR TEXT HERE</w:t>
      </w:r>
      <w:permEnd w:id="1101743476"/>
    </w:p>
    <w:p w14:paraId="26125AF8" w14:textId="6B643FEF" w:rsidR="002E1760" w:rsidRDefault="002E1760" w:rsidP="002E1760">
      <w:r>
        <w:t>&lt;ESMA_QUESTION_</w:t>
      </w:r>
      <w:r w:rsidR="00227C1A">
        <w:t>CP</w:t>
      </w:r>
      <w:r w:rsidR="007254DD">
        <w:t>_MIFID_NQT</w:t>
      </w:r>
      <w:r w:rsidR="00F107EF">
        <w:t>_</w:t>
      </w:r>
      <w:r>
        <w:t>4&gt;</w:t>
      </w:r>
    </w:p>
    <w:p w14:paraId="2938B1AA" w14:textId="77777777" w:rsidR="002E1760" w:rsidRDefault="002E1760" w:rsidP="002E1760"/>
    <w:p w14:paraId="7F048ADD" w14:textId="66E775F9" w:rsidR="002E1760" w:rsidRPr="00431DA4" w:rsidRDefault="007254DD" w:rsidP="00293D78">
      <w:pPr>
        <w:pStyle w:val="CPQuestions"/>
      </w:pPr>
      <w:r w:rsidRPr="007254DD">
        <w:t>Would you support turning the hedging exemption into a limited negotiated trade waiver? If so, would you support Option 1 or Option 2? If not, please explain why</w:t>
      </w:r>
      <w:r w:rsidR="00B61CD3">
        <w:t>.</w:t>
      </w:r>
    </w:p>
    <w:p w14:paraId="6C5044C2" w14:textId="0F366BCF" w:rsidR="00227C1A" w:rsidRDefault="00227C1A" w:rsidP="00227C1A">
      <w:r>
        <w:lastRenderedPageBreak/>
        <w:t>&lt;ESMA_QUESTION_CP</w:t>
      </w:r>
      <w:r w:rsidR="007254DD">
        <w:t>_MIFID_NQT</w:t>
      </w:r>
      <w:r w:rsidR="00F107EF">
        <w:t>_</w:t>
      </w:r>
      <w:r w:rsidR="0062022D">
        <w:t>5</w:t>
      </w:r>
      <w:r>
        <w:t>&gt;</w:t>
      </w:r>
    </w:p>
    <w:p w14:paraId="5E6AA5B5" w14:textId="77777777" w:rsidR="00227C1A" w:rsidRDefault="00227C1A" w:rsidP="00227C1A">
      <w:permStart w:id="1725855520" w:edGrp="everyone"/>
      <w:r>
        <w:t>TYPE YOUR TEXT HERE</w:t>
      </w:r>
      <w:permEnd w:id="1725855520"/>
    </w:p>
    <w:p w14:paraId="3C640BDD" w14:textId="6C310C96" w:rsidR="00227C1A" w:rsidRDefault="00227C1A" w:rsidP="00227C1A">
      <w:r>
        <w:t>&lt;ESMA_QUESTION_CP</w:t>
      </w:r>
      <w:r w:rsidR="007254DD">
        <w:t>_MIFID_NQT</w:t>
      </w:r>
      <w:r w:rsidR="00F107EF">
        <w:t>_</w:t>
      </w:r>
      <w:r w:rsidR="0062022D">
        <w:t>5</w:t>
      </w:r>
      <w:r>
        <w:t>&gt;</w:t>
      </w:r>
    </w:p>
    <w:p w14:paraId="6527E178" w14:textId="3385D4D9" w:rsidR="002E1760" w:rsidRDefault="002E1760" w:rsidP="002E1760"/>
    <w:p w14:paraId="3043648C" w14:textId="77777777" w:rsidR="00B27E7B" w:rsidRDefault="00B27E7B" w:rsidP="002E1760"/>
    <w:p w14:paraId="46019DAC" w14:textId="6C95E4EE" w:rsidR="002E1760" w:rsidRPr="00431DA4" w:rsidRDefault="007254DD" w:rsidP="00293D78">
      <w:pPr>
        <w:pStyle w:val="CPQuestions"/>
      </w:pPr>
      <w:r w:rsidRPr="007254DD">
        <w:t>Do you agree with ESMA’s observations on the emergence of new trading systems and the proposed way forward requiring a Level 1 change and ESMA to issue an Opinion for each new trading system defining its characteristics and the transparency requirements? Would you have suggestions for the timeline and process of such Opinions? Please explain</w:t>
      </w:r>
      <w:r w:rsidR="00B61CD3">
        <w:t>.</w:t>
      </w:r>
    </w:p>
    <w:p w14:paraId="470AAA99" w14:textId="532FAE54" w:rsidR="0062022D" w:rsidRDefault="0062022D" w:rsidP="0062022D">
      <w:r>
        <w:t>&lt;ESMA_QUESTION_CP</w:t>
      </w:r>
      <w:r w:rsidR="007254DD">
        <w:t>_MIFID_NQT</w:t>
      </w:r>
      <w:r w:rsidR="00F107EF">
        <w:t>_</w:t>
      </w:r>
      <w:r w:rsidR="00A263DF">
        <w:t>6</w:t>
      </w:r>
      <w:r>
        <w:t>&gt;</w:t>
      </w:r>
    </w:p>
    <w:p w14:paraId="7F3F849F" w14:textId="77777777" w:rsidR="0062022D" w:rsidRDefault="0062022D" w:rsidP="0062022D">
      <w:permStart w:id="203298670" w:edGrp="everyone"/>
      <w:r>
        <w:t>TYPE YOUR TEXT HERE</w:t>
      </w:r>
      <w:permEnd w:id="203298670"/>
    </w:p>
    <w:p w14:paraId="42CFCE2F" w14:textId="1383F8B4" w:rsidR="0062022D" w:rsidRDefault="0062022D" w:rsidP="0062022D">
      <w:r>
        <w:t>&lt;ESMA_QUESTION_CP</w:t>
      </w:r>
      <w:r w:rsidR="007254DD">
        <w:t>_MIFID_NQT</w:t>
      </w:r>
      <w:r w:rsidR="00F107EF">
        <w:t>_</w:t>
      </w:r>
      <w:r w:rsidR="00A263DF">
        <w:t>6</w:t>
      </w:r>
      <w:r>
        <w:t>&gt;</w:t>
      </w:r>
    </w:p>
    <w:p w14:paraId="3925B5D2" w14:textId="77777777" w:rsidR="0062022D" w:rsidRDefault="0062022D" w:rsidP="009003B8">
      <w:pPr>
        <w:jc w:val="both"/>
        <w:rPr>
          <w:i/>
        </w:rPr>
      </w:pPr>
    </w:p>
    <w:p w14:paraId="76BCFD79" w14:textId="243F1871" w:rsidR="002E1760" w:rsidRPr="00431DA4" w:rsidRDefault="007254DD" w:rsidP="00293D78">
      <w:pPr>
        <w:pStyle w:val="CPQuestions"/>
      </w:pPr>
      <w:r w:rsidRPr="007254DD">
        <w:t>Do you agree with the proposal for the definition of hybrid system? Are there in your view trading systems currently not or not appropriately covered in RTS 2 on which ESMA should provide further guidance? Please explain</w:t>
      </w:r>
      <w:r w:rsidR="00A263DF">
        <w:t>.</w:t>
      </w:r>
    </w:p>
    <w:p w14:paraId="4B54F009" w14:textId="25456547" w:rsidR="00A263DF" w:rsidRDefault="00A263DF" w:rsidP="00A263DF">
      <w:r>
        <w:t>&lt;ESMA_QUESTION_CP</w:t>
      </w:r>
      <w:r w:rsidR="007254DD">
        <w:t>_MIFID_NQT</w:t>
      </w:r>
      <w:r w:rsidR="00F107EF">
        <w:t>_</w:t>
      </w:r>
      <w:r>
        <w:t>7&gt;</w:t>
      </w:r>
    </w:p>
    <w:p w14:paraId="14896476" w14:textId="77777777" w:rsidR="00A263DF" w:rsidRDefault="00A263DF" w:rsidP="00A263DF">
      <w:permStart w:id="795872801" w:edGrp="everyone"/>
      <w:r>
        <w:t>TYPE YOUR TEXT HERE</w:t>
      </w:r>
      <w:permEnd w:id="795872801"/>
    </w:p>
    <w:p w14:paraId="75DFB883" w14:textId="4820BBD8" w:rsidR="00A263DF" w:rsidRDefault="00A263DF" w:rsidP="00A263DF">
      <w:r>
        <w:t>&lt;ESMA_QUESTION_CP</w:t>
      </w:r>
      <w:r w:rsidR="007254DD">
        <w:t>_MIFID_NQT</w:t>
      </w:r>
      <w:r w:rsidR="00F107EF">
        <w:t>_</w:t>
      </w:r>
      <w:r>
        <w:t>7&gt;</w:t>
      </w:r>
    </w:p>
    <w:p w14:paraId="22B67BE4" w14:textId="77777777" w:rsidR="00C228C1" w:rsidRDefault="00C228C1" w:rsidP="00A263DF"/>
    <w:p w14:paraId="4DBBAEDF" w14:textId="3F7FCC4B" w:rsidR="002E1760" w:rsidRPr="00431DA4" w:rsidRDefault="007254DD" w:rsidP="00293D78">
      <w:pPr>
        <w:pStyle w:val="CPQuestions"/>
      </w:pPr>
      <w:r w:rsidRPr="007254DD">
        <w:t>Do you agree with ESMA’s proposal to require SIs to make available data free of charge 15 minutes after publication? Please explain</w:t>
      </w:r>
      <w:r w:rsidR="008418E3">
        <w:t>.</w:t>
      </w:r>
    </w:p>
    <w:p w14:paraId="34308112" w14:textId="01E84FC1" w:rsidR="00A263DF" w:rsidRDefault="00A263DF" w:rsidP="00A263DF">
      <w:r>
        <w:t>&lt;ESMA_QUESTION_CP</w:t>
      </w:r>
      <w:r w:rsidR="007254DD">
        <w:t>_MIFID_NQT</w:t>
      </w:r>
      <w:r w:rsidR="00F107EF">
        <w:t>_</w:t>
      </w:r>
      <w:r w:rsidR="00C228C1">
        <w:t>8</w:t>
      </w:r>
      <w:r>
        <w:t>&gt;</w:t>
      </w:r>
    </w:p>
    <w:p w14:paraId="7287FD3A" w14:textId="77777777" w:rsidR="00A57FA0" w:rsidRPr="00201129" w:rsidRDefault="00A57FA0" w:rsidP="00A57FA0">
      <w:pPr>
        <w:autoSpaceDE w:val="0"/>
        <w:autoSpaceDN w:val="0"/>
        <w:adjustRightInd w:val="0"/>
        <w:jc w:val="both"/>
        <w:rPr>
          <w:rFonts w:ascii="Open Sans" w:hAnsi="Open Sans" w:cs="Open Sans"/>
          <w:bCs/>
          <w:szCs w:val="20"/>
        </w:rPr>
      </w:pPr>
      <w:permStart w:id="1747589383" w:edGrp="everyone"/>
      <w:r w:rsidRPr="00201129">
        <w:rPr>
          <w:rFonts w:ascii="Open Sans" w:hAnsi="Open Sans" w:cs="Open Sans"/>
          <w:bCs/>
          <w:szCs w:val="20"/>
        </w:rPr>
        <w:t>Yes, data that is required to be published under MiFID II should be made available free of charge to market participants. SIs should be required to respect this key aspect of MiFID II that enhances transparency for all market participants.</w:t>
      </w:r>
    </w:p>
    <w:permEnd w:id="1747589383"/>
    <w:p w14:paraId="43D46422" w14:textId="4994F501" w:rsidR="00A263DF" w:rsidRDefault="00A263DF" w:rsidP="00A263DF"/>
    <w:p w14:paraId="461248F6" w14:textId="19787DD3" w:rsidR="00A263DF" w:rsidRDefault="00A263DF" w:rsidP="00A263DF">
      <w:r>
        <w:t>&lt;ESMA_QUESTION_CP</w:t>
      </w:r>
      <w:r w:rsidR="007254DD">
        <w:t>_MIFID_NQT</w:t>
      </w:r>
      <w:r w:rsidR="00F107EF">
        <w:t>_</w:t>
      </w:r>
      <w:r w:rsidR="00C228C1">
        <w:t>8</w:t>
      </w:r>
      <w:r>
        <w:t>&gt;</w:t>
      </w:r>
    </w:p>
    <w:p w14:paraId="4685F2B0" w14:textId="77777777" w:rsidR="00C228C1" w:rsidRDefault="00C228C1" w:rsidP="00A263DF"/>
    <w:p w14:paraId="1BBC244E" w14:textId="4608BF5A" w:rsidR="002E1760" w:rsidRPr="00431DA4" w:rsidRDefault="007254DD" w:rsidP="00293D78">
      <w:pPr>
        <w:pStyle w:val="CPQuestions"/>
      </w:pPr>
      <w:r w:rsidRPr="007254DD">
        <w:t>Would you see value in further standardising the pre-trade transparency information to increase the usability and comparability of the information? Please explain</w:t>
      </w:r>
      <w:r w:rsidR="008418E3">
        <w:t>.</w:t>
      </w:r>
    </w:p>
    <w:p w14:paraId="1BC97A10" w14:textId="490926D2" w:rsidR="002E1760" w:rsidRDefault="002E1760" w:rsidP="002E1760">
      <w:r>
        <w:t>&lt;ESMA_QUESTION_</w:t>
      </w:r>
      <w:r w:rsidR="00227C1A">
        <w:t>CP</w:t>
      </w:r>
      <w:r w:rsidR="007254DD">
        <w:t>_MIFID_NQT</w:t>
      </w:r>
      <w:r w:rsidR="00F107EF">
        <w:t>_</w:t>
      </w:r>
      <w:r>
        <w:t>9&gt;</w:t>
      </w:r>
    </w:p>
    <w:p w14:paraId="1B5C745B" w14:textId="77777777" w:rsidR="002E1760" w:rsidRDefault="002E1760" w:rsidP="002E1760">
      <w:permStart w:id="1400726192" w:edGrp="everyone"/>
      <w:r>
        <w:t>TYPE YOUR TEXT HERE</w:t>
      </w:r>
      <w:permEnd w:id="1400726192"/>
    </w:p>
    <w:p w14:paraId="44E897E8" w14:textId="7F1EDFFB" w:rsidR="002E1760" w:rsidRDefault="002E1760" w:rsidP="002E1760">
      <w:r>
        <w:t>&lt;ESMA_QUESTION_</w:t>
      </w:r>
      <w:r w:rsidR="00227C1A">
        <w:t>CP</w:t>
      </w:r>
      <w:r w:rsidR="007254DD">
        <w:t>_MIFID_NQT</w:t>
      </w:r>
      <w:r w:rsidR="00F107EF">
        <w:t>_</w:t>
      </w:r>
      <w:r>
        <w:t>9&gt;</w:t>
      </w:r>
    </w:p>
    <w:p w14:paraId="2A1878BF" w14:textId="77777777" w:rsidR="00C228C1" w:rsidRDefault="00C228C1" w:rsidP="002E1760"/>
    <w:p w14:paraId="07DD0C95" w14:textId="60685201" w:rsidR="002E1760" w:rsidRPr="00431DA4" w:rsidRDefault="001129F9" w:rsidP="00293D78">
      <w:pPr>
        <w:pStyle w:val="CPQuestions"/>
      </w:pPr>
      <w:r w:rsidRPr="001129F9">
        <w:t>Do you agree with ESMA’s assessment of the level of post-trade transparency and with the need of a more streamlined and uniform post-trade regime which does not include options at the discretion of the different jurisdictions? If not, please explain why and, where available, support your assessment with data</w:t>
      </w:r>
      <w:r w:rsidR="00FC7836">
        <w:t>.</w:t>
      </w:r>
    </w:p>
    <w:p w14:paraId="463877C3" w14:textId="77E3E7C8" w:rsidR="008418E3" w:rsidRDefault="008418E3" w:rsidP="008418E3">
      <w:r>
        <w:t>&lt;ESMA_QUESTION_CP</w:t>
      </w:r>
      <w:r w:rsidR="007254DD">
        <w:t>_MIFID_NQT</w:t>
      </w:r>
      <w:r w:rsidR="00F107EF">
        <w:t>_</w:t>
      </w:r>
      <w:r>
        <w:t>10&gt;</w:t>
      </w:r>
    </w:p>
    <w:p w14:paraId="59523CCC" w14:textId="77777777" w:rsidR="00A57FA0" w:rsidRPr="00201129" w:rsidRDefault="00A57FA0" w:rsidP="00A57FA0">
      <w:pPr>
        <w:autoSpaceDE w:val="0"/>
        <w:autoSpaceDN w:val="0"/>
        <w:adjustRightInd w:val="0"/>
        <w:jc w:val="both"/>
        <w:rPr>
          <w:rFonts w:ascii="Open Sans" w:hAnsi="Open Sans" w:cs="Open Sans"/>
          <w:szCs w:val="20"/>
        </w:rPr>
      </w:pPr>
      <w:permStart w:id="929114806" w:edGrp="everyone"/>
      <w:r w:rsidRPr="00201129">
        <w:rPr>
          <w:rFonts w:ascii="Open Sans" w:hAnsi="Open Sans" w:cs="Open Sans"/>
          <w:szCs w:val="20"/>
        </w:rPr>
        <w:lastRenderedPageBreak/>
        <w:t>We agree with ESMA that the MiFID II post-trade transparency framework for non-equities has yet to deliver meaningful transparency. We note that: only ~5% of off-venue trading activity in OTC derivatives is subject to post-trade transparency (due to the interpretation of TOTV); 90% of on-venue trading activity in OTC derivatives is being granted a four-week deferral; ~85% of trading activity in EU bonds is not being published in real-time, and full transaction details are never published for the vast majority of activity due to indefinite deferrals.</w:t>
      </w:r>
    </w:p>
    <w:p w14:paraId="0C426E0A" w14:textId="77777777" w:rsidR="00A57FA0" w:rsidRPr="00201129" w:rsidRDefault="00A57FA0" w:rsidP="00A57FA0">
      <w:pPr>
        <w:autoSpaceDE w:val="0"/>
        <w:autoSpaceDN w:val="0"/>
        <w:adjustRightInd w:val="0"/>
        <w:jc w:val="both"/>
        <w:rPr>
          <w:rFonts w:ascii="Open Sans" w:hAnsi="Open Sans" w:cs="Open Sans"/>
          <w:szCs w:val="20"/>
        </w:rPr>
      </w:pPr>
    </w:p>
    <w:p w14:paraId="6B843399" w14:textId="77777777" w:rsidR="00A57FA0" w:rsidRPr="00201129" w:rsidRDefault="00A57FA0" w:rsidP="00A57FA0">
      <w:pPr>
        <w:autoSpaceDE w:val="0"/>
        <w:autoSpaceDN w:val="0"/>
        <w:adjustRightInd w:val="0"/>
        <w:jc w:val="both"/>
        <w:rPr>
          <w:rFonts w:ascii="Open Sans" w:hAnsi="Open Sans" w:cs="Open Sans"/>
          <w:szCs w:val="20"/>
        </w:rPr>
      </w:pPr>
      <w:r w:rsidRPr="00201129">
        <w:rPr>
          <w:rFonts w:ascii="Open Sans" w:hAnsi="Open Sans" w:cs="Open Sans"/>
          <w:szCs w:val="20"/>
        </w:rPr>
        <w:t xml:space="preserve">Accordingly, we suggest that: </w:t>
      </w:r>
    </w:p>
    <w:p w14:paraId="49BC56BD" w14:textId="77777777" w:rsidR="00A57FA0" w:rsidRPr="00201129" w:rsidRDefault="00A57FA0" w:rsidP="00A57FA0">
      <w:pPr>
        <w:autoSpaceDE w:val="0"/>
        <w:autoSpaceDN w:val="0"/>
        <w:adjustRightInd w:val="0"/>
        <w:jc w:val="both"/>
        <w:rPr>
          <w:rFonts w:ascii="Open Sans" w:hAnsi="Open Sans" w:cs="Open Sans"/>
          <w:szCs w:val="20"/>
        </w:rPr>
      </w:pPr>
    </w:p>
    <w:p w14:paraId="595868B3" w14:textId="77777777" w:rsidR="00A57FA0" w:rsidRPr="00201129" w:rsidRDefault="00A57FA0" w:rsidP="00A57FA0">
      <w:pPr>
        <w:pStyle w:val="ListParagraph"/>
        <w:numPr>
          <w:ilvl w:val="0"/>
          <w:numId w:val="40"/>
        </w:numPr>
        <w:autoSpaceDE w:val="0"/>
        <w:autoSpaceDN w:val="0"/>
        <w:adjustRightInd w:val="0"/>
        <w:jc w:val="both"/>
        <w:rPr>
          <w:rFonts w:ascii="Open Sans" w:hAnsi="Open Sans" w:cs="Open Sans"/>
          <w:szCs w:val="20"/>
        </w:rPr>
      </w:pPr>
      <w:r w:rsidRPr="00201129">
        <w:rPr>
          <w:rFonts w:ascii="Open Sans" w:hAnsi="Open Sans" w:cs="Open Sans"/>
          <w:szCs w:val="20"/>
        </w:rPr>
        <w:t>Deferral periods should be significantly shortened</w:t>
      </w:r>
    </w:p>
    <w:p w14:paraId="2FB58547" w14:textId="77777777" w:rsidR="00A57FA0" w:rsidRPr="00201129" w:rsidRDefault="00A57FA0" w:rsidP="00A57FA0">
      <w:pPr>
        <w:pStyle w:val="ListParagraph"/>
        <w:numPr>
          <w:ilvl w:val="0"/>
          <w:numId w:val="40"/>
        </w:numPr>
        <w:autoSpaceDE w:val="0"/>
        <w:autoSpaceDN w:val="0"/>
        <w:adjustRightInd w:val="0"/>
        <w:jc w:val="both"/>
        <w:rPr>
          <w:rFonts w:ascii="Open Sans" w:hAnsi="Open Sans" w:cs="Open Sans"/>
          <w:szCs w:val="20"/>
        </w:rPr>
      </w:pPr>
      <w:r w:rsidRPr="00201129">
        <w:rPr>
          <w:rFonts w:ascii="Open Sans" w:hAnsi="Open Sans" w:cs="Open Sans"/>
          <w:szCs w:val="20"/>
        </w:rPr>
        <w:t xml:space="preserve">The dissemination of the notional amount of large-size trades should be capped </w:t>
      </w:r>
      <w:proofErr w:type="gramStart"/>
      <w:r w:rsidRPr="00201129">
        <w:rPr>
          <w:rFonts w:ascii="Open Sans" w:hAnsi="Open Sans" w:cs="Open Sans"/>
          <w:szCs w:val="20"/>
        </w:rPr>
        <w:t>as a way to</w:t>
      </w:r>
      <w:proofErr w:type="gramEnd"/>
      <w:r w:rsidRPr="00201129">
        <w:rPr>
          <w:rFonts w:ascii="Open Sans" w:hAnsi="Open Sans" w:cs="Open Sans"/>
          <w:szCs w:val="20"/>
        </w:rPr>
        <w:t xml:space="preserve"> balance the need for enhanced transparency with the need to ensure firms can execute large trades without the risk of the market moving against them</w:t>
      </w:r>
    </w:p>
    <w:p w14:paraId="61C6BDFF" w14:textId="77777777" w:rsidR="00A57FA0" w:rsidRPr="00201129" w:rsidRDefault="00A57FA0" w:rsidP="00A57FA0">
      <w:pPr>
        <w:pStyle w:val="ListParagraph"/>
        <w:numPr>
          <w:ilvl w:val="0"/>
          <w:numId w:val="40"/>
        </w:numPr>
        <w:autoSpaceDE w:val="0"/>
        <w:autoSpaceDN w:val="0"/>
        <w:adjustRightInd w:val="0"/>
        <w:jc w:val="both"/>
        <w:rPr>
          <w:rFonts w:ascii="Open Sans" w:hAnsi="Open Sans" w:cs="Open Sans"/>
          <w:szCs w:val="20"/>
        </w:rPr>
      </w:pPr>
      <w:r w:rsidRPr="00201129">
        <w:rPr>
          <w:rFonts w:ascii="Open Sans" w:hAnsi="Open Sans" w:cs="Open Sans"/>
          <w:szCs w:val="20"/>
        </w:rPr>
        <w:t>The publication of post-trade price data on an aggregated basis across multiple transactions should be removed</w:t>
      </w:r>
    </w:p>
    <w:p w14:paraId="2073CB3C" w14:textId="77777777" w:rsidR="00A57FA0" w:rsidRPr="00201129" w:rsidRDefault="00A57FA0" w:rsidP="00A57FA0">
      <w:pPr>
        <w:pStyle w:val="ListParagraph"/>
        <w:numPr>
          <w:ilvl w:val="0"/>
          <w:numId w:val="40"/>
        </w:numPr>
        <w:spacing w:after="200" w:line="276" w:lineRule="auto"/>
        <w:jc w:val="both"/>
        <w:rPr>
          <w:rFonts w:ascii="Open Sans" w:hAnsi="Open Sans" w:cs="Open Sans"/>
          <w:szCs w:val="20"/>
        </w:rPr>
      </w:pPr>
      <w:r w:rsidRPr="00201129">
        <w:rPr>
          <w:rFonts w:ascii="Open Sans" w:hAnsi="Open Sans" w:cs="Open Sans"/>
          <w:szCs w:val="20"/>
        </w:rPr>
        <w:t>Deferrals should be harmonised across member states</w:t>
      </w:r>
    </w:p>
    <w:p w14:paraId="15489058" w14:textId="77777777" w:rsidR="00A57FA0" w:rsidRPr="00201129" w:rsidRDefault="00A57FA0" w:rsidP="00A57FA0">
      <w:pPr>
        <w:pStyle w:val="ListParagraph"/>
        <w:numPr>
          <w:ilvl w:val="0"/>
          <w:numId w:val="40"/>
        </w:numPr>
        <w:spacing w:after="200" w:line="276" w:lineRule="auto"/>
        <w:jc w:val="both"/>
        <w:rPr>
          <w:rFonts w:ascii="Open Sans" w:hAnsi="Open Sans" w:cs="Open Sans"/>
          <w:szCs w:val="20"/>
        </w:rPr>
      </w:pPr>
      <w:r w:rsidRPr="00201129">
        <w:rPr>
          <w:rFonts w:ascii="Open Sans" w:hAnsi="Open Sans" w:cs="Open Sans"/>
          <w:szCs w:val="20"/>
        </w:rPr>
        <w:t xml:space="preserve">OTC derivatives transactions involving a firm that is an SI in the relevant sub-asset class should be subject to post-trade transparency. </w:t>
      </w:r>
    </w:p>
    <w:permEnd w:id="929114806"/>
    <w:p w14:paraId="7F574030" w14:textId="015FF54D" w:rsidR="008418E3" w:rsidRDefault="008418E3" w:rsidP="008418E3"/>
    <w:p w14:paraId="51467529" w14:textId="15FE6D4B" w:rsidR="008418E3" w:rsidRDefault="008418E3" w:rsidP="008418E3">
      <w:r>
        <w:t>&lt;ESMA_QUESTION_CP</w:t>
      </w:r>
      <w:r w:rsidR="007254DD">
        <w:t>_MIFID_NQT</w:t>
      </w:r>
      <w:r w:rsidR="00F107EF">
        <w:t>_</w:t>
      </w:r>
      <w:r>
        <w:t>10&gt;</w:t>
      </w:r>
    </w:p>
    <w:p w14:paraId="17098C53" w14:textId="24750EED" w:rsidR="00C228C1" w:rsidRDefault="00C228C1" w:rsidP="008418E3"/>
    <w:p w14:paraId="39CA5930" w14:textId="22CC5E08" w:rsidR="00B27E7B" w:rsidRDefault="00B27E7B" w:rsidP="008418E3"/>
    <w:p w14:paraId="15401959" w14:textId="571926E6" w:rsidR="00B27E7B" w:rsidRDefault="00B27E7B" w:rsidP="008418E3"/>
    <w:p w14:paraId="7AF62EE7" w14:textId="51723C98" w:rsidR="00B27E7B" w:rsidRDefault="00B27E7B" w:rsidP="008418E3"/>
    <w:p w14:paraId="268B639E" w14:textId="77777777" w:rsidR="00B27E7B" w:rsidRDefault="00B27E7B" w:rsidP="008418E3"/>
    <w:p w14:paraId="64590B3D" w14:textId="029FC383" w:rsidR="009003B8" w:rsidRDefault="001129F9" w:rsidP="00293D78">
      <w:pPr>
        <w:pStyle w:val="CPQuestions"/>
      </w:pPr>
      <w:r w:rsidRPr="001129F9">
        <w:t>Do you agree with this proposal? What would be the appropriate level of such a revised LIS-threshold in your view</w:t>
      </w:r>
      <w:r>
        <w:t>?</w:t>
      </w:r>
    </w:p>
    <w:p w14:paraId="4711211D" w14:textId="6D69DEE1" w:rsidR="00F469F8" w:rsidRDefault="00F469F8" w:rsidP="00F469F8">
      <w:r>
        <w:t>&lt;ESMA_QUESTION_CP</w:t>
      </w:r>
      <w:r w:rsidR="007254DD">
        <w:t>_MIFID_NQT</w:t>
      </w:r>
      <w:r w:rsidR="00F107EF">
        <w:t>_</w:t>
      </w:r>
      <w:r>
        <w:t>11&gt;</w:t>
      </w:r>
    </w:p>
    <w:p w14:paraId="52829D7B" w14:textId="77777777" w:rsidR="00A57FA0" w:rsidRPr="00201129" w:rsidRDefault="00A57FA0" w:rsidP="00A57FA0">
      <w:pPr>
        <w:autoSpaceDE w:val="0"/>
        <w:autoSpaceDN w:val="0"/>
        <w:adjustRightInd w:val="0"/>
        <w:jc w:val="both"/>
        <w:rPr>
          <w:rFonts w:ascii="Open Sans" w:hAnsi="Open Sans" w:cs="Open Sans"/>
          <w:b/>
          <w:bCs/>
          <w:szCs w:val="20"/>
        </w:rPr>
      </w:pPr>
      <w:permStart w:id="675495160" w:edGrp="everyone"/>
    </w:p>
    <w:p w14:paraId="77E04FCC" w14:textId="77777777" w:rsidR="00A57FA0" w:rsidRPr="00201129" w:rsidRDefault="00A57FA0" w:rsidP="00A57FA0">
      <w:pPr>
        <w:autoSpaceDE w:val="0"/>
        <w:autoSpaceDN w:val="0"/>
        <w:adjustRightInd w:val="0"/>
        <w:jc w:val="both"/>
        <w:rPr>
          <w:rFonts w:ascii="Open Sans" w:hAnsi="Open Sans" w:cs="Open Sans"/>
          <w:bCs/>
          <w:szCs w:val="20"/>
        </w:rPr>
      </w:pPr>
      <w:r w:rsidRPr="00201129">
        <w:rPr>
          <w:rFonts w:ascii="Open Sans" w:hAnsi="Open Sans" w:cs="Open Sans"/>
          <w:bCs/>
          <w:szCs w:val="20"/>
        </w:rPr>
        <w:t>Yes, there should be one clear size-based deferral from post-trade transparency requirements.</w:t>
      </w:r>
    </w:p>
    <w:permEnd w:id="675495160"/>
    <w:p w14:paraId="77303C55" w14:textId="2CD3C03D" w:rsidR="00F469F8" w:rsidRDefault="00F469F8" w:rsidP="00F469F8"/>
    <w:p w14:paraId="1087912D" w14:textId="1A2E1CC5" w:rsidR="00F469F8" w:rsidRDefault="00F469F8" w:rsidP="00F469F8">
      <w:r>
        <w:t>&lt;ESMA_QUESTION_CP</w:t>
      </w:r>
      <w:r w:rsidR="007254DD">
        <w:t>_MIFID_NQT</w:t>
      </w:r>
      <w:r w:rsidR="00F107EF">
        <w:t>_</w:t>
      </w:r>
      <w:r>
        <w:t>11&gt;</w:t>
      </w:r>
    </w:p>
    <w:p w14:paraId="3BD92E69" w14:textId="77777777" w:rsidR="00C228C1" w:rsidRDefault="00C228C1" w:rsidP="00F469F8"/>
    <w:p w14:paraId="15D63B6D" w14:textId="0495BF6C" w:rsidR="00F469F8" w:rsidRDefault="001129F9" w:rsidP="00F469F8">
      <w:pPr>
        <w:pStyle w:val="CPQuestions"/>
      </w:pPr>
      <w:r w:rsidRPr="001129F9">
        <w:t>In your view, should the real time publication of volume masking transactions apply to transactions in illiquid instruments and above LIS waiver (Option 1) or to transactions above LIS only (Option 2 and Option 3). Please elaborate. If you support another alternative, please explain which one and why</w:t>
      </w:r>
      <w:r w:rsidR="00F469F8">
        <w:t>.</w:t>
      </w:r>
    </w:p>
    <w:p w14:paraId="56B290CC" w14:textId="3D646A05" w:rsidR="00F469F8" w:rsidRDefault="00F469F8" w:rsidP="00F469F8">
      <w:r>
        <w:t>&lt;ESMA_QUESTION_CP</w:t>
      </w:r>
      <w:r w:rsidR="007254DD">
        <w:t>_MIFID_NQT</w:t>
      </w:r>
      <w:r w:rsidR="00F107EF">
        <w:t>_</w:t>
      </w:r>
      <w:r>
        <w:t>1</w:t>
      </w:r>
      <w:r w:rsidR="002868FC">
        <w:t>2</w:t>
      </w:r>
      <w:r>
        <w:t>&gt;</w:t>
      </w:r>
    </w:p>
    <w:p w14:paraId="377CAA52" w14:textId="77777777" w:rsidR="00A57FA0" w:rsidRPr="00201129" w:rsidRDefault="00A57FA0" w:rsidP="00A57FA0">
      <w:pPr>
        <w:autoSpaceDE w:val="0"/>
        <w:autoSpaceDN w:val="0"/>
        <w:adjustRightInd w:val="0"/>
        <w:jc w:val="both"/>
        <w:rPr>
          <w:rFonts w:ascii="Open Sans" w:hAnsi="Open Sans" w:cs="Open Sans"/>
          <w:bCs/>
          <w:szCs w:val="20"/>
        </w:rPr>
      </w:pPr>
      <w:permStart w:id="227761104" w:edGrp="everyone"/>
      <w:r w:rsidRPr="00201129">
        <w:rPr>
          <w:rFonts w:ascii="Open Sans" w:hAnsi="Open Sans" w:cs="Open Sans"/>
          <w:bCs/>
          <w:szCs w:val="20"/>
        </w:rPr>
        <w:t>We support either Option 2 or Option 3.  There should be one clear size-based deferral from post-trade transparency with the deferral limited in length and coupled with volume masking.  To the extent Option 1 is selected, the liquidity determinations must be recalibrated (including ensuring OTC derivatives subject to the EMIR clearing obligation are always considered to be liquid for transparency purposes).</w:t>
      </w:r>
    </w:p>
    <w:permEnd w:id="227761104"/>
    <w:p w14:paraId="1B69D7E6" w14:textId="0C4468FF" w:rsidR="00F469F8" w:rsidRDefault="00F469F8" w:rsidP="00F469F8"/>
    <w:p w14:paraId="468C5AB6" w14:textId="5D33ECBD" w:rsidR="00F469F8" w:rsidRDefault="00F469F8" w:rsidP="00F469F8">
      <w:r>
        <w:lastRenderedPageBreak/>
        <w:t>&lt;ESMA_QUESTION_CP</w:t>
      </w:r>
      <w:r w:rsidR="007254DD">
        <w:t>_MIFID_NQT</w:t>
      </w:r>
      <w:r w:rsidR="00F107EF">
        <w:t>_</w:t>
      </w:r>
      <w:r>
        <w:t>1</w:t>
      </w:r>
      <w:r w:rsidR="002868FC">
        <w:t>2</w:t>
      </w:r>
      <w:r>
        <w:t>&gt;</w:t>
      </w:r>
    </w:p>
    <w:p w14:paraId="1180CEE3" w14:textId="77777777" w:rsidR="009003B8" w:rsidRDefault="009003B8" w:rsidP="002E1760"/>
    <w:p w14:paraId="158D9AFB" w14:textId="1784951B" w:rsidR="00646C30" w:rsidRDefault="001129F9" w:rsidP="00646C30">
      <w:pPr>
        <w:pStyle w:val="CPQuestions"/>
      </w:pPr>
      <w:r w:rsidRPr="001129F9">
        <w:t>Do you agree with the publication of the price and volume of all transactions after a certain period of time, such as two calendar weeks (Option 1 and 2) or do you support the two-steps approach for LIS transactions (Option 3)? Please explain why and provide any alternative you would support. Which is the optimal option in case a consolidated tape would emerge in the future</w:t>
      </w:r>
      <w:r w:rsidR="00C228C1">
        <w:t>?</w:t>
      </w:r>
    </w:p>
    <w:p w14:paraId="747F51B8" w14:textId="3109D538" w:rsidR="00646C30" w:rsidRDefault="00646C30" w:rsidP="00646C30">
      <w:r>
        <w:t>&lt;ESMA_QUESTION_CP</w:t>
      </w:r>
      <w:r w:rsidR="007254DD">
        <w:t>_MIFID_NQT</w:t>
      </w:r>
      <w:r w:rsidR="00F107EF">
        <w:t>_</w:t>
      </w:r>
      <w:r>
        <w:t>1</w:t>
      </w:r>
      <w:r w:rsidR="00101BF1">
        <w:t>3</w:t>
      </w:r>
      <w:r>
        <w:t>&gt;</w:t>
      </w:r>
    </w:p>
    <w:p w14:paraId="568ACB9A" w14:textId="77777777" w:rsidR="00A57FA0" w:rsidRPr="00201129" w:rsidRDefault="00A57FA0" w:rsidP="00A57FA0">
      <w:pPr>
        <w:autoSpaceDE w:val="0"/>
        <w:autoSpaceDN w:val="0"/>
        <w:adjustRightInd w:val="0"/>
        <w:jc w:val="both"/>
        <w:rPr>
          <w:rFonts w:ascii="Open Sans" w:hAnsi="Open Sans" w:cs="Open Sans"/>
          <w:bCs/>
          <w:szCs w:val="20"/>
        </w:rPr>
      </w:pPr>
      <w:permStart w:id="308116658" w:edGrp="everyone"/>
      <w:r w:rsidRPr="00201129">
        <w:rPr>
          <w:rFonts w:ascii="Open Sans" w:hAnsi="Open Sans" w:cs="Open Sans"/>
          <w:bCs/>
          <w:szCs w:val="20"/>
        </w:rPr>
        <w:t xml:space="preserve">We support publishing the full volume of a transaction after a certain </w:t>
      </w:r>
      <w:proofErr w:type="gramStart"/>
      <w:r w:rsidRPr="00201129">
        <w:rPr>
          <w:rFonts w:ascii="Open Sans" w:hAnsi="Open Sans" w:cs="Open Sans"/>
          <w:bCs/>
          <w:szCs w:val="20"/>
        </w:rPr>
        <w:t>period of time</w:t>
      </w:r>
      <w:proofErr w:type="gramEnd"/>
      <w:r w:rsidRPr="00201129">
        <w:rPr>
          <w:rFonts w:ascii="Open Sans" w:hAnsi="Open Sans" w:cs="Open Sans"/>
          <w:bCs/>
          <w:szCs w:val="20"/>
        </w:rPr>
        <w:t>.</w:t>
      </w:r>
    </w:p>
    <w:permEnd w:id="308116658"/>
    <w:p w14:paraId="536EE512" w14:textId="66F16A60" w:rsidR="00646C30" w:rsidRDefault="00646C30" w:rsidP="00646C30"/>
    <w:p w14:paraId="6056CCA9" w14:textId="450A35FD" w:rsidR="00646C30" w:rsidRDefault="00646C30" w:rsidP="00646C30">
      <w:r>
        <w:t>&lt;ESMA_QUESTION_CP</w:t>
      </w:r>
      <w:r w:rsidR="007254DD">
        <w:t>_MIFID_NQT</w:t>
      </w:r>
      <w:r w:rsidR="00F107EF">
        <w:t>_</w:t>
      </w:r>
      <w:r>
        <w:t>1</w:t>
      </w:r>
      <w:r w:rsidR="002F1683">
        <w:t>3</w:t>
      </w:r>
      <w:r>
        <w:t>&gt;</w:t>
      </w:r>
    </w:p>
    <w:p w14:paraId="7CF66986" w14:textId="77777777" w:rsidR="002868FC" w:rsidRDefault="002868FC" w:rsidP="002E1760"/>
    <w:p w14:paraId="143B3CBB" w14:textId="16510DB6" w:rsidR="00646C30" w:rsidRDefault="001129F9" w:rsidP="00646C30">
      <w:pPr>
        <w:pStyle w:val="CPQuestions"/>
      </w:pPr>
      <w:r w:rsidRPr="001129F9">
        <w:t>Do</w:t>
      </w:r>
      <w:r w:rsidR="004454CA">
        <w:t xml:space="preserve"> </w:t>
      </w:r>
      <w:r w:rsidR="004454CA" w:rsidRPr="004454CA">
        <w:t>you agree with ESMA’s proposed way forward to issue further guidance and put a stronger focus on enforcement to improve the quality of post-trade data? Are there any other measures necessary at the legislative level to improve the quality of post-trade data? What changes to the transparency regime in Level 1 could lead to a substantial improvement of data quality</w:t>
      </w:r>
      <w:r w:rsidR="00C228C1">
        <w:t>?</w:t>
      </w:r>
    </w:p>
    <w:p w14:paraId="3F959FEF" w14:textId="515D2CA4" w:rsidR="00646C30" w:rsidRDefault="00646C30" w:rsidP="00646C30">
      <w:r>
        <w:t>&lt;ESMA_QUESTION_CP</w:t>
      </w:r>
      <w:r w:rsidR="007254DD">
        <w:t>_MIFID_NQT</w:t>
      </w:r>
      <w:r w:rsidR="00F107EF">
        <w:t>_</w:t>
      </w:r>
      <w:r>
        <w:t>1</w:t>
      </w:r>
      <w:r w:rsidR="00101BF1">
        <w:t>4</w:t>
      </w:r>
      <w:r>
        <w:t>&gt;</w:t>
      </w:r>
    </w:p>
    <w:p w14:paraId="4734B078" w14:textId="77777777" w:rsidR="00A57FA0" w:rsidRPr="00201129" w:rsidRDefault="00A57FA0" w:rsidP="00A57FA0">
      <w:pPr>
        <w:autoSpaceDE w:val="0"/>
        <w:autoSpaceDN w:val="0"/>
        <w:adjustRightInd w:val="0"/>
        <w:jc w:val="both"/>
        <w:rPr>
          <w:rFonts w:ascii="Open Sans" w:hAnsi="Open Sans" w:cs="Open Sans"/>
          <w:szCs w:val="20"/>
        </w:rPr>
      </w:pPr>
      <w:bookmarkStart w:id="3" w:name="_Hlk41550578"/>
      <w:permStart w:id="699085938" w:edGrp="everyone"/>
      <w:r w:rsidRPr="00201129">
        <w:rPr>
          <w:rFonts w:ascii="Open Sans" w:hAnsi="Open Sans" w:cs="Open Sans"/>
          <w:szCs w:val="20"/>
        </w:rPr>
        <w:t xml:space="preserve">One of the key goals of MiFID II is to improve transparency by ensuring that APAs would publish post-trade transparency data in an easily accessible way. However, we have seen APAs engaging in practices that are contrary to the objectives of the legislation, including imposing restrictions on access to data, publishing information in a format that prevents users from reading, using and copying the information, deleting data shortly after publication, not publishing data on transactions benefiting from a publication deferral, requiring market participants to submit search queries in order to access data and inconsistent approaches to publishing data amendments. These practices appear motivated in part by a desire to compel market participants to subscribe to expensive data packages in order to obtain MiFID II transparency data that should be provided free of charge. ESMA has issued Q&amp;As clarifying that these practices run counter to the objectives of MiFID </w:t>
      </w:r>
      <w:proofErr w:type="gramStart"/>
      <w:r w:rsidRPr="00201129">
        <w:rPr>
          <w:rFonts w:ascii="Open Sans" w:hAnsi="Open Sans" w:cs="Open Sans"/>
          <w:szCs w:val="20"/>
        </w:rPr>
        <w:t>II</w:t>
      </w:r>
      <w:proofErr w:type="gramEnd"/>
      <w:r w:rsidRPr="00201129">
        <w:rPr>
          <w:rFonts w:ascii="Open Sans" w:hAnsi="Open Sans" w:cs="Open Sans"/>
          <w:szCs w:val="20"/>
        </w:rPr>
        <w:t xml:space="preserve"> but it is critical these requirements are enforced. </w:t>
      </w:r>
    </w:p>
    <w:p w14:paraId="4B62C4AF" w14:textId="77777777" w:rsidR="00A57FA0" w:rsidRPr="00201129" w:rsidRDefault="00A57FA0" w:rsidP="00A57FA0">
      <w:pPr>
        <w:autoSpaceDE w:val="0"/>
        <w:autoSpaceDN w:val="0"/>
        <w:adjustRightInd w:val="0"/>
        <w:jc w:val="both"/>
        <w:rPr>
          <w:rFonts w:ascii="Open Sans" w:hAnsi="Open Sans" w:cs="Open Sans"/>
          <w:szCs w:val="20"/>
        </w:rPr>
      </w:pPr>
    </w:p>
    <w:p w14:paraId="2720464B" w14:textId="77777777" w:rsidR="00A57FA0" w:rsidRPr="00201129" w:rsidRDefault="00A57FA0" w:rsidP="00A57FA0">
      <w:pPr>
        <w:autoSpaceDE w:val="0"/>
        <w:autoSpaceDN w:val="0"/>
        <w:jc w:val="both"/>
        <w:rPr>
          <w:rFonts w:ascii="Open Sans" w:hAnsi="Open Sans" w:cs="Open Sans"/>
          <w:szCs w:val="20"/>
        </w:rPr>
      </w:pPr>
      <w:r w:rsidRPr="00201129">
        <w:rPr>
          <w:rFonts w:ascii="Open Sans" w:hAnsi="Open Sans" w:cs="Open Sans"/>
          <w:szCs w:val="20"/>
        </w:rPr>
        <w:t xml:space="preserve">We would strongly recommend that ESMA request APAs to publish data amendments consistently. In particular, our members note that some APAs do not tag cancelled or amended trading data to the original trade, </w:t>
      </w:r>
      <w:proofErr w:type="gramStart"/>
      <w:r w:rsidRPr="00201129">
        <w:rPr>
          <w:rFonts w:ascii="Open Sans" w:hAnsi="Open Sans" w:cs="Open Sans"/>
          <w:szCs w:val="20"/>
        </w:rPr>
        <w:t>As</w:t>
      </w:r>
      <w:proofErr w:type="gramEnd"/>
      <w:r w:rsidRPr="00201129">
        <w:rPr>
          <w:rFonts w:ascii="Open Sans" w:hAnsi="Open Sans" w:cs="Open Sans"/>
          <w:szCs w:val="20"/>
        </w:rPr>
        <w:t xml:space="preserve"> a result, such updated data appears as a new trade which invalidates the purpose for requiring that trade reports be updated or amended as appropriate.  Separately, as mentioned above, where a legitimate waiver exists for the delayed publication of trading data because of size or liquidity certain APAs may publish the trade data within two days whilst others may take several weeks or do not publish the trade at all.  There needs to be a consistent framework agreed upon and applied across APAs in order to preserve the value and the integrity of this data and to achieve the key objectives of MiFID II.</w:t>
      </w:r>
    </w:p>
    <w:p w14:paraId="1C35611F" w14:textId="77777777" w:rsidR="00A57FA0" w:rsidRPr="00201129" w:rsidRDefault="00A57FA0" w:rsidP="00A57FA0">
      <w:pPr>
        <w:autoSpaceDE w:val="0"/>
        <w:autoSpaceDN w:val="0"/>
        <w:jc w:val="both"/>
        <w:rPr>
          <w:rFonts w:ascii="Open Sans" w:hAnsi="Open Sans" w:cs="Open Sans"/>
          <w:szCs w:val="20"/>
        </w:rPr>
      </w:pPr>
    </w:p>
    <w:p w14:paraId="46DBACBE" w14:textId="77777777" w:rsidR="00A57FA0" w:rsidRPr="00201129" w:rsidRDefault="00A57FA0" w:rsidP="00A57FA0">
      <w:pPr>
        <w:autoSpaceDE w:val="0"/>
        <w:autoSpaceDN w:val="0"/>
        <w:adjustRightInd w:val="0"/>
        <w:jc w:val="both"/>
        <w:rPr>
          <w:rFonts w:ascii="Open Sans" w:hAnsi="Open Sans" w:cs="Open Sans"/>
          <w:szCs w:val="20"/>
        </w:rPr>
      </w:pPr>
      <w:r w:rsidRPr="00201129">
        <w:rPr>
          <w:rFonts w:ascii="Open Sans" w:hAnsi="Open Sans" w:cs="Open Sans"/>
          <w:szCs w:val="20"/>
        </w:rPr>
        <w:lastRenderedPageBreak/>
        <w:t>We therefore strongly support ESMA’s conclusion in its MiFID review report on the cost of market data</w:t>
      </w:r>
      <w:r w:rsidRPr="00201129">
        <w:rPr>
          <w:rStyle w:val="FootnoteReference"/>
          <w:rFonts w:ascii="Open Sans" w:hAnsi="Open Sans" w:cs="Open Sans"/>
          <w:szCs w:val="20"/>
        </w:rPr>
        <w:footnoteReference w:id="5"/>
      </w:r>
      <w:r w:rsidRPr="00201129">
        <w:rPr>
          <w:rFonts w:ascii="Open Sans" w:hAnsi="Open Sans" w:cs="Open Sans"/>
          <w:szCs w:val="20"/>
        </w:rPr>
        <w:t xml:space="preserve"> that “the MiFID II/</w:t>
      </w:r>
      <w:proofErr w:type="spellStart"/>
      <w:r w:rsidRPr="00201129">
        <w:rPr>
          <w:rFonts w:ascii="Open Sans" w:hAnsi="Open Sans" w:cs="Open Sans"/>
          <w:szCs w:val="20"/>
        </w:rPr>
        <w:t>MiFIR</w:t>
      </w:r>
      <w:proofErr w:type="spellEnd"/>
      <w:r w:rsidRPr="00201129">
        <w:rPr>
          <w:rFonts w:ascii="Open Sans" w:hAnsi="Open Sans" w:cs="Open Sans"/>
          <w:szCs w:val="20"/>
        </w:rPr>
        <w:t xml:space="preserve"> objective of making data available free of charge 15 minutes after publication by the trading venues and APAs has not been achieved”. We endorse ESMA’s plan to follow up, in close cooperation with competent authorities, on the compliance of trading venues and APAs with the obligation to provide market data free of charge 15 minutes after publication with a view to achieving a consistent approach to data publication.</w:t>
      </w:r>
    </w:p>
    <w:bookmarkEnd w:id="3"/>
    <w:permEnd w:id="699085938"/>
    <w:p w14:paraId="6A257108" w14:textId="16229181" w:rsidR="00646C30" w:rsidRDefault="00646C30" w:rsidP="00646C30"/>
    <w:p w14:paraId="396E3E9C" w14:textId="07F3E39D" w:rsidR="00646C30" w:rsidRDefault="00646C30" w:rsidP="00646C30">
      <w:r>
        <w:t>&lt;ESMA_QUESTION_CP</w:t>
      </w:r>
      <w:r w:rsidR="007254DD">
        <w:t>_MIFID_NQT</w:t>
      </w:r>
      <w:r w:rsidR="00F107EF">
        <w:t>_</w:t>
      </w:r>
      <w:r>
        <w:t>1</w:t>
      </w:r>
      <w:r w:rsidR="00101BF1">
        <w:t>4</w:t>
      </w:r>
      <w:r>
        <w:t>&gt;</w:t>
      </w:r>
    </w:p>
    <w:p w14:paraId="5564C66E" w14:textId="77777777" w:rsidR="002868FC" w:rsidRDefault="002868FC" w:rsidP="002E1760"/>
    <w:p w14:paraId="161D490C" w14:textId="2BC1D9EF" w:rsidR="00646C30" w:rsidRDefault="001129F9" w:rsidP="00646C30">
      <w:pPr>
        <w:pStyle w:val="CPQuestions"/>
      </w:pPr>
      <w:r w:rsidRPr="001129F9">
        <w:t>What would be the optimal transparency regime to help with the potential creation of a CTP</w:t>
      </w:r>
      <w:r>
        <w:t>?</w:t>
      </w:r>
    </w:p>
    <w:p w14:paraId="7C881817" w14:textId="00C34E3C" w:rsidR="00646C30" w:rsidRDefault="00646C30" w:rsidP="00646C30">
      <w:r>
        <w:t>&lt;ESMA_QUESTION_CP</w:t>
      </w:r>
      <w:r w:rsidR="007254DD">
        <w:t>_MIFID_NQT</w:t>
      </w:r>
      <w:r w:rsidR="00F107EF">
        <w:t>_</w:t>
      </w:r>
      <w:r>
        <w:t>1</w:t>
      </w:r>
      <w:r w:rsidR="00101BF1">
        <w:t>5</w:t>
      </w:r>
      <w:r>
        <w:t>&gt;</w:t>
      </w:r>
    </w:p>
    <w:p w14:paraId="538372EA" w14:textId="77777777" w:rsidR="00A57FA0" w:rsidRPr="00201129" w:rsidRDefault="00A57FA0" w:rsidP="00A57FA0">
      <w:pPr>
        <w:autoSpaceDE w:val="0"/>
        <w:autoSpaceDN w:val="0"/>
        <w:adjustRightInd w:val="0"/>
        <w:jc w:val="both"/>
        <w:rPr>
          <w:rFonts w:ascii="Open Sans" w:hAnsi="Open Sans" w:cs="Open Sans"/>
          <w:bCs/>
          <w:szCs w:val="20"/>
        </w:rPr>
      </w:pPr>
      <w:permStart w:id="1271415520" w:edGrp="everyone"/>
      <w:r w:rsidRPr="00201129">
        <w:rPr>
          <w:rFonts w:ascii="Open Sans" w:hAnsi="Open Sans" w:cs="Open Sans"/>
          <w:bCs/>
          <w:szCs w:val="20"/>
        </w:rPr>
        <w:t xml:space="preserve">The transparency framework should be (a) comprehensive (covering both on-venue and off-venue trading activity), and (b) real-time (with only clearly defined and limited deferrals).  Otherwise, the CTP will not have access to a </w:t>
      </w:r>
      <w:proofErr w:type="gramStart"/>
      <w:r w:rsidRPr="00201129">
        <w:rPr>
          <w:rFonts w:ascii="Open Sans" w:hAnsi="Open Sans" w:cs="Open Sans"/>
          <w:bCs/>
          <w:szCs w:val="20"/>
        </w:rPr>
        <w:t>sufficient amount of</w:t>
      </w:r>
      <w:proofErr w:type="gramEnd"/>
      <w:r w:rsidRPr="00201129">
        <w:rPr>
          <w:rFonts w:ascii="Open Sans" w:hAnsi="Open Sans" w:cs="Open Sans"/>
          <w:bCs/>
          <w:szCs w:val="20"/>
        </w:rPr>
        <w:t xml:space="preserve"> useful data to provide a valuable service to market participants.  There is little point to setting up a CTP to publish 4-week delayed data that only covers on-venue trading activity.  The transparency framework should also support a CTP providing access to post-trade data at a low cost (or free of charge).  Therefore, ESMA should consider requiring trading venues and APAs to provide access to the required post-trade data on a real-time basis free of charge, which would be consistent with the US non-equities regimes.</w:t>
      </w:r>
    </w:p>
    <w:permEnd w:id="1271415520"/>
    <w:p w14:paraId="0C11162E" w14:textId="3791129A" w:rsidR="00646C30" w:rsidRDefault="00646C30" w:rsidP="00646C30"/>
    <w:p w14:paraId="068CA4E0" w14:textId="23D13543" w:rsidR="00646C30" w:rsidRDefault="00646C30" w:rsidP="00646C30">
      <w:r>
        <w:t>&lt;ESMA_QUESTION_CP</w:t>
      </w:r>
      <w:r w:rsidR="007254DD">
        <w:t>_MIFID_NQT</w:t>
      </w:r>
      <w:r w:rsidR="00F107EF">
        <w:t>_</w:t>
      </w:r>
      <w:r>
        <w:t>1</w:t>
      </w:r>
      <w:r w:rsidR="00101BF1">
        <w:t>5</w:t>
      </w:r>
      <w:r>
        <w:t>&gt;</w:t>
      </w:r>
    </w:p>
    <w:p w14:paraId="5C9DE7C3" w14:textId="4C797A6A" w:rsidR="002868FC" w:rsidRDefault="002868FC" w:rsidP="002E1760"/>
    <w:p w14:paraId="6B5A226D" w14:textId="7BE79B57" w:rsidR="00B27E7B" w:rsidRDefault="00B27E7B" w:rsidP="002E1760"/>
    <w:p w14:paraId="7F3F6099" w14:textId="3D69C17F" w:rsidR="00B27E7B" w:rsidRDefault="00B27E7B" w:rsidP="002E1760"/>
    <w:p w14:paraId="1D30FEFA" w14:textId="7BB28E7D" w:rsidR="00B27E7B" w:rsidRDefault="00B27E7B" w:rsidP="002E1760"/>
    <w:p w14:paraId="0C11512B" w14:textId="77777777" w:rsidR="00B27E7B" w:rsidRDefault="00B27E7B" w:rsidP="002E1760"/>
    <w:p w14:paraId="30D0FB22" w14:textId="071AFDEC" w:rsidR="00646C30" w:rsidRDefault="00B27E7B" w:rsidP="00646C30">
      <w:pPr>
        <w:pStyle w:val="CPQuestions"/>
      </w:pPr>
      <w:r w:rsidRPr="00B27E7B">
        <w:t>Do you agree with ESMA’s above assessment? If not, please explain</w:t>
      </w:r>
      <w:r w:rsidR="00292E82">
        <w:t>.</w:t>
      </w:r>
    </w:p>
    <w:p w14:paraId="5C3F1247" w14:textId="75BD1199" w:rsidR="00646C30" w:rsidRDefault="00646C30" w:rsidP="00646C30">
      <w:r>
        <w:t>&lt;ESMA_QUESTION_CP</w:t>
      </w:r>
      <w:r w:rsidR="007254DD">
        <w:t>_MIFID_NQT</w:t>
      </w:r>
      <w:r w:rsidR="00F107EF">
        <w:t>_</w:t>
      </w:r>
      <w:r>
        <w:t>1</w:t>
      </w:r>
      <w:r w:rsidR="00101BF1">
        <w:t>6</w:t>
      </w:r>
      <w:r>
        <w:t>&gt;</w:t>
      </w:r>
    </w:p>
    <w:p w14:paraId="37E9FAF2" w14:textId="77777777" w:rsidR="00A57FA0" w:rsidRPr="00201129" w:rsidRDefault="00A57FA0" w:rsidP="00A57FA0">
      <w:pPr>
        <w:autoSpaceDE w:val="0"/>
        <w:autoSpaceDN w:val="0"/>
        <w:adjustRightInd w:val="0"/>
        <w:jc w:val="both"/>
        <w:rPr>
          <w:rFonts w:ascii="Open Sans" w:hAnsi="Open Sans" w:cs="Open Sans"/>
          <w:b/>
          <w:bCs/>
          <w:szCs w:val="20"/>
        </w:rPr>
      </w:pPr>
      <w:permStart w:id="2130212544" w:edGrp="everyone"/>
      <w:r w:rsidRPr="00201129">
        <w:rPr>
          <w:rFonts w:ascii="Open Sans" w:hAnsi="Open Sans" w:cs="Open Sans"/>
          <w:szCs w:val="20"/>
        </w:rPr>
        <w:t xml:space="preserve">Yes, we agree that the current interpretation of TOTV significantly narrows the scope of post-trade transparency for OTC derivatives.  The very granular approach developed by ESMA in the TOTV assessment has even created an incentive for certain market participants to duplicate ISIN codes for economically equivalent derivatives in order to engage in bilateral OTC trading that remains outside the transparency regime of MiFID II. </w:t>
      </w:r>
    </w:p>
    <w:permEnd w:id="2130212544"/>
    <w:p w14:paraId="7AAD2035" w14:textId="068859CE" w:rsidR="00646C30" w:rsidRDefault="00646C30" w:rsidP="00646C30"/>
    <w:p w14:paraId="5EB9791A" w14:textId="7F6025A0" w:rsidR="00646C30" w:rsidRDefault="00646C30" w:rsidP="00646C30">
      <w:r>
        <w:t>&lt;ESMA_QUESTION_CP</w:t>
      </w:r>
      <w:r w:rsidR="007254DD">
        <w:t>_MIFID_NQT</w:t>
      </w:r>
      <w:r w:rsidR="00F107EF">
        <w:t>_</w:t>
      </w:r>
      <w:r>
        <w:t>1</w:t>
      </w:r>
      <w:r w:rsidR="00101BF1">
        <w:t>6</w:t>
      </w:r>
      <w:r>
        <w:t>&gt;</w:t>
      </w:r>
    </w:p>
    <w:p w14:paraId="0C67D15C" w14:textId="77777777" w:rsidR="002868FC" w:rsidRDefault="002868FC" w:rsidP="002E1760"/>
    <w:p w14:paraId="05D77404" w14:textId="72C966A7" w:rsidR="00646C30" w:rsidRDefault="00B27E7B" w:rsidP="00646C30">
      <w:pPr>
        <w:pStyle w:val="CPQuestions"/>
      </w:pPr>
      <w:r w:rsidRPr="00B27E7B">
        <w:lastRenderedPageBreak/>
        <w:t>Are you of the view that the interpretation of TOTV should remained aligned for both transparency and transaction reporting? If not, please explain why</w:t>
      </w:r>
      <w:r w:rsidR="00292E82">
        <w:t>.</w:t>
      </w:r>
    </w:p>
    <w:p w14:paraId="358A7CC5" w14:textId="0EE236B6" w:rsidR="00646C30" w:rsidRDefault="00646C30" w:rsidP="00646C30">
      <w:r>
        <w:t>&lt;ESMA_QUESTION_CP</w:t>
      </w:r>
      <w:r w:rsidR="007254DD">
        <w:t>_MIFID_NQT</w:t>
      </w:r>
      <w:r w:rsidR="00F107EF">
        <w:t>_</w:t>
      </w:r>
      <w:r>
        <w:t>1</w:t>
      </w:r>
      <w:r w:rsidR="00101BF1">
        <w:t>7</w:t>
      </w:r>
      <w:r>
        <w:t>&gt;</w:t>
      </w:r>
    </w:p>
    <w:p w14:paraId="211C0152" w14:textId="77777777" w:rsidR="00A57FA0" w:rsidRPr="00201129" w:rsidRDefault="00A57FA0" w:rsidP="00A57FA0">
      <w:pPr>
        <w:autoSpaceDE w:val="0"/>
        <w:autoSpaceDN w:val="0"/>
        <w:adjustRightInd w:val="0"/>
        <w:jc w:val="both"/>
        <w:rPr>
          <w:rFonts w:ascii="Open Sans" w:hAnsi="Open Sans" w:cs="Open Sans"/>
          <w:szCs w:val="20"/>
        </w:rPr>
      </w:pPr>
      <w:permStart w:id="96027498" w:edGrp="everyone"/>
      <w:r w:rsidRPr="00201129">
        <w:rPr>
          <w:rFonts w:ascii="Open Sans" w:hAnsi="Open Sans" w:cs="Open Sans"/>
          <w:szCs w:val="20"/>
        </w:rPr>
        <w:t>We note that implementation of and on-going compliance with trade and transaction reporting obligations has been one of the greatest compliance challenges associated with MiFID II for our members, requiring significant one-off and on-going investment in reporting systems. Our members report, depending upon their size, that they may have multiple information technology and other employees daily working on transaction reporting in order to comply with ESMA’s transaction reporting specifications. Under the current requirements, transaction reporting is and will remain highly resource intensive.</w:t>
      </w:r>
    </w:p>
    <w:p w14:paraId="4A6B6CB2" w14:textId="77777777" w:rsidR="00A57FA0" w:rsidRPr="00201129" w:rsidRDefault="00A57FA0" w:rsidP="00A57FA0">
      <w:pPr>
        <w:autoSpaceDE w:val="0"/>
        <w:autoSpaceDN w:val="0"/>
        <w:adjustRightInd w:val="0"/>
        <w:jc w:val="both"/>
        <w:rPr>
          <w:rFonts w:ascii="Open Sans" w:hAnsi="Open Sans" w:cs="Open Sans"/>
          <w:szCs w:val="20"/>
        </w:rPr>
      </w:pPr>
    </w:p>
    <w:p w14:paraId="1635D490" w14:textId="77777777" w:rsidR="00A57FA0" w:rsidRPr="00201129" w:rsidRDefault="00A57FA0" w:rsidP="00A57FA0">
      <w:pPr>
        <w:autoSpaceDE w:val="0"/>
        <w:autoSpaceDN w:val="0"/>
        <w:adjustRightInd w:val="0"/>
        <w:jc w:val="both"/>
        <w:rPr>
          <w:rFonts w:ascii="Open Sans" w:hAnsi="Open Sans" w:cs="Open Sans"/>
          <w:szCs w:val="20"/>
        </w:rPr>
      </w:pPr>
      <w:r w:rsidRPr="00201129">
        <w:rPr>
          <w:rFonts w:ascii="Open Sans" w:hAnsi="Open Sans" w:cs="Open Sans"/>
          <w:szCs w:val="20"/>
        </w:rPr>
        <w:t>A key way of addressing this problem would be to move to a reporting model where the sell-side is the primary reporting party for both post-trade and transaction reporting, given that sell-side firms typically have the scale necessary to be able to carry the costs associated with maintaining the operational infrastructure necessary for reporting. For buy-side firms, maintaining such systems represents a disproportionate burden given their scale and the significant duplication inherent in rules that require both sides of the transaction to make reports.  We note that this issue is separate and distinct from the question of whether the concept of TOTV should be retained.</w:t>
      </w:r>
    </w:p>
    <w:p w14:paraId="2A28615F" w14:textId="77777777" w:rsidR="00A57FA0" w:rsidRPr="00201129" w:rsidRDefault="00A57FA0" w:rsidP="00A57FA0">
      <w:pPr>
        <w:autoSpaceDE w:val="0"/>
        <w:autoSpaceDN w:val="0"/>
        <w:adjustRightInd w:val="0"/>
        <w:jc w:val="both"/>
        <w:rPr>
          <w:rFonts w:ascii="Open Sans" w:hAnsi="Open Sans" w:cs="Open Sans"/>
          <w:b/>
          <w:bCs/>
          <w:szCs w:val="20"/>
        </w:rPr>
      </w:pPr>
    </w:p>
    <w:permEnd w:id="96027498"/>
    <w:p w14:paraId="1CE157B4" w14:textId="64F83527" w:rsidR="00646C30" w:rsidRDefault="00646C30" w:rsidP="00646C30"/>
    <w:p w14:paraId="0BEE4878" w14:textId="65837815" w:rsidR="00646C30" w:rsidRDefault="00646C30" w:rsidP="00646C30">
      <w:r>
        <w:t>&lt;ESMA_QUESTION_CP</w:t>
      </w:r>
      <w:r w:rsidR="007254DD">
        <w:t>_MIFID_NQT</w:t>
      </w:r>
      <w:r w:rsidR="00F107EF">
        <w:t>_</w:t>
      </w:r>
      <w:r>
        <w:t>1</w:t>
      </w:r>
      <w:r w:rsidR="00101BF1">
        <w:t>7</w:t>
      </w:r>
      <w:r>
        <w:t>&gt;</w:t>
      </w:r>
    </w:p>
    <w:p w14:paraId="4F5EE049" w14:textId="77777777" w:rsidR="002868FC" w:rsidRDefault="002868FC" w:rsidP="002E1760"/>
    <w:p w14:paraId="05CF2F4F" w14:textId="3ED35056" w:rsidR="00646C30" w:rsidRDefault="00B27E7B" w:rsidP="00646C30">
      <w:pPr>
        <w:pStyle w:val="CPQuestions"/>
      </w:pPr>
      <w:r w:rsidRPr="00B27E7B">
        <w:t>Which of the three options proposed, would you recommend (Option 1, Option 2 or Option 3)? In case you recommend an alternative way forward, please explain</w:t>
      </w:r>
      <w:r w:rsidR="00C228C1">
        <w:t>.</w:t>
      </w:r>
    </w:p>
    <w:p w14:paraId="7856948E" w14:textId="20BB4D2A" w:rsidR="00646C30" w:rsidRDefault="00646C30" w:rsidP="00646C30">
      <w:r>
        <w:t>&lt;ESMA_QUESTION_CP</w:t>
      </w:r>
      <w:r w:rsidR="007254DD">
        <w:t>_MIFID_NQT</w:t>
      </w:r>
      <w:r w:rsidR="00F107EF">
        <w:t>_</w:t>
      </w:r>
      <w:r>
        <w:t>1</w:t>
      </w:r>
      <w:r w:rsidR="00101BF1">
        <w:t>8</w:t>
      </w:r>
      <w:r>
        <w:t>&gt;</w:t>
      </w:r>
    </w:p>
    <w:p w14:paraId="01AB2D13" w14:textId="77777777" w:rsidR="00A57FA0" w:rsidRPr="00201129" w:rsidRDefault="00A57FA0" w:rsidP="00A57FA0">
      <w:pPr>
        <w:jc w:val="both"/>
        <w:rPr>
          <w:rFonts w:ascii="Open Sans" w:hAnsi="Open Sans" w:cs="Open Sans"/>
          <w:szCs w:val="20"/>
        </w:rPr>
      </w:pPr>
      <w:permStart w:id="70923797" w:edGrp="everyone"/>
      <w:r w:rsidRPr="00201129">
        <w:rPr>
          <w:rFonts w:ascii="Open Sans" w:hAnsi="Open Sans" w:cs="Open Sans"/>
          <w:szCs w:val="20"/>
        </w:rPr>
        <w:t xml:space="preserve">We do not believe that the status quo (Option 1) is appropriate given the broad recognition that the MiFID II / </w:t>
      </w:r>
      <w:proofErr w:type="spellStart"/>
      <w:r w:rsidRPr="00201129">
        <w:rPr>
          <w:rFonts w:ascii="Open Sans" w:hAnsi="Open Sans" w:cs="Open Sans"/>
          <w:szCs w:val="20"/>
        </w:rPr>
        <w:t>MiFIR</w:t>
      </w:r>
      <w:proofErr w:type="spellEnd"/>
      <w:r w:rsidRPr="00201129">
        <w:rPr>
          <w:rFonts w:ascii="Open Sans" w:hAnsi="Open Sans" w:cs="Open Sans"/>
          <w:szCs w:val="20"/>
        </w:rPr>
        <w:t xml:space="preserve"> framework has not in a meaningful way delivered on its objective of increasing transparency for certain asset classes, including OTC derivatives. However, we are concerned that Options 2 and 3 as currently elaborated would further increase the reporting burden on buy-side firms that we highlight in our response to Question 17.</w:t>
      </w:r>
    </w:p>
    <w:p w14:paraId="1EECD5CC" w14:textId="77777777" w:rsidR="00A57FA0" w:rsidRPr="00201129" w:rsidRDefault="00A57FA0" w:rsidP="00A57FA0">
      <w:pPr>
        <w:jc w:val="both"/>
        <w:rPr>
          <w:rFonts w:ascii="Open Sans" w:hAnsi="Open Sans" w:cs="Open Sans"/>
          <w:szCs w:val="20"/>
        </w:rPr>
      </w:pPr>
    </w:p>
    <w:p w14:paraId="7ED2A6CF" w14:textId="77777777" w:rsidR="00A57FA0" w:rsidRPr="00201129" w:rsidRDefault="00A57FA0" w:rsidP="00A57FA0">
      <w:pPr>
        <w:jc w:val="both"/>
        <w:rPr>
          <w:rFonts w:ascii="Open Sans" w:hAnsi="Open Sans" w:cs="Open Sans"/>
          <w:szCs w:val="20"/>
        </w:rPr>
      </w:pPr>
      <w:r w:rsidRPr="00201129">
        <w:rPr>
          <w:rFonts w:ascii="Open Sans" w:hAnsi="Open Sans" w:cs="Open Sans"/>
          <w:szCs w:val="20"/>
        </w:rPr>
        <w:t xml:space="preserve">We therefore believe that ESMA should consider an alternative option, whereby OTC derivatives transactions involving a firm that is a systematic </w:t>
      </w:r>
      <w:proofErr w:type="spellStart"/>
      <w:r w:rsidRPr="00201129">
        <w:rPr>
          <w:rFonts w:ascii="Open Sans" w:hAnsi="Open Sans" w:cs="Open Sans"/>
          <w:szCs w:val="20"/>
        </w:rPr>
        <w:t>internaliser</w:t>
      </w:r>
      <w:proofErr w:type="spellEnd"/>
      <w:r w:rsidRPr="00201129">
        <w:rPr>
          <w:rFonts w:ascii="Open Sans" w:hAnsi="Open Sans" w:cs="Open Sans"/>
          <w:szCs w:val="20"/>
        </w:rPr>
        <w:t xml:space="preserve"> in the relevant sub-asset class would be presumed to be subject to post-trade transparency, i.e. there would be no TOTV test for these transactions. Accordingly, any such transaction would be subject to post-trade transparency, with the systematic </w:t>
      </w:r>
      <w:proofErr w:type="spellStart"/>
      <w:r w:rsidRPr="00201129">
        <w:rPr>
          <w:rFonts w:ascii="Open Sans" w:hAnsi="Open Sans" w:cs="Open Sans"/>
          <w:szCs w:val="20"/>
        </w:rPr>
        <w:t>internaliser</w:t>
      </w:r>
      <w:proofErr w:type="spellEnd"/>
      <w:r w:rsidRPr="00201129">
        <w:rPr>
          <w:rFonts w:ascii="Open Sans" w:hAnsi="Open Sans" w:cs="Open Sans"/>
          <w:szCs w:val="20"/>
        </w:rPr>
        <w:t xml:space="preserve"> fulfilling the reporting obligation. For those transactions that do not involve a systematic </w:t>
      </w:r>
      <w:proofErr w:type="spellStart"/>
      <w:r w:rsidRPr="00201129">
        <w:rPr>
          <w:rFonts w:ascii="Open Sans" w:hAnsi="Open Sans" w:cs="Open Sans"/>
          <w:szCs w:val="20"/>
        </w:rPr>
        <w:t>internaliser</w:t>
      </w:r>
      <w:proofErr w:type="spellEnd"/>
      <w:r w:rsidRPr="00201129">
        <w:rPr>
          <w:rFonts w:ascii="Open Sans" w:hAnsi="Open Sans" w:cs="Open Sans"/>
          <w:szCs w:val="20"/>
        </w:rPr>
        <w:t xml:space="preserve">, the current post-trade reporting framework would remain as is (including the concept of TOTV). </w:t>
      </w:r>
    </w:p>
    <w:p w14:paraId="725650C7" w14:textId="77777777" w:rsidR="00A57FA0" w:rsidRPr="00201129" w:rsidRDefault="00A57FA0" w:rsidP="00A57FA0">
      <w:pPr>
        <w:jc w:val="both"/>
        <w:rPr>
          <w:rFonts w:ascii="Open Sans" w:hAnsi="Open Sans" w:cs="Open Sans"/>
          <w:szCs w:val="20"/>
        </w:rPr>
      </w:pPr>
    </w:p>
    <w:p w14:paraId="7465CC9D" w14:textId="77777777" w:rsidR="00A57FA0" w:rsidRPr="00201129" w:rsidRDefault="00A57FA0" w:rsidP="00A57FA0">
      <w:pPr>
        <w:jc w:val="both"/>
        <w:rPr>
          <w:rFonts w:ascii="Open Sans" w:hAnsi="Open Sans" w:cs="Open Sans"/>
          <w:szCs w:val="20"/>
        </w:rPr>
      </w:pPr>
      <w:r w:rsidRPr="00201129">
        <w:rPr>
          <w:rFonts w:ascii="Open Sans" w:hAnsi="Open Sans" w:cs="Open Sans"/>
          <w:szCs w:val="20"/>
        </w:rPr>
        <w:t>We believe this would subject a significant share of trading in OTC derivatives to post-trade transparency, whilst ensuring that the reporting obligation is discharged by the firms with the most developed reporting infrastructure.</w:t>
      </w:r>
    </w:p>
    <w:permEnd w:id="70923797"/>
    <w:p w14:paraId="2C8E07E5" w14:textId="12026A0D" w:rsidR="00646C30" w:rsidRDefault="00646C30" w:rsidP="00646C30"/>
    <w:p w14:paraId="5FD19CDA" w14:textId="35D5FD7B" w:rsidR="00646C30" w:rsidRDefault="00646C30" w:rsidP="00646C30">
      <w:r>
        <w:t>&lt;ESMA_QUESTION_CP</w:t>
      </w:r>
      <w:r w:rsidR="007254DD">
        <w:t>_MIFID_NQT</w:t>
      </w:r>
      <w:r w:rsidR="00F107EF">
        <w:t>_</w:t>
      </w:r>
      <w:r>
        <w:t>1</w:t>
      </w:r>
      <w:r w:rsidR="00101BF1">
        <w:t>8</w:t>
      </w:r>
      <w:r>
        <w:t>&gt;</w:t>
      </w:r>
    </w:p>
    <w:p w14:paraId="077B4E09" w14:textId="77777777" w:rsidR="002868FC" w:rsidRDefault="002868FC" w:rsidP="002E1760"/>
    <w:p w14:paraId="206D65E5" w14:textId="7158BD33" w:rsidR="00646C30" w:rsidRDefault="00B27E7B" w:rsidP="00646C30">
      <w:pPr>
        <w:pStyle w:val="CPQuestions"/>
      </w:pPr>
      <w:r w:rsidRPr="00B27E7B">
        <w:lastRenderedPageBreak/>
        <w:t>What is your view on the proposal to delete the possibility for temporarily suspending the transparency provisions? Please explain</w:t>
      </w:r>
      <w:r w:rsidR="00292E82">
        <w:t>.</w:t>
      </w:r>
    </w:p>
    <w:p w14:paraId="1FEAC5A1" w14:textId="1B880F8C" w:rsidR="00646C30" w:rsidRDefault="00646C30" w:rsidP="00646C30">
      <w:r>
        <w:t>&lt;ESMA_QUESTION_CP</w:t>
      </w:r>
      <w:r w:rsidR="007254DD">
        <w:t>_MIFID_NQT</w:t>
      </w:r>
      <w:r w:rsidR="00F107EF">
        <w:t>_</w:t>
      </w:r>
      <w:r>
        <w:t>1</w:t>
      </w:r>
      <w:r w:rsidR="00101BF1">
        <w:t>9</w:t>
      </w:r>
      <w:r>
        <w:t>&gt;</w:t>
      </w:r>
    </w:p>
    <w:p w14:paraId="0CAC7740" w14:textId="77777777" w:rsidR="00646C30" w:rsidRDefault="00646C30" w:rsidP="00646C30">
      <w:permStart w:id="1628391240" w:edGrp="everyone"/>
      <w:r>
        <w:t>TYPE YOUR TEXT HERE</w:t>
      </w:r>
      <w:permEnd w:id="1628391240"/>
    </w:p>
    <w:p w14:paraId="4F6789D9" w14:textId="3A669704" w:rsidR="00646C30" w:rsidRDefault="00646C30" w:rsidP="00646C30">
      <w:r>
        <w:t>&lt;ESMA_QUESTION_CP</w:t>
      </w:r>
      <w:r w:rsidR="007254DD">
        <w:t>_MIFID_NQT</w:t>
      </w:r>
      <w:r w:rsidR="00F107EF">
        <w:t>_</w:t>
      </w:r>
      <w:r>
        <w:t>1</w:t>
      </w:r>
      <w:r w:rsidR="00101BF1">
        <w:t>9</w:t>
      </w:r>
      <w:r>
        <w:t>&gt;</w:t>
      </w:r>
    </w:p>
    <w:p w14:paraId="52201B21" w14:textId="77777777" w:rsidR="002868FC" w:rsidRDefault="002868FC" w:rsidP="002E1760"/>
    <w:p w14:paraId="34BD9DE6" w14:textId="6A512B74" w:rsidR="00646C30" w:rsidRDefault="00B27E7B" w:rsidP="00646C30">
      <w:pPr>
        <w:pStyle w:val="CPQuestions"/>
      </w:pPr>
      <w:r w:rsidRPr="00B27E7B">
        <w:t>Do you have any remarks on the assessment of Article 28 of MiFIR? Please explain</w:t>
      </w:r>
      <w:r w:rsidR="00292E82">
        <w:t>.</w:t>
      </w:r>
    </w:p>
    <w:p w14:paraId="695F6362" w14:textId="2D093C75" w:rsidR="00646C30" w:rsidRDefault="00646C30" w:rsidP="00646C30">
      <w:r>
        <w:t>&lt;ESMA_QUESTION_CP</w:t>
      </w:r>
      <w:r w:rsidR="007254DD">
        <w:t>_MIFID_NQT</w:t>
      </w:r>
      <w:r w:rsidR="00F107EF">
        <w:t>_</w:t>
      </w:r>
      <w:r w:rsidR="00101BF1">
        <w:t>20</w:t>
      </w:r>
      <w:r>
        <w:t>&gt;</w:t>
      </w:r>
    </w:p>
    <w:p w14:paraId="63EB0DC7" w14:textId="77777777" w:rsidR="00A57FA0" w:rsidRPr="00201129" w:rsidRDefault="00A57FA0" w:rsidP="00A57FA0">
      <w:pPr>
        <w:autoSpaceDE w:val="0"/>
        <w:autoSpaceDN w:val="0"/>
        <w:adjustRightInd w:val="0"/>
        <w:jc w:val="both"/>
        <w:rPr>
          <w:rFonts w:ascii="Open Sans" w:hAnsi="Open Sans" w:cs="Open Sans"/>
          <w:bCs/>
          <w:szCs w:val="20"/>
        </w:rPr>
      </w:pPr>
      <w:permStart w:id="951131482" w:edGrp="everyone"/>
      <w:r w:rsidRPr="00201129">
        <w:rPr>
          <w:rFonts w:ascii="Open Sans" w:hAnsi="Open Sans" w:cs="Open Sans"/>
          <w:bCs/>
          <w:szCs w:val="20"/>
        </w:rPr>
        <w:t>We support amending Article 28(4) to ensure that central aspects of the MiFID II framework are considered as part of equivalence decisions.  These include ensuring third-country trading venues (a) provide market participants with non-discriminatory access and (b) apply comparable transparency requirements to derivatives subject to the DTO.</w:t>
      </w:r>
    </w:p>
    <w:permEnd w:id="951131482"/>
    <w:p w14:paraId="2BF6DC09" w14:textId="2B07C3B0" w:rsidR="001129F9" w:rsidRDefault="001129F9" w:rsidP="001129F9"/>
    <w:p w14:paraId="12CBBA0F" w14:textId="66955629" w:rsidR="00646C30" w:rsidRDefault="00646C30" w:rsidP="00646C30">
      <w:r>
        <w:t>&lt;ESMA_QUESTION_CP</w:t>
      </w:r>
      <w:r w:rsidR="007254DD">
        <w:t>_MIFID_NQT</w:t>
      </w:r>
      <w:r w:rsidR="00F107EF">
        <w:t>_</w:t>
      </w:r>
      <w:r w:rsidR="00101BF1">
        <w:t>20</w:t>
      </w:r>
      <w:r>
        <w:t>&gt;</w:t>
      </w:r>
    </w:p>
    <w:p w14:paraId="2CAD7FE8" w14:textId="77777777" w:rsidR="00646C30" w:rsidRDefault="00646C30" w:rsidP="002E1760"/>
    <w:p w14:paraId="1710B270" w14:textId="2B8E1F56" w:rsidR="00646C30" w:rsidRDefault="00B27E7B" w:rsidP="00646C30">
      <w:pPr>
        <w:pStyle w:val="CPQuestions"/>
      </w:pPr>
      <w:r w:rsidRPr="00B27E7B">
        <w:t>Do</w:t>
      </w:r>
      <w:r w:rsidR="004454CA" w:rsidRPr="004454CA">
        <w:t xml:space="preserve"> you have any views on the above-mentioned criteria and whether the criteria are sufficient and appropriate for assessing the liquidity of derivatives? Do you consider it necessary to include further criteria (e.g. currency)? Do you consider that ESMA should make use of the provision in Article 32(4) for asset classes currently not subject to the trading obligations? Please explain</w:t>
      </w:r>
      <w:r w:rsidR="00292E82">
        <w:t>.</w:t>
      </w:r>
    </w:p>
    <w:p w14:paraId="769A2D47" w14:textId="3A75F377" w:rsidR="00646C30" w:rsidRDefault="00646C30" w:rsidP="00646C30">
      <w:r>
        <w:t>&lt;ESMA_QUESTION_CP</w:t>
      </w:r>
      <w:r w:rsidR="007254DD">
        <w:t>_MIFID_NQT</w:t>
      </w:r>
      <w:r w:rsidR="00F107EF">
        <w:t>_</w:t>
      </w:r>
      <w:r w:rsidR="00101BF1">
        <w:t>21</w:t>
      </w:r>
      <w:r>
        <w:t>&gt;</w:t>
      </w:r>
    </w:p>
    <w:p w14:paraId="13C7FEA6" w14:textId="77777777" w:rsidR="00646C30" w:rsidRDefault="00646C30" w:rsidP="00646C30">
      <w:permStart w:id="37382354" w:edGrp="everyone"/>
      <w:r>
        <w:t>TYPE YOUR TEXT HERE</w:t>
      </w:r>
      <w:permEnd w:id="37382354"/>
    </w:p>
    <w:p w14:paraId="7A80D189" w14:textId="4CE6CE8E" w:rsidR="00646C30" w:rsidRDefault="00646C30" w:rsidP="00646C30">
      <w:r>
        <w:t>&lt;ESMA_QUESTION_CP</w:t>
      </w:r>
      <w:r w:rsidR="007254DD">
        <w:t>_MIFID_NQT</w:t>
      </w:r>
      <w:r w:rsidR="00F107EF">
        <w:t>_</w:t>
      </w:r>
      <w:r w:rsidR="00101BF1">
        <w:t>21</w:t>
      </w:r>
      <w:r>
        <w:t>&gt;</w:t>
      </w:r>
    </w:p>
    <w:p w14:paraId="3AF36D8E" w14:textId="0F638690" w:rsidR="00646C30" w:rsidRDefault="00646C30" w:rsidP="002E1760"/>
    <w:p w14:paraId="782DEEAB" w14:textId="152A0458" w:rsidR="00B27E7B" w:rsidRDefault="00B27E7B" w:rsidP="002E1760"/>
    <w:p w14:paraId="07F55EF1" w14:textId="6B47F527" w:rsidR="00B27E7B" w:rsidRDefault="00B27E7B" w:rsidP="002E1760"/>
    <w:p w14:paraId="4294BC73" w14:textId="5F0E552D" w:rsidR="00B27E7B" w:rsidRDefault="00B27E7B" w:rsidP="002E1760"/>
    <w:p w14:paraId="43E6918A" w14:textId="77777777" w:rsidR="00B27E7B" w:rsidRDefault="00B27E7B" w:rsidP="002E1760"/>
    <w:p w14:paraId="27BEB2EF" w14:textId="4EC62648" w:rsidR="00646C30" w:rsidRDefault="00B27E7B" w:rsidP="00646C30">
      <w:pPr>
        <w:pStyle w:val="CPQuestions"/>
      </w:pPr>
      <w:r w:rsidRPr="00B27E7B">
        <w:t>Do you agree that a procedure for the swift suspension of the trading obligation for derivatives is needed? Do you agree with the proposed procedure? Please explain.</w:t>
      </w:r>
    </w:p>
    <w:p w14:paraId="59E34633" w14:textId="7EC2B8C5" w:rsidR="00646C30" w:rsidRDefault="00646C30" w:rsidP="00646C30">
      <w:r>
        <w:t>&lt;ESMA_QUESTION_CP</w:t>
      </w:r>
      <w:r w:rsidR="007254DD">
        <w:t>_MIFID_NQT</w:t>
      </w:r>
      <w:r w:rsidR="00F107EF">
        <w:t>_</w:t>
      </w:r>
      <w:r w:rsidR="00101BF1">
        <w:t>22</w:t>
      </w:r>
      <w:r>
        <w:t>&gt;</w:t>
      </w:r>
    </w:p>
    <w:p w14:paraId="7F090863" w14:textId="77777777" w:rsidR="00646C30" w:rsidRDefault="00646C30" w:rsidP="00646C30">
      <w:permStart w:id="71373738" w:edGrp="everyone"/>
      <w:r>
        <w:t>TYPE YOUR TEXT HERE</w:t>
      </w:r>
      <w:permEnd w:id="71373738"/>
    </w:p>
    <w:p w14:paraId="1893B375" w14:textId="583DB585" w:rsidR="00646C30" w:rsidRDefault="00646C30" w:rsidP="00646C30">
      <w:r>
        <w:t>&lt;ESMA_QUESTION_CP</w:t>
      </w:r>
      <w:r w:rsidR="007254DD">
        <w:t>_MIFID_NQT</w:t>
      </w:r>
      <w:r w:rsidR="00F107EF">
        <w:t>_</w:t>
      </w:r>
      <w:r w:rsidR="00101BF1">
        <w:t>22</w:t>
      </w:r>
      <w:r>
        <w:t>&gt;</w:t>
      </w:r>
    </w:p>
    <w:p w14:paraId="75583BC9" w14:textId="77777777" w:rsidR="00646C30" w:rsidRDefault="00646C30" w:rsidP="002E1760"/>
    <w:p w14:paraId="54FA7545" w14:textId="5B42F806" w:rsidR="00646C30" w:rsidRDefault="00B27E7B" w:rsidP="00646C30">
      <w:pPr>
        <w:pStyle w:val="CPQuestions"/>
      </w:pPr>
      <w:r w:rsidRPr="00B27E7B">
        <w:t>Do you have a view on this or any other issues related to the application of the DTO</w:t>
      </w:r>
      <w:r>
        <w:t>?</w:t>
      </w:r>
    </w:p>
    <w:p w14:paraId="2771BD99" w14:textId="3A460116" w:rsidR="00646C30" w:rsidRDefault="00646C30" w:rsidP="00646C30">
      <w:r>
        <w:t>&lt;ESMA_QUESTION_CP</w:t>
      </w:r>
      <w:r w:rsidR="007254DD">
        <w:t>_MIFID_NQT</w:t>
      </w:r>
      <w:r w:rsidR="00F107EF">
        <w:t>_</w:t>
      </w:r>
      <w:r w:rsidR="00101BF1">
        <w:t>23</w:t>
      </w:r>
      <w:r>
        <w:t>&gt;</w:t>
      </w:r>
    </w:p>
    <w:p w14:paraId="28C10A04" w14:textId="77777777" w:rsidR="00A57FA0" w:rsidRPr="00201129" w:rsidRDefault="00A57FA0" w:rsidP="00A57FA0">
      <w:pPr>
        <w:autoSpaceDE w:val="0"/>
        <w:autoSpaceDN w:val="0"/>
        <w:adjustRightInd w:val="0"/>
        <w:jc w:val="both"/>
        <w:rPr>
          <w:rFonts w:ascii="Open Sans" w:hAnsi="Open Sans" w:cs="Open Sans"/>
          <w:bCs/>
          <w:szCs w:val="20"/>
        </w:rPr>
      </w:pPr>
      <w:permStart w:id="2102155623" w:edGrp="everyone"/>
      <w:r w:rsidRPr="00201129">
        <w:rPr>
          <w:rFonts w:ascii="Open Sans" w:hAnsi="Open Sans" w:cs="Open Sans"/>
          <w:bCs/>
          <w:szCs w:val="20"/>
        </w:rPr>
        <w:t>We recommend that ESMA focus on:</w:t>
      </w:r>
    </w:p>
    <w:p w14:paraId="10AA161F" w14:textId="77777777" w:rsidR="00A57FA0" w:rsidRPr="00201129" w:rsidRDefault="00A57FA0" w:rsidP="00A57FA0">
      <w:pPr>
        <w:autoSpaceDE w:val="0"/>
        <w:autoSpaceDN w:val="0"/>
        <w:adjustRightInd w:val="0"/>
        <w:jc w:val="both"/>
        <w:rPr>
          <w:rFonts w:ascii="Open Sans" w:hAnsi="Open Sans" w:cs="Open Sans"/>
          <w:bCs/>
          <w:szCs w:val="20"/>
        </w:rPr>
      </w:pPr>
    </w:p>
    <w:p w14:paraId="681F4E7E" w14:textId="77777777" w:rsidR="00A57FA0" w:rsidRPr="00201129" w:rsidRDefault="00A57FA0" w:rsidP="00A57FA0">
      <w:pPr>
        <w:pStyle w:val="ListParagraph"/>
        <w:numPr>
          <w:ilvl w:val="0"/>
          <w:numId w:val="41"/>
        </w:numPr>
        <w:autoSpaceDE w:val="0"/>
        <w:autoSpaceDN w:val="0"/>
        <w:adjustRightInd w:val="0"/>
        <w:jc w:val="both"/>
        <w:rPr>
          <w:rFonts w:ascii="Open Sans" w:hAnsi="Open Sans" w:cs="Open Sans"/>
          <w:bCs/>
          <w:szCs w:val="20"/>
        </w:rPr>
      </w:pPr>
      <w:r w:rsidRPr="00201129">
        <w:rPr>
          <w:rFonts w:ascii="Open Sans" w:hAnsi="Open Sans" w:cs="Open Sans"/>
          <w:bCs/>
          <w:szCs w:val="20"/>
        </w:rPr>
        <w:t xml:space="preserve">Prohibiting post-trade name give-up by MTFs and OTFs.  EU market participants must be able to access all venues that list instruments subject to the DTO.  Post-trade name give-up effectively prevents buy-side market participants from accessing specific venues, and the practice </w:t>
      </w:r>
      <w:r w:rsidRPr="00201129">
        <w:rPr>
          <w:rFonts w:ascii="Open Sans" w:hAnsi="Open Sans" w:cs="Open Sans"/>
          <w:bCs/>
          <w:szCs w:val="20"/>
        </w:rPr>
        <w:lastRenderedPageBreak/>
        <w:t>does not comply with the non-discriminatory access requirements in MiFID II.  There is no legitimate justification for the continued use of the practice for centrally cleared instruments.  For these reasons, the US CFTC has recently proposed to prohibit “post-trade name give-up” for OTC derivatives that are centrally cleared and executed anonymously.</w:t>
      </w:r>
    </w:p>
    <w:p w14:paraId="14133090" w14:textId="77777777" w:rsidR="00A57FA0" w:rsidRPr="00201129" w:rsidRDefault="00A57FA0" w:rsidP="00A57FA0">
      <w:pPr>
        <w:autoSpaceDE w:val="0"/>
        <w:autoSpaceDN w:val="0"/>
        <w:adjustRightInd w:val="0"/>
        <w:jc w:val="both"/>
        <w:rPr>
          <w:rFonts w:ascii="Open Sans" w:hAnsi="Open Sans" w:cs="Open Sans"/>
          <w:bCs/>
          <w:szCs w:val="20"/>
        </w:rPr>
      </w:pPr>
    </w:p>
    <w:p w14:paraId="3F3AB04C" w14:textId="77777777" w:rsidR="00A57FA0" w:rsidRPr="00201129" w:rsidRDefault="00A57FA0" w:rsidP="00A57FA0">
      <w:pPr>
        <w:pStyle w:val="ListParagraph"/>
        <w:numPr>
          <w:ilvl w:val="0"/>
          <w:numId w:val="41"/>
        </w:numPr>
        <w:autoSpaceDE w:val="0"/>
        <w:autoSpaceDN w:val="0"/>
        <w:adjustRightInd w:val="0"/>
        <w:jc w:val="both"/>
        <w:rPr>
          <w:rFonts w:ascii="Open Sans" w:hAnsi="Open Sans" w:cs="Open Sans"/>
          <w:bCs/>
          <w:szCs w:val="20"/>
        </w:rPr>
      </w:pPr>
      <w:r w:rsidRPr="00201129">
        <w:rPr>
          <w:rFonts w:ascii="Open Sans" w:hAnsi="Open Sans" w:cs="Open Sans"/>
          <w:bCs/>
          <w:szCs w:val="20"/>
        </w:rPr>
        <w:t>Evaluating whether the DTO benefits clients.  The DTO should increase market transparency and competition, and lead to lower transaction costs.  However, it was only implemented for clients in late 2019 and therefore ESMA should specifically consider the impact on clients, including the portion of the market that continues not to be subject to the DTO.</w:t>
      </w:r>
    </w:p>
    <w:p w14:paraId="498A1EFD" w14:textId="77777777" w:rsidR="00A57FA0" w:rsidRPr="00201129" w:rsidRDefault="00A57FA0" w:rsidP="00A57FA0">
      <w:pPr>
        <w:pStyle w:val="ListParagraph"/>
        <w:rPr>
          <w:rFonts w:ascii="Open Sans" w:hAnsi="Open Sans" w:cs="Open Sans"/>
          <w:bCs/>
          <w:szCs w:val="20"/>
        </w:rPr>
      </w:pPr>
    </w:p>
    <w:p w14:paraId="52D39F69" w14:textId="77777777" w:rsidR="00A57FA0" w:rsidRPr="00201129" w:rsidRDefault="00A57FA0" w:rsidP="00A57FA0">
      <w:pPr>
        <w:pStyle w:val="ListParagraph"/>
        <w:numPr>
          <w:ilvl w:val="0"/>
          <w:numId w:val="41"/>
        </w:numPr>
        <w:autoSpaceDE w:val="0"/>
        <w:autoSpaceDN w:val="0"/>
        <w:adjustRightInd w:val="0"/>
        <w:jc w:val="both"/>
        <w:rPr>
          <w:rFonts w:ascii="Open Sans" w:hAnsi="Open Sans" w:cs="Open Sans"/>
          <w:bCs/>
          <w:szCs w:val="20"/>
        </w:rPr>
      </w:pPr>
      <w:r w:rsidRPr="00201129">
        <w:rPr>
          <w:rFonts w:ascii="Open Sans" w:hAnsi="Open Sans" w:cs="Open Sans"/>
          <w:bCs/>
          <w:szCs w:val="20"/>
        </w:rPr>
        <w:t>Reconsidering pre-arranged trading for DTO instruments.  While pre-arranged trading may be appropriate for large-sized transactions, allowing too many transactions to be pre-arranged undermines the intent of the DTO, which is to transition trading onto transparent and competitive trading venues.  We recommend that ESMA use the post-trade LIS threshold rather than the pre-trade LIS threshold for these purposes.</w:t>
      </w:r>
    </w:p>
    <w:permEnd w:id="2102155623"/>
    <w:p w14:paraId="51834EC7" w14:textId="153EE417" w:rsidR="00646C30" w:rsidRDefault="00646C30" w:rsidP="00646C30"/>
    <w:p w14:paraId="35720AF9" w14:textId="027E6B1A" w:rsidR="00646C30" w:rsidRDefault="00646C30" w:rsidP="00646C30">
      <w:r>
        <w:t>&lt;ESMA_QUESTION_CP</w:t>
      </w:r>
      <w:r w:rsidR="007254DD">
        <w:t>_MIFID_NQT</w:t>
      </w:r>
      <w:r w:rsidR="00F107EF">
        <w:t>_</w:t>
      </w:r>
      <w:r w:rsidR="00101BF1">
        <w:t>23</w:t>
      </w:r>
      <w:r>
        <w:t>&gt;</w:t>
      </w:r>
    </w:p>
    <w:p w14:paraId="731BD4C3" w14:textId="77777777" w:rsidR="00646C30" w:rsidRDefault="00646C30" w:rsidP="002E1760"/>
    <w:p w14:paraId="0DBE22AC" w14:textId="123438FF" w:rsidR="00646C30" w:rsidRDefault="00B27E7B" w:rsidP="00646C30">
      <w:pPr>
        <w:pStyle w:val="CPQuestions"/>
      </w:pPr>
      <w:r w:rsidRPr="00B27E7B">
        <w:t>Do you have any views on the functioning of the register? Please explain</w:t>
      </w:r>
      <w:r w:rsidR="001138E8">
        <w:t>.</w:t>
      </w:r>
    </w:p>
    <w:p w14:paraId="5244CE44" w14:textId="03F4A256" w:rsidR="00646C30" w:rsidRDefault="00646C30" w:rsidP="00646C30">
      <w:r>
        <w:t>&lt;ESMA_QUESTION_CP</w:t>
      </w:r>
      <w:r w:rsidR="007254DD">
        <w:t>_MIFID_NQT</w:t>
      </w:r>
      <w:r w:rsidR="00F107EF">
        <w:t>_</w:t>
      </w:r>
      <w:r w:rsidR="00101BF1">
        <w:t>24</w:t>
      </w:r>
      <w:r>
        <w:t>&gt;</w:t>
      </w:r>
    </w:p>
    <w:p w14:paraId="34A9DFDE" w14:textId="77777777" w:rsidR="00646C30" w:rsidRDefault="00646C30" w:rsidP="00646C30">
      <w:permStart w:id="160242055" w:edGrp="everyone"/>
      <w:r>
        <w:t>TYPE YOUR TEXT HERE</w:t>
      </w:r>
      <w:permEnd w:id="160242055"/>
    </w:p>
    <w:p w14:paraId="73FE2754" w14:textId="570B75FE" w:rsidR="00646C30" w:rsidRDefault="00646C30" w:rsidP="00646C30">
      <w:r>
        <w:t>&lt;ESMA_QUESTION_CP</w:t>
      </w:r>
      <w:r w:rsidR="007254DD">
        <w:t>_MIFID_NQT</w:t>
      </w:r>
      <w:r w:rsidR="00F107EF">
        <w:t>_</w:t>
      </w:r>
      <w:r w:rsidR="00101BF1">
        <w:t>24</w:t>
      </w:r>
      <w:r>
        <w:t>&gt;</w:t>
      </w:r>
    </w:p>
    <w:p w14:paraId="7837BFFE" w14:textId="77777777" w:rsidR="00646C30" w:rsidRDefault="00646C30" w:rsidP="002E1760"/>
    <w:p w14:paraId="0DCD647E" w14:textId="46393DDA" w:rsidR="00646C30" w:rsidRDefault="00B27E7B" w:rsidP="00646C30">
      <w:pPr>
        <w:pStyle w:val="CPQuestions"/>
      </w:pPr>
      <w:r w:rsidRPr="00B27E7B">
        <w:t>Do you agree that the current quarterly liquidity calculation for bonds is appropriate or would you be of the view that the liquidity determination of bonds should be simplified and provide for more stable results? Please explain</w:t>
      </w:r>
      <w:r w:rsidR="00646C30">
        <w:t>.</w:t>
      </w:r>
    </w:p>
    <w:p w14:paraId="1B94FAEF" w14:textId="27551F0C" w:rsidR="00646C30" w:rsidRDefault="00646C30" w:rsidP="00646C30">
      <w:r>
        <w:t>&lt;ESMA_QUESTION_CP</w:t>
      </w:r>
      <w:r w:rsidR="007254DD">
        <w:t>_MIFID_NQT</w:t>
      </w:r>
      <w:r w:rsidR="00F107EF">
        <w:t>_</w:t>
      </w:r>
      <w:r w:rsidR="00101BF1">
        <w:t>25</w:t>
      </w:r>
      <w:r>
        <w:t>&gt;</w:t>
      </w:r>
    </w:p>
    <w:p w14:paraId="3D6B6F67" w14:textId="77777777" w:rsidR="00646C30" w:rsidRDefault="00646C30" w:rsidP="00646C30">
      <w:permStart w:id="203690501" w:edGrp="everyone"/>
      <w:r>
        <w:t>TYPE YOUR TEXT HERE</w:t>
      </w:r>
      <w:permEnd w:id="203690501"/>
    </w:p>
    <w:p w14:paraId="5D9D8E52" w14:textId="76951D44" w:rsidR="00646C30" w:rsidRDefault="00646C30" w:rsidP="00646C30">
      <w:r>
        <w:t>&lt;ESMA_QUESTION_CP</w:t>
      </w:r>
      <w:r w:rsidR="007254DD">
        <w:t>_MIFID_NQT</w:t>
      </w:r>
      <w:r w:rsidR="00F107EF">
        <w:t>_</w:t>
      </w:r>
      <w:r w:rsidR="00101BF1">
        <w:t>25</w:t>
      </w:r>
      <w:r>
        <w:t>&gt;</w:t>
      </w:r>
    </w:p>
    <w:p w14:paraId="0069B9B5" w14:textId="77777777" w:rsidR="00646C30" w:rsidRDefault="00646C30" w:rsidP="002E1760"/>
    <w:p w14:paraId="73060707" w14:textId="500D0DD5" w:rsidR="00646C30" w:rsidRDefault="00B27E7B" w:rsidP="00646C30">
      <w:pPr>
        <w:pStyle w:val="CPQuestions"/>
      </w:pPr>
      <w:r w:rsidRPr="00B27E7B">
        <w:t>Do you agree with ESMA proposal to move to stage 2 for the determination of the liquidity assessment of bonds? Please explain</w:t>
      </w:r>
      <w:r w:rsidR="00907865" w:rsidRPr="00907865">
        <w:t>.</w:t>
      </w:r>
    </w:p>
    <w:p w14:paraId="4948932D" w14:textId="36899E6E" w:rsidR="00646C30" w:rsidRDefault="00646C30" w:rsidP="00646C30">
      <w:r>
        <w:t>&lt;ESMA_QUESTION_CP</w:t>
      </w:r>
      <w:r w:rsidR="007254DD">
        <w:t>_MIFID_NQT</w:t>
      </w:r>
      <w:r w:rsidR="00F107EF">
        <w:t>_</w:t>
      </w:r>
      <w:r w:rsidR="00101BF1">
        <w:t>26</w:t>
      </w:r>
      <w:r>
        <w:t>&gt;</w:t>
      </w:r>
    </w:p>
    <w:p w14:paraId="00430256" w14:textId="77777777" w:rsidR="00646C30" w:rsidRDefault="00646C30" w:rsidP="00646C30">
      <w:permStart w:id="1935441367" w:edGrp="everyone"/>
      <w:r>
        <w:t>TYPE YOUR TEXT HERE</w:t>
      </w:r>
      <w:permEnd w:id="1935441367"/>
    </w:p>
    <w:p w14:paraId="25BD60AE" w14:textId="1905889C" w:rsidR="00646C30" w:rsidRDefault="00646C30" w:rsidP="00646C30">
      <w:r>
        <w:t>&lt;ESMA_QUESTION_CP</w:t>
      </w:r>
      <w:r w:rsidR="007254DD">
        <w:t>_MIFID_NQT</w:t>
      </w:r>
      <w:r w:rsidR="00F107EF">
        <w:t>_</w:t>
      </w:r>
      <w:r w:rsidR="00101BF1">
        <w:t>26</w:t>
      </w:r>
      <w:r>
        <w:t>&gt;</w:t>
      </w:r>
    </w:p>
    <w:p w14:paraId="6D32B8F8" w14:textId="77777777" w:rsidR="00646C30" w:rsidRDefault="00646C30" w:rsidP="002E1760"/>
    <w:p w14:paraId="4DEEEE71" w14:textId="3E7A20C4" w:rsidR="00646C30" w:rsidRDefault="00B27E7B" w:rsidP="00646C30">
      <w:pPr>
        <w:pStyle w:val="CPQuestions"/>
      </w:pPr>
      <w:r w:rsidRPr="00B27E7B">
        <w:t>Do you agree with ESMA proposal not to move to stage 2 for the determination of the pre-trade SSTI thresholds for all non-equity instruments except bonds? Please explain</w:t>
      </w:r>
      <w:r w:rsidR="001129F9">
        <w:t>.</w:t>
      </w:r>
    </w:p>
    <w:p w14:paraId="623E31B3" w14:textId="07441431" w:rsidR="00646C30" w:rsidRDefault="00646C30" w:rsidP="00646C30">
      <w:r>
        <w:t>&lt;ESMA_QUESTION_CP</w:t>
      </w:r>
      <w:r w:rsidR="007254DD">
        <w:t>_MIFID_NQT</w:t>
      </w:r>
      <w:r w:rsidR="00F107EF">
        <w:t>_</w:t>
      </w:r>
      <w:r w:rsidR="00101BF1">
        <w:t>27</w:t>
      </w:r>
      <w:r>
        <w:t>&gt;</w:t>
      </w:r>
    </w:p>
    <w:p w14:paraId="5CF32564" w14:textId="77777777" w:rsidR="00A57FA0" w:rsidRPr="00201129" w:rsidRDefault="00A57FA0" w:rsidP="00A57FA0">
      <w:pPr>
        <w:autoSpaceDE w:val="0"/>
        <w:autoSpaceDN w:val="0"/>
        <w:adjustRightInd w:val="0"/>
        <w:jc w:val="both"/>
        <w:rPr>
          <w:rFonts w:ascii="Open Sans" w:hAnsi="Open Sans" w:cs="Open Sans"/>
          <w:bCs/>
          <w:szCs w:val="20"/>
        </w:rPr>
      </w:pPr>
      <w:permStart w:id="1284132493" w:edGrp="everyone"/>
      <w:r w:rsidRPr="00201129">
        <w:rPr>
          <w:rFonts w:ascii="Open Sans" w:hAnsi="Open Sans" w:cs="Open Sans"/>
          <w:bCs/>
          <w:szCs w:val="20"/>
        </w:rPr>
        <w:t>No, as detailed in the report, the current regime has not delivered meaningful pre-trade transparency in non-equities asset classes and therefore we recommend moving to stage 2.</w:t>
      </w:r>
    </w:p>
    <w:permEnd w:id="1284132493"/>
    <w:p w14:paraId="07059944" w14:textId="2FA1602B" w:rsidR="00646C30" w:rsidRDefault="00646C30" w:rsidP="00646C30"/>
    <w:p w14:paraId="7CD57521" w14:textId="50137320" w:rsidR="00646C30" w:rsidRDefault="00646C30" w:rsidP="00646C30">
      <w:r>
        <w:t>&lt;ESMA_QUESTION_CP</w:t>
      </w:r>
      <w:r w:rsidR="007254DD">
        <w:t>_MIFID_NQT</w:t>
      </w:r>
      <w:r w:rsidR="00F107EF">
        <w:t>_</w:t>
      </w:r>
      <w:r w:rsidR="00101BF1">
        <w:t>27</w:t>
      </w:r>
      <w:r>
        <w:t>&gt;</w:t>
      </w:r>
    </w:p>
    <w:p w14:paraId="23FB725E" w14:textId="7F6A2E13" w:rsidR="00646C30" w:rsidRDefault="00646C30" w:rsidP="002E1760"/>
    <w:p w14:paraId="27769207" w14:textId="0ACCEB97" w:rsidR="00B27E7B" w:rsidRDefault="00B27E7B" w:rsidP="002E1760"/>
    <w:p w14:paraId="7276B98C" w14:textId="4FB92AD1" w:rsidR="00B27E7B" w:rsidRDefault="00B27E7B" w:rsidP="002E1760"/>
    <w:p w14:paraId="0DAC709E" w14:textId="77777777" w:rsidR="00B27E7B" w:rsidRDefault="00B27E7B" w:rsidP="002E1760"/>
    <w:p w14:paraId="005F51E6" w14:textId="1790009A" w:rsidR="00646C30" w:rsidRDefault="00B27E7B" w:rsidP="00646C30">
      <w:pPr>
        <w:pStyle w:val="CPQuestions"/>
      </w:pPr>
      <w:r w:rsidRPr="00B27E7B">
        <w:t>Do you agree with ESMA proposal to move to stage 2 for the determination of the pre-trade SSTI thresholds for bonds (except ETCs and ETNs)? Please explain</w:t>
      </w:r>
      <w:r w:rsidR="00646C30">
        <w:t>.</w:t>
      </w:r>
    </w:p>
    <w:p w14:paraId="63D59E8C" w14:textId="18B5F172" w:rsidR="00646C30" w:rsidRDefault="00646C30" w:rsidP="00646C30">
      <w:r>
        <w:t>&lt;ESMA_QUESTION_CP</w:t>
      </w:r>
      <w:r w:rsidR="007254DD">
        <w:t>_MIFID_NQT</w:t>
      </w:r>
      <w:r w:rsidR="00F107EF">
        <w:t>_</w:t>
      </w:r>
      <w:r>
        <w:t>2</w:t>
      </w:r>
      <w:r w:rsidR="00101BF1">
        <w:t>8</w:t>
      </w:r>
      <w:r>
        <w:t>&gt;</w:t>
      </w:r>
    </w:p>
    <w:p w14:paraId="15305155" w14:textId="77777777" w:rsidR="00646C30" w:rsidRDefault="00646C30" w:rsidP="00646C30">
      <w:permStart w:id="1735202609" w:edGrp="everyone"/>
      <w:r>
        <w:t>TYPE YOUR TEXT HERE</w:t>
      </w:r>
      <w:permEnd w:id="1735202609"/>
    </w:p>
    <w:p w14:paraId="79ACDE07" w14:textId="6C439D4C" w:rsidR="00646C30" w:rsidRDefault="00646C30" w:rsidP="00646C30">
      <w:r>
        <w:t>&lt;ESMA_QUESTION_CP</w:t>
      </w:r>
      <w:r w:rsidR="007254DD">
        <w:t>_MIFID_NQT</w:t>
      </w:r>
      <w:r w:rsidR="00F107EF">
        <w:t>_</w:t>
      </w:r>
      <w:r w:rsidR="00101BF1">
        <w:t>28</w:t>
      </w:r>
      <w:r>
        <w:t>&gt;</w:t>
      </w:r>
    </w:p>
    <w:p w14:paraId="77CE9C90" w14:textId="77777777" w:rsidR="00646C30" w:rsidRDefault="00646C30" w:rsidP="002E1760"/>
    <w:p w14:paraId="4C59416A" w14:textId="08E7855B" w:rsidR="00646C30" w:rsidRDefault="00B27E7B" w:rsidP="00646C30">
      <w:pPr>
        <w:pStyle w:val="CPQuestions"/>
      </w:pPr>
      <w:r w:rsidRPr="00B27E7B">
        <w:t>What is your view on the current calibration of the ADNA and ADNT for commodity derivatives? Are there specific sub-asset classes for which the current calibration is problematic? Please justify your views and proposals with quantitative elements where available</w:t>
      </w:r>
      <w:r>
        <w:t>.</w:t>
      </w:r>
    </w:p>
    <w:p w14:paraId="172F5827" w14:textId="1C5B0BB2" w:rsidR="00646C30" w:rsidRDefault="00646C30" w:rsidP="00646C30">
      <w:r>
        <w:t>&lt;ESMA_QUESTION_CP</w:t>
      </w:r>
      <w:r w:rsidR="007254DD">
        <w:t>_MIFID_NQT</w:t>
      </w:r>
      <w:r w:rsidR="00F107EF">
        <w:t>_</w:t>
      </w:r>
      <w:r w:rsidR="00101BF1">
        <w:t>29</w:t>
      </w:r>
      <w:r>
        <w:t>&gt;</w:t>
      </w:r>
    </w:p>
    <w:p w14:paraId="0E557F14" w14:textId="77777777" w:rsidR="00646C30" w:rsidRDefault="00646C30" w:rsidP="00646C30">
      <w:permStart w:id="1113393043" w:edGrp="everyone"/>
      <w:r>
        <w:t>TYPE YOUR TEXT HERE</w:t>
      </w:r>
      <w:permEnd w:id="1113393043"/>
    </w:p>
    <w:p w14:paraId="00F8CA82" w14:textId="0109B071" w:rsidR="00646C30" w:rsidRDefault="00646C30" w:rsidP="00646C30">
      <w:r>
        <w:t>&lt;ESMA_QUESTION_CP</w:t>
      </w:r>
      <w:r w:rsidR="007254DD">
        <w:t>_MIFID_NQT</w:t>
      </w:r>
      <w:r w:rsidR="00F107EF">
        <w:t>_</w:t>
      </w:r>
      <w:r w:rsidR="00101BF1">
        <w:t>29</w:t>
      </w:r>
      <w:r>
        <w:t>&gt;</w:t>
      </w:r>
    </w:p>
    <w:p w14:paraId="637D7F18" w14:textId="77777777" w:rsidR="00646C30" w:rsidRDefault="00646C30" w:rsidP="002E1760"/>
    <w:p w14:paraId="60819974" w14:textId="29986451" w:rsidR="00646C30" w:rsidRDefault="00B27E7B" w:rsidP="00646C30">
      <w:pPr>
        <w:pStyle w:val="CPQuestions"/>
      </w:pPr>
      <w:r w:rsidRPr="00B27E7B">
        <w:t>In relation to the segmentation criteria used for commodity derivatives: what is your view on the segmentation criteria currently used? Do you have suggestions to amend them? What is your view on ESMA’s proposals SC1 to SC3? In your view, for which sub-asset classes the “delivery/cash settlement location” parameter is relevant</w:t>
      </w:r>
      <w:r w:rsidR="00646C30">
        <w:t>.</w:t>
      </w:r>
    </w:p>
    <w:p w14:paraId="66E8E55C" w14:textId="23F785A6" w:rsidR="00646C30" w:rsidRDefault="00646C30" w:rsidP="00646C30">
      <w:r>
        <w:t>&lt;ESMA_QUESTION_CP</w:t>
      </w:r>
      <w:r w:rsidR="007254DD">
        <w:t>_MIFID_NQT</w:t>
      </w:r>
      <w:r w:rsidR="00F107EF">
        <w:t>_</w:t>
      </w:r>
      <w:r w:rsidR="00101BF1">
        <w:t>30</w:t>
      </w:r>
      <w:r>
        <w:t>&gt;</w:t>
      </w:r>
    </w:p>
    <w:p w14:paraId="0FB3DBAF" w14:textId="77777777" w:rsidR="00646C30" w:rsidRDefault="00646C30" w:rsidP="00646C30">
      <w:permStart w:id="547110296" w:edGrp="everyone"/>
      <w:r>
        <w:t>TYPE YOUR TEXT HERE</w:t>
      </w:r>
      <w:permEnd w:id="547110296"/>
    </w:p>
    <w:p w14:paraId="01FF7336" w14:textId="7A10F27A" w:rsidR="00646C30" w:rsidRDefault="00646C30" w:rsidP="00646C30">
      <w:r>
        <w:t>&lt;ESMA_QUESTION_CP</w:t>
      </w:r>
      <w:r w:rsidR="007254DD">
        <w:t>_MIFID_NQT</w:t>
      </w:r>
      <w:r w:rsidR="00F107EF">
        <w:t>_</w:t>
      </w:r>
      <w:r w:rsidR="00101BF1">
        <w:t>30</w:t>
      </w:r>
      <w:r>
        <w:t>&gt;</w:t>
      </w:r>
    </w:p>
    <w:p w14:paraId="773321E3" w14:textId="7FA7ED22" w:rsidR="00B27E7B" w:rsidRDefault="00B27E7B" w:rsidP="00646C30"/>
    <w:p w14:paraId="5D75AF4A" w14:textId="072F1002" w:rsidR="00B27E7B" w:rsidRDefault="00B27E7B" w:rsidP="00B27E7B">
      <w:pPr>
        <w:pStyle w:val="CPQuestions"/>
      </w:pPr>
      <w:r w:rsidRPr="00B27E7B">
        <w:t>What is your view on the analysis and proposals related to the pre-trade LIS thresholds for commodity derivatives? Which proposal to mitigate the counterintuitive effect of the current percentile approach do you prefer (i.e. keep the current methodology but modify its parameters, or change the methodology e.g. using a different metric for the liquidity criteria)? Please justify your views and proposals with quantitative elements where available</w:t>
      </w:r>
      <w:r>
        <w:t>.</w:t>
      </w:r>
    </w:p>
    <w:p w14:paraId="06D29F86" w14:textId="06D8E075" w:rsidR="00B27E7B" w:rsidRDefault="00B27E7B" w:rsidP="00B27E7B">
      <w:r>
        <w:t>&lt;ESMA_QUESTION_CP_MIFID_NQT_31&gt;</w:t>
      </w:r>
    </w:p>
    <w:p w14:paraId="3F79D21F" w14:textId="77777777" w:rsidR="00A57FA0" w:rsidRPr="00201129" w:rsidRDefault="00A57FA0" w:rsidP="00A57FA0">
      <w:pPr>
        <w:jc w:val="both"/>
        <w:rPr>
          <w:rFonts w:ascii="Open Sans" w:hAnsi="Open Sans" w:cs="Open Sans"/>
          <w:b/>
          <w:bCs/>
          <w:szCs w:val="20"/>
        </w:rPr>
      </w:pPr>
      <w:permStart w:id="1615734835" w:edGrp="everyone"/>
      <w:r w:rsidRPr="00201129">
        <w:rPr>
          <w:rFonts w:ascii="Open Sans" w:hAnsi="Open Sans" w:cs="Open Sans"/>
          <w:szCs w:val="20"/>
        </w:rPr>
        <w:t>We would be concerned about any move to adjust the large-in-scale waiver in this context, which we believe has worked well and given that this could undermine the ability of end investors to trade in a manner that protects them from the market moving against them.</w:t>
      </w:r>
    </w:p>
    <w:p w14:paraId="593E91E6" w14:textId="36218861" w:rsidR="00B27E7B" w:rsidRDefault="00B27E7B" w:rsidP="00B27E7B">
      <w:bookmarkStart w:id="4" w:name="_GoBack"/>
      <w:bookmarkEnd w:id="4"/>
      <w:permEnd w:id="1615734835"/>
    </w:p>
    <w:p w14:paraId="50700390" w14:textId="10BA10CC" w:rsidR="00B27E7B" w:rsidRDefault="00B27E7B" w:rsidP="00B27E7B">
      <w:r>
        <w:t>&lt;ESMA_QUESTION_CP_MIFID_NQT_31&gt;</w:t>
      </w:r>
    </w:p>
    <w:p w14:paraId="6841324D" w14:textId="77777777" w:rsidR="00B27E7B" w:rsidRDefault="00B27E7B" w:rsidP="00646C30"/>
    <w:sectPr w:rsidR="00B27E7B" w:rsidSect="00A8728B">
      <w:headerReference w:type="even" r:id="rId21"/>
      <w:headerReference w:type="first" r:id="rId22"/>
      <w:footerReference w:type="first" r:id="rId23"/>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83C458" w14:textId="77777777" w:rsidR="00360398" w:rsidRDefault="00360398">
      <w:r>
        <w:separator/>
      </w:r>
    </w:p>
    <w:p w14:paraId="45105CD4" w14:textId="77777777" w:rsidR="00360398" w:rsidRDefault="00360398"/>
  </w:endnote>
  <w:endnote w:type="continuationSeparator" w:id="0">
    <w:p w14:paraId="0B872624" w14:textId="77777777" w:rsidR="00360398" w:rsidRDefault="00360398">
      <w:r>
        <w:continuationSeparator/>
      </w:r>
    </w:p>
    <w:p w14:paraId="5ACEDC96" w14:textId="77777777" w:rsidR="00360398" w:rsidRDefault="00360398"/>
  </w:endnote>
  <w:endnote w:type="continuationNotice" w:id="1">
    <w:p w14:paraId="61DB64E8" w14:textId="77777777" w:rsidR="00360398" w:rsidRDefault="003603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Yu Gothic"/>
    <w:charset w:val="80"/>
    <w:family w:val="swiss"/>
    <w:pitch w:val="default"/>
  </w:font>
  <w:font w:name="EUAlbertina">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Open Sans">
    <w:altName w:val="Segoe UI"/>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F107EF" w:rsidRPr="00616B9B" w14:paraId="313FAE1A" w14:textId="77777777" w:rsidTr="00315E96">
      <w:trPr>
        <w:trHeight w:val="284"/>
      </w:trPr>
      <w:tc>
        <w:tcPr>
          <w:tcW w:w="8460" w:type="dxa"/>
        </w:tcPr>
        <w:p w14:paraId="0BEF8BC6" w14:textId="77777777" w:rsidR="00F107EF" w:rsidRPr="00315E96" w:rsidRDefault="00F107EF" w:rsidP="00315E96">
          <w:pPr>
            <w:pStyle w:val="00Footer"/>
            <w:rPr>
              <w:lang w:val="fr-FR"/>
            </w:rPr>
          </w:pPr>
        </w:p>
      </w:tc>
      <w:tc>
        <w:tcPr>
          <w:tcW w:w="952" w:type="dxa"/>
        </w:tcPr>
        <w:p w14:paraId="7FD1DE07" w14:textId="77777777" w:rsidR="00F107EF" w:rsidRPr="00616B9B" w:rsidRDefault="00F107EF"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Pr>
              <w:rFonts w:cs="Arial"/>
              <w:noProof/>
              <w:sz w:val="22"/>
              <w:szCs w:val="22"/>
            </w:rPr>
            <w:t>8</w:t>
          </w:r>
          <w:r w:rsidRPr="00616B9B">
            <w:rPr>
              <w:rFonts w:cs="Arial"/>
              <w:noProof/>
              <w:sz w:val="22"/>
              <w:szCs w:val="22"/>
            </w:rPr>
            <w:fldChar w:fldCharType="end"/>
          </w:r>
        </w:p>
      </w:tc>
    </w:tr>
  </w:tbl>
  <w:p w14:paraId="7306E326" w14:textId="77777777" w:rsidR="00F107EF" w:rsidRDefault="00F107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475726" w14:textId="77777777" w:rsidR="00B61CD3" w:rsidRDefault="00B61CD3" w:rsidP="00B61CD3">
    <w:pPr>
      <w:pStyle w:val="Footer"/>
      <w:tabs>
        <w:tab w:val="clear" w:pos="4536"/>
        <w:tab w:val="clear" w:pos="9072"/>
        <w:tab w:val="left" w:pos="8227"/>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3822F5" w14:textId="77777777" w:rsidR="00F107EF" w:rsidRDefault="00F107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DF6952" w14:textId="77777777" w:rsidR="00360398" w:rsidRDefault="00360398">
      <w:r>
        <w:separator/>
      </w:r>
    </w:p>
    <w:p w14:paraId="70D8349F" w14:textId="77777777" w:rsidR="00360398" w:rsidRDefault="00360398"/>
  </w:footnote>
  <w:footnote w:type="continuationSeparator" w:id="0">
    <w:p w14:paraId="6EF2FF8D" w14:textId="77777777" w:rsidR="00360398" w:rsidRDefault="00360398">
      <w:r>
        <w:continuationSeparator/>
      </w:r>
    </w:p>
    <w:p w14:paraId="7B42A879" w14:textId="77777777" w:rsidR="00360398" w:rsidRDefault="00360398"/>
  </w:footnote>
  <w:footnote w:type="continuationNotice" w:id="1">
    <w:p w14:paraId="6A05B60D" w14:textId="77777777" w:rsidR="00360398" w:rsidRDefault="00360398"/>
  </w:footnote>
  <w:footnote w:id="2">
    <w:p w14:paraId="383652E3" w14:textId="77777777" w:rsidR="00A57FA0" w:rsidRPr="001F7461" w:rsidRDefault="00A57FA0" w:rsidP="00A57FA0">
      <w:pPr>
        <w:spacing w:after="120"/>
        <w:ind w:left="426" w:hanging="426"/>
        <w:jc w:val="both"/>
        <w:rPr>
          <w:rFonts w:ascii="Open Sans" w:hAnsi="Open Sans" w:cs="Open Sans"/>
          <w:sz w:val="16"/>
          <w:szCs w:val="16"/>
        </w:rPr>
      </w:pPr>
      <w:r w:rsidRPr="001F7461">
        <w:rPr>
          <w:rStyle w:val="FootnoteReference"/>
          <w:rFonts w:ascii="Open Sans" w:hAnsi="Open Sans" w:cs="Open Sans"/>
          <w:szCs w:val="20"/>
        </w:rPr>
        <w:footnoteRef/>
      </w:r>
      <w:r w:rsidRPr="001F7461">
        <w:rPr>
          <w:rFonts w:ascii="Open Sans" w:hAnsi="Open Sans" w:cs="Open Sans"/>
          <w:szCs w:val="20"/>
        </w:rPr>
        <w:t xml:space="preserve"> </w:t>
      </w:r>
      <w:r w:rsidRPr="001F7461">
        <w:rPr>
          <w:rFonts w:ascii="Open Sans" w:hAnsi="Open Sans" w:cs="Open Sans"/>
          <w:sz w:val="16"/>
          <w:szCs w:val="16"/>
        </w:rPr>
        <w:tab/>
        <w:t xml:space="preserve">AIMA is the global representative of the alternative investment industry, with more than 1,900 corporate members in over 60 countries. AIMA’s fund manager members collectively manage more than $2 trillion in assets. AIMA draws upon the expertise and diversity of its membership to provide leadership in industry initiatives such as advocacy, policy and regulatory engagement, educational programs and sound practice guides. AIMA works to raise media and public awareness of the value of the industry. </w:t>
      </w:r>
    </w:p>
  </w:footnote>
  <w:footnote w:id="3">
    <w:p w14:paraId="1716A11D" w14:textId="77777777" w:rsidR="00A57FA0" w:rsidRPr="001F7461" w:rsidRDefault="00A57FA0" w:rsidP="00A57FA0">
      <w:pPr>
        <w:spacing w:after="120"/>
        <w:ind w:left="426" w:hanging="426"/>
        <w:jc w:val="both"/>
        <w:rPr>
          <w:rFonts w:ascii="Open Sans" w:hAnsi="Open Sans" w:cs="Open Sans"/>
          <w:sz w:val="16"/>
          <w:szCs w:val="16"/>
        </w:rPr>
      </w:pPr>
      <w:r w:rsidRPr="001F7461">
        <w:rPr>
          <w:rStyle w:val="FootnoteReference"/>
          <w:rFonts w:ascii="Open Sans" w:hAnsi="Open Sans" w:cs="Open Sans"/>
          <w:szCs w:val="20"/>
        </w:rPr>
        <w:footnoteRef/>
      </w:r>
      <w:r w:rsidRPr="001F7461">
        <w:rPr>
          <w:rFonts w:ascii="Open Sans" w:hAnsi="Open Sans" w:cs="Open Sans"/>
          <w:szCs w:val="20"/>
        </w:rPr>
        <w:t xml:space="preserve"> </w:t>
      </w:r>
      <w:r w:rsidRPr="001F7461">
        <w:rPr>
          <w:rFonts w:ascii="Open Sans" w:hAnsi="Open Sans" w:cs="Open Sans"/>
          <w:sz w:val="16"/>
          <w:szCs w:val="16"/>
        </w:rPr>
        <w:tab/>
        <w:t>MFA represents the global alternative investment industry and its investors by advocating for sound industry practices and public policies that foster efficient, transparent, and fair capital markets. MFA, based in Washington, DC, is an advocacy, education, and communications organisation established to enable hedge fund and managed futures firms in the alternative investment industry to participate in public policy discourse, share best practices and learn from peers, and communicate the industry’s contributions to the global economy. MFA members help pension plans, university endowments, charitable organisations, qualified individuals and other institutional investors to diversify their investments, manage risk, and generate attractive returns over time. MFA has cultivated a global membership and actively engages with regulators and policy makers in Asia, Europe, North and South America, and many other regions where MFA members are market participants.</w:t>
      </w:r>
    </w:p>
  </w:footnote>
  <w:footnote w:id="4">
    <w:p w14:paraId="5A2F966C" w14:textId="77777777" w:rsidR="00A57FA0" w:rsidRPr="001F7461" w:rsidRDefault="00A57FA0" w:rsidP="00A57FA0">
      <w:pPr>
        <w:spacing w:after="120"/>
        <w:ind w:left="426" w:hanging="426"/>
        <w:jc w:val="both"/>
        <w:rPr>
          <w:rFonts w:ascii="Open Sans" w:hAnsi="Open Sans" w:cs="Open Sans"/>
          <w:sz w:val="16"/>
          <w:szCs w:val="16"/>
        </w:rPr>
      </w:pPr>
      <w:r w:rsidRPr="001F7461">
        <w:rPr>
          <w:rStyle w:val="FootnoteReference"/>
          <w:rFonts w:ascii="Open Sans" w:hAnsi="Open Sans" w:cs="Open Sans"/>
          <w:szCs w:val="20"/>
        </w:rPr>
        <w:footnoteRef/>
      </w:r>
      <w:r w:rsidRPr="001F7461">
        <w:rPr>
          <w:rFonts w:ascii="Open Sans" w:hAnsi="Open Sans" w:cs="Open Sans"/>
          <w:szCs w:val="20"/>
        </w:rPr>
        <w:t xml:space="preserve"> </w:t>
      </w:r>
      <w:r w:rsidRPr="001F7461">
        <w:rPr>
          <w:rFonts w:ascii="Open Sans" w:hAnsi="Open Sans" w:cs="Open Sans"/>
          <w:sz w:val="16"/>
          <w:szCs w:val="16"/>
        </w:rPr>
        <w:tab/>
        <w:t xml:space="preserve">ESMA70-156-2189. Online at: </w:t>
      </w:r>
      <w:hyperlink r:id="rId1" w:history="1">
        <w:r w:rsidRPr="001F7461">
          <w:rPr>
            <w:rStyle w:val="Hyperlink"/>
            <w:rFonts w:ascii="Open Sans" w:hAnsi="Open Sans" w:cs="Open Sans"/>
            <w:sz w:val="16"/>
            <w:szCs w:val="16"/>
          </w:rPr>
          <w:t>https://www.esma.europa.eu/file/54886/download?token=dMSYPM__</w:t>
        </w:r>
      </w:hyperlink>
      <w:r w:rsidRPr="001F7461">
        <w:rPr>
          <w:rFonts w:ascii="Open Sans" w:hAnsi="Open Sans" w:cs="Open Sans"/>
          <w:sz w:val="16"/>
          <w:szCs w:val="16"/>
        </w:rPr>
        <w:t xml:space="preserve"> </w:t>
      </w:r>
    </w:p>
    <w:p w14:paraId="6EAA929C" w14:textId="77777777" w:rsidR="00A57FA0" w:rsidRPr="001F7461" w:rsidRDefault="00A57FA0" w:rsidP="00A57FA0">
      <w:pPr>
        <w:pStyle w:val="FootnoteText"/>
        <w:rPr>
          <w:rFonts w:ascii="Open Sans" w:hAnsi="Open Sans" w:cs="Open Sans"/>
          <w:szCs w:val="16"/>
        </w:rPr>
      </w:pPr>
    </w:p>
  </w:footnote>
  <w:footnote w:id="5">
    <w:p w14:paraId="747EBDA0" w14:textId="77777777" w:rsidR="00A57FA0" w:rsidRPr="001F7461" w:rsidRDefault="00A57FA0" w:rsidP="00A57FA0">
      <w:pPr>
        <w:autoSpaceDE w:val="0"/>
        <w:autoSpaceDN w:val="0"/>
        <w:adjustRightInd w:val="0"/>
        <w:ind w:left="426" w:hanging="426"/>
        <w:jc w:val="both"/>
        <w:rPr>
          <w:rFonts w:ascii="Open Sans" w:hAnsi="Open Sans" w:cs="Open Sans"/>
          <w:sz w:val="16"/>
          <w:szCs w:val="16"/>
        </w:rPr>
      </w:pPr>
      <w:r w:rsidRPr="001F7461">
        <w:rPr>
          <w:rStyle w:val="FootnoteReference"/>
          <w:rFonts w:ascii="Open Sans" w:hAnsi="Open Sans" w:cs="Open Sans"/>
          <w:szCs w:val="20"/>
        </w:rPr>
        <w:footnoteRef/>
      </w:r>
      <w:r w:rsidRPr="001F7461">
        <w:rPr>
          <w:rFonts w:ascii="Open Sans" w:hAnsi="Open Sans" w:cs="Open Sans"/>
          <w:szCs w:val="20"/>
        </w:rPr>
        <w:t xml:space="preserve"> </w:t>
      </w:r>
      <w:r w:rsidRPr="001F7461">
        <w:rPr>
          <w:rFonts w:ascii="Open Sans" w:hAnsi="Open Sans" w:cs="Open Sans"/>
          <w:sz w:val="16"/>
          <w:szCs w:val="16"/>
        </w:rPr>
        <w:tab/>
        <w:t>ESMA70-156-1606. MiFID II/</w:t>
      </w:r>
      <w:proofErr w:type="spellStart"/>
      <w:r w:rsidRPr="001F7461">
        <w:rPr>
          <w:rFonts w:ascii="Open Sans" w:hAnsi="Open Sans" w:cs="Open Sans"/>
          <w:sz w:val="16"/>
          <w:szCs w:val="16"/>
        </w:rPr>
        <w:t>MiFIR</w:t>
      </w:r>
      <w:proofErr w:type="spellEnd"/>
      <w:r w:rsidRPr="001F7461">
        <w:rPr>
          <w:rFonts w:ascii="Open Sans" w:hAnsi="Open Sans" w:cs="Open Sans"/>
          <w:sz w:val="16"/>
          <w:szCs w:val="16"/>
        </w:rPr>
        <w:t xml:space="preserve"> Review Report No. 1 On the development in prices for pre- and post-trade data and on the consolidated tape for equity instruments. Online at: </w:t>
      </w:r>
    </w:p>
    <w:p w14:paraId="3D3DA3B4" w14:textId="77777777" w:rsidR="00A57FA0" w:rsidRPr="001F7461" w:rsidRDefault="00A57FA0" w:rsidP="00A57FA0">
      <w:pPr>
        <w:autoSpaceDE w:val="0"/>
        <w:autoSpaceDN w:val="0"/>
        <w:adjustRightInd w:val="0"/>
        <w:ind w:left="426"/>
        <w:jc w:val="both"/>
        <w:rPr>
          <w:rFonts w:ascii="Open Sans" w:hAnsi="Open Sans" w:cs="Open Sans"/>
          <w:sz w:val="16"/>
          <w:szCs w:val="16"/>
        </w:rPr>
      </w:pPr>
      <w:hyperlink r:id="rId2" w:history="1">
        <w:r w:rsidRPr="001F7461">
          <w:rPr>
            <w:rStyle w:val="Hyperlink"/>
            <w:rFonts w:ascii="Open Sans" w:hAnsi="Open Sans" w:cs="Open Sans"/>
            <w:sz w:val="16"/>
            <w:szCs w:val="16"/>
          </w:rPr>
          <w:t>https://www.esma.europa.eu/sites/default/files/library/mifid_ii_mifir_review_report_no_1_on_prices_for_market_data_and_the_equity_ct.pdf</w:t>
        </w:r>
      </w:hyperlink>
      <w:r w:rsidRPr="001F7461">
        <w:rPr>
          <w:rFonts w:ascii="Open Sans" w:hAnsi="Open Sans" w:cs="Open Sans"/>
          <w:sz w:val="16"/>
          <w:szCs w:val="16"/>
        </w:rPr>
        <w:t xml:space="preserve"> </w:t>
      </w:r>
    </w:p>
    <w:p w14:paraId="00BDFE8C" w14:textId="77777777" w:rsidR="00A57FA0" w:rsidRPr="001F7461" w:rsidRDefault="00A57FA0" w:rsidP="00A57FA0">
      <w:pPr>
        <w:autoSpaceDE w:val="0"/>
        <w:autoSpaceDN w:val="0"/>
        <w:adjustRightInd w:val="0"/>
        <w:jc w:val="both"/>
        <w:rPr>
          <w:rFonts w:ascii="Open Sans" w:hAnsi="Open Sans" w:cs="Open Sans"/>
        </w:rPr>
      </w:pPr>
    </w:p>
    <w:p w14:paraId="13DADF49" w14:textId="77777777" w:rsidR="00A57FA0" w:rsidRPr="001F7461" w:rsidRDefault="00A57FA0" w:rsidP="00A57FA0">
      <w:pPr>
        <w:autoSpaceDE w:val="0"/>
        <w:autoSpaceDN w:val="0"/>
        <w:adjustRightInd w:val="0"/>
        <w:jc w:val="both"/>
        <w:rPr>
          <w:rFonts w:ascii="Open Sans" w:hAnsi="Open Sans" w:cs="Open Sans"/>
        </w:rPr>
      </w:pPr>
    </w:p>
    <w:p w14:paraId="4EB49D41" w14:textId="77777777" w:rsidR="00A57FA0" w:rsidRPr="001F7461" w:rsidRDefault="00A57FA0" w:rsidP="00A57FA0">
      <w:pPr>
        <w:pStyle w:val="FootnoteText"/>
        <w:rPr>
          <w:rFonts w:ascii="Open Sans" w:hAnsi="Open Sans" w:cs="Open San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547985" w14:textId="77777777" w:rsidR="00F107EF" w:rsidRDefault="00F107EF">
    <w:pPr>
      <w:pStyle w:val="Header"/>
    </w:pPr>
    <w:r>
      <w:rPr>
        <w:noProof/>
        <w:lang w:eastAsia="en-GB"/>
      </w:rPr>
      <w:drawing>
        <wp:anchor distT="0" distB="0" distL="114300" distR="114300" simplePos="0" relativeHeight="251658240" behindDoc="0" locked="0" layoutInCell="1" allowOverlap="1" wp14:anchorId="3805F143" wp14:editId="57057423">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295" distR="114295" simplePos="0" relativeHeight="251656192" behindDoc="0" locked="0" layoutInCell="1" allowOverlap="1" wp14:anchorId="07454E51" wp14:editId="08DA269C">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969162"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48EEA6" w14:textId="77777777" w:rsidR="00F107EF" w:rsidRDefault="00F107EF" w:rsidP="00013CCE">
    <w:pPr>
      <w:pStyle w:val="Header"/>
      <w:jc w:val="right"/>
    </w:pPr>
    <w:r>
      <w:rPr>
        <w:noProof/>
        <w:lang w:eastAsia="en-GB"/>
      </w:rPr>
      <w:drawing>
        <wp:anchor distT="0" distB="0" distL="114300" distR="114300" simplePos="0" relativeHeight="251657216" behindDoc="0" locked="0" layoutInCell="1" allowOverlap="1" wp14:anchorId="3407F674" wp14:editId="30869A6E">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5168" behindDoc="1" locked="0" layoutInCell="1" allowOverlap="1" wp14:anchorId="36DF4315" wp14:editId="2E1D3D4B">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EA3DA" w14:textId="77777777" w:rsidR="00F107EF" w:rsidRDefault="00F107EF"/>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F107EF" w:rsidRPr="002F4496" w14:paraId="60C7474C" w14:textId="77777777" w:rsidTr="000C06C9">
      <w:trPr>
        <w:trHeight w:val="284"/>
      </w:trPr>
      <w:tc>
        <w:tcPr>
          <w:tcW w:w="8460" w:type="dxa"/>
        </w:tcPr>
        <w:p w14:paraId="54B7E7F0" w14:textId="77777777" w:rsidR="00F107EF" w:rsidRPr="000C3B6D" w:rsidRDefault="00F107EF" w:rsidP="000C06C9">
          <w:pPr>
            <w:pStyle w:val="00Footer"/>
            <w:rPr>
              <w:lang w:val="fr-FR"/>
            </w:rPr>
          </w:pPr>
        </w:p>
      </w:tc>
      <w:tc>
        <w:tcPr>
          <w:tcW w:w="952" w:type="dxa"/>
        </w:tcPr>
        <w:p w14:paraId="2E49D042" w14:textId="77777777" w:rsidR="00F107EF" w:rsidRPr="00146B34" w:rsidRDefault="00F107EF" w:rsidP="000C06C9">
          <w:pPr>
            <w:pStyle w:val="00aPagenumber"/>
            <w:rPr>
              <w:lang w:val="fr-FR"/>
            </w:rPr>
          </w:pPr>
        </w:p>
      </w:tc>
    </w:tr>
  </w:tbl>
  <w:p w14:paraId="580707D9" w14:textId="77777777" w:rsidR="00F107EF" w:rsidRPr="00DB46C3" w:rsidRDefault="00F107EF">
    <w:pPr>
      <w:rPr>
        <w:lang w:val="fr-FR"/>
      </w:rPr>
    </w:pPr>
  </w:p>
  <w:p w14:paraId="20C4F67C" w14:textId="77777777" w:rsidR="00F107EF" w:rsidRPr="002F4496" w:rsidRDefault="00F107EF">
    <w:pPr>
      <w:pStyle w:val="Header"/>
      <w:rPr>
        <w:lang w:val="fr-FR"/>
      </w:rPr>
    </w:pPr>
  </w:p>
  <w:p w14:paraId="3F30C70B" w14:textId="77777777" w:rsidR="00F107EF" w:rsidRPr="002F4496" w:rsidRDefault="00F107EF" w:rsidP="000C06C9">
    <w:pPr>
      <w:pStyle w:val="Header"/>
      <w:tabs>
        <w:tab w:val="clear" w:pos="4536"/>
        <w:tab w:val="clear" w:pos="9072"/>
        <w:tab w:val="left" w:pos="8227"/>
      </w:tabs>
      <w:rPr>
        <w:lang w:val="fr-FR"/>
      </w:rPr>
    </w:pPr>
  </w:p>
  <w:p w14:paraId="4D50BC39" w14:textId="77777777" w:rsidR="00F107EF" w:rsidRPr="002F4496" w:rsidRDefault="00F107EF" w:rsidP="00583885">
    <w:pPr>
      <w:pStyle w:val="Header"/>
      <w:jc w:val="right"/>
      <w:rPr>
        <w:lang w:val="fr-FR"/>
      </w:rPr>
    </w:pPr>
  </w:p>
  <w:p w14:paraId="2D51BEA2" w14:textId="77777777" w:rsidR="00F107EF" w:rsidRPr="002F4496" w:rsidRDefault="00F107EF">
    <w:pPr>
      <w:pStyle w:val="Header"/>
      <w:rPr>
        <w:lang w:val="fr-FR"/>
      </w:rPr>
    </w:pPr>
  </w:p>
  <w:p w14:paraId="340B2438" w14:textId="77777777" w:rsidR="00F107EF" w:rsidRPr="002F4496" w:rsidRDefault="00F107EF">
    <w:pPr>
      <w:pStyle w:val="Header"/>
      <w:rPr>
        <w:lang w:val="fr-FR"/>
      </w:rPr>
    </w:pPr>
  </w:p>
  <w:p w14:paraId="2A794A3E" w14:textId="77777777" w:rsidR="00F107EF" w:rsidRPr="002F4496" w:rsidRDefault="00F107EF">
    <w:pPr>
      <w:pStyle w:val="Header"/>
      <w:rPr>
        <w:lang w:val="fr-FR"/>
      </w:rPr>
    </w:pPr>
  </w:p>
  <w:p w14:paraId="0A21F475" w14:textId="77777777" w:rsidR="00F107EF" w:rsidRPr="002F4496" w:rsidRDefault="00F107EF">
    <w:pPr>
      <w:pStyle w:val="Header"/>
      <w:rPr>
        <w:highlight w:val="yellow"/>
        <w:lang w:val="fr-FR"/>
      </w:rPr>
    </w:pPr>
  </w:p>
  <w:p w14:paraId="53ABEE5D" w14:textId="77777777" w:rsidR="00F107EF" w:rsidRDefault="00F107EF">
    <w:pPr>
      <w:pStyle w:val="Header"/>
    </w:pPr>
    <w:r>
      <w:rPr>
        <w:noProof/>
        <w:lang w:eastAsia="en-GB"/>
      </w:rPr>
      <mc:AlternateContent>
        <mc:Choice Requires="wps">
          <w:drawing>
            <wp:anchor distT="0" distB="0" distL="114299" distR="114299" simplePos="0" relativeHeight="251660288" behindDoc="0" locked="0" layoutInCell="1" allowOverlap="1" wp14:anchorId="22F5F3E4" wp14:editId="509A417A">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BE968B"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Pr>
        <w:noProof/>
        <w:lang w:eastAsia="en-GB"/>
      </w:rPr>
      <w:drawing>
        <wp:anchor distT="0" distB="0" distL="114300" distR="114300" simplePos="0" relativeHeight="251659264" behindDoc="0" locked="0" layoutInCell="1" allowOverlap="1" wp14:anchorId="48CEC262" wp14:editId="3F03F401">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3137729"/>
    <w:multiLevelType w:val="hybridMultilevel"/>
    <w:tmpl w:val="3F3E977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5" w15:restartNumberingAfterBreak="0">
    <w:nsid w:val="1C3C6171"/>
    <w:multiLevelType w:val="hybridMultilevel"/>
    <w:tmpl w:val="05447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8"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0"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1"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3" w15:restartNumberingAfterBreak="0">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5"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7"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18"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9" w15:restartNumberingAfterBreak="0">
    <w:nsid w:val="4A8501C1"/>
    <w:multiLevelType w:val="hybridMultilevel"/>
    <w:tmpl w:val="5B926852"/>
    <w:lvl w:ilvl="0" w:tplc="CECA9C4C">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1" w15:restartNumberingAfterBreak="0">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4" w15:restartNumberingAfterBreak="0">
    <w:nsid w:val="55DE60E9"/>
    <w:multiLevelType w:val="hybridMultilevel"/>
    <w:tmpl w:val="1084069A"/>
    <w:lvl w:ilvl="0" w:tplc="B532C018">
      <w:start w:val="2"/>
      <w:numFmt w:val="upperRoman"/>
      <w:pStyle w:val="Heading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6"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7"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28"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9" w15:restartNumberingAfterBreak="0">
    <w:nsid w:val="604B5B6A"/>
    <w:multiLevelType w:val="hybridMultilevel"/>
    <w:tmpl w:val="EAB025C2"/>
    <w:lvl w:ilvl="0" w:tplc="08090001">
      <w:start w:val="1"/>
      <w:numFmt w:val="bullet"/>
      <w:lvlText w:val=""/>
      <w:lvlJc w:val="left"/>
      <w:pPr>
        <w:ind w:left="720" w:hanging="360"/>
      </w:pPr>
      <w:rPr>
        <w:rFonts w:ascii="Symbol" w:hAnsi="Symbol" w:hint="default"/>
        <w:sz w:val="20"/>
        <w:szCs w:val="2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32" w15:restartNumberingAfterBreak="0">
    <w:nsid w:val="671A2EA8"/>
    <w:multiLevelType w:val="hybridMultilevel"/>
    <w:tmpl w:val="1228E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4"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5"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01A6077"/>
    <w:multiLevelType w:val="hybridMultilevel"/>
    <w:tmpl w:val="E9FE7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8"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39"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5"/>
  </w:num>
  <w:num w:numId="2">
    <w:abstractNumId w:val="17"/>
  </w:num>
  <w:num w:numId="3">
    <w:abstractNumId w:val="11"/>
  </w:num>
  <w:num w:numId="4">
    <w:abstractNumId w:val="22"/>
  </w:num>
  <w:num w:numId="5">
    <w:abstractNumId w:val="24"/>
  </w:num>
  <w:num w:numId="6">
    <w:abstractNumId w:val="0"/>
  </w:num>
  <w:num w:numId="7">
    <w:abstractNumId w:val="4"/>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1"/>
  </w:num>
  <w:num w:numId="1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6"/>
  </w:num>
  <w:num w:numId="13">
    <w:abstractNumId w:val="30"/>
  </w:num>
  <w:num w:numId="14">
    <w:abstractNumId w:val="21"/>
  </w:num>
  <w:num w:numId="15">
    <w:abstractNumId w:val="10"/>
  </w:num>
  <w:num w:numId="16">
    <w:abstractNumId w:val="1"/>
  </w:num>
  <w:num w:numId="17">
    <w:abstractNumId w:val="13"/>
  </w:num>
  <w:num w:numId="18">
    <w:abstractNumId w:val="14"/>
  </w:num>
  <w:num w:numId="19">
    <w:abstractNumId w:val="16"/>
  </w:num>
  <w:num w:numId="20">
    <w:abstractNumId w:val="25"/>
  </w:num>
  <w:num w:numId="21">
    <w:abstractNumId w:val="37"/>
  </w:num>
  <w:num w:numId="22">
    <w:abstractNumId w:val="23"/>
  </w:num>
  <w:num w:numId="23">
    <w:abstractNumId w:val="9"/>
  </w:num>
  <w:num w:numId="24">
    <w:abstractNumId w:val="28"/>
  </w:num>
  <w:num w:numId="25">
    <w:abstractNumId w:val="27"/>
  </w:num>
  <w:num w:numId="26">
    <w:abstractNumId w:val="18"/>
  </w:num>
  <w:num w:numId="27">
    <w:abstractNumId w:val="33"/>
  </w:num>
  <w:num w:numId="28">
    <w:abstractNumId w:val="39"/>
  </w:num>
  <w:num w:numId="29">
    <w:abstractNumId w:val="7"/>
  </w:num>
  <w:num w:numId="30">
    <w:abstractNumId w:val="3"/>
  </w:num>
  <w:num w:numId="31">
    <w:abstractNumId w:val="20"/>
  </w:num>
  <w:num w:numId="32">
    <w:abstractNumId w:val="19"/>
  </w:num>
  <w:num w:numId="33">
    <w:abstractNumId w:val="35"/>
  </w:num>
  <w:num w:numId="34">
    <w:abstractNumId w:val="34"/>
  </w:num>
  <w:num w:numId="35">
    <w:abstractNumId w:val="5"/>
  </w:num>
  <w:num w:numId="36">
    <w:abstractNumId w:val="36"/>
  </w:num>
  <w:num w:numId="37">
    <w:abstractNumId w:val="19"/>
    <w:lvlOverride w:ilvl="0">
      <w:startOverride w:val="1"/>
    </w:lvlOverride>
  </w:num>
  <w:num w:numId="38">
    <w:abstractNumId w:val="19"/>
  </w:num>
  <w:num w:numId="39">
    <w:abstractNumId w:val="29"/>
  </w:num>
  <w:num w:numId="40">
    <w:abstractNumId w:val="2"/>
  </w:num>
  <w:num w:numId="41">
    <w:abstractNumId w:val="32"/>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2Lgx40o0Uhp5wsRzMTxIke0OjJoVruNyahcyx0E87CxFvMT1xt0Ass1m86SRwjfA74HFUokCGJg7JKl0Sxmaig==" w:salt="NENOzH7pfTpZXs2MZdg8ww=="/>
  <w:defaultTabStop w:val="709"/>
  <w:autoHyphenation/>
  <w:hyphenationZone w:val="567"/>
  <w:characterSpacingControl w:val="doNotCompress"/>
  <w:hdrShapeDefaults>
    <o:shapedefaults v:ext="edit" spidmax="2049">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226"/>
    <w:rsid w:val="00026269"/>
    <w:rsid w:val="00027154"/>
    <w:rsid w:val="00027ECF"/>
    <w:rsid w:val="000303BE"/>
    <w:rsid w:val="000344D6"/>
    <w:rsid w:val="00034960"/>
    <w:rsid w:val="00036FAE"/>
    <w:rsid w:val="00041858"/>
    <w:rsid w:val="0004389E"/>
    <w:rsid w:val="00045CA6"/>
    <w:rsid w:val="000463A6"/>
    <w:rsid w:val="00046CC9"/>
    <w:rsid w:val="00046E91"/>
    <w:rsid w:val="00047350"/>
    <w:rsid w:val="000502FE"/>
    <w:rsid w:val="0005126D"/>
    <w:rsid w:val="00051992"/>
    <w:rsid w:val="00051E9A"/>
    <w:rsid w:val="000521A7"/>
    <w:rsid w:val="00052F47"/>
    <w:rsid w:val="000537BB"/>
    <w:rsid w:val="0005399B"/>
    <w:rsid w:val="00054DE6"/>
    <w:rsid w:val="000569D7"/>
    <w:rsid w:val="000576D7"/>
    <w:rsid w:val="00060F72"/>
    <w:rsid w:val="00062592"/>
    <w:rsid w:val="000636A1"/>
    <w:rsid w:val="000649D9"/>
    <w:rsid w:val="000652BE"/>
    <w:rsid w:val="00066479"/>
    <w:rsid w:val="0006723C"/>
    <w:rsid w:val="00070376"/>
    <w:rsid w:val="00070630"/>
    <w:rsid w:val="00070974"/>
    <w:rsid w:val="00071EAD"/>
    <w:rsid w:val="00071F4E"/>
    <w:rsid w:val="00072271"/>
    <w:rsid w:val="00072B54"/>
    <w:rsid w:val="0007463D"/>
    <w:rsid w:val="00074979"/>
    <w:rsid w:val="000749F0"/>
    <w:rsid w:val="0007609D"/>
    <w:rsid w:val="00077C67"/>
    <w:rsid w:val="00080976"/>
    <w:rsid w:val="00081CEB"/>
    <w:rsid w:val="00081E60"/>
    <w:rsid w:val="00082D8E"/>
    <w:rsid w:val="00082E31"/>
    <w:rsid w:val="00083AA3"/>
    <w:rsid w:val="00085947"/>
    <w:rsid w:val="000868FE"/>
    <w:rsid w:val="000878D1"/>
    <w:rsid w:val="000921AE"/>
    <w:rsid w:val="000921D7"/>
    <w:rsid w:val="000925FF"/>
    <w:rsid w:val="000932E0"/>
    <w:rsid w:val="00094853"/>
    <w:rsid w:val="00094C4C"/>
    <w:rsid w:val="00096762"/>
    <w:rsid w:val="000969C8"/>
    <w:rsid w:val="0009752D"/>
    <w:rsid w:val="00097AEE"/>
    <w:rsid w:val="000A014A"/>
    <w:rsid w:val="000A0396"/>
    <w:rsid w:val="000A04B6"/>
    <w:rsid w:val="000A0E36"/>
    <w:rsid w:val="000A1BD2"/>
    <w:rsid w:val="000A2127"/>
    <w:rsid w:val="000A358F"/>
    <w:rsid w:val="000A43CC"/>
    <w:rsid w:val="000A7314"/>
    <w:rsid w:val="000A7B53"/>
    <w:rsid w:val="000A7B64"/>
    <w:rsid w:val="000B275C"/>
    <w:rsid w:val="000B2C3D"/>
    <w:rsid w:val="000B55C0"/>
    <w:rsid w:val="000B5DF2"/>
    <w:rsid w:val="000C06C9"/>
    <w:rsid w:val="000C1DCC"/>
    <w:rsid w:val="000C1FBC"/>
    <w:rsid w:val="000C2B6A"/>
    <w:rsid w:val="000C2F88"/>
    <w:rsid w:val="000C55C8"/>
    <w:rsid w:val="000C57C4"/>
    <w:rsid w:val="000C5FD3"/>
    <w:rsid w:val="000C701D"/>
    <w:rsid w:val="000C7C4A"/>
    <w:rsid w:val="000D17AA"/>
    <w:rsid w:val="000D2D0B"/>
    <w:rsid w:val="000D4660"/>
    <w:rsid w:val="000D705D"/>
    <w:rsid w:val="000D71F1"/>
    <w:rsid w:val="000D7EB9"/>
    <w:rsid w:val="000E0223"/>
    <w:rsid w:val="000E0CF3"/>
    <w:rsid w:val="000E18A8"/>
    <w:rsid w:val="000E1AEC"/>
    <w:rsid w:val="000E3937"/>
    <w:rsid w:val="000E4926"/>
    <w:rsid w:val="000E49B7"/>
    <w:rsid w:val="000E5F7F"/>
    <w:rsid w:val="000E7086"/>
    <w:rsid w:val="000E7C65"/>
    <w:rsid w:val="000F04D2"/>
    <w:rsid w:val="000F55B7"/>
    <w:rsid w:val="000F604F"/>
    <w:rsid w:val="000F7399"/>
    <w:rsid w:val="00101BF1"/>
    <w:rsid w:val="001027F1"/>
    <w:rsid w:val="00104F2E"/>
    <w:rsid w:val="001072DD"/>
    <w:rsid w:val="00110D7A"/>
    <w:rsid w:val="00111464"/>
    <w:rsid w:val="0011167D"/>
    <w:rsid w:val="00112892"/>
    <w:rsid w:val="001129F9"/>
    <w:rsid w:val="00112E48"/>
    <w:rsid w:val="001130EA"/>
    <w:rsid w:val="001138E8"/>
    <w:rsid w:val="00114259"/>
    <w:rsid w:val="001168B2"/>
    <w:rsid w:val="00117C20"/>
    <w:rsid w:val="00120F0E"/>
    <w:rsid w:val="00121A5D"/>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AC7"/>
    <w:rsid w:val="001745D7"/>
    <w:rsid w:val="00175754"/>
    <w:rsid w:val="00176982"/>
    <w:rsid w:val="0017701C"/>
    <w:rsid w:val="00181264"/>
    <w:rsid w:val="00181BD1"/>
    <w:rsid w:val="0018204A"/>
    <w:rsid w:val="00182F7C"/>
    <w:rsid w:val="001843B5"/>
    <w:rsid w:val="00186829"/>
    <w:rsid w:val="001868CA"/>
    <w:rsid w:val="00187304"/>
    <w:rsid w:val="001875BE"/>
    <w:rsid w:val="0019017A"/>
    <w:rsid w:val="00190B8C"/>
    <w:rsid w:val="00190FF8"/>
    <w:rsid w:val="0019311A"/>
    <w:rsid w:val="0019508A"/>
    <w:rsid w:val="001960D8"/>
    <w:rsid w:val="001A1642"/>
    <w:rsid w:val="001A371B"/>
    <w:rsid w:val="001A4766"/>
    <w:rsid w:val="001A6A0D"/>
    <w:rsid w:val="001A6C51"/>
    <w:rsid w:val="001A6FAA"/>
    <w:rsid w:val="001A7D73"/>
    <w:rsid w:val="001B0363"/>
    <w:rsid w:val="001B1355"/>
    <w:rsid w:val="001B2FC9"/>
    <w:rsid w:val="001B3138"/>
    <w:rsid w:val="001B4E4B"/>
    <w:rsid w:val="001B50AC"/>
    <w:rsid w:val="001B5E05"/>
    <w:rsid w:val="001B6D68"/>
    <w:rsid w:val="001B6F2E"/>
    <w:rsid w:val="001C0344"/>
    <w:rsid w:val="001C0F2A"/>
    <w:rsid w:val="001C1A59"/>
    <w:rsid w:val="001C270F"/>
    <w:rsid w:val="001C4679"/>
    <w:rsid w:val="001C5770"/>
    <w:rsid w:val="001C6195"/>
    <w:rsid w:val="001D000A"/>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F0F63"/>
    <w:rsid w:val="001F3996"/>
    <w:rsid w:val="001F44A4"/>
    <w:rsid w:val="001F579D"/>
    <w:rsid w:val="001F65EF"/>
    <w:rsid w:val="001F697B"/>
    <w:rsid w:val="002005A6"/>
    <w:rsid w:val="00204CBC"/>
    <w:rsid w:val="002051F1"/>
    <w:rsid w:val="002067BA"/>
    <w:rsid w:val="0021058D"/>
    <w:rsid w:val="00211E2F"/>
    <w:rsid w:val="00211E9E"/>
    <w:rsid w:val="00214FB4"/>
    <w:rsid w:val="00215940"/>
    <w:rsid w:val="00217C23"/>
    <w:rsid w:val="00220561"/>
    <w:rsid w:val="00220CE4"/>
    <w:rsid w:val="00222D9B"/>
    <w:rsid w:val="00223788"/>
    <w:rsid w:val="00223D11"/>
    <w:rsid w:val="002242D3"/>
    <w:rsid w:val="00227C1A"/>
    <w:rsid w:val="002301E6"/>
    <w:rsid w:val="00232F90"/>
    <w:rsid w:val="00233B08"/>
    <w:rsid w:val="00233C3B"/>
    <w:rsid w:val="0023499C"/>
    <w:rsid w:val="00235CE3"/>
    <w:rsid w:val="0023636A"/>
    <w:rsid w:val="00236F34"/>
    <w:rsid w:val="002372F7"/>
    <w:rsid w:val="00240651"/>
    <w:rsid w:val="00240803"/>
    <w:rsid w:val="0024426D"/>
    <w:rsid w:val="00244F1D"/>
    <w:rsid w:val="00245004"/>
    <w:rsid w:val="00245FB4"/>
    <w:rsid w:val="00250898"/>
    <w:rsid w:val="00250E70"/>
    <w:rsid w:val="00251EA9"/>
    <w:rsid w:val="00252843"/>
    <w:rsid w:val="002543F8"/>
    <w:rsid w:val="002551A4"/>
    <w:rsid w:val="002559F3"/>
    <w:rsid w:val="00256DFE"/>
    <w:rsid w:val="00261D56"/>
    <w:rsid w:val="00261FD3"/>
    <w:rsid w:val="00263505"/>
    <w:rsid w:val="00264077"/>
    <w:rsid w:val="00266B9A"/>
    <w:rsid w:val="00270E54"/>
    <w:rsid w:val="00273633"/>
    <w:rsid w:val="00273681"/>
    <w:rsid w:val="002754B5"/>
    <w:rsid w:val="002764C5"/>
    <w:rsid w:val="00276A5A"/>
    <w:rsid w:val="002772AE"/>
    <w:rsid w:val="00280613"/>
    <w:rsid w:val="002819C4"/>
    <w:rsid w:val="0028274D"/>
    <w:rsid w:val="00282B96"/>
    <w:rsid w:val="002833D6"/>
    <w:rsid w:val="00283F51"/>
    <w:rsid w:val="00286064"/>
    <w:rsid w:val="002867B1"/>
    <w:rsid w:val="002868FC"/>
    <w:rsid w:val="00287BBB"/>
    <w:rsid w:val="00287E3B"/>
    <w:rsid w:val="00290638"/>
    <w:rsid w:val="00291763"/>
    <w:rsid w:val="00291D80"/>
    <w:rsid w:val="00292E82"/>
    <w:rsid w:val="00293156"/>
    <w:rsid w:val="00293BE7"/>
    <w:rsid w:val="00293D78"/>
    <w:rsid w:val="002946DC"/>
    <w:rsid w:val="002A0C82"/>
    <w:rsid w:val="002A0CD8"/>
    <w:rsid w:val="002A13EB"/>
    <w:rsid w:val="002A35EF"/>
    <w:rsid w:val="002A3DE0"/>
    <w:rsid w:val="002A40EA"/>
    <w:rsid w:val="002A46E8"/>
    <w:rsid w:val="002A491C"/>
    <w:rsid w:val="002A4C8E"/>
    <w:rsid w:val="002B1FEF"/>
    <w:rsid w:val="002B2DF8"/>
    <w:rsid w:val="002B354F"/>
    <w:rsid w:val="002B3614"/>
    <w:rsid w:val="002B45D1"/>
    <w:rsid w:val="002B4ED8"/>
    <w:rsid w:val="002B4FAA"/>
    <w:rsid w:val="002B52C2"/>
    <w:rsid w:val="002B7656"/>
    <w:rsid w:val="002C0642"/>
    <w:rsid w:val="002C1492"/>
    <w:rsid w:val="002C1E8B"/>
    <w:rsid w:val="002C2EFE"/>
    <w:rsid w:val="002C53AA"/>
    <w:rsid w:val="002C5B2D"/>
    <w:rsid w:val="002C6AF9"/>
    <w:rsid w:val="002C7DFC"/>
    <w:rsid w:val="002D08B8"/>
    <w:rsid w:val="002D14F3"/>
    <w:rsid w:val="002D16E4"/>
    <w:rsid w:val="002D2FEF"/>
    <w:rsid w:val="002D36C2"/>
    <w:rsid w:val="002D3FCB"/>
    <w:rsid w:val="002D4FEF"/>
    <w:rsid w:val="002D502D"/>
    <w:rsid w:val="002D63F5"/>
    <w:rsid w:val="002D6E1A"/>
    <w:rsid w:val="002E036D"/>
    <w:rsid w:val="002E1517"/>
    <w:rsid w:val="002E1760"/>
    <w:rsid w:val="002E1B22"/>
    <w:rsid w:val="002E387F"/>
    <w:rsid w:val="002E76FC"/>
    <w:rsid w:val="002E7F4B"/>
    <w:rsid w:val="002F0C91"/>
    <w:rsid w:val="002F0E3E"/>
    <w:rsid w:val="002F1683"/>
    <w:rsid w:val="002F1B19"/>
    <w:rsid w:val="002F1FBF"/>
    <w:rsid w:val="002F4139"/>
    <w:rsid w:val="00300624"/>
    <w:rsid w:val="00300F56"/>
    <w:rsid w:val="00301006"/>
    <w:rsid w:val="00301C2B"/>
    <w:rsid w:val="00304A71"/>
    <w:rsid w:val="003066C8"/>
    <w:rsid w:val="0030739D"/>
    <w:rsid w:val="00307AFB"/>
    <w:rsid w:val="00311184"/>
    <w:rsid w:val="00311E05"/>
    <w:rsid w:val="00312675"/>
    <w:rsid w:val="00314013"/>
    <w:rsid w:val="00314945"/>
    <w:rsid w:val="00315389"/>
    <w:rsid w:val="00315746"/>
    <w:rsid w:val="00315E96"/>
    <w:rsid w:val="00317FC8"/>
    <w:rsid w:val="003223D7"/>
    <w:rsid w:val="00323D9F"/>
    <w:rsid w:val="00324FDB"/>
    <w:rsid w:val="00325F48"/>
    <w:rsid w:val="0033194F"/>
    <w:rsid w:val="00332304"/>
    <w:rsid w:val="00332406"/>
    <w:rsid w:val="00332D8D"/>
    <w:rsid w:val="00336B56"/>
    <w:rsid w:val="00341B25"/>
    <w:rsid w:val="00341EC0"/>
    <w:rsid w:val="0034240C"/>
    <w:rsid w:val="00344496"/>
    <w:rsid w:val="00345968"/>
    <w:rsid w:val="00347667"/>
    <w:rsid w:val="003507E2"/>
    <w:rsid w:val="003522B2"/>
    <w:rsid w:val="0035455E"/>
    <w:rsid w:val="00354A6F"/>
    <w:rsid w:val="00354B48"/>
    <w:rsid w:val="00355789"/>
    <w:rsid w:val="00360398"/>
    <w:rsid w:val="003609B6"/>
    <w:rsid w:val="00361119"/>
    <w:rsid w:val="0036538D"/>
    <w:rsid w:val="00365D12"/>
    <w:rsid w:val="00366E20"/>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926C1"/>
    <w:rsid w:val="00392900"/>
    <w:rsid w:val="00393357"/>
    <w:rsid w:val="00395E7B"/>
    <w:rsid w:val="00395F4C"/>
    <w:rsid w:val="003A51C5"/>
    <w:rsid w:val="003A5DAC"/>
    <w:rsid w:val="003A6591"/>
    <w:rsid w:val="003A6E9A"/>
    <w:rsid w:val="003B08C8"/>
    <w:rsid w:val="003B2567"/>
    <w:rsid w:val="003B381A"/>
    <w:rsid w:val="003B4976"/>
    <w:rsid w:val="003B4B3F"/>
    <w:rsid w:val="003B6258"/>
    <w:rsid w:val="003B7A99"/>
    <w:rsid w:val="003C0343"/>
    <w:rsid w:val="003C1C32"/>
    <w:rsid w:val="003C2760"/>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FCB"/>
    <w:rsid w:val="003E0F84"/>
    <w:rsid w:val="003E1FF3"/>
    <w:rsid w:val="003E3ACA"/>
    <w:rsid w:val="003E50EA"/>
    <w:rsid w:val="003E68C7"/>
    <w:rsid w:val="003E79B0"/>
    <w:rsid w:val="003F0403"/>
    <w:rsid w:val="003F1094"/>
    <w:rsid w:val="003F2E45"/>
    <w:rsid w:val="003F3EFE"/>
    <w:rsid w:val="003F40B8"/>
    <w:rsid w:val="003F5C06"/>
    <w:rsid w:val="00400195"/>
    <w:rsid w:val="0040254B"/>
    <w:rsid w:val="00403086"/>
    <w:rsid w:val="00403460"/>
    <w:rsid w:val="004040FF"/>
    <w:rsid w:val="00404284"/>
    <w:rsid w:val="004042C4"/>
    <w:rsid w:val="00406E90"/>
    <w:rsid w:val="00410240"/>
    <w:rsid w:val="00410760"/>
    <w:rsid w:val="00412253"/>
    <w:rsid w:val="004142ED"/>
    <w:rsid w:val="0041634D"/>
    <w:rsid w:val="00416ABC"/>
    <w:rsid w:val="00417EF7"/>
    <w:rsid w:val="00422A7D"/>
    <w:rsid w:val="00422BFC"/>
    <w:rsid w:val="00424642"/>
    <w:rsid w:val="00425ABB"/>
    <w:rsid w:val="00425BB6"/>
    <w:rsid w:val="004261A0"/>
    <w:rsid w:val="004265AA"/>
    <w:rsid w:val="00426BC3"/>
    <w:rsid w:val="00426CE1"/>
    <w:rsid w:val="0042739E"/>
    <w:rsid w:val="00427D52"/>
    <w:rsid w:val="00430412"/>
    <w:rsid w:val="00430497"/>
    <w:rsid w:val="004307B8"/>
    <w:rsid w:val="0043173B"/>
    <w:rsid w:val="00431B0A"/>
    <w:rsid w:val="00431DA4"/>
    <w:rsid w:val="00432A91"/>
    <w:rsid w:val="004332A4"/>
    <w:rsid w:val="0043453F"/>
    <w:rsid w:val="00434A74"/>
    <w:rsid w:val="00437929"/>
    <w:rsid w:val="00437A4A"/>
    <w:rsid w:val="00440541"/>
    <w:rsid w:val="0044162D"/>
    <w:rsid w:val="0044277A"/>
    <w:rsid w:val="004434EF"/>
    <w:rsid w:val="004454CA"/>
    <w:rsid w:val="004456DC"/>
    <w:rsid w:val="00447FBE"/>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A69"/>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6F8F"/>
    <w:rsid w:val="004B71C7"/>
    <w:rsid w:val="004C03AA"/>
    <w:rsid w:val="004C0B9A"/>
    <w:rsid w:val="004C14E7"/>
    <w:rsid w:val="004C1D89"/>
    <w:rsid w:val="004C2A94"/>
    <w:rsid w:val="004C2CD0"/>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B05"/>
    <w:rsid w:val="004E76A1"/>
    <w:rsid w:val="004F05DE"/>
    <w:rsid w:val="004F6376"/>
    <w:rsid w:val="004F6A93"/>
    <w:rsid w:val="004F6F14"/>
    <w:rsid w:val="004F728D"/>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4D10"/>
    <w:rsid w:val="00516783"/>
    <w:rsid w:val="005171FB"/>
    <w:rsid w:val="00517EF8"/>
    <w:rsid w:val="00520083"/>
    <w:rsid w:val="0052029E"/>
    <w:rsid w:val="0052076A"/>
    <w:rsid w:val="00520A2C"/>
    <w:rsid w:val="00520E25"/>
    <w:rsid w:val="0052183D"/>
    <w:rsid w:val="00522B01"/>
    <w:rsid w:val="00522F44"/>
    <w:rsid w:val="0052360A"/>
    <w:rsid w:val="005242BA"/>
    <w:rsid w:val="005243B8"/>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1E98"/>
    <w:rsid w:val="005532B5"/>
    <w:rsid w:val="00553CED"/>
    <w:rsid w:val="00554A05"/>
    <w:rsid w:val="00555849"/>
    <w:rsid w:val="005559A8"/>
    <w:rsid w:val="00557048"/>
    <w:rsid w:val="00557FB5"/>
    <w:rsid w:val="00561AED"/>
    <w:rsid w:val="005648A8"/>
    <w:rsid w:val="00564DE3"/>
    <w:rsid w:val="00564E44"/>
    <w:rsid w:val="00566C6A"/>
    <w:rsid w:val="00566CE5"/>
    <w:rsid w:val="00566D36"/>
    <w:rsid w:val="00573569"/>
    <w:rsid w:val="00573871"/>
    <w:rsid w:val="0057389E"/>
    <w:rsid w:val="005765C0"/>
    <w:rsid w:val="005778DE"/>
    <w:rsid w:val="00580B3F"/>
    <w:rsid w:val="005825F2"/>
    <w:rsid w:val="00583885"/>
    <w:rsid w:val="005860AF"/>
    <w:rsid w:val="00587F1D"/>
    <w:rsid w:val="00590348"/>
    <w:rsid w:val="00591161"/>
    <w:rsid w:val="00592318"/>
    <w:rsid w:val="00593133"/>
    <w:rsid w:val="0059575D"/>
    <w:rsid w:val="00596825"/>
    <w:rsid w:val="005A06A0"/>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663C"/>
    <w:rsid w:val="005D0750"/>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FB1"/>
    <w:rsid w:val="005F4C33"/>
    <w:rsid w:val="005F5ACF"/>
    <w:rsid w:val="005F60DC"/>
    <w:rsid w:val="006000DD"/>
    <w:rsid w:val="00600F63"/>
    <w:rsid w:val="006012E1"/>
    <w:rsid w:val="00602253"/>
    <w:rsid w:val="006023E1"/>
    <w:rsid w:val="00605531"/>
    <w:rsid w:val="00605748"/>
    <w:rsid w:val="00606240"/>
    <w:rsid w:val="0060674A"/>
    <w:rsid w:val="00606F77"/>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2022D"/>
    <w:rsid w:val="00620D7C"/>
    <w:rsid w:val="00621089"/>
    <w:rsid w:val="00621E1F"/>
    <w:rsid w:val="006228B2"/>
    <w:rsid w:val="006228E1"/>
    <w:rsid w:val="00622E32"/>
    <w:rsid w:val="00623688"/>
    <w:rsid w:val="006247E0"/>
    <w:rsid w:val="00625F82"/>
    <w:rsid w:val="00627999"/>
    <w:rsid w:val="00630FF7"/>
    <w:rsid w:val="00633433"/>
    <w:rsid w:val="006341B5"/>
    <w:rsid w:val="006346C9"/>
    <w:rsid w:val="00634727"/>
    <w:rsid w:val="00634B64"/>
    <w:rsid w:val="0063578C"/>
    <w:rsid w:val="0063642C"/>
    <w:rsid w:val="0063681E"/>
    <w:rsid w:val="00636FF9"/>
    <w:rsid w:val="00640DCD"/>
    <w:rsid w:val="00641DC3"/>
    <w:rsid w:val="00642972"/>
    <w:rsid w:val="00644F4D"/>
    <w:rsid w:val="006469B1"/>
    <w:rsid w:val="00646C0D"/>
    <w:rsid w:val="00646C30"/>
    <w:rsid w:val="006476F7"/>
    <w:rsid w:val="0064779E"/>
    <w:rsid w:val="006501FA"/>
    <w:rsid w:val="0065058B"/>
    <w:rsid w:val="006509B0"/>
    <w:rsid w:val="006521F3"/>
    <w:rsid w:val="006524D5"/>
    <w:rsid w:val="00652BBD"/>
    <w:rsid w:val="00653633"/>
    <w:rsid w:val="00653F69"/>
    <w:rsid w:val="00654936"/>
    <w:rsid w:val="00655485"/>
    <w:rsid w:val="006558B3"/>
    <w:rsid w:val="00660BF0"/>
    <w:rsid w:val="0066189C"/>
    <w:rsid w:val="006630CF"/>
    <w:rsid w:val="00663EFF"/>
    <w:rsid w:val="00664FFB"/>
    <w:rsid w:val="00666F74"/>
    <w:rsid w:val="00667FEA"/>
    <w:rsid w:val="006710D2"/>
    <w:rsid w:val="00671A8B"/>
    <w:rsid w:val="00671F53"/>
    <w:rsid w:val="006725A0"/>
    <w:rsid w:val="00674628"/>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80E"/>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E0C8A"/>
    <w:rsid w:val="006E2A23"/>
    <w:rsid w:val="006E35E5"/>
    <w:rsid w:val="006E3C72"/>
    <w:rsid w:val="006E4F20"/>
    <w:rsid w:val="006E649A"/>
    <w:rsid w:val="006F08DC"/>
    <w:rsid w:val="006F3948"/>
    <w:rsid w:val="006F4403"/>
    <w:rsid w:val="006F45EC"/>
    <w:rsid w:val="006F47B8"/>
    <w:rsid w:val="006F47D2"/>
    <w:rsid w:val="006F4B04"/>
    <w:rsid w:val="006F5456"/>
    <w:rsid w:val="006F57F2"/>
    <w:rsid w:val="006F6468"/>
    <w:rsid w:val="006F71FA"/>
    <w:rsid w:val="00700247"/>
    <w:rsid w:val="00701051"/>
    <w:rsid w:val="00701E69"/>
    <w:rsid w:val="007021C2"/>
    <w:rsid w:val="00702502"/>
    <w:rsid w:val="007033A8"/>
    <w:rsid w:val="0070421B"/>
    <w:rsid w:val="007043F0"/>
    <w:rsid w:val="0070482E"/>
    <w:rsid w:val="00704D25"/>
    <w:rsid w:val="00710519"/>
    <w:rsid w:val="00710F6E"/>
    <w:rsid w:val="00711663"/>
    <w:rsid w:val="007116B4"/>
    <w:rsid w:val="00712580"/>
    <w:rsid w:val="007133E4"/>
    <w:rsid w:val="00713788"/>
    <w:rsid w:val="00713940"/>
    <w:rsid w:val="007151A2"/>
    <w:rsid w:val="00716774"/>
    <w:rsid w:val="0071740A"/>
    <w:rsid w:val="007209DD"/>
    <w:rsid w:val="00722E49"/>
    <w:rsid w:val="00723A08"/>
    <w:rsid w:val="00723B5C"/>
    <w:rsid w:val="00724391"/>
    <w:rsid w:val="00724C18"/>
    <w:rsid w:val="007254DD"/>
    <w:rsid w:val="00725FB1"/>
    <w:rsid w:val="00726630"/>
    <w:rsid w:val="00727F73"/>
    <w:rsid w:val="00730705"/>
    <w:rsid w:val="00730944"/>
    <w:rsid w:val="0073248E"/>
    <w:rsid w:val="00733EE9"/>
    <w:rsid w:val="00735B8E"/>
    <w:rsid w:val="00736651"/>
    <w:rsid w:val="0073673C"/>
    <w:rsid w:val="00736935"/>
    <w:rsid w:val="00743DE7"/>
    <w:rsid w:val="0074509E"/>
    <w:rsid w:val="00745B9F"/>
    <w:rsid w:val="0074726F"/>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B9"/>
    <w:rsid w:val="007707ED"/>
    <w:rsid w:val="00771C3B"/>
    <w:rsid w:val="007726F9"/>
    <w:rsid w:val="00773B94"/>
    <w:rsid w:val="00773C65"/>
    <w:rsid w:val="00775937"/>
    <w:rsid w:val="00775D3F"/>
    <w:rsid w:val="00777046"/>
    <w:rsid w:val="007770DA"/>
    <w:rsid w:val="007805B9"/>
    <w:rsid w:val="00780C3A"/>
    <w:rsid w:val="007834A1"/>
    <w:rsid w:val="00791EB4"/>
    <w:rsid w:val="007928F1"/>
    <w:rsid w:val="0079357D"/>
    <w:rsid w:val="007937CC"/>
    <w:rsid w:val="00793A31"/>
    <w:rsid w:val="0079485D"/>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3E8D"/>
    <w:rsid w:val="007D5915"/>
    <w:rsid w:val="007D5B4F"/>
    <w:rsid w:val="007D5C30"/>
    <w:rsid w:val="007E0660"/>
    <w:rsid w:val="007E1411"/>
    <w:rsid w:val="007E1882"/>
    <w:rsid w:val="007E1BB4"/>
    <w:rsid w:val="007E2077"/>
    <w:rsid w:val="007E3514"/>
    <w:rsid w:val="007E4AAA"/>
    <w:rsid w:val="007E4BD2"/>
    <w:rsid w:val="007E4C29"/>
    <w:rsid w:val="007E5E44"/>
    <w:rsid w:val="007F0DDA"/>
    <w:rsid w:val="007F1939"/>
    <w:rsid w:val="007F365C"/>
    <w:rsid w:val="007F5066"/>
    <w:rsid w:val="007F621C"/>
    <w:rsid w:val="007F7155"/>
    <w:rsid w:val="00800C28"/>
    <w:rsid w:val="0080245E"/>
    <w:rsid w:val="00802E10"/>
    <w:rsid w:val="00803480"/>
    <w:rsid w:val="0080359C"/>
    <w:rsid w:val="008037AE"/>
    <w:rsid w:val="008043F4"/>
    <w:rsid w:val="00804BB4"/>
    <w:rsid w:val="00805D9F"/>
    <w:rsid w:val="00807A4D"/>
    <w:rsid w:val="00807F30"/>
    <w:rsid w:val="008103DC"/>
    <w:rsid w:val="0081119F"/>
    <w:rsid w:val="0081134D"/>
    <w:rsid w:val="00811EDA"/>
    <w:rsid w:val="00812403"/>
    <w:rsid w:val="00812FD7"/>
    <w:rsid w:val="00820623"/>
    <w:rsid w:val="00821747"/>
    <w:rsid w:val="008229A3"/>
    <w:rsid w:val="00822DFB"/>
    <w:rsid w:val="00822F64"/>
    <w:rsid w:val="008253A6"/>
    <w:rsid w:val="00825A6B"/>
    <w:rsid w:val="00825C50"/>
    <w:rsid w:val="00826577"/>
    <w:rsid w:val="00827439"/>
    <w:rsid w:val="00827C79"/>
    <w:rsid w:val="0083003F"/>
    <w:rsid w:val="00831077"/>
    <w:rsid w:val="00831A4A"/>
    <w:rsid w:val="00832134"/>
    <w:rsid w:val="0083219E"/>
    <w:rsid w:val="008324B3"/>
    <w:rsid w:val="0083497C"/>
    <w:rsid w:val="008352A6"/>
    <w:rsid w:val="00835B5B"/>
    <w:rsid w:val="008367AE"/>
    <w:rsid w:val="00836E50"/>
    <w:rsid w:val="00840477"/>
    <w:rsid w:val="0084121D"/>
    <w:rsid w:val="008418E3"/>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2DDD"/>
    <w:rsid w:val="0086326D"/>
    <w:rsid w:val="00863CC1"/>
    <w:rsid w:val="00865B01"/>
    <w:rsid w:val="00866D7A"/>
    <w:rsid w:val="00866EE3"/>
    <w:rsid w:val="00871F04"/>
    <w:rsid w:val="008746C1"/>
    <w:rsid w:val="00880224"/>
    <w:rsid w:val="0088244C"/>
    <w:rsid w:val="00883367"/>
    <w:rsid w:val="00884C47"/>
    <w:rsid w:val="00885E6F"/>
    <w:rsid w:val="008861AC"/>
    <w:rsid w:val="008868E4"/>
    <w:rsid w:val="00886A60"/>
    <w:rsid w:val="0088759B"/>
    <w:rsid w:val="008909B4"/>
    <w:rsid w:val="008922E8"/>
    <w:rsid w:val="00893916"/>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3B6B"/>
    <w:rsid w:val="008C4BDC"/>
    <w:rsid w:val="008C50FF"/>
    <w:rsid w:val="008C5435"/>
    <w:rsid w:val="008C6BD1"/>
    <w:rsid w:val="008D0B90"/>
    <w:rsid w:val="008D2DB5"/>
    <w:rsid w:val="008D37D4"/>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3B8"/>
    <w:rsid w:val="00900E7A"/>
    <w:rsid w:val="00903E11"/>
    <w:rsid w:val="00903EBE"/>
    <w:rsid w:val="009041DE"/>
    <w:rsid w:val="00905D59"/>
    <w:rsid w:val="009062CA"/>
    <w:rsid w:val="00907631"/>
    <w:rsid w:val="00907776"/>
    <w:rsid w:val="00907865"/>
    <w:rsid w:val="00913401"/>
    <w:rsid w:val="00913567"/>
    <w:rsid w:val="009137B6"/>
    <w:rsid w:val="00915EBA"/>
    <w:rsid w:val="00917093"/>
    <w:rsid w:val="0092030E"/>
    <w:rsid w:val="009217B1"/>
    <w:rsid w:val="00921A42"/>
    <w:rsid w:val="009223BB"/>
    <w:rsid w:val="00922491"/>
    <w:rsid w:val="00923BCF"/>
    <w:rsid w:val="00925AEC"/>
    <w:rsid w:val="0092751A"/>
    <w:rsid w:val="009305C4"/>
    <w:rsid w:val="00931FAF"/>
    <w:rsid w:val="00932478"/>
    <w:rsid w:val="009360F6"/>
    <w:rsid w:val="009371DC"/>
    <w:rsid w:val="0093759D"/>
    <w:rsid w:val="00940239"/>
    <w:rsid w:val="00942BD6"/>
    <w:rsid w:val="00942DED"/>
    <w:rsid w:val="00944404"/>
    <w:rsid w:val="009452D7"/>
    <w:rsid w:val="00945BCF"/>
    <w:rsid w:val="00945FD1"/>
    <w:rsid w:val="00946CCC"/>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FDF"/>
    <w:rsid w:val="00964C32"/>
    <w:rsid w:val="0096528F"/>
    <w:rsid w:val="009653F2"/>
    <w:rsid w:val="009661DF"/>
    <w:rsid w:val="009667BD"/>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7829"/>
    <w:rsid w:val="00987F7A"/>
    <w:rsid w:val="00991276"/>
    <w:rsid w:val="009923E7"/>
    <w:rsid w:val="00992697"/>
    <w:rsid w:val="00992D4E"/>
    <w:rsid w:val="009934BB"/>
    <w:rsid w:val="00994621"/>
    <w:rsid w:val="009947FF"/>
    <w:rsid w:val="0099544B"/>
    <w:rsid w:val="009A07A6"/>
    <w:rsid w:val="009A0D56"/>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D0219"/>
    <w:rsid w:val="009D0D55"/>
    <w:rsid w:val="009D2295"/>
    <w:rsid w:val="009D2511"/>
    <w:rsid w:val="009D3E7C"/>
    <w:rsid w:val="009D55CA"/>
    <w:rsid w:val="009D5EF0"/>
    <w:rsid w:val="009D6401"/>
    <w:rsid w:val="009E0711"/>
    <w:rsid w:val="009E1917"/>
    <w:rsid w:val="009E3594"/>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13FD"/>
    <w:rsid w:val="00A11DDE"/>
    <w:rsid w:val="00A127A7"/>
    <w:rsid w:val="00A129F4"/>
    <w:rsid w:val="00A136F4"/>
    <w:rsid w:val="00A160D3"/>
    <w:rsid w:val="00A16DC9"/>
    <w:rsid w:val="00A20225"/>
    <w:rsid w:val="00A24269"/>
    <w:rsid w:val="00A243E4"/>
    <w:rsid w:val="00A25392"/>
    <w:rsid w:val="00A25ED4"/>
    <w:rsid w:val="00A263DF"/>
    <w:rsid w:val="00A26C5C"/>
    <w:rsid w:val="00A3026E"/>
    <w:rsid w:val="00A30BDE"/>
    <w:rsid w:val="00A3131C"/>
    <w:rsid w:val="00A31F14"/>
    <w:rsid w:val="00A324DC"/>
    <w:rsid w:val="00A32B5A"/>
    <w:rsid w:val="00A33CCC"/>
    <w:rsid w:val="00A33ECB"/>
    <w:rsid w:val="00A34DE0"/>
    <w:rsid w:val="00A35728"/>
    <w:rsid w:val="00A36EE3"/>
    <w:rsid w:val="00A37435"/>
    <w:rsid w:val="00A4173D"/>
    <w:rsid w:val="00A41A95"/>
    <w:rsid w:val="00A4248B"/>
    <w:rsid w:val="00A4376E"/>
    <w:rsid w:val="00A4572B"/>
    <w:rsid w:val="00A46246"/>
    <w:rsid w:val="00A46349"/>
    <w:rsid w:val="00A46D5E"/>
    <w:rsid w:val="00A50847"/>
    <w:rsid w:val="00A512C7"/>
    <w:rsid w:val="00A52EBB"/>
    <w:rsid w:val="00A54BFF"/>
    <w:rsid w:val="00A54C63"/>
    <w:rsid w:val="00A54FBB"/>
    <w:rsid w:val="00A55BB1"/>
    <w:rsid w:val="00A55D71"/>
    <w:rsid w:val="00A55FD6"/>
    <w:rsid w:val="00A5619C"/>
    <w:rsid w:val="00A564CD"/>
    <w:rsid w:val="00A564CE"/>
    <w:rsid w:val="00A5675F"/>
    <w:rsid w:val="00A57FA0"/>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8217C"/>
    <w:rsid w:val="00A824A7"/>
    <w:rsid w:val="00A83644"/>
    <w:rsid w:val="00A83C07"/>
    <w:rsid w:val="00A83F40"/>
    <w:rsid w:val="00A84945"/>
    <w:rsid w:val="00A85543"/>
    <w:rsid w:val="00A8728B"/>
    <w:rsid w:val="00A91682"/>
    <w:rsid w:val="00A92125"/>
    <w:rsid w:val="00A92E4A"/>
    <w:rsid w:val="00A958CA"/>
    <w:rsid w:val="00A966B6"/>
    <w:rsid w:val="00A96B46"/>
    <w:rsid w:val="00AA003B"/>
    <w:rsid w:val="00AA016B"/>
    <w:rsid w:val="00AA15DD"/>
    <w:rsid w:val="00AA1C09"/>
    <w:rsid w:val="00AA2F67"/>
    <w:rsid w:val="00AA3569"/>
    <w:rsid w:val="00AA5F4C"/>
    <w:rsid w:val="00AA615C"/>
    <w:rsid w:val="00AA6711"/>
    <w:rsid w:val="00AB2AEC"/>
    <w:rsid w:val="00AB2DC1"/>
    <w:rsid w:val="00AB3102"/>
    <w:rsid w:val="00AB3D9A"/>
    <w:rsid w:val="00AB4824"/>
    <w:rsid w:val="00AB4B1D"/>
    <w:rsid w:val="00AB60CE"/>
    <w:rsid w:val="00AB6B5E"/>
    <w:rsid w:val="00AC047F"/>
    <w:rsid w:val="00AC3934"/>
    <w:rsid w:val="00AC4B91"/>
    <w:rsid w:val="00AC50C8"/>
    <w:rsid w:val="00AC5581"/>
    <w:rsid w:val="00AC56AD"/>
    <w:rsid w:val="00AC61BE"/>
    <w:rsid w:val="00AD0C8A"/>
    <w:rsid w:val="00AD0CB4"/>
    <w:rsid w:val="00AD1FF2"/>
    <w:rsid w:val="00AD2A21"/>
    <w:rsid w:val="00AD3B43"/>
    <w:rsid w:val="00AD4FF2"/>
    <w:rsid w:val="00AD506C"/>
    <w:rsid w:val="00AD6BE5"/>
    <w:rsid w:val="00AD783E"/>
    <w:rsid w:val="00AE1393"/>
    <w:rsid w:val="00AE3BC6"/>
    <w:rsid w:val="00AE4D4F"/>
    <w:rsid w:val="00AE627C"/>
    <w:rsid w:val="00AE62B0"/>
    <w:rsid w:val="00AE68A2"/>
    <w:rsid w:val="00AF0029"/>
    <w:rsid w:val="00AF0354"/>
    <w:rsid w:val="00AF1236"/>
    <w:rsid w:val="00AF3C29"/>
    <w:rsid w:val="00AF4401"/>
    <w:rsid w:val="00AF4463"/>
    <w:rsid w:val="00AF53CB"/>
    <w:rsid w:val="00AF65C5"/>
    <w:rsid w:val="00B03CE2"/>
    <w:rsid w:val="00B06544"/>
    <w:rsid w:val="00B105F2"/>
    <w:rsid w:val="00B10991"/>
    <w:rsid w:val="00B12128"/>
    <w:rsid w:val="00B12945"/>
    <w:rsid w:val="00B12C1E"/>
    <w:rsid w:val="00B1467D"/>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27E7B"/>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20CB"/>
    <w:rsid w:val="00B4401C"/>
    <w:rsid w:val="00B44802"/>
    <w:rsid w:val="00B44A96"/>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5C57"/>
    <w:rsid w:val="00B57107"/>
    <w:rsid w:val="00B60D27"/>
    <w:rsid w:val="00B619E4"/>
    <w:rsid w:val="00B61CD3"/>
    <w:rsid w:val="00B61D0B"/>
    <w:rsid w:val="00B6351C"/>
    <w:rsid w:val="00B6439A"/>
    <w:rsid w:val="00B6443B"/>
    <w:rsid w:val="00B6517B"/>
    <w:rsid w:val="00B65E71"/>
    <w:rsid w:val="00B66C26"/>
    <w:rsid w:val="00B67829"/>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1B86"/>
    <w:rsid w:val="00B927CA"/>
    <w:rsid w:val="00B928AE"/>
    <w:rsid w:val="00B93CDA"/>
    <w:rsid w:val="00B942E9"/>
    <w:rsid w:val="00B9433A"/>
    <w:rsid w:val="00B948EE"/>
    <w:rsid w:val="00B94BF3"/>
    <w:rsid w:val="00B94F90"/>
    <w:rsid w:val="00B95DC5"/>
    <w:rsid w:val="00B96E28"/>
    <w:rsid w:val="00B97E34"/>
    <w:rsid w:val="00B97FEF"/>
    <w:rsid w:val="00BA1354"/>
    <w:rsid w:val="00BA24F8"/>
    <w:rsid w:val="00BA31AA"/>
    <w:rsid w:val="00BA45D8"/>
    <w:rsid w:val="00BA5828"/>
    <w:rsid w:val="00BA64B3"/>
    <w:rsid w:val="00BA754A"/>
    <w:rsid w:val="00BA7820"/>
    <w:rsid w:val="00BA794C"/>
    <w:rsid w:val="00BB09FB"/>
    <w:rsid w:val="00BB238D"/>
    <w:rsid w:val="00BB37CC"/>
    <w:rsid w:val="00BB48C4"/>
    <w:rsid w:val="00BB6907"/>
    <w:rsid w:val="00BB7A20"/>
    <w:rsid w:val="00BC15B1"/>
    <w:rsid w:val="00BC3C06"/>
    <w:rsid w:val="00BC4E8B"/>
    <w:rsid w:val="00BC5622"/>
    <w:rsid w:val="00BC6060"/>
    <w:rsid w:val="00BC6A9F"/>
    <w:rsid w:val="00BC7897"/>
    <w:rsid w:val="00BD06D7"/>
    <w:rsid w:val="00BD0F35"/>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373A"/>
    <w:rsid w:val="00BF409D"/>
    <w:rsid w:val="00BF62D2"/>
    <w:rsid w:val="00BF6D9E"/>
    <w:rsid w:val="00BF71BB"/>
    <w:rsid w:val="00BF76F7"/>
    <w:rsid w:val="00BF7C9F"/>
    <w:rsid w:val="00C00012"/>
    <w:rsid w:val="00C000A5"/>
    <w:rsid w:val="00C006B4"/>
    <w:rsid w:val="00C00938"/>
    <w:rsid w:val="00C00E2A"/>
    <w:rsid w:val="00C025B9"/>
    <w:rsid w:val="00C044B4"/>
    <w:rsid w:val="00C05105"/>
    <w:rsid w:val="00C05A5D"/>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8C1"/>
    <w:rsid w:val="00C2294E"/>
    <w:rsid w:val="00C22A5B"/>
    <w:rsid w:val="00C23412"/>
    <w:rsid w:val="00C264C7"/>
    <w:rsid w:val="00C2682A"/>
    <w:rsid w:val="00C271C4"/>
    <w:rsid w:val="00C274F3"/>
    <w:rsid w:val="00C30A54"/>
    <w:rsid w:val="00C316F7"/>
    <w:rsid w:val="00C31DF0"/>
    <w:rsid w:val="00C33916"/>
    <w:rsid w:val="00C33BCF"/>
    <w:rsid w:val="00C353A0"/>
    <w:rsid w:val="00C368D7"/>
    <w:rsid w:val="00C36FD1"/>
    <w:rsid w:val="00C371A5"/>
    <w:rsid w:val="00C400B0"/>
    <w:rsid w:val="00C413FC"/>
    <w:rsid w:val="00C42424"/>
    <w:rsid w:val="00C43D33"/>
    <w:rsid w:val="00C44407"/>
    <w:rsid w:val="00C456E8"/>
    <w:rsid w:val="00C46630"/>
    <w:rsid w:val="00C47A2F"/>
    <w:rsid w:val="00C50D18"/>
    <w:rsid w:val="00C51179"/>
    <w:rsid w:val="00C5282C"/>
    <w:rsid w:val="00C52FBE"/>
    <w:rsid w:val="00C5355E"/>
    <w:rsid w:val="00C535E2"/>
    <w:rsid w:val="00C53FC1"/>
    <w:rsid w:val="00C551D2"/>
    <w:rsid w:val="00C56438"/>
    <w:rsid w:val="00C570B3"/>
    <w:rsid w:val="00C6009F"/>
    <w:rsid w:val="00C60417"/>
    <w:rsid w:val="00C6046F"/>
    <w:rsid w:val="00C638C2"/>
    <w:rsid w:val="00C651D4"/>
    <w:rsid w:val="00C6669E"/>
    <w:rsid w:val="00C672B0"/>
    <w:rsid w:val="00C729C7"/>
    <w:rsid w:val="00C777AD"/>
    <w:rsid w:val="00C80C53"/>
    <w:rsid w:val="00C81195"/>
    <w:rsid w:val="00C81798"/>
    <w:rsid w:val="00C85387"/>
    <w:rsid w:val="00C85E52"/>
    <w:rsid w:val="00C86471"/>
    <w:rsid w:val="00C8677B"/>
    <w:rsid w:val="00C86F96"/>
    <w:rsid w:val="00C909C6"/>
    <w:rsid w:val="00C923B7"/>
    <w:rsid w:val="00C94D4C"/>
    <w:rsid w:val="00C96C1E"/>
    <w:rsid w:val="00C96CA4"/>
    <w:rsid w:val="00CA012C"/>
    <w:rsid w:val="00CA0AA6"/>
    <w:rsid w:val="00CA2897"/>
    <w:rsid w:val="00CA44F3"/>
    <w:rsid w:val="00CA582C"/>
    <w:rsid w:val="00CA6077"/>
    <w:rsid w:val="00CA715B"/>
    <w:rsid w:val="00CA7988"/>
    <w:rsid w:val="00CA7BA2"/>
    <w:rsid w:val="00CB0B78"/>
    <w:rsid w:val="00CB12A5"/>
    <w:rsid w:val="00CB17FA"/>
    <w:rsid w:val="00CB23D8"/>
    <w:rsid w:val="00CB2ED9"/>
    <w:rsid w:val="00CB3332"/>
    <w:rsid w:val="00CB36A5"/>
    <w:rsid w:val="00CB56B4"/>
    <w:rsid w:val="00CB7286"/>
    <w:rsid w:val="00CB7947"/>
    <w:rsid w:val="00CC1783"/>
    <w:rsid w:val="00CC3B46"/>
    <w:rsid w:val="00CC3D8B"/>
    <w:rsid w:val="00CC4E27"/>
    <w:rsid w:val="00CC570C"/>
    <w:rsid w:val="00CC62B6"/>
    <w:rsid w:val="00CC76AA"/>
    <w:rsid w:val="00CC7CD2"/>
    <w:rsid w:val="00CD05CF"/>
    <w:rsid w:val="00CD1FAE"/>
    <w:rsid w:val="00CD232F"/>
    <w:rsid w:val="00CD279E"/>
    <w:rsid w:val="00CD2F92"/>
    <w:rsid w:val="00CD4EB0"/>
    <w:rsid w:val="00CD512D"/>
    <w:rsid w:val="00CD5831"/>
    <w:rsid w:val="00CD6F6E"/>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6937"/>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0F7"/>
    <w:rsid w:val="00D323E4"/>
    <w:rsid w:val="00D32871"/>
    <w:rsid w:val="00D329F6"/>
    <w:rsid w:val="00D33881"/>
    <w:rsid w:val="00D34282"/>
    <w:rsid w:val="00D366B1"/>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3941"/>
    <w:rsid w:val="00D54050"/>
    <w:rsid w:val="00D56AC0"/>
    <w:rsid w:val="00D6081B"/>
    <w:rsid w:val="00D60960"/>
    <w:rsid w:val="00D6240A"/>
    <w:rsid w:val="00D63093"/>
    <w:rsid w:val="00D63599"/>
    <w:rsid w:val="00D63EBD"/>
    <w:rsid w:val="00D67101"/>
    <w:rsid w:val="00D71B45"/>
    <w:rsid w:val="00D71F8A"/>
    <w:rsid w:val="00D75603"/>
    <w:rsid w:val="00D75FEE"/>
    <w:rsid w:val="00D76933"/>
    <w:rsid w:val="00D76D88"/>
    <w:rsid w:val="00D77CC9"/>
    <w:rsid w:val="00D83D4B"/>
    <w:rsid w:val="00D871C6"/>
    <w:rsid w:val="00D91010"/>
    <w:rsid w:val="00D9143D"/>
    <w:rsid w:val="00D920D1"/>
    <w:rsid w:val="00DA0FA7"/>
    <w:rsid w:val="00DA12B0"/>
    <w:rsid w:val="00DA2BA0"/>
    <w:rsid w:val="00DA39AD"/>
    <w:rsid w:val="00DA5B13"/>
    <w:rsid w:val="00DA6917"/>
    <w:rsid w:val="00DA6926"/>
    <w:rsid w:val="00DB0965"/>
    <w:rsid w:val="00DB0E47"/>
    <w:rsid w:val="00DB2BDD"/>
    <w:rsid w:val="00DB3381"/>
    <w:rsid w:val="00DB4121"/>
    <w:rsid w:val="00DB46C3"/>
    <w:rsid w:val="00DB5742"/>
    <w:rsid w:val="00DB5EDF"/>
    <w:rsid w:val="00DB6C46"/>
    <w:rsid w:val="00DB72B8"/>
    <w:rsid w:val="00DC16AF"/>
    <w:rsid w:val="00DC2A9A"/>
    <w:rsid w:val="00DC2E2E"/>
    <w:rsid w:val="00DC4D68"/>
    <w:rsid w:val="00DC6463"/>
    <w:rsid w:val="00DC7822"/>
    <w:rsid w:val="00DC7AF1"/>
    <w:rsid w:val="00DD2CDA"/>
    <w:rsid w:val="00DD2D92"/>
    <w:rsid w:val="00DD3026"/>
    <w:rsid w:val="00DD33DC"/>
    <w:rsid w:val="00DD3BB0"/>
    <w:rsid w:val="00DD61F5"/>
    <w:rsid w:val="00DD7418"/>
    <w:rsid w:val="00DE64A6"/>
    <w:rsid w:val="00DE66EB"/>
    <w:rsid w:val="00DE7035"/>
    <w:rsid w:val="00DF12E3"/>
    <w:rsid w:val="00DF2A20"/>
    <w:rsid w:val="00DF3F1D"/>
    <w:rsid w:val="00DF595C"/>
    <w:rsid w:val="00DF7EA7"/>
    <w:rsid w:val="00E04548"/>
    <w:rsid w:val="00E0484E"/>
    <w:rsid w:val="00E063F8"/>
    <w:rsid w:val="00E113B5"/>
    <w:rsid w:val="00E114D6"/>
    <w:rsid w:val="00E1166E"/>
    <w:rsid w:val="00E11DBD"/>
    <w:rsid w:val="00E13211"/>
    <w:rsid w:val="00E16FB5"/>
    <w:rsid w:val="00E179D6"/>
    <w:rsid w:val="00E21407"/>
    <w:rsid w:val="00E215E0"/>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40974"/>
    <w:rsid w:val="00E40AAB"/>
    <w:rsid w:val="00E41205"/>
    <w:rsid w:val="00E41F32"/>
    <w:rsid w:val="00E42608"/>
    <w:rsid w:val="00E43536"/>
    <w:rsid w:val="00E43DA3"/>
    <w:rsid w:val="00E44B80"/>
    <w:rsid w:val="00E45938"/>
    <w:rsid w:val="00E47430"/>
    <w:rsid w:val="00E50FB7"/>
    <w:rsid w:val="00E5199F"/>
    <w:rsid w:val="00E526DF"/>
    <w:rsid w:val="00E53C15"/>
    <w:rsid w:val="00E54EE6"/>
    <w:rsid w:val="00E56715"/>
    <w:rsid w:val="00E56C2C"/>
    <w:rsid w:val="00E57F8E"/>
    <w:rsid w:val="00E611C8"/>
    <w:rsid w:val="00E6344A"/>
    <w:rsid w:val="00E64E69"/>
    <w:rsid w:val="00E64FB7"/>
    <w:rsid w:val="00E669A1"/>
    <w:rsid w:val="00E679BA"/>
    <w:rsid w:val="00E70243"/>
    <w:rsid w:val="00E72CC6"/>
    <w:rsid w:val="00E73D44"/>
    <w:rsid w:val="00E7494A"/>
    <w:rsid w:val="00E74BE2"/>
    <w:rsid w:val="00E74C66"/>
    <w:rsid w:val="00E75933"/>
    <w:rsid w:val="00E77A1B"/>
    <w:rsid w:val="00E808BE"/>
    <w:rsid w:val="00E81E36"/>
    <w:rsid w:val="00E81E40"/>
    <w:rsid w:val="00E82ECE"/>
    <w:rsid w:val="00E8713B"/>
    <w:rsid w:val="00E90774"/>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3CB4"/>
    <w:rsid w:val="00EC443E"/>
    <w:rsid w:val="00EC4D83"/>
    <w:rsid w:val="00EC4EEE"/>
    <w:rsid w:val="00EC634F"/>
    <w:rsid w:val="00EC6848"/>
    <w:rsid w:val="00EC6C6E"/>
    <w:rsid w:val="00EC7B97"/>
    <w:rsid w:val="00ED049C"/>
    <w:rsid w:val="00ED07B7"/>
    <w:rsid w:val="00ED19D7"/>
    <w:rsid w:val="00ED2167"/>
    <w:rsid w:val="00ED351E"/>
    <w:rsid w:val="00ED4B27"/>
    <w:rsid w:val="00ED543C"/>
    <w:rsid w:val="00ED6BA4"/>
    <w:rsid w:val="00ED7DA7"/>
    <w:rsid w:val="00EE0598"/>
    <w:rsid w:val="00EE311C"/>
    <w:rsid w:val="00EE56FF"/>
    <w:rsid w:val="00EE5886"/>
    <w:rsid w:val="00EE5FBF"/>
    <w:rsid w:val="00EE6472"/>
    <w:rsid w:val="00EE76F2"/>
    <w:rsid w:val="00EF0769"/>
    <w:rsid w:val="00EF0D7C"/>
    <w:rsid w:val="00EF314C"/>
    <w:rsid w:val="00EF383B"/>
    <w:rsid w:val="00EF40E2"/>
    <w:rsid w:val="00EF61C1"/>
    <w:rsid w:val="00EF6E68"/>
    <w:rsid w:val="00EF76DB"/>
    <w:rsid w:val="00F005FD"/>
    <w:rsid w:val="00F016BE"/>
    <w:rsid w:val="00F02C04"/>
    <w:rsid w:val="00F03AF1"/>
    <w:rsid w:val="00F04BCD"/>
    <w:rsid w:val="00F05A8C"/>
    <w:rsid w:val="00F06211"/>
    <w:rsid w:val="00F107EF"/>
    <w:rsid w:val="00F10A54"/>
    <w:rsid w:val="00F123D0"/>
    <w:rsid w:val="00F13200"/>
    <w:rsid w:val="00F13411"/>
    <w:rsid w:val="00F143BA"/>
    <w:rsid w:val="00F14D98"/>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2462"/>
    <w:rsid w:val="00F32FF7"/>
    <w:rsid w:val="00F33EDE"/>
    <w:rsid w:val="00F3568B"/>
    <w:rsid w:val="00F377CD"/>
    <w:rsid w:val="00F40C3B"/>
    <w:rsid w:val="00F40CE0"/>
    <w:rsid w:val="00F42DBC"/>
    <w:rsid w:val="00F4308D"/>
    <w:rsid w:val="00F44012"/>
    <w:rsid w:val="00F44947"/>
    <w:rsid w:val="00F458EF"/>
    <w:rsid w:val="00F469F8"/>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4C45"/>
    <w:rsid w:val="00F6502B"/>
    <w:rsid w:val="00F6612A"/>
    <w:rsid w:val="00F66724"/>
    <w:rsid w:val="00F67F04"/>
    <w:rsid w:val="00F70207"/>
    <w:rsid w:val="00F702CB"/>
    <w:rsid w:val="00F71AC2"/>
    <w:rsid w:val="00F739D4"/>
    <w:rsid w:val="00F77D43"/>
    <w:rsid w:val="00F80953"/>
    <w:rsid w:val="00F80B5C"/>
    <w:rsid w:val="00F81312"/>
    <w:rsid w:val="00F81B90"/>
    <w:rsid w:val="00F81E6F"/>
    <w:rsid w:val="00F82FF3"/>
    <w:rsid w:val="00F8453C"/>
    <w:rsid w:val="00F84D4C"/>
    <w:rsid w:val="00F8657D"/>
    <w:rsid w:val="00F8730F"/>
    <w:rsid w:val="00F87897"/>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24"/>
    <w:rsid w:val="00FA5535"/>
    <w:rsid w:val="00FA7206"/>
    <w:rsid w:val="00FA7EFB"/>
    <w:rsid w:val="00FB0816"/>
    <w:rsid w:val="00FB08C2"/>
    <w:rsid w:val="00FB3DD1"/>
    <w:rsid w:val="00FB51FD"/>
    <w:rsid w:val="00FB5667"/>
    <w:rsid w:val="00FB7A97"/>
    <w:rsid w:val="00FC1601"/>
    <w:rsid w:val="00FC1B9B"/>
    <w:rsid w:val="00FC318D"/>
    <w:rsid w:val="00FC36CF"/>
    <w:rsid w:val="00FC40BC"/>
    <w:rsid w:val="00FC41FC"/>
    <w:rsid w:val="00FC4F6E"/>
    <w:rsid w:val="00FC506C"/>
    <w:rsid w:val="00FC578C"/>
    <w:rsid w:val="00FC5A37"/>
    <w:rsid w:val="00FC7836"/>
    <w:rsid w:val="00FD13EA"/>
    <w:rsid w:val="00FD5EC4"/>
    <w:rsid w:val="00FD7858"/>
    <w:rsid w:val="00FD7A8D"/>
    <w:rsid w:val="00FE1330"/>
    <w:rsid w:val="00FE1CE5"/>
    <w:rsid w:val="00FE2832"/>
    <w:rsid w:val="00FE2D38"/>
    <w:rsid w:val="00FE3929"/>
    <w:rsid w:val="00FE3E32"/>
    <w:rsid w:val="00FF097B"/>
    <w:rsid w:val="00FF0B6E"/>
    <w:rsid w:val="00FF1C1B"/>
    <w:rsid w:val="00FF2067"/>
    <w:rsid w:val="00FF3BC4"/>
    <w:rsid w:val="00FF4B66"/>
    <w:rsid w:val="00FF5939"/>
    <w:rsid w:val="00FF6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2d4491,#283583"/>
    </o:shapedefaults>
    <o:shapelayout v:ext="edit">
      <o:idmap v:ext="edit" data="1"/>
    </o:shapelayout>
  </w:shapeDefaults>
  <w:decimalSymbol w:val="."/>
  <w:listSeparator w:val=","/>
  <w14:docId w14:val="58C3B7DE"/>
  <w15:docId w15:val="{8635646D-F3FD-4B53-9199-E1F8DE938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7">
    <w:lsdException w:name="Normal" w:locked="0" w:qFormat="1"/>
    <w:lsdException w:name="heading 1" w:locked="0" w:qFormat="1"/>
    <w:lsdException w:name="heading 2" w:locked="0" w:qFormat="1"/>
    <w:lsdException w:name="heading 3" w:locked="0" w:qFormat="1"/>
    <w:lsdException w:name="heading 4" w:locked="0" w:qFormat="1"/>
    <w:lsdException w:name="heading 5" w:locked="0" w:uiPriority="9" w:qFormat="1"/>
    <w:lsdException w:name="heading 6" w:locked="0"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iPriority="99" w:unhideWhenUsed="1" w:qFormat="1"/>
    <w:lsdException w:name="annotation text" w:locked="0" w:semiHidden="1" w:unhideWhenUsed="1"/>
    <w:lsdException w:name="header" w:locked="0" w:semiHidden="1" w:unhideWhenUsed="1"/>
    <w:lsdException w:name="footer" w:locked="0" w:semiHidden="1" w:uiPriority="99" w:unhideWhenUsed="1"/>
    <w:lsdException w:name="index heading" w:semiHidden="1" w:unhideWhenUsed="1"/>
    <w:lsdException w:name="caption" w:locked="0" w:semiHidden="1"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99" w:unhideWhenUsed="1" w:qFormat="1"/>
    <w:lsdException w:name="annotation reference" w:locked="0" w:semiHidden="1" w:unhideWhenUsed="1"/>
    <w:lsdException w:name="line number" w:locked="0" w:semiHidden="1" w:uiPriority="99" w:unhideWhenUsed="1"/>
    <w:lsdException w:name="page number" w:locked="0"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0" w:semiHidden="1" w:unhideWhenUsed="1"/>
    <w:lsdException w:name="List Number" w:locked="0"/>
    <w:lsdException w:name="List 2" w:semiHidden="1" w:unhideWhenUsed="1"/>
    <w:lsdException w:name="List 3"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lsdException w:name="FollowedHyperlink" w:locked="0" w:semiHidden="1" w:unhideWhenUsed="1"/>
    <w:lsdException w:name="Strong" w:locked="0" w:qFormat="1"/>
    <w:lsdException w:name="Emphasis" w:locked="0" w:uiPriority="20" w:qFormat="1"/>
    <w:lsdException w:name="Document Map" w:locked="0" w:semiHidden="1"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locked="0"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sdException w:name="Smart Link Error" w:locked="0" w:semiHidden="1" w:uiPriority="99" w:unhideWhenUsed="1"/>
  </w:latentStyles>
  <w:style w:type="paragraph" w:default="1" w:styleId="Normal">
    <w:name w:val="Normal"/>
    <w:qFormat/>
    <w:rsid w:val="00646C30"/>
    <w:rPr>
      <w:rFonts w:ascii="Arial" w:hAnsi="Arial"/>
      <w:szCs w:val="24"/>
      <w:lang w:eastAsia="de-DE"/>
    </w:rPr>
  </w:style>
  <w:style w:type="paragraph" w:styleId="Heading1">
    <w:name w:val="heading 1"/>
    <w:basedOn w:val="Normal"/>
    <w:next w:val="Normal"/>
    <w:link w:val="Heading1Char"/>
    <w:qFormat/>
    <w:locked/>
    <w:rsid w:val="009E7724"/>
    <w:pPr>
      <w:keepNext/>
      <w:numPr>
        <w:numId w:val="5"/>
      </w:numPr>
      <w:spacing w:before="240" w:after="60"/>
      <w:outlineLvl w:val="0"/>
    </w:pPr>
    <w:rPr>
      <w:rFonts w:cs="Arial"/>
      <w:b/>
      <w:bCs/>
      <w:kern w:val="32"/>
      <w:sz w:val="24"/>
      <w:szCs w:val="32"/>
    </w:rPr>
  </w:style>
  <w:style w:type="paragraph" w:styleId="Heading2">
    <w:name w:val="heading 2"/>
    <w:basedOn w:val="Normal"/>
    <w:next w:val="Normal"/>
    <w:link w:val="Heading2Char2"/>
    <w:qFormat/>
    <w:locked/>
    <w:rsid w:val="00886A60"/>
    <w:pPr>
      <w:keepNext/>
      <w:keepLines/>
      <w:spacing w:before="200" w:after="120"/>
      <w:outlineLvl w:val="1"/>
    </w:pPr>
    <w:rPr>
      <w:b/>
      <w:bCs/>
      <w:szCs w:val="26"/>
    </w:rPr>
  </w:style>
  <w:style w:type="paragraph" w:styleId="Heading3">
    <w:name w:val="heading 3"/>
    <w:basedOn w:val="Normal"/>
    <w:next w:val="Normal"/>
    <w:link w:val="Heading3Char2"/>
    <w:qFormat/>
    <w:locked/>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locked/>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uiPriority w:val="9"/>
    <w:qFormat/>
    <w:locked/>
    <w:rsid w:val="00E9344E"/>
    <w:pPr>
      <w:keepNext/>
      <w:keepLines/>
      <w:numPr>
        <w:numId w:val="13"/>
      </w:numPr>
      <w:spacing w:before="200"/>
      <w:jc w:val="both"/>
      <w:outlineLvl w:val="4"/>
    </w:pPr>
    <w:rPr>
      <w:b/>
    </w:rPr>
  </w:style>
  <w:style w:type="paragraph" w:styleId="Heading6">
    <w:name w:val="heading 6"/>
    <w:basedOn w:val="Normal"/>
    <w:next w:val="Normal"/>
    <w:link w:val="Heading6Char"/>
    <w:qFormat/>
    <w:locked/>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locked/>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locked/>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locked/>
    <w:rsid w:val="00A06867"/>
    <w:pPr>
      <w:tabs>
        <w:tab w:val="num" w:pos="1584"/>
      </w:tabs>
      <w:spacing w:before="240" w:after="60"/>
      <w:ind w:left="1584" w:hanging="1584"/>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locked/>
    <w:rsid w:val="005B64CB"/>
    <w:pPr>
      <w:tabs>
        <w:tab w:val="center" w:pos="4536"/>
        <w:tab w:val="right" w:pos="9072"/>
      </w:tabs>
    </w:pPr>
  </w:style>
  <w:style w:type="paragraph" w:styleId="Footer">
    <w:name w:val="footer"/>
    <w:basedOn w:val="Normal"/>
    <w:link w:val="FooterChar"/>
    <w:uiPriority w:val="99"/>
    <w:locked/>
    <w:rsid w:val="005B64CB"/>
    <w:pPr>
      <w:tabs>
        <w:tab w:val="center" w:pos="4536"/>
        <w:tab w:val="right" w:pos="9072"/>
      </w:tabs>
    </w:pPr>
  </w:style>
  <w:style w:type="table" w:styleId="TableGrid">
    <w:name w:val="Table Grid"/>
    <w:basedOn w:val="TableNormal"/>
    <w:uiPriority w:val="39"/>
    <w:locked/>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locked/>
    <w:rsid w:val="003E3ACA"/>
    <w:pPr>
      <w:spacing w:line="200" w:lineRule="exact"/>
    </w:pPr>
    <w:rPr>
      <w:color w:val="2D4190"/>
      <w:sz w:val="16"/>
    </w:rPr>
  </w:style>
  <w:style w:type="paragraph" w:customStyle="1" w:styleId="05aTitle">
    <w:name w:val="05a_Title"/>
    <w:basedOn w:val="Normal"/>
    <w:locked/>
    <w:rsid w:val="00791EB4"/>
    <w:pPr>
      <w:spacing w:line="340" w:lineRule="exact"/>
    </w:pPr>
    <w:rPr>
      <w:b/>
      <w:color w:val="000000"/>
      <w:sz w:val="28"/>
    </w:rPr>
  </w:style>
  <w:style w:type="paragraph" w:customStyle="1" w:styleId="02Date">
    <w:name w:val="02_Date"/>
    <w:basedOn w:val="Normal"/>
    <w:locked/>
    <w:rsid w:val="001725A5"/>
    <w:pPr>
      <w:spacing w:line="220" w:lineRule="exact"/>
    </w:pPr>
    <w:rPr>
      <w:sz w:val="17"/>
    </w:rPr>
  </w:style>
  <w:style w:type="paragraph" w:customStyle="1" w:styleId="00aPagenumber">
    <w:name w:val="00a_Page number"/>
    <w:basedOn w:val="00Footer"/>
    <w:locked/>
    <w:rsid w:val="003E3ACA"/>
    <w:pPr>
      <w:spacing w:line="280" w:lineRule="atLeast"/>
      <w:jc w:val="right"/>
    </w:pPr>
    <w:rPr>
      <w:color w:val="000000"/>
      <w:sz w:val="20"/>
    </w:rPr>
  </w:style>
  <w:style w:type="paragraph" w:customStyle="1" w:styleId="04BodyText">
    <w:name w:val="04_Body Text"/>
    <w:basedOn w:val="Normal"/>
    <w:link w:val="04BodyTextChar"/>
    <w:locked/>
    <w:rsid w:val="001725A5"/>
    <w:pPr>
      <w:spacing w:after="250" w:line="276" w:lineRule="auto"/>
      <w:jc w:val="both"/>
    </w:pPr>
  </w:style>
  <w:style w:type="paragraph" w:customStyle="1" w:styleId="05HeadlinenoIndex">
    <w:name w:val="05_Headline no Index"/>
    <w:basedOn w:val="04BodyText"/>
    <w:locked/>
    <w:rsid w:val="001725A5"/>
    <w:pPr>
      <w:spacing w:line="300" w:lineRule="exact"/>
    </w:pPr>
    <w:rPr>
      <w:b/>
      <w:sz w:val="24"/>
    </w:rPr>
  </w:style>
  <w:style w:type="paragraph" w:customStyle="1" w:styleId="05cHeadline1">
    <w:name w:val="05c_Headline 1"/>
    <w:basedOn w:val="05HeadlinenoIndex"/>
    <w:next w:val="04BodyText"/>
    <w:locked/>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locked/>
    <w:rsid w:val="00D75603"/>
    <w:pPr>
      <w:tabs>
        <w:tab w:val="num" w:pos="851"/>
      </w:tabs>
      <w:ind w:left="851" w:hanging="284"/>
    </w:pPr>
  </w:style>
  <w:style w:type="character" w:styleId="PageNumber">
    <w:name w:val="page number"/>
    <w:basedOn w:val="DefaultParagraphFont"/>
    <w:locked/>
    <w:rsid w:val="00620D7C"/>
  </w:style>
  <w:style w:type="paragraph" w:customStyle="1" w:styleId="00bDBInfo">
    <w:name w:val="00b_DB_Info"/>
    <w:basedOn w:val="00aPagenumber"/>
    <w:locked/>
    <w:rsid w:val="001725A5"/>
    <w:rPr>
      <w:color w:val="FFFFFF"/>
    </w:rPr>
  </w:style>
  <w:style w:type="paragraph" w:customStyle="1" w:styleId="01aDBTitle">
    <w:name w:val="01a_DB_Title"/>
    <w:basedOn w:val="05aTitle"/>
    <w:locked/>
    <w:rsid w:val="00791EB4"/>
    <w:pPr>
      <w:spacing w:line="400" w:lineRule="exact"/>
      <w:jc w:val="right"/>
    </w:pPr>
    <w:rPr>
      <w:color w:val="2D4190"/>
      <w:sz w:val="40"/>
    </w:rPr>
  </w:style>
  <w:style w:type="paragraph" w:customStyle="1" w:styleId="01bDBSubtitle">
    <w:name w:val="01b_DB_Subtitle"/>
    <w:locked/>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locked/>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locked/>
    <w:rsid w:val="006476F7"/>
    <w:pPr>
      <w:tabs>
        <w:tab w:val="left" w:pos="510"/>
        <w:tab w:val="right" w:leader="underscore" w:pos="9412"/>
      </w:tabs>
      <w:spacing w:line="250" w:lineRule="exact"/>
    </w:pPr>
  </w:style>
  <w:style w:type="paragraph" w:customStyle="1" w:styleId="04fBodytextblue">
    <w:name w:val="04f_Body text blue"/>
    <w:basedOn w:val="04BodyText"/>
    <w:locked/>
    <w:rsid w:val="001725A5"/>
    <w:pPr>
      <w:pBdr>
        <w:bottom w:val="single" w:sz="4" w:space="12" w:color="283583"/>
      </w:pBdr>
    </w:pPr>
    <w:rPr>
      <w:color w:val="2D4190"/>
    </w:rPr>
  </w:style>
  <w:style w:type="character" w:styleId="Hyperlink">
    <w:name w:val="Hyperlink"/>
    <w:uiPriority w:val="99"/>
    <w:locked/>
    <w:rsid w:val="00EA332B"/>
    <w:rPr>
      <w:color w:val="0000FF"/>
      <w:u w:val="single"/>
    </w:rPr>
  </w:style>
  <w:style w:type="paragraph" w:customStyle="1" w:styleId="04bList">
    <w:name w:val="04b_List"/>
    <w:basedOn w:val="04BodyText"/>
    <w:uiPriority w:val="99"/>
    <w:locked/>
    <w:rsid w:val="00D75603"/>
    <w:pPr>
      <w:numPr>
        <w:numId w:val="3"/>
      </w:numPr>
    </w:pPr>
  </w:style>
  <w:style w:type="paragraph" w:customStyle="1" w:styleId="04eBodytextleft">
    <w:name w:val="04e_Body text left"/>
    <w:basedOn w:val="04BodyText"/>
    <w:locked/>
    <w:rsid w:val="001725A5"/>
    <w:pPr>
      <w:spacing w:after="0"/>
      <w:jc w:val="left"/>
    </w:pPr>
  </w:style>
  <w:style w:type="paragraph" w:customStyle="1" w:styleId="05eHeadline2">
    <w:name w:val="05e_Headline 2"/>
    <w:locked/>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
    <w:basedOn w:val="Normal"/>
    <w:link w:val="FootnoteTextChar"/>
    <w:uiPriority w:val="99"/>
    <w:qFormat/>
    <w:locked/>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locked/>
    <w:rsid w:val="00C274F3"/>
    <w:rPr>
      <w:vertAlign w:val="superscript"/>
    </w:rPr>
  </w:style>
  <w:style w:type="paragraph" w:styleId="TOC2">
    <w:name w:val="toc 2"/>
    <w:basedOn w:val="Normal"/>
    <w:next w:val="Normal"/>
    <w:autoRedefine/>
    <w:uiPriority w:val="39"/>
    <w:qFormat/>
    <w:locked/>
    <w:rsid w:val="00463787"/>
    <w:pPr>
      <w:spacing w:after="100"/>
      <w:ind w:left="220"/>
    </w:pPr>
  </w:style>
  <w:style w:type="paragraph" w:customStyle="1" w:styleId="05bHeadline1black">
    <w:name w:val="05b_Headline 1 black"/>
    <w:basedOn w:val="05dHeadline1blue"/>
    <w:locked/>
    <w:rsid w:val="003E3ACA"/>
    <w:pPr>
      <w:pBdr>
        <w:top w:val="none" w:sz="0" w:space="0" w:color="auto"/>
      </w:pBdr>
    </w:pPr>
    <w:rPr>
      <w:color w:val="000000"/>
    </w:rPr>
  </w:style>
  <w:style w:type="paragraph" w:customStyle="1" w:styleId="03Headbold">
    <w:name w:val="03_Head_bold"/>
    <w:basedOn w:val="04BodyText"/>
    <w:locked/>
    <w:rsid w:val="00C13ED7"/>
    <w:pPr>
      <w:tabs>
        <w:tab w:val="left" w:pos="414"/>
        <w:tab w:val="left" w:pos="454"/>
      </w:tabs>
      <w:spacing w:after="0" w:line="240" w:lineRule="auto"/>
    </w:pPr>
    <w:rPr>
      <w:b/>
    </w:rPr>
  </w:style>
  <w:style w:type="paragraph" w:customStyle="1" w:styleId="03aHead">
    <w:name w:val="03a_Head"/>
    <w:basedOn w:val="03Headbold"/>
    <w:locked/>
    <w:rsid w:val="00C13ED7"/>
    <w:rPr>
      <w:b w:val="0"/>
    </w:rPr>
  </w:style>
  <w:style w:type="paragraph" w:customStyle="1" w:styleId="04dBodyTextbold">
    <w:name w:val="04d_Body Text bold"/>
    <w:basedOn w:val="04BodyText"/>
    <w:locked/>
    <w:rsid w:val="00C13ED7"/>
    <w:pPr>
      <w:tabs>
        <w:tab w:val="left" w:pos="414"/>
      </w:tabs>
    </w:pPr>
    <w:rPr>
      <w:b/>
    </w:rPr>
  </w:style>
  <w:style w:type="paragraph" w:customStyle="1" w:styleId="06InfoTitle">
    <w:name w:val="06_Info_Title"/>
    <w:basedOn w:val="Normal"/>
    <w:link w:val="06InfoTitleZchn"/>
    <w:locked/>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locked/>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locked/>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locked/>
    <w:rsid w:val="00942BD6"/>
    <w:pPr>
      <w:spacing w:line="300" w:lineRule="exact"/>
    </w:pPr>
    <w:rPr>
      <w:b/>
      <w:sz w:val="24"/>
    </w:rPr>
  </w:style>
  <w:style w:type="paragraph" w:customStyle="1" w:styleId="05aHeadline2">
    <w:name w:val="05a_Headline 2"/>
    <w:basedOn w:val="05Headline1"/>
    <w:next w:val="04BodyText"/>
    <w:locked/>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locked/>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locked/>
    <w:rsid w:val="00942BD6"/>
    <w:pPr>
      <w:pBdr>
        <w:bottom w:val="single" w:sz="4" w:space="12" w:color="283583"/>
      </w:pBdr>
    </w:pPr>
    <w:rPr>
      <w:color w:val="2D4190"/>
    </w:rPr>
  </w:style>
  <w:style w:type="paragraph" w:customStyle="1" w:styleId="04cBodytextleft">
    <w:name w:val="04c_Body text left"/>
    <w:basedOn w:val="04BodyText"/>
    <w:locked/>
    <w:rsid w:val="00942BD6"/>
    <w:pPr>
      <w:spacing w:after="0"/>
      <w:jc w:val="left"/>
    </w:pPr>
  </w:style>
  <w:style w:type="paragraph" w:customStyle="1" w:styleId="Style04RunningTextBold">
    <w:name w:val="Style 04_Running Text + Bold"/>
    <w:basedOn w:val="04BodyText"/>
    <w:locked/>
    <w:rsid w:val="00942BD6"/>
    <w:pPr>
      <w:keepNext/>
    </w:pPr>
    <w:rPr>
      <w:b/>
      <w:bCs/>
    </w:rPr>
  </w:style>
  <w:style w:type="character" w:styleId="CommentReference">
    <w:name w:val="annotation reference"/>
    <w:locked/>
    <w:rsid w:val="004B1E61"/>
    <w:rPr>
      <w:sz w:val="16"/>
      <w:szCs w:val="16"/>
    </w:rPr>
  </w:style>
  <w:style w:type="paragraph" w:styleId="CommentText">
    <w:name w:val="annotation text"/>
    <w:basedOn w:val="Normal"/>
    <w:link w:val="CommentTextChar"/>
    <w:locked/>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locked/>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locked/>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Paragraphe de liste,Normal Nivel 1,List Paragraph Main,List first level,List Paragraph_Sections"/>
    <w:basedOn w:val="Normal"/>
    <w:link w:val="ListParagraphChar"/>
    <w:uiPriority w:val="34"/>
    <w:qFormat/>
    <w:locked/>
    <w:rsid w:val="002A0C82"/>
    <w:pPr>
      <w:ind w:left="720"/>
      <w:contextualSpacing/>
    </w:pPr>
  </w:style>
  <w:style w:type="paragraph" w:styleId="TOCHeading">
    <w:name w:val="TOC Heading"/>
    <w:basedOn w:val="Heading1"/>
    <w:next w:val="Normal"/>
    <w:uiPriority w:val="39"/>
    <w:unhideWhenUsed/>
    <w:qFormat/>
    <w:locked/>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locked/>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uiPriority w:val="99"/>
    <w:locked/>
    <w:rsid w:val="00D0272C"/>
    <w:rPr>
      <w:rFonts w:ascii="Georgia" w:hAnsi="Georgia"/>
      <w:sz w:val="16"/>
      <w:lang w:eastAsia="de-DE"/>
    </w:rPr>
  </w:style>
  <w:style w:type="paragraph" w:customStyle="1" w:styleId="DPpara">
    <w:name w:val="DP para"/>
    <w:basedOn w:val="04aNumeration"/>
    <w:link w:val="DPparaChar"/>
    <w:locked/>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locked/>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locked/>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locked/>
    <w:rsid w:val="008E1B6A"/>
  </w:style>
  <w:style w:type="paragraph" w:customStyle="1" w:styleId="ManualNumPar1">
    <w:name w:val="Manual NumPar 1"/>
    <w:basedOn w:val="Normal"/>
    <w:next w:val="Normal"/>
    <w:link w:val="ManualNumPar1Char"/>
    <w:uiPriority w:val="99"/>
    <w:locked/>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Arial" w:hAnsi="Arial" w:cs="Arial"/>
      <w:b/>
      <w:bCs/>
      <w:kern w:val="32"/>
      <w:sz w:val="24"/>
      <w:szCs w:val="32"/>
      <w:lang w:eastAsia="de-DE"/>
    </w:rPr>
  </w:style>
  <w:style w:type="character" w:customStyle="1" w:styleId="Heading2Char">
    <w:name w:val="Heading 2 Char"/>
    <w:locked/>
    <w:rsid w:val="00DB4121"/>
    <w:rPr>
      <w:rFonts w:ascii="Georgia" w:hAnsi="Georgia" w:cs="Arial"/>
      <w:bCs/>
      <w:i/>
      <w:kern w:val="32"/>
      <w:szCs w:val="32"/>
      <w:lang w:eastAsia="de-DE"/>
    </w:rPr>
  </w:style>
  <w:style w:type="character" w:styleId="Emphasis">
    <w:name w:val="Emphasis"/>
    <w:uiPriority w:val="20"/>
    <w:qFormat/>
    <w:locked/>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locked/>
    <w:rsid w:val="00463787"/>
    <w:pPr>
      <w:spacing w:after="100"/>
      <w:ind w:left="440"/>
    </w:pPr>
  </w:style>
  <w:style w:type="character" w:customStyle="1" w:styleId="SprechblasentextZeichen">
    <w:name w:val="Sprechblasentext Zeichen"/>
    <w:uiPriority w:val="99"/>
    <w:semiHidden/>
    <w:locked/>
    <w:rsid w:val="00F377CD"/>
    <w:rPr>
      <w:rFonts w:ascii="Lucida Grande" w:hAnsi="Lucida Grande"/>
      <w:sz w:val="18"/>
      <w:szCs w:val="18"/>
    </w:rPr>
  </w:style>
  <w:style w:type="paragraph" w:customStyle="1" w:styleId="CM3">
    <w:name w:val="CM3"/>
    <w:basedOn w:val="Normal"/>
    <w:next w:val="Normal"/>
    <w:uiPriority w:val="99"/>
    <w:locked/>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locked/>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lock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lock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lock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lock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lock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lock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locked/>
    <w:rsid w:val="00F377CD"/>
    <w:rPr>
      <w:b/>
      <w:bCs/>
      <w:color w:val="FFFFFF"/>
      <w:spacing w:val="0"/>
      <w:u w:val="single"/>
    </w:rPr>
  </w:style>
  <w:style w:type="paragraph" w:styleId="Caption">
    <w:name w:val="caption"/>
    <w:basedOn w:val="Normal"/>
    <w:next w:val="Normal"/>
    <w:unhideWhenUsed/>
    <w:qFormat/>
    <w:locked/>
    <w:rsid w:val="00E21407"/>
    <w:pPr>
      <w:spacing w:after="200"/>
    </w:pPr>
    <w:rPr>
      <w:b/>
      <w:bCs/>
      <w:sz w:val="18"/>
      <w:szCs w:val="18"/>
    </w:rPr>
  </w:style>
  <w:style w:type="character" w:customStyle="1" w:styleId="Heading5Char">
    <w:name w:val="Heading 5 Char"/>
    <w:uiPriority w:val="9"/>
    <w:locked/>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locked/>
    <w:rsid w:val="00BF1620"/>
    <w:rPr>
      <w:rFonts w:ascii="Georgia" w:hAnsi="Georgia"/>
      <w:b/>
      <w:bCs/>
      <w:iCs/>
      <w:szCs w:val="26"/>
      <w:lang w:eastAsia="de-DE"/>
    </w:rPr>
  </w:style>
  <w:style w:type="paragraph" w:styleId="DocumentMap">
    <w:name w:val="Document Map"/>
    <w:basedOn w:val="Normal"/>
    <w:link w:val="DocumentMapChar"/>
    <w:locked/>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lock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locked/>
    <w:rsid w:val="00AA016B"/>
    <w:pPr>
      <w:numPr>
        <w:numId w:val="8"/>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locked/>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locked/>
    <w:rsid w:val="003E68C7"/>
    <w:rPr>
      <w:rFonts w:ascii="Georgia" w:eastAsia="Times New Roman" w:hAnsi="Georgia" w:cs="Times New Roman"/>
      <w:b/>
      <w:szCs w:val="24"/>
      <w:lang w:eastAsia="de-DE"/>
    </w:rPr>
  </w:style>
  <w:style w:type="character" w:styleId="Strong">
    <w:name w:val="Strong"/>
    <w:aliases w:val="Bolded"/>
    <w:qFormat/>
    <w:locked/>
    <w:rsid w:val="00974881"/>
    <w:rPr>
      <w:b/>
      <w:bCs/>
    </w:rPr>
  </w:style>
  <w:style w:type="character" w:customStyle="1" w:styleId="Strong1">
    <w:name w:val="Strong1"/>
    <w:qFormat/>
    <w:locked/>
    <w:rsid w:val="00974881"/>
    <w:rPr>
      <w:b/>
      <w:bCs/>
    </w:rPr>
  </w:style>
  <w:style w:type="character" w:customStyle="1" w:styleId="Strong2">
    <w:name w:val="Strong2"/>
    <w:qFormat/>
    <w:locked/>
    <w:rsid w:val="00974881"/>
    <w:rPr>
      <w:b/>
      <w:bCs/>
    </w:rPr>
  </w:style>
  <w:style w:type="character" w:customStyle="1" w:styleId="Heading5Char3">
    <w:name w:val="Heading 5 Char3"/>
    <w:locked/>
    <w:rsid w:val="00FC318D"/>
    <w:rPr>
      <w:rFonts w:ascii="Georgia" w:eastAsia="Times New Roman" w:hAnsi="Georgia" w:cs="Times New Roman"/>
      <w:b/>
      <w:szCs w:val="24"/>
      <w:lang w:eastAsia="de-DE"/>
    </w:rPr>
  </w:style>
  <w:style w:type="character" w:customStyle="1" w:styleId="Heading5Char4">
    <w:name w:val="Heading 5 Char4"/>
    <w:locked/>
    <w:rsid w:val="002B4ED8"/>
    <w:rPr>
      <w:rFonts w:ascii="Georgia" w:eastAsia="Times New Roman" w:hAnsi="Georgia" w:cs="Times New Roman"/>
      <w:b/>
      <w:szCs w:val="24"/>
      <w:lang w:eastAsia="de-DE"/>
    </w:rPr>
  </w:style>
  <w:style w:type="character" w:customStyle="1" w:styleId="Heading2Char1">
    <w:name w:val="Heading 2 Char1"/>
    <w:locked/>
    <w:rsid w:val="00885E6F"/>
    <w:rPr>
      <w:rFonts w:ascii="Georgia" w:eastAsia="Times New Roman" w:hAnsi="Georgia" w:cs="Times New Roman"/>
      <w:b/>
      <w:bCs/>
      <w:sz w:val="22"/>
      <w:szCs w:val="26"/>
      <w:lang w:eastAsia="de-DE"/>
    </w:rPr>
  </w:style>
  <w:style w:type="character" w:customStyle="1" w:styleId="Heading3Char">
    <w:name w:val="Heading 3 Char"/>
    <w:locked/>
    <w:rsid w:val="00865B01"/>
    <w:rPr>
      <w:rFonts w:ascii="Georgia" w:eastAsia="Times New Roman" w:hAnsi="Georgia" w:cs="Times New Roman"/>
      <w:b/>
      <w:sz w:val="22"/>
      <w:szCs w:val="26"/>
      <w:lang w:eastAsia="de-DE"/>
    </w:rPr>
  </w:style>
  <w:style w:type="character" w:customStyle="1" w:styleId="Heading5Char5">
    <w:name w:val="Heading 5 Char5"/>
    <w:locked/>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locked/>
    <w:rsid w:val="00974881"/>
    <w:rPr>
      <w:b/>
      <w:bCs/>
    </w:rPr>
  </w:style>
  <w:style w:type="character" w:customStyle="1" w:styleId="Heading5Char6">
    <w:name w:val="Heading 5 Char6"/>
    <w:locked/>
    <w:rsid w:val="00C36FD1"/>
    <w:rPr>
      <w:rFonts w:ascii="Georgia" w:eastAsia="Times New Roman" w:hAnsi="Georgia" w:cs="Times New Roman"/>
      <w:b/>
      <w:szCs w:val="24"/>
      <w:lang w:eastAsia="de-DE"/>
    </w:rPr>
  </w:style>
  <w:style w:type="character" w:customStyle="1" w:styleId="Heading4Char">
    <w:name w:val="Heading 4 Char"/>
    <w:locked/>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locked/>
    <w:rsid w:val="00A06867"/>
    <w:rPr>
      <w:rFonts w:cs="Times New Roman"/>
      <w:i/>
      <w:iCs/>
    </w:rPr>
  </w:style>
  <w:style w:type="paragraph" w:customStyle="1" w:styleId="5Normal">
    <w:name w:val="5 Normal"/>
    <w:basedOn w:val="Normal"/>
    <w:link w:val="5NormalChar"/>
    <w:locked/>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locked/>
    <w:rsid w:val="00A06867"/>
    <w:rPr>
      <w:rFonts w:ascii="Georgia" w:eastAsia="Times New Roman" w:hAnsi="Georgia" w:cs="Times New Roman"/>
      <w:b/>
      <w:szCs w:val="24"/>
      <w:lang w:eastAsia="de-DE"/>
    </w:rPr>
  </w:style>
  <w:style w:type="character" w:customStyle="1" w:styleId="Heading5Char8">
    <w:name w:val="Heading 5 Char8"/>
    <w:aliases w:val="Questions Char1"/>
    <w:locked/>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locked/>
    <w:rsid w:val="002D6E1A"/>
  </w:style>
  <w:style w:type="character" w:styleId="FollowedHyperlink">
    <w:name w:val="FollowedHyperlink"/>
    <w:unhideWhenUsed/>
    <w:lock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uiPriority w:val="99"/>
    <w:rsid w:val="002D6E1A"/>
    <w:rPr>
      <w:rFonts w:ascii="Georgia" w:hAnsi="Georgia"/>
      <w:sz w:val="22"/>
      <w:szCs w:val="24"/>
      <w:lang w:eastAsia="de-DE"/>
    </w:rPr>
  </w:style>
  <w:style w:type="paragraph" w:styleId="EndnoteText">
    <w:name w:val="endnote text"/>
    <w:basedOn w:val="Normal"/>
    <w:link w:val="EndnoteTextChar"/>
    <w:unhideWhenUsed/>
    <w:lock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locked/>
    <w:rsid w:val="002D6E1A"/>
    <w:pPr>
      <w:numPr>
        <w:numId w:val="9"/>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Paragraphe de liste Char,Normal Nivel 1 Char,List Paragraph Main Char,List first level Char,List Paragraph_Sections Char"/>
    <w:link w:val="ListParagraph"/>
    <w:uiPriority w:val="34"/>
    <w:locked/>
    <w:rsid w:val="002D6E1A"/>
    <w:rPr>
      <w:rFonts w:ascii="Georgia" w:hAnsi="Georgia"/>
      <w:sz w:val="22"/>
      <w:szCs w:val="24"/>
      <w:lang w:eastAsia="de-DE"/>
    </w:rPr>
  </w:style>
  <w:style w:type="paragraph" w:customStyle="1" w:styleId="04anumbering0">
    <w:name w:val="04anumbering"/>
    <w:basedOn w:val="Normal"/>
    <w:locked/>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locked/>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locked/>
    <w:rsid w:val="002D6E1A"/>
    <w:pPr>
      <w:ind w:left="708"/>
      <w:contextualSpacing w:val="0"/>
      <w:jc w:val="both"/>
    </w:pPr>
    <w:rPr>
      <w:b/>
      <w:szCs w:val="20"/>
      <w:u w:val="single"/>
    </w:rPr>
  </w:style>
  <w:style w:type="paragraph" w:customStyle="1" w:styleId="Bullet">
    <w:name w:val="Bullet"/>
    <w:basedOn w:val="Normal"/>
    <w:locked/>
    <w:rsid w:val="002D6E1A"/>
    <w:pPr>
      <w:numPr>
        <w:numId w:val="11"/>
      </w:numPr>
      <w:tabs>
        <w:tab w:val="left" w:pos="708"/>
      </w:tabs>
      <w:spacing w:before="120" w:after="120" w:line="276" w:lineRule="auto"/>
      <w:jc w:val="both"/>
    </w:pPr>
    <w:rPr>
      <w:szCs w:val="20"/>
      <w:lang w:eastAsia="en-GB"/>
    </w:rPr>
  </w:style>
  <w:style w:type="character" w:styleId="EndnoteReference">
    <w:name w:val="endnote reference"/>
    <w:unhideWhenUsed/>
    <w:locked/>
    <w:rsid w:val="002D6E1A"/>
    <w:rPr>
      <w:vertAlign w:val="superscript"/>
    </w:rPr>
  </w:style>
  <w:style w:type="character" w:styleId="PlaceholderText">
    <w:name w:val="Placeholder Text"/>
    <w:uiPriority w:val="99"/>
    <w:semiHidden/>
    <w:locked/>
    <w:rsid w:val="002D6E1A"/>
    <w:rPr>
      <w:color w:val="808080"/>
    </w:rPr>
  </w:style>
  <w:style w:type="character" w:customStyle="1" w:styleId="apple-converted-space">
    <w:name w:val="apple-converted-space"/>
    <w:locked/>
    <w:rsid w:val="002D6E1A"/>
  </w:style>
  <w:style w:type="table" w:customStyle="1" w:styleId="TableGrid1">
    <w:name w:val="Table Grid1"/>
    <w:basedOn w:val="TableNormal"/>
    <w:uiPriority w:val="39"/>
    <w:locked/>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locked/>
    <w:rsid w:val="002D6E1A"/>
  </w:style>
  <w:style w:type="paragraph" w:customStyle="1" w:styleId="AutoCorrect">
    <w:name w:val="AutoCorrect"/>
    <w:locked/>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locked/>
    <w:rsid w:val="00952F2C"/>
  </w:style>
  <w:style w:type="paragraph" w:customStyle="1" w:styleId="aStyle">
    <w:name w:val="a) Style"/>
    <w:basedOn w:val="Normal"/>
    <w:qFormat/>
    <w:locked/>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locked/>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locked/>
    <w:rsid w:val="004C3DAB"/>
    <w:rPr>
      <w:rFonts w:ascii="Georgia" w:eastAsia="Times New Roman" w:hAnsi="Georgia" w:cs="Times New Roman"/>
      <w:b/>
      <w:szCs w:val="24"/>
      <w:lang w:eastAsia="de-DE"/>
    </w:rPr>
  </w:style>
  <w:style w:type="character" w:customStyle="1" w:styleId="Heading5Char10">
    <w:name w:val="Heading 5 Char10"/>
    <w:aliases w:val="Questions Char3"/>
    <w:locked/>
    <w:rsid w:val="00256DFE"/>
    <w:rPr>
      <w:rFonts w:ascii="Georgia" w:eastAsia="Times New Roman" w:hAnsi="Georgia" w:cs="Times New Roman"/>
      <w:b/>
      <w:szCs w:val="24"/>
      <w:lang w:eastAsia="de-DE"/>
    </w:rPr>
  </w:style>
  <w:style w:type="character" w:customStyle="1" w:styleId="Heading5Char11">
    <w:name w:val="Heading 5 Char11"/>
    <w:aliases w:val="Questions Char4"/>
    <w:locked/>
    <w:rsid w:val="00903EBE"/>
    <w:rPr>
      <w:rFonts w:ascii="Georgia" w:eastAsia="Times New Roman" w:hAnsi="Georgia" w:cs="Times New Roman"/>
      <w:b/>
      <w:szCs w:val="24"/>
      <w:lang w:eastAsia="de-DE"/>
    </w:rPr>
  </w:style>
  <w:style w:type="character" w:customStyle="1" w:styleId="Heading3Char1">
    <w:name w:val="Heading 3 Char1"/>
    <w:locked/>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locked/>
    <w:rsid w:val="003D6780"/>
    <w:rPr>
      <w:rFonts w:ascii="Georgia" w:eastAsia="Times New Roman" w:hAnsi="Georgia" w:cs="Times New Roman"/>
      <w:b/>
      <w:szCs w:val="24"/>
      <w:lang w:eastAsia="de-DE"/>
    </w:rPr>
  </w:style>
  <w:style w:type="character" w:customStyle="1" w:styleId="Heading5Char13">
    <w:name w:val="Heading 5 Char13"/>
    <w:aliases w:val="Questions Char6"/>
    <w:locked/>
    <w:rsid w:val="00704D25"/>
    <w:rPr>
      <w:rFonts w:ascii="Georgia" w:eastAsia="Times New Roman" w:hAnsi="Georgia" w:cs="Times New Roman"/>
      <w:b/>
      <w:szCs w:val="24"/>
      <w:lang w:eastAsia="de-DE"/>
    </w:rPr>
  </w:style>
  <w:style w:type="character" w:customStyle="1" w:styleId="Strong4">
    <w:name w:val="Strong4"/>
    <w:uiPriority w:val="22"/>
    <w:qFormat/>
    <w:locked/>
    <w:rsid w:val="00974881"/>
    <w:rPr>
      <w:b/>
      <w:bCs/>
    </w:rPr>
  </w:style>
  <w:style w:type="character" w:customStyle="1" w:styleId="Heading5Char14">
    <w:name w:val="Heading 5 Char14"/>
    <w:aliases w:val="Questions Char7"/>
    <w:link w:val="Heading5"/>
    <w:uiPriority w:val="9"/>
    <w:rsid w:val="00E9344E"/>
    <w:rPr>
      <w:rFonts w:ascii="Arial" w:hAnsi="Arial"/>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locked/>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locked/>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locked/>
    <w:rsid w:val="000D2D0B"/>
    <w:rPr>
      <w:rFonts w:ascii="Tahoma" w:hAnsi="Tahoma" w:cs="Tahoma"/>
      <w:sz w:val="16"/>
      <w:szCs w:val="16"/>
      <w:lang w:val="en-GB" w:eastAsia="en-GB"/>
    </w:rPr>
  </w:style>
  <w:style w:type="character" w:customStyle="1" w:styleId="31TextobasenotadeprensaCNMVCar">
    <w:name w:val="3.1. Texto base nota de prensa CNMV Car"/>
    <w:locked/>
    <w:rsid w:val="000D2D0B"/>
    <w:rPr>
      <w:rFonts w:ascii="Celeste" w:hAnsi="Celeste" w:cs="Times New Roman"/>
      <w:sz w:val="22"/>
      <w:lang w:val="es-ES" w:eastAsia="es-ES" w:bidi="ar-SA"/>
    </w:rPr>
  </w:style>
  <w:style w:type="paragraph" w:customStyle="1" w:styleId="01Title">
    <w:name w:val="01_Title"/>
    <w:basedOn w:val="Normal"/>
    <w:locked/>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locked/>
    <w:rsid w:val="000D2D0B"/>
    <w:pPr>
      <w:spacing w:after="250" w:line="276" w:lineRule="auto"/>
      <w:ind w:left="397" w:hanging="397"/>
      <w:jc w:val="both"/>
    </w:pPr>
    <w:rPr>
      <w:lang w:val="x-none"/>
    </w:rPr>
  </w:style>
  <w:style w:type="paragraph" w:customStyle="1" w:styleId="04bListing">
    <w:name w:val="04b_Listing"/>
    <w:basedOn w:val="04RunningText"/>
    <w:locked/>
    <w:rsid w:val="000D2D0B"/>
    <w:pPr>
      <w:tabs>
        <w:tab w:val="num" w:pos="568"/>
      </w:tabs>
      <w:ind w:left="568" w:hanging="284"/>
    </w:pPr>
  </w:style>
  <w:style w:type="paragraph" w:customStyle="1" w:styleId="04cRunningtextleft">
    <w:name w:val="04c_Running text left"/>
    <w:basedOn w:val="04RunningText"/>
    <w:locked/>
    <w:rsid w:val="000D2D0B"/>
    <w:pPr>
      <w:spacing w:after="0"/>
      <w:jc w:val="left"/>
    </w:pPr>
  </w:style>
  <w:style w:type="paragraph" w:customStyle="1" w:styleId="05bHeadline3">
    <w:name w:val="05b_Headline 3"/>
    <w:basedOn w:val="Heading2"/>
    <w:locked/>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locked/>
    <w:rsid w:val="000D2D0B"/>
    <w:rPr>
      <w:rFonts w:ascii="Courier New" w:hAnsi="Courier New" w:cs="Courier New"/>
    </w:rPr>
  </w:style>
  <w:style w:type="paragraph" w:customStyle="1" w:styleId="TOCHeading1">
    <w:name w:val="TOC Heading1"/>
    <w:basedOn w:val="Heading1"/>
    <w:next w:val="Normal"/>
    <w:unhideWhenUsed/>
    <w:qFormat/>
    <w:locked/>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locked/>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locked/>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locked/>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locked/>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locked/>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locked/>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locked/>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locked/>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locked/>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locked/>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locked/>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locked/>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locked/>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locked/>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locked/>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locked/>
    <w:rsid w:val="000D2D0B"/>
    <w:pPr>
      <w:spacing w:before="360"/>
      <w:jc w:val="center"/>
    </w:pPr>
    <w:rPr>
      <w:rFonts w:ascii="Times New Roman" w:hAnsi="Times New Roman"/>
      <w:b/>
      <w:sz w:val="24"/>
      <w:lang w:eastAsia="en-US"/>
    </w:rPr>
  </w:style>
  <w:style w:type="paragraph" w:customStyle="1" w:styleId="HeaderLandscape">
    <w:name w:val="HeaderLandscape"/>
    <w:basedOn w:val="Normal"/>
    <w:locked/>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locked/>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locked/>
    <w:rsid w:val="000D2D0B"/>
    <w:pPr>
      <w:spacing w:before="120" w:after="120"/>
      <w:ind w:left="850"/>
      <w:jc w:val="both"/>
    </w:pPr>
    <w:rPr>
      <w:rFonts w:ascii="Times New Roman" w:hAnsi="Times New Roman"/>
      <w:sz w:val="24"/>
      <w:lang w:eastAsia="en-US"/>
    </w:rPr>
  </w:style>
  <w:style w:type="paragraph" w:customStyle="1" w:styleId="Text2">
    <w:name w:val="Text 2"/>
    <w:basedOn w:val="Normal"/>
    <w:locked/>
    <w:rsid w:val="000D2D0B"/>
    <w:pPr>
      <w:spacing w:before="120" w:after="120"/>
      <w:ind w:left="1417"/>
      <w:jc w:val="both"/>
    </w:pPr>
    <w:rPr>
      <w:rFonts w:ascii="Times New Roman" w:hAnsi="Times New Roman"/>
      <w:sz w:val="24"/>
      <w:lang w:eastAsia="en-US"/>
    </w:rPr>
  </w:style>
  <w:style w:type="paragraph" w:customStyle="1" w:styleId="Text3">
    <w:name w:val="Text 3"/>
    <w:basedOn w:val="Normal"/>
    <w:locked/>
    <w:rsid w:val="000D2D0B"/>
    <w:pPr>
      <w:spacing w:before="120" w:after="120"/>
      <w:ind w:left="1984"/>
      <w:jc w:val="both"/>
    </w:pPr>
    <w:rPr>
      <w:rFonts w:ascii="Times New Roman" w:hAnsi="Times New Roman"/>
      <w:sz w:val="24"/>
      <w:lang w:eastAsia="en-US"/>
    </w:rPr>
  </w:style>
  <w:style w:type="paragraph" w:customStyle="1" w:styleId="Text4">
    <w:name w:val="Text 4"/>
    <w:basedOn w:val="Normal"/>
    <w:locked/>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locked/>
    <w:rsid w:val="000D2D0B"/>
    <w:pPr>
      <w:spacing w:before="120" w:after="120"/>
      <w:ind w:left="1417"/>
      <w:jc w:val="both"/>
    </w:pPr>
    <w:rPr>
      <w:rFonts w:ascii="Times New Roman" w:hAnsi="Times New Roman"/>
      <w:sz w:val="24"/>
      <w:lang w:eastAsia="en-US"/>
    </w:rPr>
  </w:style>
  <w:style w:type="paragraph" w:customStyle="1" w:styleId="Point0">
    <w:name w:val="Point 0"/>
    <w:basedOn w:val="Normal"/>
    <w:locked/>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locked/>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locked/>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locked/>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locked/>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locked/>
    <w:rsid w:val="000D2D0B"/>
    <w:pPr>
      <w:numPr>
        <w:numId w:val="18"/>
      </w:numPr>
    </w:pPr>
  </w:style>
  <w:style w:type="paragraph" w:customStyle="1" w:styleId="Tiret2">
    <w:name w:val="Tiret 2"/>
    <w:basedOn w:val="Point2"/>
    <w:locked/>
    <w:rsid w:val="000D2D0B"/>
    <w:pPr>
      <w:tabs>
        <w:tab w:val="num" w:pos="1984"/>
      </w:tabs>
    </w:pPr>
  </w:style>
  <w:style w:type="paragraph" w:customStyle="1" w:styleId="Tiret3">
    <w:name w:val="Tiret 3"/>
    <w:basedOn w:val="Point3"/>
    <w:locked/>
    <w:rsid w:val="000D2D0B"/>
    <w:pPr>
      <w:numPr>
        <w:numId w:val="19"/>
      </w:numPr>
    </w:pPr>
  </w:style>
  <w:style w:type="paragraph" w:customStyle="1" w:styleId="Tiret4">
    <w:name w:val="Tiret 4"/>
    <w:basedOn w:val="Point4"/>
    <w:locked/>
    <w:rsid w:val="000D2D0B"/>
    <w:pPr>
      <w:numPr>
        <w:numId w:val="20"/>
      </w:numPr>
    </w:pPr>
  </w:style>
  <w:style w:type="paragraph" w:customStyle="1" w:styleId="PointDouble0">
    <w:name w:val="PointDouble 0"/>
    <w:basedOn w:val="Normal"/>
    <w:locked/>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locked/>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locked/>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locked/>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locked/>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locked/>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locked/>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locked/>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locked/>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locked/>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locked/>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locked/>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locked/>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locked/>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locked/>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locked/>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locked/>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locked/>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locked/>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locked/>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locked/>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locked/>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locked/>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locked/>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locked/>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locked/>
    <w:rsid w:val="000D2D0B"/>
    <w:pPr>
      <w:spacing w:before="120" w:after="120"/>
      <w:jc w:val="center"/>
    </w:pPr>
    <w:rPr>
      <w:rFonts w:ascii="Times New Roman" w:hAnsi="Times New Roman"/>
      <w:b/>
      <w:sz w:val="24"/>
      <w:lang w:eastAsia="en-US"/>
    </w:rPr>
  </w:style>
  <w:style w:type="character" w:customStyle="1" w:styleId="Marker">
    <w:name w:val="Marker"/>
    <w:locked/>
    <w:rsid w:val="000D2D0B"/>
    <w:rPr>
      <w:color w:val="0000FF"/>
      <w:shd w:val="clear" w:color="auto" w:fill="auto"/>
    </w:rPr>
  </w:style>
  <w:style w:type="character" w:customStyle="1" w:styleId="Marker1">
    <w:name w:val="Marker1"/>
    <w:locked/>
    <w:rsid w:val="000D2D0B"/>
    <w:rPr>
      <w:color w:val="008000"/>
      <w:shd w:val="clear" w:color="auto" w:fill="auto"/>
    </w:rPr>
  </w:style>
  <w:style w:type="character" w:customStyle="1" w:styleId="Marker2">
    <w:name w:val="Marker2"/>
    <w:locked/>
    <w:rsid w:val="000D2D0B"/>
    <w:rPr>
      <w:color w:val="FF0000"/>
      <w:shd w:val="clear" w:color="auto" w:fill="auto"/>
    </w:rPr>
  </w:style>
  <w:style w:type="paragraph" w:customStyle="1" w:styleId="Point0number">
    <w:name w:val="Point 0 (number)"/>
    <w:basedOn w:val="Normal"/>
    <w:locked/>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locked/>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locked/>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locked/>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locked/>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locked/>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locked/>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locked/>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locked/>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locked/>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locked/>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locked/>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locked/>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locked/>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locked/>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locked/>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locked/>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locked/>
    <w:rsid w:val="000D2D0B"/>
    <w:pPr>
      <w:spacing w:after="240"/>
    </w:pPr>
    <w:rPr>
      <w:rFonts w:ascii="Times New Roman" w:hAnsi="Times New Roman"/>
      <w:sz w:val="24"/>
      <w:lang w:eastAsia="en-US"/>
    </w:rPr>
  </w:style>
  <w:style w:type="paragraph" w:customStyle="1" w:styleId="Datedadoption">
    <w:name w:val="Date d'adoption"/>
    <w:basedOn w:val="Normal"/>
    <w:next w:val="Titreobjet"/>
    <w:locked/>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locked/>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locked/>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locked/>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locked/>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locked/>
    <w:rsid w:val="000D2D0B"/>
    <w:rPr>
      <w:rFonts w:cs="Arial"/>
      <w:sz w:val="24"/>
      <w:lang w:eastAsia="en-US"/>
    </w:rPr>
  </w:style>
  <w:style w:type="paragraph" w:customStyle="1" w:styleId="Rfrenceinstitutionnelle">
    <w:name w:val="Référence institutionnelle"/>
    <w:basedOn w:val="Normal"/>
    <w:next w:val="Confidentialit"/>
    <w:locked/>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locked/>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locked/>
    <w:rsid w:val="000D2D0B"/>
    <w:pPr>
      <w:ind w:left="5103"/>
    </w:pPr>
    <w:rPr>
      <w:rFonts w:ascii="Times New Roman" w:hAnsi="Times New Roman"/>
      <w:sz w:val="24"/>
      <w:lang w:eastAsia="en-US"/>
    </w:rPr>
  </w:style>
  <w:style w:type="paragraph" w:customStyle="1" w:styleId="Sous-titreobjet">
    <w:name w:val="Sous-titre objet"/>
    <w:basedOn w:val="Normal"/>
    <w:locked/>
    <w:rsid w:val="000D2D0B"/>
    <w:pPr>
      <w:jc w:val="center"/>
    </w:pPr>
    <w:rPr>
      <w:rFonts w:ascii="Times New Roman" w:hAnsi="Times New Roman"/>
      <w:b/>
      <w:sz w:val="24"/>
      <w:lang w:eastAsia="en-US"/>
    </w:rPr>
  </w:style>
  <w:style w:type="paragraph" w:customStyle="1" w:styleId="Statut">
    <w:name w:val="Statut"/>
    <w:basedOn w:val="Normal"/>
    <w:next w:val="Typedudocument"/>
    <w:locked/>
    <w:rsid w:val="000D2D0B"/>
    <w:pPr>
      <w:spacing w:before="360"/>
      <w:jc w:val="center"/>
    </w:pPr>
    <w:rPr>
      <w:rFonts w:ascii="Times New Roman" w:hAnsi="Times New Roman"/>
      <w:sz w:val="24"/>
      <w:lang w:eastAsia="en-US"/>
    </w:rPr>
  </w:style>
  <w:style w:type="character" w:customStyle="1" w:styleId="Added">
    <w:name w:val="Added"/>
    <w:locked/>
    <w:rsid w:val="000D2D0B"/>
    <w:rPr>
      <w:b/>
      <w:u w:val="single"/>
      <w:shd w:val="clear" w:color="auto" w:fill="auto"/>
    </w:rPr>
  </w:style>
  <w:style w:type="character" w:customStyle="1" w:styleId="Deleted">
    <w:name w:val="Deleted"/>
    <w:locked/>
    <w:rsid w:val="000D2D0B"/>
    <w:rPr>
      <w:strike/>
      <w:shd w:val="clear" w:color="auto" w:fill="auto"/>
    </w:rPr>
  </w:style>
  <w:style w:type="paragraph" w:customStyle="1" w:styleId="Address">
    <w:name w:val="Address"/>
    <w:basedOn w:val="Normal"/>
    <w:next w:val="Normal"/>
    <w:locked/>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locked/>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locked/>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locked/>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locked/>
    <w:rsid w:val="000D2D0B"/>
    <w:pPr>
      <w:spacing w:before="360"/>
      <w:jc w:val="center"/>
    </w:pPr>
    <w:rPr>
      <w:rFonts w:ascii="Times New Roman" w:hAnsi="Times New Roman"/>
      <w:sz w:val="24"/>
      <w:lang w:eastAsia="en-US"/>
    </w:rPr>
  </w:style>
  <w:style w:type="paragraph" w:customStyle="1" w:styleId="Rfrencecroise">
    <w:name w:val="Référence croisée"/>
    <w:basedOn w:val="Normal"/>
    <w:locked/>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locked/>
    <w:rsid w:val="000D2D0B"/>
  </w:style>
  <w:style w:type="paragraph" w:customStyle="1" w:styleId="RfrenceinterinstitutionnellePagedecouverture">
    <w:name w:val="Référence interinstitutionnelle (Page de couverture)"/>
    <w:basedOn w:val="Rfrenceinterinstitutionnelle"/>
    <w:next w:val="Confidentialit"/>
    <w:locked/>
    <w:rsid w:val="000D2D0B"/>
  </w:style>
  <w:style w:type="paragraph" w:customStyle="1" w:styleId="Sous-titreobjetPagedecouverture">
    <w:name w:val="Sous-titre objet (Page de couverture)"/>
    <w:basedOn w:val="Sous-titreobjet"/>
    <w:locked/>
    <w:rsid w:val="000D2D0B"/>
  </w:style>
  <w:style w:type="paragraph" w:customStyle="1" w:styleId="StatutPagedecouverture">
    <w:name w:val="Statut (Page de couverture)"/>
    <w:basedOn w:val="Statut"/>
    <w:next w:val="TypedudocumentPagedecouverture"/>
    <w:locked/>
    <w:rsid w:val="000D2D0B"/>
  </w:style>
  <w:style w:type="paragraph" w:customStyle="1" w:styleId="TitreobjetPagedecouverture">
    <w:name w:val="Titre objet (Page de couverture)"/>
    <w:basedOn w:val="Titreobjet"/>
    <w:next w:val="Sous-titreobjetPagedecouverture"/>
    <w:locked/>
    <w:rsid w:val="000D2D0B"/>
  </w:style>
  <w:style w:type="paragraph" w:customStyle="1" w:styleId="TypedudocumentPagedecouverture">
    <w:name w:val="Type du document (Page de couverture)"/>
    <w:basedOn w:val="Typedudocument"/>
    <w:next w:val="TitreobjetPagedecouverture"/>
    <w:locked/>
    <w:rsid w:val="000D2D0B"/>
  </w:style>
  <w:style w:type="paragraph" w:customStyle="1" w:styleId="Volume">
    <w:name w:val="Volume"/>
    <w:basedOn w:val="Normal"/>
    <w:next w:val="Confidentialit"/>
    <w:locked/>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locked/>
    <w:rsid w:val="000D2D0B"/>
    <w:pPr>
      <w:spacing w:after="240"/>
    </w:pPr>
  </w:style>
  <w:style w:type="paragraph" w:customStyle="1" w:styleId="Accompagnant">
    <w:name w:val="Accompagnant"/>
    <w:basedOn w:val="Normal"/>
    <w:next w:val="Typeacteprincipal"/>
    <w:locked/>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locked/>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locked/>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locked/>
    <w:rsid w:val="000D2D0B"/>
  </w:style>
  <w:style w:type="paragraph" w:customStyle="1" w:styleId="AccompagnantPagedecouverture">
    <w:name w:val="Accompagnant (Page de couverture)"/>
    <w:basedOn w:val="Accompagnant"/>
    <w:next w:val="TypeacteprincipalPagedecouverture"/>
    <w:locked/>
    <w:rsid w:val="000D2D0B"/>
  </w:style>
  <w:style w:type="paragraph" w:customStyle="1" w:styleId="TypeacteprincipalPagedecouverture">
    <w:name w:val="Type acte principal (Page de couverture)"/>
    <w:basedOn w:val="Typeacteprincipal"/>
    <w:next w:val="ObjetacteprincipalPagedecouverture"/>
    <w:locked/>
    <w:rsid w:val="000D2D0B"/>
  </w:style>
  <w:style w:type="paragraph" w:customStyle="1" w:styleId="ObjetacteprincipalPagedecouverture">
    <w:name w:val="Objet acte principal (Page de couverture)"/>
    <w:basedOn w:val="Objetacteprincipal"/>
    <w:next w:val="Rfrencecroise"/>
    <w:locked/>
    <w:rsid w:val="000D2D0B"/>
  </w:style>
  <w:style w:type="paragraph" w:customStyle="1" w:styleId="LanguesfaisantfoiPagedecouverture">
    <w:name w:val="Langues faisant foi (Page de couverture)"/>
    <w:basedOn w:val="Normal"/>
    <w:next w:val="Normal"/>
    <w:locked/>
    <w:rsid w:val="000D2D0B"/>
    <w:pPr>
      <w:spacing w:before="360"/>
      <w:jc w:val="center"/>
    </w:pPr>
    <w:rPr>
      <w:rFonts w:ascii="Times New Roman" w:hAnsi="Times New Roman"/>
      <w:sz w:val="24"/>
      <w:lang w:eastAsia="en-US"/>
    </w:rPr>
  </w:style>
  <w:style w:type="paragraph" w:styleId="ListNumber2">
    <w:name w:val="List Number 2"/>
    <w:basedOn w:val="Normal"/>
    <w:locked/>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locked/>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locked/>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locked/>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locked/>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locked/>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locked/>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locked/>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locked/>
    <w:rsid w:val="000D2D0B"/>
    <w:pPr>
      <w:ind w:left="720"/>
      <w:contextualSpacing/>
    </w:pPr>
    <w:rPr>
      <w:rFonts w:ascii="Cambria" w:hAnsi="Cambria"/>
      <w:sz w:val="24"/>
      <w:lang w:val="en-US" w:eastAsia="en-US"/>
    </w:rPr>
  </w:style>
  <w:style w:type="paragraph" w:customStyle="1" w:styleId="Listeavsnitt1">
    <w:name w:val="Listeavsnitt1"/>
    <w:basedOn w:val="Normal"/>
    <w:locked/>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locked/>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locked/>
    <w:rsid w:val="000D2D0B"/>
    <w:pPr>
      <w:numPr>
        <w:numId w:val="27"/>
      </w:numPr>
    </w:pPr>
  </w:style>
  <w:style w:type="character" w:customStyle="1" w:styleId="DeltaViewDeletion">
    <w:name w:val="DeltaView Deletion"/>
    <w:locked/>
    <w:rsid w:val="000D2D0B"/>
    <w:rPr>
      <w:b/>
      <w:strike/>
      <w:color w:val="FFFFFF"/>
      <w:spacing w:val="0"/>
    </w:rPr>
  </w:style>
  <w:style w:type="paragraph" w:customStyle="1" w:styleId="Listenabsatz3">
    <w:name w:val="Listenabsatz3"/>
    <w:basedOn w:val="Normal"/>
    <w:locked/>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locked/>
    <w:rsid w:val="000D2D0B"/>
    <w:pPr>
      <w:ind w:left="720"/>
      <w:contextualSpacing/>
    </w:pPr>
    <w:rPr>
      <w:rFonts w:ascii="Cambria" w:hAnsi="Cambria"/>
      <w:sz w:val="24"/>
      <w:lang w:val="en-US" w:eastAsia="en-US"/>
    </w:rPr>
  </w:style>
  <w:style w:type="paragraph" w:customStyle="1" w:styleId="ListParagraph2">
    <w:name w:val="List Paragraph2"/>
    <w:basedOn w:val="Normal"/>
    <w:locked/>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locked/>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locked/>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locked/>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locked/>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locked/>
    <w:rsid w:val="000D2D0B"/>
    <w:pPr>
      <w:ind w:left="720"/>
      <w:contextualSpacing/>
    </w:pPr>
    <w:rPr>
      <w:rFonts w:ascii="Times New Roman" w:hAnsi="Times New Roman"/>
      <w:sz w:val="24"/>
      <w:lang w:eastAsia="en-GB"/>
    </w:rPr>
  </w:style>
  <w:style w:type="paragraph" w:customStyle="1" w:styleId="Listenabsatz4">
    <w:name w:val="Listenabsatz4"/>
    <w:basedOn w:val="Normal"/>
    <w:qFormat/>
    <w:locked/>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locked/>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locked/>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locked/>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locked/>
    <w:rsid w:val="000D2D0B"/>
    <w:rPr>
      <w:rFonts w:ascii="EUAlbertina" w:hAnsi="EUAlbertina" w:cs="Times New Roman"/>
      <w:color w:val="auto"/>
      <w:lang w:val="de-DE" w:eastAsia="de-DE"/>
    </w:rPr>
  </w:style>
  <w:style w:type="paragraph" w:customStyle="1" w:styleId="aStyle1">
    <w:name w:val="a. Style1"/>
    <w:basedOn w:val="Normal"/>
    <w:link w:val="aStyle1Char"/>
    <w:qFormat/>
    <w:locked/>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Arial" w:hAnsi="Arial"/>
      <w:lang w:val="x-none" w:eastAsia="x-none"/>
    </w:rPr>
  </w:style>
  <w:style w:type="paragraph" w:styleId="Title">
    <w:name w:val="Title"/>
    <w:basedOn w:val="Normal"/>
    <w:next w:val="Normal"/>
    <w:link w:val="TitleChar"/>
    <w:uiPriority w:val="10"/>
    <w:qFormat/>
    <w:locked/>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locked/>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locked/>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
    <w:uiPriority w:val="19"/>
    <w:qFormat/>
    <w:locked/>
    <w:rsid w:val="003A6E9A"/>
    <w:rPr>
      <w:b/>
      <w:i w:val="0"/>
      <w:iCs/>
      <w:sz w:val="20"/>
    </w:rPr>
  </w:style>
  <w:style w:type="paragraph" w:customStyle="1" w:styleId="NEW-Paragraph-Level1">
    <w:name w:val="NEW-Paragraph-Level1"/>
    <w:basedOn w:val="Normal"/>
    <w:locked/>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locked/>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locked/>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Normal"/>
    <w:locked/>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locked/>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locked/>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locked/>
    <w:rsid w:val="004E76A1"/>
    <w:pPr>
      <w:spacing w:before="120" w:after="120"/>
      <w:ind w:left="425" w:hanging="425"/>
    </w:pPr>
  </w:style>
  <w:style w:type="paragraph" w:customStyle="1" w:styleId="aNEW-Level1">
    <w:name w:val="aNEW-Level1"/>
    <w:basedOn w:val="NEW-Level1"/>
    <w:link w:val="aNEW-Level1Char"/>
    <w:qFormat/>
    <w:locked/>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locked/>
    <w:rsid w:val="00176982"/>
  </w:style>
  <w:style w:type="paragraph" w:customStyle="1" w:styleId="aNEW-Level4">
    <w:name w:val="aNEW-Level4"/>
    <w:basedOn w:val="Normal"/>
    <w:link w:val="aNEW-Level4Char"/>
    <w:qFormat/>
    <w:locked/>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locked/>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locked/>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Normal"/>
    <w:link w:val="aNew-Level33Char"/>
    <w:qFormat/>
    <w:locked/>
    <w:rsid w:val="004C14E7"/>
    <w:pPr>
      <w:spacing w:after="250" w:line="276" w:lineRule="auto"/>
      <w:ind w:left="426" w:hanging="426"/>
      <w:jc w:val="both"/>
    </w:pPr>
    <w:rPr>
      <w:b/>
    </w:rPr>
  </w:style>
  <w:style w:type="paragraph" w:customStyle="1" w:styleId="aNew-BoxTitle">
    <w:name w:val="aNew-BoxTitle"/>
    <w:basedOn w:val="04aNumbering"/>
    <w:link w:val="aNew-BoxTitleChar"/>
    <w:qFormat/>
    <w:locked/>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locked/>
    <w:rsid w:val="0061478E"/>
    <w:pPr>
      <w:ind w:left="851" w:hanging="425"/>
    </w:pPr>
  </w:style>
  <w:style w:type="paragraph" w:customStyle="1" w:styleId="aNEW-Paragraph-level3">
    <w:name w:val="aNEW-Paragraph-level3"/>
    <w:basedOn w:val="NEW-Paragraph-level3"/>
    <w:link w:val="aNEW-Paragraph-level3Char"/>
    <w:qFormat/>
    <w:locked/>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Normal"/>
    <w:link w:val="aNew-Level5Char"/>
    <w:qFormat/>
    <w:locked/>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locked/>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locked/>
    <w:rsid w:val="00EF0769"/>
    <w:pPr>
      <w:numPr>
        <w:numId w:val="32"/>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DefaultParagraphFon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locked/>
    <w:rsid w:val="00566C6A"/>
    <w:pPr>
      <w:numPr>
        <w:numId w:val="33"/>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eEmphasis">
    <w:name w:val="Intense Emphasis"/>
    <w:basedOn w:val="DefaultParagraphFont"/>
    <w:uiPriority w:val="21"/>
    <w:qFormat/>
    <w:locked/>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sz w:val="32"/>
      <w:szCs w:val="32"/>
    </w:rPr>
  </w:style>
  <w:style w:type="paragraph" w:customStyle="1" w:styleId="CPTitle1">
    <w:name w:val="CP_Title1"/>
    <w:basedOn w:val="Heading1"/>
    <w:link w:val="CPTitle1Char"/>
    <w:qFormat/>
    <w:locked/>
    <w:rsid w:val="00D34282"/>
    <w:pPr>
      <w:keepLines/>
      <w:numPr>
        <w:numId w:val="34"/>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locked/>
    <w:rsid w:val="00D34282"/>
    <w:pPr>
      <w:numPr>
        <w:ilvl w:val="2"/>
        <w:numId w:val="34"/>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locked/>
    <w:rsid w:val="00D34282"/>
    <w:pPr>
      <w:numPr>
        <w:ilvl w:val="3"/>
        <w:numId w:val="34"/>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locked/>
    <w:rsid w:val="00D34282"/>
    <w:pPr>
      <w:numPr>
        <w:ilvl w:val="4"/>
        <w:numId w:val="34"/>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locked/>
    <w:rsid w:val="00D34282"/>
    <w:pPr>
      <w:numPr>
        <w:ilvl w:val="5"/>
        <w:numId w:val="34"/>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locked/>
    <w:rsid w:val="00D34282"/>
    <w:pPr>
      <w:numPr>
        <w:ilvl w:val="6"/>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locked/>
    <w:rsid w:val="00D34282"/>
    <w:pPr>
      <w:numPr>
        <w:ilvl w:val="7"/>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locked/>
    <w:rsid w:val="00D34282"/>
    <w:pPr>
      <w:numPr>
        <w:ilvl w:val="8"/>
        <w:numId w:val="34"/>
      </w:numPr>
      <w:spacing w:before="250" w:line="276" w:lineRule="auto"/>
      <w:jc w:val="both"/>
    </w:pPr>
    <w:rPr>
      <w:rFonts w:asciiTheme="minorHAnsi" w:eastAsiaTheme="minorEastAsia" w:hAnsiTheme="minorHAnsi" w:cstheme="minorBidi"/>
      <w:sz w:val="22"/>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yperlink" Target="http://www.esma.europa.eu" TargetMode="Externa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esma.europa.e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mailto:mpedroni@managedfunds.org"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hyperlink" Target="mailto:ajacobs-dean@aima.org"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header" Target="header4.xml"/></Relationships>
</file>

<file path=word/_rels/footnotes.xml.rels><?xml version="1.0" encoding="UTF-8" standalone="yes"?>
<Relationships xmlns="http://schemas.openxmlformats.org/package/2006/relationships"><Relationship Id="rId2" Type="http://schemas.openxmlformats.org/officeDocument/2006/relationships/hyperlink" Target="https://www.esma.europa.eu/sites/default/files/library/mifid_ii_mifir_review_report_no_1_on_prices_for_market_data_and_the_equity_ct.pdf" TargetMode="External"/><Relationship Id="rId1" Type="http://schemas.openxmlformats.org/officeDocument/2006/relationships/hyperlink" Target="https://www.esma.europa.eu/file/54886/download?token=dMSYPM__"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MeetingDate xmlns="20fbe147-bbda-4e53-b6b1-7e8bbff3fe19" xsi:nil="true"/>
    <Year xmlns="20fbe147-bbda-4e53-b6b1-7e8bbff3fe19">2020</Year>
    <TaxCatchAll xmlns="20fbe147-bbda-4e53-b6b1-7e8bbff3fe19">
      <Value>1</Value>
      <Value>14</Value>
      <Value>478</Value>
      <Value>484</Value>
      <Value>434</Value>
    </TaxCatchAll>
    <_dlc_DocId xmlns="20fbe147-bbda-4e53-b6b1-7e8bbff3fe19">ESMA70-156-2410</_dlc_DocId>
    <_dlc_DocIdUrl xmlns="20fbe147-bbda-4e53-b6b1-7e8bbff3fe19">
      <Url>https://sherpa.esma.europa.eu/sites/MKT/SMK/_layouts/15/DocIdRedir.aspx?ID=ESMA70-156-2410</Url>
      <Description>ESMA70-156-2410</Description>
    </_dlc_DocIdUrl>
    <IconOverlay xmlns="http://schemas.microsoft.com/sharepoint/v4" xsi:nil="true"/>
    <caa5aeb1a6644849b60fbe2335e12657 xmlns="20fbe147-bbda-4e53-b6b1-7e8bbff3fe19">
      <Terms xmlns="http://schemas.microsoft.com/office/infopath/2007/PartnerControls">
        <TermInfo xmlns="http://schemas.microsoft.com/office/infopath/2007/PartnerControls">
          <TermName xmlns="http://schemas.microsoft.com/office/infopath/2007/PartnerControls">MiFID reports</TermName>
          <TermId xmlns="http://schemas.microsoft.com/office/infopath/2007/PartnerControls">3c5cc422-10d2-4956-abed-da9583ea216a</TermId>
        </TermInfo>
      </Terms>
    </caa5aeb1a6644849b60fbe2335e12657>
    <bce29119141747ccb9ac7d87218ed4af xmlns="20fbe147-bbda-4e53-b6b1-7e8bbff3fe19">
      <Terms xmlns="http://schemas.microsoft.com/office/infopath/2007/PartnerControls">
        <TermInfo xmlns="http://schemas.microsoft.com/office/infopath/2007/PartnerControls">
          <TermName xmlns="http://schemas.microsoft.com/office/infopath/2007/PartnerControls">Trading Unit</TermName>
          <TermId xmlns="http://schemas.microsoft.com/office/infopath/2007/PartnerControls">0cda11c1-7d91-4d51-b3a1-339122a07b73</TermId>
        </TermInfo>
      </Terms>
    </bce29119141747ccb9ac7d87218ed4af>
    <j69a081f486747f6ac8a5aeed63facfd xmlns="20fbe147-bbda-4e53-b6b1-7e8bbff3fe19">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j69a081f486747f6ac8a5aeed63facfd>
    <a9b3b1dad23b4ba58c3f3e36a96e1d9c xmlns="20fbe147-bbda-4e53-b6b1-7e8bbff3fe19">
      <Terms xmlns="http://schemas.microsoft.com/office/infopath/2007/PartnerControls"/>
    </a9b3b1dad23b4ba58c3f3e36a96e1d9c>
    <n644e5dfaa29486bad4a4fc019c6d2df xmlns="20fbe147-bbda-4e53-b6b1-7e8bbff3fe19">
      <Terms xmlns="http://schemas.microsoft.com/office/infopath/2007/PartnerControls">
        <TermInfo xmlns="http://schemas.microsoft.com/office/infopath/2007/PartnerControls">
          <TermName xmlns="http://schemas.microsoft.com/office/infopath/2007/PartnerControls">MiFID reports - MiFIR 52(1)(6) - Transparency and DVC and TOD</TermName>
          <TermId xmlns="http://schemas.microsoft.com/office/infopath/2007/PartnerControls">af5d7a71-37b0-44f8-9596-7b2aead30867</TermId>
        </TermInfo>
      </Terms>
    </n644e5dfaa29486bad4a4fc019c6d2df>
    <eed0a0b2ea6941718a34434e243f3d8f xmlns="20fbe147-bbda-4e53-b6b1-7e8bbff3fe19">
      <Terms xmlns="http://schemas.microsoft.com/office/infopath/2007/PartnerControls">
        <TermInfo xmlns="http://schemas.microsoft.com/office/infopath/2007/PartnerControls">
          <TermName xmlns="http://schemas.microsoft.com/office/infopath/2007/PartnerControls">Note</TermName>
          <TermId xmlns="http://schemas.microsoft.com/office/infopath/2007/PartnerControls">b9e1c92e-303a-4555-86f0-5c711c65937e</TermId>
        </TermInfo>
      </Terms>
    </eed0a0b2ea6941718a34434e243f3d8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Policy Document" ma:contentTypeID="0x01010001BD15C3986B91498E0AE644B715B9EE010D00757D222C6B0DA241B5F74437644107D4" ma:contentTypeVersion="16" ma:contentTypeDescription="" ma:contentTypeScope="" ma:versionID="8ee7228954dca49665f07e42400ad76d">
  <xsd:schema xmlns:xsd="http://www.w3.org/2001/XMLSchema" xmlns:xs="http://www.w3.org/2001/XMLSchema" xmlns:p="http://schemas.microsoft.com/office/2006/metadata/properties" xmlns:ns1="http://schemas.microsoft.com/sharepoint/v3" xmlns:ns2="20fbe147-bbda-4e53-b6b1-7e8bbff3fe19" xmlns:ns3="http://schemas.microsoft.com/sharepoint/v4" targetNamespace="http://schemas.microsoft.com/office/2006/metadata/properties" ma:root="true" ma:fieldsID="44925884f65367f862a25afa2b9086ca" ns1:_="" ns2:_="" ns3:_="">
    <xsd:import namespace="http://schemas.microsoft.com/sharepoint/v3"/>
    <xsd:import namespace="20fbe147-bbda-4e53-b6b1-7e8bbff3fe19"/>
    <xsd:import namespace="http://schemas.microsoft.com/sharepoint/v4"/>
    <xsd:element name="properties">
      <xsd:complexType>
        <xsd:sequence>
          <xsd:element name="documentManagement">
            <xsd:complexType>
              <xsd:all>
                <xsd:element ref="ns2:_dlc_DocIdPersistId" minOccurs="0"/>
                <xsd:element ref="ns2:TaxCatchAll" minOccurs="0"/>
                <xsd:element ref="ns2:TaxCatchAllLabel" minOccurs="0"/>
                <xsd:element ref="ns2:_dlc_DocId" minOccurs="0"/>
                <xsd:element ref="ns2:_dlc_DocIdUrl" minOccurs="0"/>
                <xsd:element ref="ns2:caa5aeb1a6644849b60fbe2335e12657" minOccurs="0"/>
                <xsd:element ref="ns2:n644e5dfaa29486bad4a4fc019c6d2df" minOccurs="0"/>
                <xsd:element ref="ns2:bce29119141747ccb9ac7d87218ed4af" minOccurs="0"/>
                <xsd:element ref="ns3:IconOverlay" minOccurs="0"/>
                <xsd:element ref="ns2:eed0a0b2ea6941718a34434e243f3d8f" minOccurs="0"/>
                <xsd:element ref="ns2:j69a081f486747f6ac8a5aeed63facfd" minOccurs="0"/>
                <xsd:element ref="ns2:Year"/>
                <xsd:element ref="ns2:a9b3b1dad23b4ba58c3f3e36a96e1d9c" minOccurs="0"/>
                <xsd:element ref="ns2:MeetingDate" minOccurs="0"/>
                <xsd:element ref="ns1:_vti_ItemDeclaredRecord" minOccurs="0"/>
                <xsd:element ref="ns1:_vti_ItemHoldRecord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28" nillable="true" ma:displayName="Declared Record" ma:hidden="true" ma:internalName="_vti_ItemDeclaredRecord" ma:readOnly="true">
      <xsd:simpleType>
        <xsd:restriction base="dms:DateTime"/>
      </xsd:simpleType>
    </xsd:element>
    <xsd:element name="_vti_ItemHoldRecordStatus" ma:index="29"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0fbe147-bbda-4e53-b6b1-7e8bbff3fe19" elementFormDefault="qualified">
    <xsd:import namespace="http://schemas.microsoft.com/office/2006/documentManagement/types"/>
    <xsd:import namespace="http://schemas.microsoft.com/office/infopath/2007/PartnerControls"/>
    <xsd:element name="_dlc_DocIdPersistId" ma:index="4" nillable="true" ma:displayName="Persist ID" ma:description="Keep ID on add." ma:hidden="true" ma:internalName="_dlc_DocIdPersistId" ma:readOnly="true">
      <xsd:simpleType>
        <xsd:restriction base="dms:Boolean"/>
      </xsd:simpleType>
    </xsd:element>
    <xsd:element name="TaxCatchAll" ma:index="5" nillable="true" ma:displayName="Taxonomy Catch All Column" ma:hidden="true" ma:list="{c38c24d3-2590-4616-bee0-79d7eeedacac}" ma:internalName="TaxCatchAll" ma:showField="CatchAllData"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c38c24d3-2590-4616-bee0-79d7eeedacac}" ma:internalName="TaxCatchAllLabel" ma:readOnly="true" ma:showField="CatchAllDataLabel"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caa5aeb1a6644849b60fbe2335e12657" ma:index="12" ma:taxonomy="true" ma:internalName="caa5aeb1a6644849b60fbe2335e12657" ma:taxonomyFieldName="Topic" ma:displayName="Topic" ma:default="" ma:fieldId="{caa5aeb1-a664-4849-b60f-be2335e12657}" ma:sspId="0ac1876e-32bf-4158-94e7-cdbcd053a335" ma:termSetId="7b949606-90e2-4f49-8484-424f131284b3" ma:anchorId="00000000-0000-0000-0000-000000000000" ma:open="false" ma:isKeyword="false">
      <xsd:complexType>
        <xsd:sequence>
          <xsd:element ref="pc:Terms" minOccurs="0" maxOccurs="1"/>
        </xsd:sequence>
      </xsd:complexType>
    </xsd:element>
    <xsd:element name="n644e5dfaa29486bad4a4fc019c6d2df" ma:index="14" nillable="true" ma:taxonomy="true" ma:internalName="n644e5dfaa29486bad4a4fc019c6d2df" ma:taxonomyFieldName="SubTopic" ma:displayName="Sub Topic" ma:readOnly="false" ma:default="" ma:fieldId="{7644e5df-aa29-486b-ad4a-4fc019c6d2df}" ma:sspId="0ac1876e-32bf-4158-94e7-cdbcd053a335" ma:termSetId="c9d88329-36bd-4ba5-881c-dae898303a52" ma:anchorId="00000000-0000-0000-0000-000000000000" ma:open="false" ma:isKeyword="false">
      <xsd:complexType>
        <xsd:sequence>
          <xsd:element ref="pc:Terms" minOccurs="0" maxOccurs="1"/>
        </xsd:sequence>
      </xsd:complexType>
    </xsd:element>
    <xsd:element name="bce29119141747ccb9ac7d87218ed4af" ma:index="16" ma:taxonomy="true" ma:internalName="bce29119141747ccb9ac7d87218ed4af" ma:taxonomyFieldName="TeamName" ma:displayName="Team Name" ma:readOnly="false" ma:default="5;#Secondary Markets|64c18f63-8e0f-46d8-84d6-b5a5f7a39938" ma:fieldId="{bce29119-1417-47cc-b9ac-7d87218ed4af}" ma:sspId="0ac1876e-32bf-4158-94e7-cdbcd053a335" ma:termSetId="9ab8a8dd-aa7f-4e9e-9345-c8f50d6bfad1" ma:anchorId="00000000-0000-0000-0000-000000000000" ma:open="false" ma:isKeyword="false">
      <xsd:complexType>
        <xsd:sequence>
          <xsd:element ref="pc:Terms" minOccurs="0" maxOccurs="1"/>
        </xsd:sequence>
      </xsd:complexType>
    </xsd:element>
    <xsd:element name="eed0a0b2ea6941718a34434e243f3d8f" ma:index="19" ma:taxonomy="true" ma:internalName="eed0a0b2ea6941718a34434e243f3d8f" ma:taxonomyFieldName="DocumentType" ma:displayName="Document Type" ma:readOnly="false" ma:default="1;#Report / Note;Note|b9e1c92e-303a-4555-86f0-5c711c65937e" ma:fieldId="{eed0a0b2-ea69-4171-8a34-434e243f3d8f}" ma:sspId="0ac1876e-32bf-4158-94e7-cdbcd053a335" ma:termSetId="f83a1c9a-b23f-455b-8c9e-17fb9037db30" ma:anchorId="00000000-0000-0000-0000-000000000000" ma:open="false" ma:isKeyword="false">
      <xsd:complexType>
        <xsd:sequence>
          <xsd:element ref="pc:Terms" minOccurs="0" maxOccurs="1"/>
        </xsd:sequence>
      </xsd:complexType>
    </xsd:element>
    <xsd:element name="j69a081f486747f6ac8a5aeed63facfd" ma:index="21" ma:taxonomy="true" ma:internalName="j69a081f486747f6ac8a5aeed63facfd" ma:taxonomyFieldName="ConfidentialityLevel" ma:displayName="Confidentiality Level" ma:readOnly="false" ma:default="2;#Restricted|187aa7e6-627f-4951-b138-6ff841dc883d" ma:fieldId="{369a081f-4867-47f6-ac8a-5aeed63facfd}" ma:sspId="0ac1876e-32bf-4158-94e7-cdbcd053a335" ma:termSetId="63da149f-0364-4b58-9838-6f5855a402c0" ma:anchorId="00000000-0000-0000-0000-000000000000" ma:open="false" ma:isKeyword="false">
      <xsd:complexType>
        <xsd:sequence>
          <xsd:element ref="pc:Terms" minOccurs="0" maxOccurs="1"/>
        </xsd:sequence>
      </xsd:complexType>
    </xsd:element>
    <xsd:element name="Year" ma:index="23" ma:displayName="Year" ma:description="" ma:internalName="Year" ma:readOnly="false">
      <xsd:simpleType>
        <xsd:restriction base="dms:Text">
          <xsd:maxLength value="4"/>
        </xsd:restriction>
      </xsd:simpleType>
    </xsd:element>
    <xsd:element name="a9b3b1dad23b4ba58c3f3e36a96e1d9c" ma:index="24" nillable="true" ma:taxonomy="true" ma:internalName="a9b3b1dad23b4ba58c3f3e36a96e1d9c" ma:taxonomyFieldName="EsmaAudience" ma:displayName="Audience" ma:readOnly="false" ma:default="" ma:fieldId="{a9b3b1da-d23b-4ba5-8c3f-3e36a96e1d9c}" ma:sspId="0ac1876e-32bf-4158-94e7-cdbcd053a335" ma:termSetId="76343289-0524-4d6c-b317-76d8c2e49caa" ma:anchorId="00000000-0000-0000-0000-000000000000" ma:open="false" ma:isKeyword="false">
      <xsd:complexType>
        <xsd:sequence>
          <xsd:element ref="pc:Terms" minOccurs="0" maxOccurs="1"/>
        </xsd:sequence>
      </xsd:complexType>
    </xsd:element>
    <xsd:element name="MeetingDate" ma:index="26" nillable="true" ma:displayName="Meeting Date" ma:description="" ma:format="DateOnly" ma:internalName="Meeting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37C169-B082-42D7-95A8-39DCDC7C43D3}">
  <ds:schemaRefs>
    <ds:schemaRef ds:uri="http://schemas.microsoft.com/office/2006/metadata/properties"/>
    <ds:schemaRef ds:uri="http://schemas.microsoft.com/office/infopath/2007/PartnerControls"/>
    <ds:schemaRef ds:uri="20fbe147-bbda-4e53-b6b1-7e8bbff3fe19"/>
    <ds:schemaRef ds:uri="http://schemas.microsoft.com/sharepoint/v4"/>
  </ds:schemaRefs>
</ds:datastoreItem>
</file>

<file path=customXml/itemProps2.xml><?xml version="1.0" encoding="utf-8"?>
<ds:datastoreItem xmlns:ds="http://schemas.openxmlformats.org/officeDocument/2006/customXml" ds:itemID="{7FB30FA8-3D72-457A-9AB5-7BB1703E604A}">
  <ds:schemaRefs>
    <ds:schemaRef ds:uri="http://schemas.microsoft.com/sharepoint/v3/contenttype/forms"/>
  </ds:schemaRefs>
</ds:datastoreItem>
</file>

<file path=customXml/itemProps3.xml><?xml version="1.0" encoding="utf-8"?>
<ds:datastoreItem xmlns:ds="http://schemas.openxmlformats.org/officeDocument/2006/customXml" ds:itemID="{1C96BF86-3724-44E7-9F6D-9B5016056B8E}">
  <ds:schemaRefs>
    <ds:schemaRef ds:uri="http://schemas.microsoft.com/sharepoint/events"/>
  </ds:schemaRefs>
</ds:datastoreItem>
</file>

<file path=customXml/itemProps4.xml><?xml version="1.0" encoding="utf-8"?>
<ds:datastoreItem xmlns:ds="http://schemas.openxmlformats.org/officeDocument/2006/customXml" ds:itemID="{9767B63E-DF16-4980-AA38-0B9BBAEB35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0fbe147-bbda-4e53-b6b1-7e8bbff3fe1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E6605F2-E1FA-4A6F-A24B-D2AC88A4ED7C}">
  <ds:schemaRefs>
    <ds:schemaRef ds:uri="http://schemas.openxmlformats.org/officeDocument/2006/bibliography"/>
  </ds:schemaRefs>
</ds:datastoreItem>
</file>

<file path=customXml/itemProps6.xml><?xml version="1.0" encoding="utf-8"?>
<ds:datastoreItem xmlns:ds="http://schemas.openxmlformats.org/officeDocument/2006/customXml" ds:itemID="{F719E8F3-8079-49D2-8C83-DF51E6AFD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3897</Words>
  <Characters>22213</Characters>
  <Application>Microsoft Office Word</Application>
  <DocSecurity>8</DocSecurity>
  <Lines>185</Lines>
  <Paragraphs>52</Paragraphs>
  <ScaleCrop>false</ScaleCrop>
  <HeadingPairs>
    <vt:vector size="10" baseType="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Reply form for the MiFID II/MiFIR Consultation Paper</vt:lpstr>
      <vt:lpstr>20110000</vt:lpstr>
      <vt:lpstr>20110000</vt:lpstr>
      <vt:lpstr>20110000</vt:lpstr>
      <vt:lpstr>20110000</vt:lpstr>
    </vt:vector>
  </TitlesOfParts>
  <Company>ESMA</Company>
  <LinksUpToDate>false</LinksUpToDate>
  <CharactersWithSpaces>26058</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creator>ESMA</dc:creator>
  <cp:lastModifiedBy>Adam Jacobs-Dean</cp:lastModifiedBy>
  <cp:revision>2</cp:revision>
  <cp:lastPrinted>2015-02-18T11:01:00Z</cp:lastPrinted>
  <dcterms:created xsi:type="dcterms:W3CDTF">2020-06-14T07:50:00Z</dcterms:created>
  <dcterms:modified xsi:type="dcterms:W3CDTF">2020-06-14T07:50:00Z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0x01010001BD15C3986B91498E0AE644B715B9EE010D00757D222C6B0DA241B5F74437644107D4</vt:lpwstr>
  </property>
  <property fmtid="{D5CDD505-2E9C-101B-9397-08002B2CF9AE}" pid="3" name="_dlc_DocIdItemGuid">
    <vt:lpwstr>1e9343ef-4172-4dae-8e17-5a879c7dfc56</vt:lpwstr>
  </property>
  <property fmtid="{D5CDD505-2E9C-101B-9397-08002B2CF9AE}" pid="4" name="EsmaAudience">
    <vt:lpwstr/>
  </property>
  <property fmtid="{D5CDD505-2E9C-101B-9397-08002B2CF9AE}" pid="5" name="TeamName">
    <vt:lpwstr>484;#Trading Unit|0cda11c1-7d91-4d51-b3a1-339122a07b73</vt:lpwstr>
  </property>
  <property fmtid="{D5CDD505-2E9C-101B-9397-08002B2CF9AE}" pid="6" name="Topic">
    <vt:lpwstr>434;#MiFID reports|3c5cc422-10d2-4956-abed-da9583ea216a</vt:lpwstr>
  </property>
  <property fmtid="{D5CDD505-2E9C-101B-9397-08002B2CF9AE}" pid="7" name="ConfidentialityLevel">
    <vt:lpwstr>14;#Regular|07f1e362-856b-423d-bea6-a14079762141</vt:lpwstr>
  </property>
  <property fmtid="{D5CDD505-2E9C-101B-9397-08002B2CF9AE}" pid="8" name="DocumentType">
    <vt:lpwstr>1;#Note|b9e1c92e-303a-4555-86f0-5c711c65937e</vt:lpwstr>
  </property>
  <property fmtid="{D5CDD505-2E9C-101B-9397-08002B2CF9AE}" pid="9" name="SubTopic">
    <vt:lpwstr>478;#MiFID reports - MiFIR 52(1)(6) - Transparency and DVC and TOD|af5d7a71-37b0-44f8-9596-7b2aead30867</vt:lpwstr>
  </property>
</Properties>
</file>