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25A5" w14:textId="77777777" w:rsidR="00EB0BE9" w:rsidRPr="00EB0BE9" w:rsidRDefault="00EB0BE9" w:rsidP="00EB0BE9">
      <w:pPr>
        <w:spacing w:line="276" w:lineRule="auto"/>
        <w:rPr>
          <w:rFonts w:ascii="Arial" w:hAnsi="Arial" w:cs="Arial"/>
        </w:rPr>
      </w:pPr>
    </w:p>
    <w:p w14:paraId="1103DF52" w14:textId="77777777" w:rsidR="00EB0BE9" w:rsidRPr="00EB0BE9" w:rsidRDefault="00EB0BE9" w:rsidP="00EB0BE9">
      <w:pPr>
        <w:spacing w:line="276" w:lineRule="auto"/>
        <w:rPr>
          <w:rFonts w:ascii="Arial" w:hAnsi="Arial" w:cs="Arial"/>
        </w:rPr>
      </w:pPr>
    </w:p>
    <w:p w14:paraId="5C9AFEFD" w14:textId="77777777" w:rsidR="00EB0BE9" w:rsidRPr="00EB0BE9" w:rsidRDefault="00EB0BE9" w:rsidP="00EB0BE9">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EB0BE9" w:rsidRPr="00EB0BE9" w14:paraId="2EC8EE20" w14:textId="77777777" w:rsidTr="003343CB">
        <w:trPr>
          <w:trHeight w:hRule="exact" w:val="1492"/>
        </w:trPr>
        <w:tc>
          <w:tcPr>
            <w:tcW w:w="10490" w:type="dxa"/>
            <w:vAlign w:val="bottom"/>
          </w:tcPr>
          <w:p w14:paraId="41352493" w14:textId="77777777" w:rsidR="00EB0BE9" w:rsidRPr="00EB0BE9" w:rsidRDefault="00EB0BE9" w:rsidP="008A06A5">
            <w:pPr>
              <w:pStyle w:val="Title"/>
              <w:spacing w:line="276" w:lineRule="auto"/>
              <w:ind w:right="854"/>
              <w:rPr>
                <w:rFonts w:ascii="Arial" w:hAnsi="Arial" w:cs="Arial"/>
                <w:sz w:val="48"/>
                <w:szCs w:val="48"/>
              </w:rPr>
            </w:pPr>
            <w:r w:rsidRPr="00EB0BE9">
              <w:rPr>
                <w:rFonts w:ascii="Arial" w:hAnsi="Arial" w:cs="Arial"/>
                <w:sz w:val="48"/>
                <w:szCs w:val="48"/>
              </w:rPr>
              <w:t xml:space="preserve">Response Form to the Consultation Paper </w:t>
            </w:r>
          </w:p>
        </w:tc>
      </w:tr>
      <w:tr w:rsidR="00EB0BE9" w:rsidRPr="00EB0BE9" w14:paraId="4E264C00" w14:textId="77777777" w:rsidTr="0D5248BA">
        <w:trPr>
          <w:trHeight w:hRule="exact" w:val="747"/>
        </w:trPr>
        <w:tc>
          <w:tcPr>
            <w:tcW w:w="10490" w:type="dxa"/>
            <w:tcMar>
              <w:top w:w="142" w:type="dxa"/>
            </w:tcMar>
          </w:tcPr>
          <w:p w14:paraId="6D64097B" w14:textId="77777777" w:rsidR="00EB0BE9" w:rsidRPr="00EB0BE9" w:rsidRDefault="00EB0BE9" w:rsidP="008A06A5">
            <w:pPr>
              <w:pStyle w:val="Subtitle"/>
              <w:rPr>
                <w:rFonts w:ascii="Arial" w:hAnsi="Arial" w:cs="Arial"/>
              </w:rPr>
            </w:pPr>
            <w:r w:rsidRPr="00EB0BE9">
              <w:rPr>
                <w:rFonts w:ascii="Arial" w:hAnsi="Arial" w:cs="Arial"/>
              </w:rPr>
              <w:t>Draft Regulatory Technical Standards under the Benchmarks Regulation</w:t>
            </w:r>
          </w:p>
          <w:p w14:paraId="31CC94F1" w14:textId="77777777" w:rsidR="00EB0BE9" w:rsidRPr="00EB0BE9" w:rsidRDefault="00EB0BE9" w:rsidP="008A06A5">
            <w:pPr>
              <w:pStyle w:val="Subtitle"/>
              <w:rPr>
                <w:rFonts w:ascii="Arial" w:hAnsi="Arial" w:cs="Arial"/>
              </w:rPr>
            </w:pPr>
          </w:p>
          <w:p w14:paraId="107AB2B4" w14:textId="77777777" w:rsidR="00EB0BE9" w:rsidRPr="00EB0BE9" w:rsidRDefault="00EB0BE9" w:rsidP="008A06A5">
            <w:pPr>
              <w:pStyle w:val="Heading2"/>
              <w:numPr>
                <w:ilvl w:val="0"/>
                <w:numId w:val="0"/>
              </w:numPr>
              <w:ind w:left="576" w:hanging="576"/>
              <w:rPr>
                <w:rFonts w:ascii="Arial" w:hAnsi="Arial" w:cs="Arial"/>
              </w:rPr>
            </w:pPr>
          </w:p>
        </w:tc>
      </w:tr>
    </w:tbl>
    <w:p w14:paraId="2E3E8713" w14:textId="77777777" w:rsidR="00EB0BE9" w:rsidRPr="00EB0BE9" w:rsidRDefault="00EB0BE9" w:rsidP="00EB0BE9">
      <w:pPr>
        <w:spacing w:line="276" w:lineRule="auto"/>
        <w:rPr>
          <w:rFonts w:ascii="Arial" w:hAnsi="Arial" w:cs="Arial"/>
        </w:rPr>
      </w:pPr>
    </w:p>
    <w:p w14:paraId="2FD0AD09" w14:textId="77777777" w:rsidR="00EB0BE9" w:rsidRPr="00EB0BE9" w:rsidRDefault="00EB0BE9" w:rsidP="00EB0BE9">
      <w:pPr>
        <w:spacing w:line="276" w:lineRule="auto"/>
        <w:rPr>
          <w:rFonts w:ascii="Arial" w:hAnsi="Arial" w:cs="Arial"/>
        </w:rPr>
        <w:sectPr w:rsidR="00EB0BE9" w:rsidRPr="00EB0BE9"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738AF088" w14:textId="77777777" w:rsidR="00EB0BE9" w:rsidRPr="00EB0BE9" w:rsidRDefault="00EB0BE9" w:rsidP="00EB0BE9">
      <w:pPr>
        <w:numPr>
          <w:ilvl w:val="1"/>
          <w:numId w:val="0"/>
        </w:numPr>
        <w:spacing w:after="250" w:line="276" w:lineRule="auto"/>
        <w:jc w:val="both"/>
        <w:rPr>
          <w:rFonts w:ascii="Arial" w:eastAsiaTheme="majorEastAsia" w:hAnsi="Arial" w:cs="Arial"/>
          <w:b/>
          <w:sz w:val="28"/>
          <w:lang w:eastAsia="en-US"/>
        </w:rPr>
      </w:pPr>
    </w:p>
    <w:p w14:paraId="343A8F70" w14:textId="77777777" w:rsidR="00EB0BE9" w:rsidRPr="00BF0EEA" w:rsidRDefault="00EB0BE9" w:rsidP="00BF0EEA">
      <w:pPr>
        <w:spacing w:after="250" w:line="276" w:lineRule="auto"/>
        <w:jc w:val="both"/>
        <w:rPr>
          <w:rFonts w:ascii="Arial" w:eastAsiaTheme="majorEastAsia" w:hAnsi="Arial" w:cs="Arial"/>
          <w:b/>
          <w:bCs/>
          <w:sz w:val="28"/>
          <w:szCs w:val="28"/>
          <w:lang w:eastAsia="en-US"/>
        </w:rPr>
      </w:pPr>
      <w:r w:rsidRPr="003343CB">
        <w:rPr>
          <w:rFonts w:ascii="Arial" w:eastAsiaTheme="majorEastAsia" w:hAnsi="Arial" w:cs="Arial"/>
          <w:b/>
          <w:bCs/>
          <w:sz w:val="28"/>
          <w:szCs w:val="28"/>
          <w:lang w:eastAsia="en-US"/>
        </w:rPr>
        <w:t xml:space="preserve">Responding to this paper </w:t>
      </w:r>
    </w:p>
    <w:p w14:paraId="459D833E"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ESMA invites comments on all matters in this paper and </w:t>
      </w:r>
      <w:proofErr w:type="gramStart"/>
      <w:r w:rsidRPr="003343CB">
        <w:rPr>
          <w:rFonts w:ascii="Arial" w:eastAsiaTheme="minorEastAsia" w:hAnsi="Arial" w:cs="Arial"/>
          <w:sz w:val="22"/>
          <w:szCs w:val="22"/>
          <w:lang w:eastAsia="en-US"/>
        </w:rPr>
        <w:t>in particular on</w:t>
      </w:r>
      <w:proofErr w:type="gramEnd"/>
      <w:r w:rsidRPr="003343CB">
        <w:rPr>
          <w:rFonts w:ascii="Arial" w:eastAsiaTheme="minorEastAsia" w:hAnsi="Arial" w:cs="Arial"/>
          <w:sz w:val="22"/>
          <w:szCs w:val="22"/>
          <w:lang w:eastAsia="en-US"/>
        </w:rPr>
        <w:t xml:space="preserve"> the specific questions summarised in Annex 1. Comments are most helpful if they:</w:t>
      </w:r>
    </w:p>
    <w:p w14:paraId="46C0CD45" w14:textId="77777777" w:rsidR="00EB0BE9" w:rsidRPr="00BF0EEA" w:rsidRDefault="00EB0BE9" w:rsidP="00BF0EEA">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respond to the question stated;</w:t>
      </w:r>
    </w:p>
    <w:p w14:paraId="6D8FB18C" w14:textId="77777777" w:rsidR="00EB0BE9" w:rsidRPr="00BF0EEA" w:rsidRDefault="00EB0BE9" w:rsidP="00BF0EEA">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indicate the specific question to which the comment relates;</w:t>
      </w:r>
    </w:p>
    <w:p w14:paraId="3C9B2DC3" w14:textId="77777777" w:rsidR="00EB0BE9" w:rsidRPr="00BF0EEA" w:rsidRDefault="00EB0BE9" w:rsidP="00BF0EEA">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contain a clear rationale; and</w:t>
      </w:r>
    </w:p>
    <w:p w14:paraId="28376CE1" w14:textId="77777777" w:rsidR="00EB0BE9" w:rsidRPr="00BF0EEA" w:rsidRDefault="00EB0BE9" w:rsidP="00BF0EEA">
      <w:pPr>
        <w:numPr>
          <w:ilvl w:val="0"/>
          <w:numId w:val="7"/>
        </w:num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describe any alternatives ESMA should consider.</w:t>
      </w:r>
    </w:p>
    <w:p w14:paraId="7158C1D0"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ESMA will consider all comments received by </w:t>
      </w:r>
      <w:r w:rsidRPr="003343CB">
        <w:rPr>
          <w:rFonts w:ascii="Arial" w:eastAsiaTheme="minorEastAsia" w:hAnsi="Arial" w:cs="Arial"/>
          <w:b/>
          <w:bCs/>
          <w:sz w:val="22"/>
          <w:szCs w:val="22"/>
          <w:lang w:eastAsia="en-US"/>
        </w:rPr>
        <w:t xml:space="preserve">9 May 2020. </w:t>
      </w:r>
    </w:p>
    <w:p w14:paraId="75102CBD"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All contributions should be submitted online at </w:t>
      </w:r>
      <w:hyperlink r:id="rId18" w:history="1">
        <w:r w:rsidRPr="003343CB">
          <w:rPr>
            <w:rFonts w:ascii="Arial" w:eastAsiaTheme="minorEastAsia" w:hAnsi="Arial" w:cs="Arial"/>
            <w:color w:val="0563C1" w:themeColor="hyperlink"/>
            <w:sz w:val="22"/>
            <w:szCs w:val="22"/>
            <w:u w:val="single"/>
            <w:lang w:eastAsia="en-US"/>
          </w:rPr>
          <w:t>www.esma.europa.eu</w:t>
        </w:r>
      </w:hyperlink>
      <w:r w:rsidRPr="003343CB">
        <w:rPr>
          <w:rFonts w:ascii="Arial" w:eastAsiaTheme="minorEastAsia" w:hAnsi="Arial" w:cs="Arial"/>
          <w:sz w:val="22"/>
          <w:szCs w:val="22"/>
          <w:lang w:eastAsia="en-US"/>
        </w:rPr>
        <w:t xml:space="preserve"> under the heading ‘Your input - Consultations’. </w:t>
      </w:r>
    </w:p>
    <w:p w14:paraId="08914952" w14:textId="77777777" w:rsidR="00EB0BE9" w:rsidRPr="00BF0EEA" w:rsidRDefault="00EB0BE9" w:rsidP="00BF0EEA">
      <w:pPr>
        <w:spacing w:after="250" w:line="276" w:lineRule="auto"/>
        <w:jc w:val="both"/>
        <w:rPr>
          <w:rFonts w:ascii="Arial" w:eastAsiaTheme="minorEastAsia" w:hAnsi="Arial" w:cs="Arial"/>
          <w:b/>
          <w:bCs/>
          <w:sz w:val="22"/>
          <w:szCs w:val="22"/>
          <w:lang w:eastAsia="en-US"/>
        </w:rPr>
      </w:pPr>
      <w:r w:rsidRPr="003343CB">
        <w:rPr>
          <w:rFonts w:ascii="Arial" w:eastAsiaTheme="minorEastAsia" w:hAnsi="Arial" w:cs="Arial"/>
          <w:b/>
          <w:bCs/>
          <w:sz w:val="22"/>
          <w:szCs w:val="22"/>
          <w:lang w:eastAsia="en-US"/>
        </w:rPr>
        <w:t>Instructions</w:t>
      </w:r>
    </w:p>
    <w:p w14:paraId="48B68F9A"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In order to facilitate analysis of responses to the Consultation Paper, respondents are requested to follow the below steps when preparing and submitting their response:</w:t>
      </w:r>
    </w:p>
    <w:p w14:paraId="1EAFE55B" w14:textId="77777777" w:rsidR="00EB0BE9" w:rsidRPr="00BF0EEA" w:rsidRDefault="00EB0BE9" w:rsidP="00BF0EEA">
      <w:pPr>
        <w:pStyle w:val="ListParagraph"/>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 xml:space="preserve">Insert your responses to the questions in the Consultation Paper in the present response form. </w:t>
      </w:r>
    </w:p>
    <w:p w14:paraId="5CFEA8CD" w14:textId="77777777" w:rsidR="00EB0BE9" w:rsidRPr="00BF0EEA" w:rsidRDefault="00EB0BE9" w:rsidP="00BF0EEA">
      <w:pPr>
        <w:pStyle w:val="ListParagraph"/>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 xml:space="preserve">Please do not remove tags of the type &lt;ESMA_QUESTION_CP_BRTS_1&gt;. Your response to each question </w:t>
      </w:r>
      <w:proofErr w:type="gramStart"/>
      <w:r w:rsidRPr="003343CB">
        <w:rPr>
          <w:rFonts w:ascii="Arial" w:eastAsiaTheme="minorEastAsia" w:hAnsi="Arial" w:cs="Arial"/>
          <w:lang w:eastAsia="en-US"/>
        </w:rPr>
        <w:t>has to</w:t>
      </w:r>
      <w:proofErr w:type="gramEnd"/>
      <w:r w:rsidRPr="003343CB">
        <w:rPr>
          <w:rFonts w:ascii="Arial" w:eastAsiaTheme="minorEastAsia" w:hAnsi="Arial" w:cs="Arial"/>
          <w:lang w:eastAsia="en-US"/>
        </w:rPr>
        <w:t xml:space="preserve"> be framed by the two tags corresponding to the question.</w:t>
      </w:r>
    </w:p>
    <w:p w14:paraId="309EAB06" w14:textId="77777777" w:rsidR="00EB0BE9" w:rsidRPr="00BF0EEA" w:rsidRDefault="00EB0BE9" w:rsidP="00BF0EEA">
      <w:pPr>
        <w:pStyle w:val="ListParagraph"/>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If you do not wish to respond to a given question, please do not delete it but simply leave the text “TYPE YOUR TEXT HERE” between the tags.</w:t>
      </w:r>
    </w:p>
    <w:p w14:paraId="5213C3E5" w14:textId="77777777" w:rsidR="00EB0BE9" w:rsidRPr="00BF0EEA" w:rsidRDefault="00EB0BE9" w:rsidP="00BF0EEA">
      <w:pPr>
        <w:pStyle w:val="ListParagraph"/>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t xml:space="preserve">When you have drafted your response, name your response form according to the following convention: </w:t>
      </w:r>
      <w:proofErr w:type="spellStart"/>
      <w:r w:rsidRPr="003343CB">
        <w:rPr>
          <w:rFonts w:ascii="Arial" w:eastAsiaTheme="minorEastAsia" w:hAnsi="Arial" w:cs="Arial"/>
          <w:lang w:eastAsia="en-US"/>
        </w:rPr>
        <w:t>ESMA_BRTS_nameofrespondent_RESPONSEFORM</w:t>
      </w:r>
      <w:proofErr w:type="spellEnd"/>
      <w:r w:rsidRPr="003343CB">
        <w:rPr>
          <w:rFonts w:ascii="Arial" w:eastAsiaTheme="minorEastAsia" w:hAnsi="Arial" w:cs="Arial"/>
          <w:lang w:eastAsia="en-US"/>
        </w:rPr>
        <w:t>. For example, for a respondent named ABCD, the response form would be entitled ESMA_BRTS_ABCD_RESPONSEFORM.</w:t>
      </w:r>
    </w:p>
    <w:p w14:paraId="5B4F034E" w14:textId="77777777" w:rsidR="00EB0BE9" w:rsidRPr="00BF0EEA" w:rsidRDefault="00EB0BE9" w:rsidP="00BF0EEA">
      <w:pPr>
        <w:pStyle w:val="ListParagraph"/>
        <w:numPr>
          <w:ilvl w:val="0"/>
          <w:numId w:val="6"/>
        </w:numPr>
        <w:spacing w:after="250" w:line="276" w:lineRule="auto"/>
        <w:rPr>
          <w:rFonts w:ascii="Arial" w:eastAsiaTheme="minorEastAsia" w:hAnsi="Arial" w:cs="Arial"/>
          <w:lang w:eastAsia="en-US"/>
        </w:rPr>
      </w:pPr>
      <w:r w:rsidRPr="003343CB">
        <w:rPr>
          <w:rFonts w:ascii="Arial" w:eastAsiaTheme="minorEastAsia" w:hAnsi="Arial" w:cs="Arial"/>
          <w:lang w:eastAsia="en-US"/>
        </w:rPr>
        <w:lastRenderedPageBreak/>
        <w:t>Upload the form containing your responses, in Word format, to ESMA’s website (</w:t>
      </w:r>
      <w:hyperlink r:id="rId19" w:history="1">
        <w:r w:rsidRPr="003343CB">
          <w:rPr>
            <w:rFonts w:ascii="Arial" w:eastAsiaTheme="minorEastAsia" w:hAnsi="Arial" w:cs="Arial"/>
            <w:lang w:eastAsia="en-US"/>
          </w:rPr>
          <w:t>www.esma.europa.eu</w:t>
        </w:r>
      </w:hyperlink>
      <w:r w:rsidRPr="003343CB">
        <w:rPr>
          <w:rFonts w:ascii="Arial" w:eastAsiaTheme="minorEastAsia" w:hAnsi="Arial" w:cs="Arial"/>
          <w:lang w:eastAsia="en-US"/>
        </w:rPr>
        <w:t xml:space="preserve"> under the heading “Your input – Open Consultations” </w:t>
      </w:r>
      <w:r w:rsidRPr="00EB0BE9">
        <w:rPr>
          <w:rFonts w:ascii="Arial" w:eastAsiaTheme="minorEastAsia" w:hAnsi="Arial" w:cs="Arial"/>
          <w:lang w:eastAsia="en-US"/>
        </w:rPr>
        <w:sym w:font="Wingdings" w:char="F0E0"/>
      </w:r>
      <w:r w:rsidRPr="003343CB">
        <w:rPr>
          <w:rFonts w:ascii="Arial" w:eastAsiaTheme="minorEastAsia" w:hAnsi="Arial" w:cs="Arial"/>
          <w:lang w:eastAsia="en-US"/>
        </w:rPr>
        <w:t xml:space="preserve"> “Consultation on </w:t>
      </w:r>
      <w:proofErr w:type="spellStart"/>
      <w:r w:rsidRPr="003343CB">
        <w:rPr>
          <w:rFonts w:ascii="Arial" w:eastAsiaTheme="minorEastAsia" w:hAnsi="Arial" w:cs="Arial"/>
          <w:lang w:eastAsia="en-US"/>
        </w:rPr>
        <w:t>MiFIR</w:t>
      </w:r>
      <w:proofErr w:type="spellEnd"/>
      <w:r w:rsidRPr="003343CB">
        <w:rPr>
          <w:rFonts w:ascii="Arial" w:eastAsiaTheme="minorEastAsia" w:hAnsi="Arial" w:cs="Arial"/>
          <w:lang w:eastAsia="en-US"/>
        </w:rPr>
        <w:t xml:space="preserve"> report on Systematic </w:t>
      </w:r>
      <w:proofErr w:type="spellStart"/>
      <w:r w:rsidRPr="003343CB">
        <w:rPr>
          <w:rFonts w:ascii="Arial" w:eastAsiaTheme="minorEastAsia" w:hAnsi="Arial" w:cs="Arial"/>
          <w:lang w:eastAsia="en-US"/>
        </w:rPr>
        <w:t>Internalisers</w:t>
      </w:r>
      <w:proofErr w:type="spellEnd"/>
      <w:r w:rsidRPr="003343CB">
        <w:rPr>
          <w:rFonts w:ascii="Arial" w:eastAsiaTheme="minorEastAsia" w:hAnsi="Arial" w:cs="Arial"/>
          <w:lang w:eastAsia="en-US"/>
        </w:rPr>
        <w:t xml:space="preserve"> in non-equity instruments”).</w:t>
      </w:r>
    </w:p>
    <w:p w14:paraId="013E9C62" w14:textId="77777777" w:rsidR="00EB0BE9" w:rsidRPr="00EB0BE9" w:rsidRDefault="00EB0BE9" w:rsidP="00EB0BE9">
      <w:pPr>
        <w:spacing w:after="250" w:line="276" w:lineRule="auto"/>
        <w:jc w:val="both"/>
        <w:rPr>
          <w:rFonts w:ascii="Arial" w:eastAsiaTheme="minorEastAsia" w:hAnsi="Arial" w:cs="Arial"/>
          <w:sz w:val="22"/>
          <w:szCs w:val="20"/>
          <w:lang w:eastAsia="en-US"/>
        </w:rPr>
      </w:pPr>
    </w:p>
    <w:p w14:paraId="5A02154C" w14:textId="77777777" w:rsidR="00EB0BE9" w:rsidRPr="00BF0EEA" w:rsidRDefault="00EB0BE9" w:rsidP="00BF0EEA">
      <w:pPr>
        <w:spacing w:after="250" w:line="276" w:lineRule="auto"/>
        <w:jc w:val="both"/>
        <w:rPr>
          <w:rFonts w:ascii="Arial" w:eastAsiaTheme="minorEastAsia" w:hAnsi="Arial" w:cs="Arial"/>
          <w:b/>
          <w:bCs/>
          <w:sz w:val="22"/>
          <w:szCs w:val="22"/>
          <w:lang w:eastAsia="en-US"/>
        </w:rPr>
      </w:pPr>
      <w:r w:rsidRPr="003343CB">
        <w:rPr>
          <w:rFonts w:ascii="Arial" w:eastAsiaTheme="minorEastAsia" w:hAnsi="Arial" w:cs="Arial"/>
          <w:b/>
          <w:bCs/>
          <w:sz w:val="22"/>
          <w:szCs w:val="22"/>
          <w:lang w:eastAsia="en-US"/>
        </w:rPr>
        <w:t>Publication of responses</w:t>
      </w:r>
    </w:p>
    <w:p w14:paraId="1CF7D935"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3343CB">
        <w:rPr>
          <w:rFonts w:ascii="Arial" w:eastAsiaTheme="minorEastAsia" w:hAnsi="Arial" w:cs="Arial"/>
          <w:sz w:val="22"/>
          <w:szCs w:val="22"/>
          <w:lang w:eastAsia="en-US"/>
        </w:rPr>
        <w:t>publically</w:t>
      </w:r>
      <w:proofErr w:type="spellEnd"/>
      <w:r w:rsidRPr="003343CB">
        <w:rPr>
          <w:rFonts w:ascii="Arial" w:eastAsiaTheme="minorEastAsia" w:hAnsi="Arial" w:cs="Arial"/>
          <w:sz w:val="22"/>
          <w:szCs w:val="22"/>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B5487F7" w14:textId="77777777" w:rsidR="00EB0BE9" w:rsidRPr="00EB0BE9" w:rsidRDefault="00EB0BE9" w:rsidP="00EB0BE9">
      <w:pPr>
        <w:spacing w:after="250" w:line="276" w:lineRule="auto"/>
        <w:jc w:val="both"/>
        <w:rPr>
          <w:rFonts w:ascii="Arial" w:eastAsiaTheme="minorEastAsia" w:hAnsi="Arial" w:cs="Arial"/>
          <w:sz w:val="22"/>
          <w:szCs w:val="20"/>
          <w:lang w:eastAsia="en-US"/>
        </w:rPr>
      </w:pPr>
    </w:p>
    <w:p w14:paraId="24F0F409" w14:textId="77777777" w:rsidR="00EB0BE9" w:rsidRPr="00BF0EEA" w:rsidRDefault="00EB0BE9" w:rsidP="00BF0EEA">
      <w:pPr>
        <w:spacing w:after="250" w:line="276" w:lineRule="auto"/>
        <w:jc w:val="both"/>
        <w:rPr>
          <w:rFonts w:ascii="Arial" w:eastAsiaTheme="minorEastAsia" w:hAnsi="Arial" w:cs="Arial"/>
          <w:b/>
          <w:bCs/>
          <w:sz w:val="22"/>
          <w:szCs w:val="22"/>
          <w:lang w:eastAsia="en-US"/>
        </w:rPr>
      </w:pPr>
      <w:r w:rsidRPr="003343CB">
        <w:rPr>
          <w:rFonts w:ascii="Arial" w:eastAsiaTheme="minorEastAsia" w:hAnsi="Arial" w:cs="Arial"/>
          <w:b/>
          <w:bCs/>
          <w:sz w:val="22"/>
          <w:szCs w:val="22"/>
          <w:lang w:eastAsia="en-US"/>
        </w:rPr>
        <w:t>Data protection</w:t>
      </w:r>
    </w:p>
    <w:p w14:paraId="4ACEC6EC"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 xml:space="preserve">Information on data protection can be found at </w:t>
      </w:r>
      <w:hyperlink r:id="rId20" w:history="1">
        <w:r w:rsidRPr="003343CB">
          <w:rPr>
            <w:rFonts w:ascii="Arial" w:eastAsiaTheme="minorEastAsia" w:hAnsi="Arial" w:cs="Arial"/>
            <w:color w:val="0563C1" w:themeColor="hyperlink"/>
            <w:sz w:val="22"/>
            <w:szCs w:val="22"/>
            <w:u w:val="single"/>
            <w:lang w:eastAsia="en-US"/>
          </w:rPr>
          <w:t>www.esma.europa.eu</w:t>
        </w:r>
      </w:hyperlink>
      <w:r w:rsidRPr="003343CB">
        <w:rPr>
          <w:rFonts w:ascii="Arial" w:eastAsiaTheme="minorEastAsia" w:hAnsi="Arial" w:cs="Arial"/>
          <w:sz w:val="22"/>
          <w:szCs w:val="22"/>
          <w:lang w:eastAsia="en-US"/>
        </w:rPr>
        <w:t xml:space="preserve"> under the heading </w:t>
      </w:r>
      <w:hyperlink r:id="rId21" w:history="1">
        <w:r w:rsidRPr="003343CB">
          <w:rPr>
            <w:rFonts w:ascii="Arial" w:eastAsiaTheme="minorEastAsia" w:hAnsi="Arial" w:cs="Arial"/>
            <w:color w:val="0563C1" w:themeColor="hyperlink"/>
            <w:sz w:val="22"/>
            <w:szCs w:val="22"/>
            <w:u w:val="single"/>
            <w:lang w:eastAsia="en-US"/>
          </w:rPr>
          <w:t>Legal Notice</w:t>
        </w:r>
      </w:hyperlink>
      <w:r w:rsidRPr="003343CB">
        <w:rPr>
          <w:rFonts w:ascii="Arial" w:eastAsiaTheme="minorEastAsia" w:hAnsi="Arial" w:cs="Arial"/>
          <w:sz w:val="22"/>
          <w:szCs w:val="22"/>
          <w:lang w:eastAsia="en-US"/>
        </w:rPr>
        <w:t>.</w:t>
      </w:r>
    </w:p>
    <w:p w14:paraId="79B23AC6" w14:textId="77777777" w:rsidR="00EB0BE9" w:rsidRPr="00EB0BE9" w:rsidRDefault="00EB0BE9" w:rsidP="00EB0BE9">
      <w:pPr>
        <w:spacing w:after="250" w:line="276" w:lineRule="auto"/>
        <w:jc w:val="both"/>
        <w:rPr>
          <w:rFonts w:ascii="Arial" w:eastAsiaTheme="minorEastAsia" w:hAnsi="Arial" w:cs="Arial"/>
          <w:sz w:val="22"/>
          <w:szCs w:val="20"/>
          <w:lang w:eastAsia="en-US"/>
        </w:rPr>
      </w:pPr>
    </w:p>
    <w:p w14:paraId="4585C57A"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b/>
          <w:bCs/>
          <w:sz w:val="22"/>
          <w:szCs w:val="22"/>
          <w:lang w:eastAsia="en-US"/>
        </w:rPr>
        <w:t xml:space="preserve">Who should read this </w:t>
      </w:r>
      <w:proofErr w:type="gramStart"/>
      <w:r w:rsidRPr="003343CB">
        <w:rPr>
          <w:rFonts w:ascii="Arial" w:eastAsiaTheme="minorEastAsia" w:hAnsi="Arial" w:cs="Arial"/>
          <w:b/>
          <w:bCs/>
          <w:sz w:val="22"/>
          <w:szCs w:val="22"/>
          <w:lang w:eastAsia="en-US"/>
        </w:rPr>
        <w:t>paper</w:t>
      </w:r>
      <w:proofErr w:type="gramEnd"/>
    </w:p>
    <w:p w14:paraId="37F5A36D"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658B58B9" w14:textId="77777777" w:rsidR="00EB0BE9" w:rsidRPr="00EB0BE9" w:rsidRDefault="00EB0BE9" w:rsidP="00EB0BE9">
      <w:pPr>
        <w:spacing w:after="250" w:line="276" w:lineRule="auto"/>
        <w:jc w:val="both"/>
        <w:rPr>
          <w:rFonts w:ascii="Arial" w:eastAsiaTheme="minorEastAsia" w:hAnsi="Arial" w:cs="Arial"/>
          <w:sz w:val="22"/>
          <w:szCs w:val="20"/>
          <w:lang w:eastAsia="en-US"/>
        </w:rPr>
        <w:sectPr w:rsidR="00EB0BE9" w:rsidRPr="00EB0BE9"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DD7A007" w14:textId="77777777" w:rsidR="00EB0BE9" w:rsidRPr="00EB0BE9" w:rsidRDefault="00EB0BE9" w:rsidP="00EB0BE9">
      <w:pPr>
        <w:spacing w:after="120" w:line="276" w:lineRule="auto"/>
        <w:rPr>
          <w:rFonts w:ascii="Arial" w:hAnsi="Arial" w:cs="Arial"/>
        </w:rPr>
      </w:pPr>
    </w:p>
    <w:p w14:paraId="4422F8D2" w14:textId="77777777" w:rsidR="00EB0BE9" w:rsidRPr="00EB0BE9" w:rsidRDefault="00EB0BE9" w:rsidP="00EB0BE9">
      <w:pPr>
        <w:spacing w:line="276" w:lineRule="auto"/>
        <w:rPr>
          <w:rFonts w:ascii="Arial" w:hAnsi="Arial" w:cs="Arial"/>
          <w:b/>
          <w:sz w:val="28"/>
          <w:szCs w:val="28"/>
        </w:rPr>
      </w:pPr>
      <w:bookmarkStart w:id="0" w:name="_Toc515564428"/>
    </w:p>
    <w:p w14:paraId="0CB066AF" w14:textId="77777777" w:rsidR="00EB0BE9" w:rsidRPr="00EB0BE9" w:rsidRDefault="00EB0BE9" w:rsidP="00EB0BE9">
      <w:pPr>
        <w:spacing w:line="276" w:lineRule="auto"/>
        <w:rPr>
          <w:rFonts w:ascii="Arial" w:hAnsi="Arial" w:cs="Arial"/>
          <w:b/>
          <w:sz w:val="28"/>
          <w:szCs w:val="28"/>
        </w:rPr>
      </w:pPr>
    </w:p>
    <w:p w14:paraId="66600B9B" w14:textId="77777777" w:rsidR="00EB0BE9" w:rsidRPr="00EB0BE9" w:rsidRDefault="00EB0BE9" w:rsidP="00EB0BE9">
      <w:pPr>
        <w:spacing w:line="276" w:lineRule="auto"/>
        <w:rPr>
          <w:rFonts w:ascii="Arial" w:hAnsi="Arial" w:cs="Arial"/>
          <w:b/>
          <w:sz w:val="28"/>
          <w:szCs w:val="28"/>
        </w:rPr>
      </w:pPr>
    </w:p>
    <w:p w14:paraId="0DAA36D1" w14:textId="77777777" w:rsidR="00EB0BE9" w:rsidRPr="00BF0EEA" w:rsidRDefault="00EB0BE9" w:rsidP="00BF0EEA">
      <w:pPr>
        <w:keepNext/>
        <w:keepLines/>
        <w:spacing w:before="320" w:after="250" w:line="276" w:lineRule="auto"/>
        <w:jc w:val="both"/>
        <w:outlineLvl w:val="0"/>
        <w:rPr>
          <w:rFonts w:ascii="Arial" w:eastAsiaTheme="majorEastAsia" w:hAnsi="Arial" w:cs="Arial"/>
          <w:b/>
          <w:bCs/>
          <w:sz w:val="32"/>
          <w:szCs w:val="32"/>
          <w:lang w:eastAsia="en-US"/>
        </w:rPr>
      </w:pPr>
      <w:r w:rsidRPr="003343CB">
        <w:rPr>
          <w:rFonts w:ascii="Arial" w:eastAsiaTheme="majorEastAsia" w:hAnsi="Arial" w:cs="Arial"/>
          <w:b/>
          <w:bCs/>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EB0BE9" w:rsidRPr="00EB0BE9" w14:paraId="2BAC6BDC" w14:textId="77777777" w:rsidTr="557B38CA">
        <w:tc>
          <w:tcPr>
            <w:tcW w:w="3929" w:type="dxa"/>
            <w:shd w:val="clear" w:color="auto" w:fill="auto"/>
          </w:tcPr>
          <w:p w14:paraId="5605ACEB" w14:textId="77777777" w:rsidR="00EB0BE9" w:rsidRPr="00BF0EEA" w:rsidRDefault="00EB0BE9">
            <w:pPr>
              <w:rPr>
                <w:rFonts w:ascii="Arial" w:hAnsi="Arial" w:cs="Arial"/>
                <w:sz w:val="22"/>
                <w:szCs w:val="22"/>
                <w:lang w:eastAsia="de-DE"/>
              </w:rPr>
            </w:pPr>
            <w:r w:rsidRPr="003343CB">
              <w:rPr>
                <w:rFonts w:ascii="Arial" w:hAnsi="Arial" w:cs="Arial"/>
                <w:sz w:val="22"/>
                <w:szCs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32C787AB" w14:textId="57B3A67F" w:rsidR="00EB0BE9" w:rsidRPr="00EB0BE9" w:rsidRDefault="003F0DB6" w:rsidP="008A06A5">
                <w:pPr>
                  <w:rPr>
                    <w:rFonts w:ascii="Arial" w:hAnsi="Arial" w:cs="Arial"/>
                    <w:color w:val="808080"/>
                    <w:sz w:val="20"/>
                    <w:lang w:eastAsia="de-DE"/>
                  </w:rPr>
                </w:pPr>
                <w:r>
                  <w:rPr>
                    <w:rFonts w:ascii="Arial" w:hAnsi="Arial" w:cs="Arial"/>
                    <w:color w:val="808080"/>
                    <w:sz w:val="20"/>
                    <w:lang w:eastAsia="de-DE"/>
                  </w:rPr>
                  <w:t>STOXX Ltd.</w:t>
                </w:r>
              </w:p>
            </w:tc>
          </w:sdtContent>
        </w:sdt>
      </w:tr>
      <w:tr w:rsidR="00EB0BE9" w:rsidRPr="00EB0BE9" w14:paraId="4651107A" w14:textId="77777777" w:rsidTr="557B38CA">
        <w:tc>
          <w:tcPr>
            <w:tcW w:w="3929" w:type="dxa"/>
            <w:shd w:val="clear" w:color="auto" w:fill="auto"/>
          </w:tcPr>
          <w:p w14:paraId="10B2AE5E" w14:textId="77777777" w:rsidR="00EB0BE9" w:rsidRPr="00BF0EEA" w:rsidRDefault="00EB0BE9">
            <w:pPr>
              <w:rPr>
                <w:rFonts w:ascii="Arial" w:hAnsi="Arial" w:cs="Arial"/>
                <w:sz w:val="22"/>
                <w:szCs w:val="22"/>
                <w:lang w:eastAsia="de-DE"/>
              </w:rPr>
            </w:pPr>
            <w:r w:rsidRPr="003343CB">
              <w:rPr>
                <w:rFonts w:ascii="Arial" w:hAnsi="Arial" w:cs="Arial"/>
                <w:sz w:val="22"/>
                <w:szCs w:val="22"/>
                <w:lang w:eastAsia="de-DE"/>
              </w:rPr>
              <w:t>Activity</w:t>
            </w:r>
          </w:p>
        </w:tc>
        <w:tc>
          <w:tcPr>
            <w:tcW w:w="5595" w:type="dxa"/>
            <w:shd w:val="clear" w:color="auto" w:fill="auto"/>
          </w:tcPr>
          <w:p w14:paraId="31D7FEA7" w14:textId="779A4DCC" w:rsidR="00EB0BE9" w:rsidRPr="00BF0EEA" w:rsidRDefault="00856301">
            <w:pPr>
              <w:rPr>
                <w:rFonts w:ascii="Arial" w:hAnsi="Arial" w:cs="Arial"/>
                <w:sz w:val="20"/>
                <w:szCs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F0DB6">
                  <w:rPr>
                    <w:rFonts w:ascii="Arial" w:hAnsi="Arial" w:cs="Arial"/>
                    <w:sz w:val="20"/>
                    <w:lang w:eastAsia="de-DE"/>
                  </w:rPr>
                  <w:t>Other Financial service providers</w:t>
                </w:r>
              </w:sdtContent>
            </w:sdt>
          </w:p>
        </w:tc>
      </w:tr>
      <w:tr w:rsidR="00EB0BE9" w:rsidRPr="00EB0BE9" w14:paraId="275A7087" w14:textId="77777777" w:rsidTr="557B38CA">
        <w:tc>
          <w:tcPr>
            <w:tcW w:w="3929" w:type="dxa"/>
            <w:shd w:val="clear" w:color="auto" w:fill="auto"/>
          </w:tcPr>
          <w:p w14:paraId="2EF200EC" w14:textId="77777777" w:rsidR="00EB0BE9" w:rsidRPr="00BF0EEA" w:rsidRDefault="00EB0BE9">
            <w:pPr>
              <w:rPr>
                <w:rFonts w:ascii="Arial" w:hAnsi="Arial" w:cs="Arial"/>
                <w:sz w:val="22"/>
                <w:szCs w:val="22"/>
                <w:lang w:eastAsia="de-DE"/>
              </w:rPr>
            </w:pPr>
            <w:r w:rsidRPr="003343CB">
              <w:rPr>
                <w:rFonts w:ascii="Arial" w:hAnsi="Arial" w:cs="Arial"/>
                <w:sz w:val="22"/>
                <w:szCs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151A2718" w14:textId="77777777" w:rsidR="00EB0BE9" w:rsidRPr="00EB0BE9" w:rsidRDefault="00EB0BE9" w:rsidP="008A06A5">
                <w:pPr>
                  <w:rPr>
                    <w:rFonts w:ascii="Arial" w:hAnsi="Arial" w:cs="Arial"/>
                    <w:sz w:val="20"/>
                    <w:lang w:eastAsia="de-DE"/>
                  </w:rPr>
                </w:pPr>
                <w:r w:rsidRPr="00EB0BE9">
                  <w:rPr>
                    <w:rFonts w:ascii="Segoe UI Symbol" w:hAnsi="Segoe UI Symbol" w:cs="Segoe UI Symbol"/>
                    <w:sz w:val="20"/>
                    <w:lang w:eastAsia="de-DE"/>
                  </w:rPr>
                  <w:t>☐</w:t>
                </w:r>
              </w:p>
            </w:tc>
          </w:sdtContent>
        </w:sdt>
      </w:tr>
      <w:tr w:rsidR="00EB0BE9" w:rsidRPr="00EB0BE9" w14:paraId="38BEBD88" w14:textId="77777777" w:rsidTr="557B38CA">
        <w:tc>
          <w:tcPr>
            <w:tcW w:w="3929" w:type="dxa"/>
            <w:shd w:val="clear" w:color="auto" w:fill="auto"/>
          </w:tcPr>
          <w:p w14:paraId="539BB658" w14:textId="77777777" w:rsidR="00EB0BE9" w:rsidRPr="00BF0EEA" w:rsidRDefault="00EB0BE9">
            <w:pPr>
              <w:rPr>
                <w:rFonts w:ascii="Arial" w:hAnsi="Arial" w:cs="Arial"/>
                <w:sz w:val="22"/>
                <w:szCs w:val="22"/>
                <w:lang w:eastAsia="de-DE"/>
              </w:rPr>
            </w:pPr>
            <w:r w:rsidRPr="003343CB">
              <w:rPr>
                <w:rFonts w:ascii="Arial" w:hAnsi="Arial" w:cs="Arial"/>
                <w:sz w:val="22"/>
                <w:szCs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7AF3CDE" w14:textId="0F211DE8" w:rsidR="00EB0BE9" w:rsidRPr="00EB0BE9" w:rsidRDefault="007E16E9" w:rsidP="008A06A5">
                <w:pPr>
                  <w:rPr>
                    <w:rFonts w:ascii="Arial" w:hAnsi="Arial" w:cs="Arial"/>
                    <w:sz w:val="20"/>
                    <w:lang w:eastAsia="de-DE"/>
                  </w:rPr>
                </w:pPr>
                <w:r>
                  <w:rPr>
                    <w:rFonts w:ascii="Arial" w:hAnsi="Arial" w:cs="Arial"/>
                    <w:sz w:val="20"/>
                    <w:lang w:eastAsia="de-DE"/>
                  </w:rPr>
                  <w:t>Switzerland</w:t>
                </w:r>
              </w:p>
            </w:tc>
          </w:sdtContent>
        </w:sdt>
      </w:tr>
    </w:tbl>
    <w:p w14:paraId="0879DCAE" w14:textId="77777777" w:rsidR="00EB0BE9" w:rsidRPr="00EB0BE9" w:rsidRDefault="00EB0BE9" w:rsidP="00EB0BE9">
      <w:pPr>
        <w:spacing w:after="120" w:line="264" w:lineRule="auto"/>
        <w:jc w:val="both"/>
        <w:rPr>
          <w:rFonts w:ascii="Arial" w:eastAsiaTheme="minorEastAsia" w:hAnsi="Arial" w:cs="Arial"/>
          <w:sz w:val="22"/>
          <w:szCs w:val="20"/>
          <w:lang w:eastAsia="en-US"/>
        </w:rPr>
      </w:pPr>
    </w:p>
    <w:p w14:paraId="4613C39F" w14:textId="77777777" w:rsidR="00EB0BE9" w:rsidRPr="00EB0BE9" w:rsidRDefault="00EB0BE9" w:rsidP="00EB0BE9">
      <w:pPr>
        <w:spacing w:after="120" w:line="264" w:lineRule="auto"/>
        <w:jc w:val="both"/>
        <w:rPr>
          <w:rFonts w:ascii="Arial" w:eastAsiaTheme="minorEastAsia" w:hAnsi="Arial" w:cs="Arial"/>
          <w:sz w:val="22"/>
          <w:szCs w:val="20"/>
          <w:lang w:eastAsia="en-US"/>
        </w:rPr>
      </w:pPr>
    </w:p>
    <w:p w14:paraId="7F447E61" w14:textId="77777777" w:rsidR="00EB0BE9" w:rsidRPr="00EB0BE9" w:rsidRDefault="00EB0BE9" w:rsidP="00EB0BE9">
      <w:pPr>
        <w:spacing w:after="120" w:line="264" w:lineRule="auto"/>
        <w:jc w:val="both"/>
        <w:rPr>
          <w:rFonts w:ascii="Arial" w:eastAsiaTheme="minorEastAsia" w:hAnsi="Arial" w:cs="Arial"/>
          <w:sz w:val="22"/>
          <w:szCs w:val="20"/>
          <w:lang w:eastAsia="en-US"/>
        </w:rPr>
      </w:pPr>
    </w:p>
    <w:p w14:paraId="01B1445B" w14:textId="77777777" w:rsidR="00EB0BE9" w:rsidRPr="00BF0EEA" w:rsidRDefault="00EB0BE9" w:rsidP="00BF0EEA">
      <w:pPr>
        <w:keepNext/>
        <w:keepLines/>
        <w:spacing w:before="320" w:after="250" w:line="276" w:lineRule="auto"/>
        <w:ind w:left="431" w:hanging="431"/>
        <w:jc w:val="both"/>
        <w:outlineLvl w:val="0"/>
        <w:rPr>
          <w:rFonts w:ascii="Arial" w:eastAsiaTheme="majorEastAsia" w:hAnsi="Arial" w:cs="Arial"/>
          <w:b/>
          <w:bCs/>
          <w:sz w:val="32"/>
          <w:szCs w:val="32"/>
          <w:lang w:eastAsia="en-US"/>
        </w:rPr>
      </w:pPr>
      <w:r w:rsidRPr="003343CB">
        <w:rPr>
          <w:rFonts w:ascii="Arial" w:eastAsiaTheme="majorEastAsia" w:hAnsi="Arial" w:cs="Arial"/>
          <w:b/>
          <w:bCs/>
          <w:sz w:val="32"/>
          <w:szCs w:val="32"/>
          <w:lang w:eastAsia="en-US"/>
        </w:rPr>
        <w:t>Introduction</w:t>
      </w:r>
    </w:p>
    <w:p w14:paraId="089806F1" w14:textId="77777777" w:rsidR="00EB0BE9" w:rsidRPr="00BF0EEA" w:rsidRDefault="00EB0BE9" w:rsidP="00BF0EEA">
      <w:pPr>
        <w:spacing w:after="250" w:line="276" w:lineRule="auto"/>
        <w:jc w:val="both"/>
        <w:rPr>
          <w:rFonts w:ascii="Arial" w:eastAsiaTheme="minorEastAsia" w:hAnsi="Arial" w:cs="Arial"/>
          <w:b/>
          <w:bCs/>
          <w:i/>
          <w:iCs/>
          <w:sz w:val="22"/>
          <w:szCs w:val="22"/>
          <w:lang w:eastAsia="en-US"/>
        </w:rPr>
      </w:pPr>
      <w:r w:rsidRPr="003343CB">
        <w:rPr>
          <w:rFonts w:ascii="Arial" w:eastAsiaTheme="minorEastAsia" w:hAnsi="Arial" w:cs="Arial"/>
          <w:b/>
          <w:bCs/>
          <w:i/>
          <w:iCs/>
          <w:sz w:val="22"/>
          <w:szCs w:val="22"/>
          <w:lang w:eastAsia="en-US"/>
        </w:rPr>
        <w:t>Please make your introductory comments below, if any</w:t>
      </w:r>
    </w:p>
    <w:p w14:paraId="4B4F01A7" w14:textId="77777777" w:rsidR="00EB0BE9" w:rsidRPr="00BF0EEA" w:rsidRDefault="00EB0BE9" w:rsidP="00BF0EEA">
      <w:pPr>
        <w:spacing w:after="250" w:line="276" w:lineRule="auto"/>
        <w:jc w:val="both"/>
        <w:rPr>
          <w:rFonts w:ascii="Arial" w:eastAsiaTheme="minorEastAsia" w:hAnsi="Arial" w:cs="Arial"/>
          <w:sz w:val="22"/>
          <w:szCs w:val="22"/>
          <w:lang w:eastAsia="en-US"/>
        </w:rPr>
      </w:pPr>
      <w:r w:rsidRPr="003343CB">
        <w:rPr>
          <w:rFonts w:ascii="Arial" w:eastAsiaTheme="minorEastAsia" w:hAnsi="Arial" w:cs="Arial"/>
          <w:sz w:val="22"/>
          <w:szCs w:val="22"/>
          <w:lang w:eastAsia="en-US"/>
        </w:rPr>
        <w:t>&lt;ESMA_COMMENT_CP_BRTS_1&gt;</w:t>
      </w:r>
    </w:p>
    <w:p w14:paraId="3DF908CC" w14:textId="62F12583" w:rsidR="00245139" w:rsidRPr="00245139" w:rsidRDefault="00245139" w:rsidP="00245139">
      <w:pPr>
        <w:spacing w:after="250" w:line="276" w:lineRule="auto"/>
        <w:jc w:val="both"/>
        <w:rPr>
          <w:rFonts w:ascii="Arial" w:eastAsiaTheme="minorEastAsia" w:hAnsi="Arial" w:cs="Arial"/>
          <w:sz w:val="22"/>
          <w:szCs w:val="22"/>
          <w:lang w:eastAsia="en-US"/>
        </w:rPr>
      </w:pPr>
      <w:r w:rsidRPr="00245139">
        <w:rPr>
          <w:rFonts w:ascii="Arial" w:eastAsiaTheme="minorEastAsia" w:hAnsi="Arial" w:cs="Arial"/>
          <w:sz w:val="22"/>
          <w:szCs w:val="22"/>
          <w:lang w:eastAsia="en-US"/>
        </w:rPr>
        <w:t xml:space="preserve">STOXX Ltd. is a global index provider, currently calculating a global, comprehensive index family of over 10,000 strictly rules-based and transparent indices. It is best known for the leading European equity indices EURO STOXX 50®, STOXX® Europe 50, and STOXX® Europe 600. Its offering ranges from equity to fixed-income, strategy to sustainability, and multi-factor to thematic indices. STOXX Ltd. is </w:t>
      </w:r>
      <w:r w:rsidR="007E16E9">
        <w:rPr>
          <w:rFonts w:ascii="Arial" w:eastAsiaTheme="minorEastAsia" w:hAnsi="Arial" w:cs="Arial"/>
          <w:sz w:val="22"/>
          <w:szCs w:val="22"/>
          <w:lang w:eastAsia="en-US"/>
        </w:rPr>
        <w:t xml:space="preserve">part of </w:t>
      </w:r>
      <w:proofErr w:type="spellStart"/>
      <w:r w:rsidR="007E16E9">
        <w:rPr>
          <w:rFonts w:ascii="Arial" w:eastAsiaTheme="minorEastAsia" w:hAnsi="Arial" w:cs="Arial"/>
          <w:sz w:val="22"/>
          <w:szCs w:val="22"/>
          <w:lang w:eastAsia="en-US"/>
        </w:rPr>
        <w:t>Qontigo</w:t>
      </w:r>
      <w:proofErr w:type="spellEnd"/>
      <w:r w:rsidR="007E16E9">
        <w:rPr>
          <w:rFonts w:ascii="Arial" w:eastAsiaTheme="minorEastAsia" w:hAnsi="Arial" w:cs="Arial"/>
          <w:sz w:val="22"/>
          <w:szCs w:val="22"/>
          <w:lang w:eastAsia="en-US"/>
        </w:rPr>
        <w:t xml:space="preserve">, </w:t>
      </w:r>
      <w:r w:rsidR="007E16E9" w:rsidRPr="007E16E9">
        <w:rPr>
          <w:rFonts w:ascii="Arial" w:eastAsiaTheme="minorEastAsia" w:hAnsi="Arial" w:cs="Arial"/>
          <w:sz w:val="22"/>
          <w:szCs w:val="22"/>
          <w:lang w:eastAsia="en-US"/>
        </w:rPr>
        <w:t xml:space="preserve">Deutsche </w:t>
      </w:r>
      <w:proofErr w:type="spellStart"/>
      <w:r w:rsidR="007E16E9" w:rsidRPr="007E16E9">
        <w:rPr>
          <w:rFonts w:ascii="Arial" w:eastAsiaTheme="minorEastAsia" w:hAnsi="Arial" w:cs="Arial"/>
          <w:sz w:val="22"/>
          <w:szCs w:val="22"/>
          <w:lang w:eastAsia="en-US"/>
        </w:rPr>
        <w:t>Börse</w:t>
      </w:r>
      <w:proofErr w:type="spellEnd"/>
      <w:r w:rsidR="007E16E9">
        <w:rPr>
          <w:rFonts w:ascii="Arial" w:eastAsiaTheme="minorEastAsia" w:hAnsi="Arial" w:cs="Arial"/>
          <w:sz w:val="22"/>
          <w:szCs w:val="22"/>
          <w:lang w:eastAsia="en-US"/>
        </w:rPr>
        <w:t xml:space="preserve"> Group</w:t>
      </w:r>
      <w:r w:rsidR="00CA413D">
        <w:rPr>
          <w:rFonts w:ascii="Arial" w:eastAsiaTheme="minorEastAsia" w:hAnsi="Arial" w:cs="Arial"/>
          <w:sz w:val="22"/>
          <w:szCs w:val="22"/>
          <w:lang w:eastAsia="en-US"/>
        </w:rPr>
        <w:t xml:space="preserve"> (“DBG”). </w:t>
      </w:r>
      <w:proofErr w:type="spellStart"/>
      <w:r w:rsidR="00CA413D">
        <w:rPr>
          <w:rFonts w:ascii="Arial" w:eastAsiaTheme="minorEastAsia" w:hAnsi="Arial" w:cs="Arial"/>
          <w:sz w:val="22"/>
          <w:szCs w:val="22"/>
          <w:lang w:eastAsia="en-US"/>
        </w:rPr>
        <w:t>Qontigo</w:t>
      </w:r>
      <w:proofErr w:type="spellEnd"/>
      <w:r w:rsidR="00CA413D">
        <w:rPr>
          <w:rFonts w:ascii="Arial" w:eastAsiaTheme="minorEastAsia" w:hAnsi="Arial" w:cs="Arial"/>
          <w:sz w:val="22"/>
          <w:szCs w:val="22"/>
          <w:lang w:eastAsia="en-US"/>
        </w:rPr>
        <w:t xml:space="preserve"> provides DBG</w:t>
      </w:r>
      <w:r w:rsidR="007E16E9" w:rsidRPr="007E16E9">
        <w:rPr>
          <w:rFonts w:ascii="Arial" w:eastAsiaTheme="minorEastAsia" w:hAnsi="Arial" w:cs="Arial"/>
          <w:sz w:val="22"/>
          <w:szCs w:val="22"/>
          <w:lang w:eastAsia="en-US"/>
        </w:rPr>
        <w:t xml:space="preserve">’s indices </w:t>
      </w:r>
      <w:r w:rsidR="007E16E9">
        <w:rPr>
          <w:rFonts w:ascii="Arial" w:eastAsiaTheme="minorEastAsia" w:hAnsi="Arial" w:cs="Arial"/>
          <w:sz w:val="22"/>
          <w:szCs w:val="22"/>
          <w:lang w:eastAsia="en-US"/>
        </w:rPr>
        <w:t>(</w:t>
      </w:r>
      <w:r w:rsidR="007E16E9" w:rsidRPr="007E16E9">
        <w:rPr>
          <w:rFonts w:ascii="Arial" w:eastAsiaTheme="minorEastAsia" w:hAnsi="Arial" w:cs="Arial"/>
          <w:sz w:val="22"/>
          <w:szCs w:val="22"/>
          <w:lang w:eastAsia="en-US"/>
        </w:rPr>
        <w:t>STOXX and DAX) and Axioma’s portfolio-construction and risk analytics tools.</w:t>
      </w:r>
      <w:r w:rsidR="007E16E9">
        <w:rPr>
          <w:rFonts w:ascii="Arial" w:eastAsiaTheme="minorEastAsia" w:hAnsi="Arial" w:cs="Arial"/>
          <w:sz w:val="22"/>
          <w:szCs w:val="22"/>
          <w:lang w:eastAsia="en-US"/>
        </w:rPr>
        <w:t xml:space="preserve"> </w:t>
      </w:r>
    </w:p>
    <w:p w14:paraId="7CF97DEF" w14:textId="6FFA9654" w:rsidR="00C411FE" w:rsidRDefault="00245139" w:rsidP="00BF0EEA">
      <w:pPr>
        <w:spacing w:after="250" w:line="276" w:lineRule="auto"/>
        <w:jc w:val="both"/>
        <w:rPr>
          <w:rFonts w:ascii="Arial" w:eastAsiaTheme="minorEastAsia" w:hAnsi="Arial" w:cs="Arial"/>
          <w:sz w:val="22"/>
          <w:szCs w:val="22"/>
          <w:lang w:eastAsia="en-US"/>
        </w:rPr>
      </w:pPr>
      <w:r w:rsidRPr="00245139">
        <w:rPr>
          <w:rFonts w:ascii="Arial" w:eastAsiaTheme="minorEastAsia" w:hAnsi="Arial" w:cs="Arial"/>
          <w:sz w:val="22"/>
          <w:szCs w:val="22"/>
          <w:lang w:eastAsia="en-US"/>
        </w:rPr>
        <w:t>STOXX Ltd. welcomes the opportunity to provide comments on the Benchmarks Regulation (BMR) draft RTS. BMR applies to all benchmarks, however, different types of benchmarks pose different types of risks to the markets. BMR acknowledged that regulated data benchmarks are less prone to manipulation. Nevertheless, experience with its application has shown that the framework does not differ much from that of other types of benchmarks. In this context, it could be argued proportionality in the sugge</w:t>
      </w:r>
      <w:bookmarkStart w:id="1" w:name="_GoBack"/>
      <w:bookmarkEnd w:id="1"/>
      <w:r w:rsidRPr="00245139">
        <w:rPr>
          <w:rFonts w:ascii="Arial" w:eastAsiaTheme="minorEastAsia" w:hAnsi="Arial" w:cs="Arial"/>
          <w:sz w:val="22"/>
          <w:szCs w:val="22"/>
          <w:lang w:eastAsia="en-US"/>
        </w:rPr>
        <w:t>sted RTS could be strongly accented as regulated data benchmarks are mostly suggested to be covered by the same provisions as other benchmarks. STOXX Ltd. would therefore support changes to the draft RTS to better reflect benchmarks’ respective risk profiles.</w:t>
      </w:r>
    </w:p>
    <w:p w14:paraId="496E8AD4" w14:textId="0A6143C5" w:rsidR="00EB0BE9" w:rsidRPr="00C15BC3" w:rsidRDefault="00EB0BE9" w:rsidP="00BF0EEA">
      <w:pPr>
        <w:spacing w:after="250" w:line="276" w:lineRule="auto"/>
        <w:jc w:val="both"/>
        <w:rPr>
          <w:rFonts w:ascii="Arial" w:eastAsiaTheme="minorEastAsia" w:hAnsi="Arial" w:cs="Arial"/>
          <w:sz w:val="22"/>
          <w:szCs w:val="22"/>
          <w:lang w:val="fr-FR" w:eastAsia="en-US"/>
        </w:rPr>
      </w:pPr>
      <w:r w:rsidRPr="00C15BC3">
        <w:rPr>
          <w:rFonts w:ascii="Arial" w:eastAsiaTheme="minorEastAsia" w:hAnsi="Arial" w:cs="Arial"/>
          <w:sz w:val="22"/>
          <w:szCs w:val="22"/>
          <w:lang w:val="fr-FR" w:eastAsia="en-US"/>
        </w:rPr>
        <w:t>&lt;ESMA_COMMENT_CP_BRTS_1&gt;</w:t>
      </w:r>
    </w:p>
    <w:p w14:paraId="30D0C115" w14:textId="77777777" w:rsidR="00EB0BE9" w:rsidRPr="00C15BC3" w:rsidRDefault="00EB0BE9" w:rsidP="00EB0BE9">
      <w:pPr>
        <w:spacing w:line="276" w:lineRule="auto"/>
        <w:rPr>
          <w:rFonts w:ascii="Arial" w:hAnsi="Arial" w:cs="Arial"/>
          <w:b/>
          <w:sz w:val="28"/>
          <w:szCs w:val="28"/>
          <w:lang w:val="fr-FR"/>
        </w:rPr>
      </w:pPr>
    </w:p>
    <w:p w14:paraId="538C02D7" w14:textId="77777777" w:rsidR="00EB0BE9" w:rsidRPr="00C15BC3" w:rsidRDefault="00EB0BE9" w:rsidP="00EB0BE9">
      <w:pPr>
        <w:spacing w:line="276" w:lineRule="auto"/>
        <w:rPr>
          <w:rFonts w:ascii="Arial" w:hAnsi="Arial" w:cs="Arial"/>
          <w:b/>
          <w:sz w:val="28"/>
          <w:szCs w:val="28"/>
          <w:lang w:val="fr-FR"/>
        </w:rPr>
      </w:pPr>
    </w:p>
    <w:p w14:paraId="3D55E57F" w14:textId="77777777" w:rsidR="00EB0BE9" w:rsidRPr="00C15BC3" w:rsidRDefault="00EB0BE9" w:rsidP="00EB0BE9">
      <w:pPr>
        <w:spacing w:line="276" w:lineRule="auto"/>
        <w:rPr>
          <w:rFonts w:ascii="Arial" w:hAnsi="Arial" w:cs="Arial"/>
          <w:b/>
          <w:sz w:val="28"/>
          <w:szCs w:val="28"/>
          <w:lang w:val="fr-FR"/>
        </w:rPr>
      </w:pPr>
    </w:p>
    <w:p w14:paraId="2352087D" w14:textId="77777777" w:rsidR="00EB0BE9" w:rsidRPr="00C15BC3" w:rsidRDefault="00EB0BE9" w:rsidP="00EB0BE9">
      <w:pPr>
        <w:spacing w:line="276" w:lineRule="auto"/>
        <w:rPr>
          <w:rFonts w:ascii="Arial" w:hAnsi="Arial" w:cs="Arial"/>
          <w:b/>
          <w:sz w:val="28"/>
          <w:szCs w:val="28"/>
          <w:lang w:val="fr-FR"/>
        </w:rPr>
      </w:pPr>
    </w:p>
    <w:p w14:paraId="1D1C649A" w14:textId="77777777" w:rsidR="00EB0BE9" w:rsidRPr="00C15BC3" w:rsidRDefault="00EB0BE9" w:rsidP="00EB0BE9">
      <w:pPr>
        <w:spacing w:line="276" w:lineRule="auto"/>
        <w:rPr>
          <w:rFonts w:ascii="Arial" w:hAnsi="Arial" w:cs="Arial"/>
          <w:b/>
          <w:sz w:val="28"/>
          <w:szCs w:val="28"/>
          <w:lang w:val="fr-FR"/>
        </w:rPr>
      </w:pPr>
    </w:p>
    <w:p w14:paraId="33ED0E19" w14:textId="77777777" w:rsidR="00EB0BE9" w:rsidRPr="00C15BC3" w:rsidRDefault="00EB0BE9" w:rsidP="00BF0EEA">
      <w:pPr>
        <w:spacing w:line="276" w:lineRule="auto"/>
        <w:rPr>
          <w:rFonts w:ascii="Arial" w:hAnsi="Arial" w:cs="Arial"/>
          <w:b/>
          <w:bCs/>
          <w:sz w:val="28"/>
          <w:szCs w:val="28"/>
          <w:lang w:val="fr-FR"/>
        </w:rPr>
      </w:pPr>
      <w:r w:rsidRPr="00C15BC3">
        <w:rPr>
          <w:rFonts w:ascii="Arial" w:hAnsi="Arial" w:cs="Arial"/>
          <w:b/>
          <w:bCs/>
          <w:sz w:val="28"/>
          <w:szCs w:val="28"/>
          <w:lang w:val="fr-FR"/>
        </w:rPr>
        <w:t xml:space="preserve">Questions </w:t>
      </w:r>
    </w:p>
    <w:p w14:paraId="28429B24" w14:textId="77777777" w:rsidR="00EB0BE9" w:rsidRPr="00C15BC3" w:rsidRDefault="00EB0BE9" w:rsidP="00EB0BE9">
      <w:pPr>
        <w:spacing w:line="276" w:lineRule="auto"/>
        <w:rPr>
          <w:rFonts w:ascii="Arial" w:hAnsi="Arial" w:cs="Arial"/>
          <w:b/>
          <w:sz w:val="28"/>
          <w:szCs w:val="28"/>
          <w:lang w:val="fr-FR"/>
        </w:rPr>
      </w:pPr>
    </w:p>
    <w:p w14:paraId="1E46878D" w14:textId="77777777"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Do you agree with the governance arrangements set above? Do you have any additional suggestions? Please specify.</w:t>
      </w:r>
    </w:p>
    <w:p w14:paraId="12CAED0A" w14:textId="77777777" w:rsidR="00EB0BE9" w:rsidRPr="00EB0BE9" w:rsidRDefault="00EB0BE9" w:rsidP="00EB0BE9">
      <w:pPr>
        <w:rPr>
          <w:rFonts w:ascii="Arial" w:hAnsi="Arial" w:cs="Arial"/>
        </w:rPr>
      </w:pPr>
      <w:r w:rsidRPr="00EB0BE9">
        <w:rPr>
          <w:rFonts w:ascii="Arial" w:hAnsi="Arial" w:cs="Arial"/>
        </w:rPr>
        <w:t>&lt;ESMA_QUESTION_CP_BRTS_1&gt;</w:t>
      </w:r>
    </w:p>
    <w:p w14:paraId="019F1F42" w14:textId="77777777" w:rsidR="003F0DB6" w:rsidRPr="00EB0BE9" w:rsidRDefault="003F0DB6" w:rsidP="003F0DB6">
      <w:pPr>
        <w:rPr>
          <w:rFonts w:ascii="Arial" w:hAnsi="Arial" w:cs="Arial"/>
        </w:rPr>
      </w:pPr>
      <w:r w:rsidRPr="00245139">
        <w:rPr>
          <w:rFonts w:ascii="Arial" w:hAnsi="Arial" w:cs="Arial"/>
          <w:sz w:val="22"/>
          <w:szCs w:val="22"/>
        </w:rPr>
        <w:t>We agree.</w:t>
      </w:r>
      <w:r w:rsidRPr="5BB4CC46">
        <w:rPr>
          <w:rFonts w:ascii="Arial" w:hAnsi="Arial" w:cs="Arial"/>
        </w:rPr>
        <w:t xml:space="preserve"> </w:t>
      </w:r>
    </w:p>
    <w:p w14:paraId="70C7F7F4" w14:textId="7414F46B" w:rsidR="00EB0BE9" w:rsidRDefault="00EB0BE9" w:rsidP="00EB0BE9">
      <w:pPr>
        <w:rPr>
          <w:rFonts w:ascii="Arial" w:hAnsi="Arial" w:cs="Arial"/>
        </w:rPr>
      </w:pPr>
      <w:r w:rsidRPr="00EB0BE9">
        <w:rPr>
          <w:rFonts w:ascii="Arial" w:hAnsi="Arial" w:cs="Arial"/>
        </w:rPr>
        <w:t>&lt;ESMA_QUESTION_CP_BRTS_1&gt;</w:t>
      </w:r>
    </w:p>
    <w:p w14:paraId="62F19252" w14:textId="688751E4" w:rsidR="00466C03" w:rsidRDefault="00466C03" w:rsidP="00EB0BE9">
      <w:pPr>
        <w:rPr>
          <w:rFonts w:ascii="Arial" w:hAnsi="Arial" w:cs="Arial"/>
        </w:rPr>
      </w:pPr>
    </w:p>
    <w:p w14:paraId="0813FAFB" w14:textId="7E990F02" w:rsidR="18D8F4F0" w:rsidRDefault="18D8F4F0" w:rsidP="18D8F4F0">
      <w:pPr>
        <w:rPr>
          <w:rFonts w:ascii="Arial" w:hAnsi="Arial" w:cs="Arial"/>
        </w:rPr>
      </w:pPr>
    </w:p>
    <w:p w14:paraId="4BABB4AA" w14:textId="77777777"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Do you agree that administrators should have in place a remuneration framework?</w:t>
      </w:r>
    </w:p>
    <w:p w14:paraId="153EC6CF" w14:textId="77777777" w:rsidR="00EB0BE9" w:rsidRPr="00EB0BE9" w:rsidRDefault="00EB0BE9" w:rsidP="00EB0BE9">
      <w:pPr>
        <w:rPr>
          <w:rFonts w:ascii="Arial" w:hAnsi="Arial" w:cs="Arial"/>
        </w:rPr>
      </w:pPr>
      <w:r w:rsidRPr="00EB0BE9">
        <w:rPr>
          <w:rFonts w:ascii="Arial" w:hAnsi="Arial" w:cs="Arial"/>
        </w:rPr>
        <w:t>&lt;ESMA_QUESTION_CP_BRTS_2&gt;</w:t>
      </w:r>
    </w:p>
    <w:p w14:paraId="528C73E5" w14:textId="77777777" w:rsidR="003F0DB6" w:rsidRDefault="003F0DB6" w:rsidP="003F0DB6">
      <w:pPr>
        <w:jc w:val="both"/>
        <w:rPr>
          <w:rFonts w:ascii="Arial" w:hAnsi="Arial" w:cs="Arial"/>
          <w:sz w:val="22"/>
          <w:szCs w:val="22"/>
          <w:lang w:val="en-US" w:eastAsia="en-US"/>
        </w:rPr>
      </w:pPr>
      <w:r w:rsidRPr="00040B83">
        <w:rPr>
          <w:rFonts w:ascii="Arial" w:hAnsi="Arial" w:cs="Arial"/>
          <w:sz w:val="22"/>
          <w:szCs w:val="22"/>
          <w:lang w:val="en-US" w:eastAsia="en-US"/>
        </w:rPr>
        <w:t xml:space="preserve">The BMR regulation is very clear regarding handling of </w:t>
      </w:r>
      <w:r>
        <w:rPr>
          <w:rFonts w:ascii="Arial" w:hAnsi="Arial" w:cs="Arial"/>
          <w:sz w:val="22"/>
          <w:szCs w:val="22"/>
          <w:lang w:val="en-US" w:eastAsia="en-US"/>
        </w:rPr>
        <w:t>r</w:t>
      </w:r>
      <w:r w:rsidRPr="00040B83">
        <w:rPr>
          <w:rFonts w:ascii="Arial" w:hAnsi="Arial" w:cs="Arial"/>
          <w:sz w:val="22"/>
          <w:szCs w:val="22"/>
          <w:lang w:val="en-US" w:eastAsia="en-US"/>
        </w:rPr>
        <w:t xml:space="preserve">isk of </w:t>
      </w:r>
      <w:r>
        <w:rPr>
          <w:rFonts w:ascii="Arial" w:hAnsi="Arial" w:cs="Arial"/>
          <w:sz w:val="22"/>
          <w:szCs w:val="22"/>
          <w:lang w:val="en-US" w:eastAsia="en-US"/>
        </w:rPr>
        <w:t>c</w:t>
      </w:r>
      <w:r w:rsidRPr="00040B83">
        <w:rPr>
          <w:rFonts w:ascii="Arial" w:hAnsi="Arial" w:cs="Arial"/>
          <w:sz w:val="22"/>
          <w:szCs w:val="22"/>
          <w:lang w:val="en-US" w:eastAsia="en-US"/>
        </w:rPr>
        <w:t xml:space="preserve">onflict </w:t>
      </w:r>
      <w:r>
        <w:rPr>
          <w:rFonts w:ascii="Arial" w:hAnsi="Arial" w:cs="Arial"/>
          <w:sz w:val="22"/>
          <w:szCs w:val="22"/>
          <w:lang w:val="en-US" w:eastAsia="en-US"/>
        </w:rPr>
        <w:t xml:space="preserve">of interest there is </w:t>
      </w:r>
      <w:r w:rsidRPr="00040B83">
        <w:rPr>
          <w:rFonts w:ascii="Arial" w:hAnsi="Arial" w:cs="Arial"/>
          <w:sz w:val="22"/>
          <w:szCs w:val="22"/>
          <w:lang w:val="en-US" w:eastAsia="en-US"/>
        </w:rPr>
        <w:t>no need for further elaborations nor separate framework.</w:t>
      </w:r>
    </w:p>
    <w:p w14:paraId="7147019D" w14:textId="77777777" w:rsidR="003F0DB6" w:rsidRPr="00040B83" w:rsidRDefault="003F0DB6" w:rsidP="003F0DB6">
      <w:pPr>
        <w:jc w:val="both"/>
        <w:rPr>
          <w:rFonts w:ascii="Arial" w:hAnsi="Arial" w:cs="Arial"/>
          <w:sz w:val="22"/>
          <w:szCs w:val="22"/>
          <w:lang w:val="en-US" w:eastAsia="en-US"/>
        </w:rPr>
      </w:pPr>
    </w:p>
    <w:p w14:paraId="4C15D3AE" w14:textId="77777777" w:rsidR="003F0DB6" w:rsidRPr="00040B83" w:rsidRDefault="003F0DB6" w:rsidP="003F0DB6">
      <w:pPr>
        <w:jc w:val="both"/>
        <w:rPr>
          <w:rFonts w:ascii="Arial" w:hAnsi="Arial" w:cs="Arial"/>
          <w:sz w:val="22"/>
          <w:szCs w:val="22"/>
          <w:lang w:val="en-US" w:eastAsia="en-US"/>
        </w:rPr>
      </w:pPr>
      <w:r w:rsidRPr="00040B83">
        <w:rPr>
          <w:rFonts w:ascii="Arial" w:hAnsi="Arial" w:cs="Arial"/>
          <w:sz w:val="22"/>
          <w:szCs w:val="22"/>
          <w:lang w:val="en-US" w:eastAsia="en-US"/>
        </w:rPr>
        <w:t>As currently drafted</w:t>
      </w:r>
      <w:r>
        <w:rPr>
          <w:rFonts w:ascii="Arial" w:hAnsi="Arial" w:cs="Arial"/>
          <w:sz w:val="22"/>
          <w:szCs w:val="22"/>
          <w:lang w:val="en-US" w:eastAsia="en-US"/>
        </w:rPr>
        <w:t>,</w:t>
      </w:r>
      <w:r w:rsidRPr="00040B83">
        <w:rPr>
          <w:rFonts w:ascii="Arial" w:hAnsi="Arial" w:cs="Arial"/>
          <w:sz w:val="22"/>
          <w:szCs w:val="22"/>
          <w:lang w:val="en-US" w:eastAsia="en-US"/>
        </w:rPr>
        <w:t xml:space="preserve"> Article 1(5) may be problematic for benchmark administrators which are part of a wide corporate group which sets remuneration policies centrally. </w:t>
      </w:r>
      <w:r>
        <w:rPr>
          <w:rFonts w:ascii="Arial" w:hAnsi="Arial" w:cs="Arial"/>
          <w:sz w:val="22"/>
          <w:szCs w:val="22"/>
          <w:lang w:val="en-US" w:eastAsia="en-US"/>
        </w:rPr>
        <w:t xml:space="preserve">The respective article should be </w:t>
      </w:r>
      <w:r w:rsidRPr="00040B83">
        <w:rPr>
          <w:rFonts w:ascii="Arial" w:hAnsi="Arial" w:cs="Arial"/>
          <w:sz w:val="22"/>
          <w:szCs w:val="22"/>
          <w:lang w:val="en-US" w:eastAsia="en-US"/>
        </w:rPr>
        <w:t>modifi</w:t>
      </w:r>
      <w:r>
        <w:rPr>
          <w:rFonts w:ascii="Arial" w:hAnsi="Arial" w:cs="Arial"/>
          <w:sz w:val="22"/>
          <w:szCs w:val="22"/>
          <w:lang w:val="en-US" w:eastAsia="en-US"/>
        </w:rPr>
        <w:t xml:space="preserve">ed </w:t>
      </w:r>
      <w:r w:rsidRPr="00040B83">
        <w:rPr>
          <w:rFonts w:ascii="Arial" w:hAnsi="Arial" w:cs="Arial"/>
          <w:sz w:val="22"/>
          <w:szCs w:val="22"/>
          <w:lang w:val="en-US" w:eastAsia="en-US"/>
        </w:rPr>
        <w:t>as follows:</w:t>
      </w:r>
    </w:p>
    <w:p w14:paraId="7C66868F" w14:textId="77777777" w:rsidR="003F0DB6" w:rsidRDefault="003F0DB6" w:rsidP="003F0DB6">
      <w:pPr>
        <w:jc w:val="both"/>
        <w:rPr>
          <w:rFonts w:ascii="Arial" w:hAnsi="Arial" w:cs="Arial"/>
          <w:sz w:val="22"/>
          <w:szCs w:val="22"/>
          <w:lang w:val="en-US" w:eastAsia="en-US"/>
        </w:rPr>
      </w:pPr>
      <w:r w:rsidRPr="00040B83">
        <w:rPr>
          <w:rFonts w:ascii="Arial" w:hAnsi="Arial" w:cs="Arial"/>
          <w:sz w:val="22"/>
          <w:szCs w:val="22"/>
          <w:lang w:val="en-US" w:eastAsia="en-US"/>
        </w:rPr>
        <w:t>“</w:t>
      </w:r>
      <w:r w:rsidRPr="007E16E9">
        <w:rPr>
          <w:rFonts w:ascii="Arial" w:hAnsi="Arial" w:cs="Arial"/>
          <w:i/>
          <w:iCs/>
          <w:sz w:val="22"/>
          <w:szCs w:val="22"/>
          <w:lang w:val="en-US" w:eastAsia="en-US"/>
        </w:rPr>
        <w:t xml:space="preserve">5. Administrators shall </w:t>
      </w:r>
      <w:r w:rsidRPr="007E16E9">
        <w:rPr>
          <w:rFonts w:ascii="Arial" w:hAnsi="Arial" w:cs="Arial"/>
          <w:i/>
          <w:iCs/>
          <w:strike/>
          <w:sz w:val="22"/>
          <w:szCs w:val="22"/>
          <w:lang w:val="en-US" w:eastAsia="en-US"/>
        </w:rPr>
        <w:t>establish a remuneration framework to</w:t>
      </w:r>
      <w:r w:rsidRPr="007E16E9">
        <w:rPr>
          <w:rFonts w:ascii="Arial" w:hAnsi="Arial" w:cs="Arial"/>
          <w:i/>
          <w:iCs/>
          <w:sz w:val="22"/>
          <w:szCs w:val="22"/>
          <w:lang w:val="en-US" w:eastAsia="en-US"/>
        </w:rPr>
        <w:t xml:space="preserve"> ensure that the remuneration of the persons involved in the provision of the benchmark is appropriately set and is not subject to conflicts of interest</w:t>
      </w:r>
      <w:r w:rsidRPr="00040B83">
        <w:rPr>
          <w:rFonts w:ascii="Arial" w:hAnsi="Arial" w:cs="Arial"/>
          <w:sz w:val="22"/>
          <w:szCs w:val="22"/>
          <w:lang w:val="en-US" w:eastAsia="en-US"/>
        </w:rPr>
        <w:t>.”</w:t>
      </w:r>
    </w:p>
    <w:p w14:paraId="3B9BA0CF" w14:textId="77777777" w:rsidR="00EB0BE9" w:rsidRPr="00EB0BE9" w:rsidRDefault="00EB0BE9" w:rsidP="00EB0BE9">
      <w:pPr>
        <w:rPr>
          <w:rFonts w:ascii="Arial" w:hAnsi="Arial" w:cs="Arial"/>
        </w:rPr>
      </w:pPr>
      <w:r w:rsidRPr="00EB0BE9">
        <w:rPr>
          <w:rFonts w:ascii="Arial" w:hAnsi="Arial" w:cs="Arial"/>
        </w:rPr>
        <w:t>&lt;ESMA_QUESTION_CP_BRTS_2&gt;</w:t>
      </w:r>
    </w:p>
    <w:p w14:paraId="671A9012" w14:textId="77777777" w:rsidR="00040B83" w:rsidRPr="00BF0EEA" w:rsidRDefault="00040B83" w:rsidP="00BF0EEA">
      <w:pPr>
        <w:jc w:val="both"/>
        <w:rPr>
          <w:rFonts w:ascii="Arial" w:hAnsi="Arial" w:cs="Arial"/>
          <w:lang w:val="en-US"/>
        </w:rPr>
      </w:pPr>
    </w:p>
    <w:p w14:paraId="0D918984" w14:textId="77777777"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xml:space="preserve">: Do you agree that the same requirements should apply to an administrator that is a natural person? Please elaborate.  </w:t>
      </w:r>
    </w:p>
    <w:p w14:paraId="235557A9" w14:textId="77777777" w:rsidR="00EB0BE9" w:rsidRPr="00EB0BE9" w:rsidRDefault="00EB0BE9" w:rsidP="00EB0BE9">
      <w:pPr>
        <w:rPr>
          <w:rFonts w:ascii="Arial" w:hAnsi="Arial" w:cs="Arial"/>
        </w:rPr>
      </w:pPr>
      <w:r w:rsidRPr="00EB0BE9">
        <w:rPr>
          <w:rFonts w:ascii="Arial" w:hAnsi="Arial" w:cs="Arial"/>
        </w:rPr>
        <w:t>&lt;ESMA_QUESTION_CP_BRTS_3&gt;</w:t>
      </w:r>
    </w:p>
    <w:p w14:paraId="1C10A58B" w14:textId="17FF9E51" w:rsidR="00EB0BE9" w:rsidRPr="00EB0BE9" w:rsidRDefault="00EB0BE9" w:rsidP="00EB0BE9">
      <w:pPr>
        <w:rPr>
          <w:rFonts w:ascii="Arial" w:hAnsi="Arial" w:cs="Arial"/>
        </w:rPr>
      </w:pPr>
      <w:r w:rsidRPr="00EB0BE9">
        <w:rPr>
          <w:rFonts w:ascii="Arial" w:hAnsi="Arial" w:cs="Arial"/>
        </w:rPr>
        <w:t>TYPE YOUR TEXT HERE</w:t>
      </w:r>
    </w:p>
    <w:p w14:paraId="45AB9359" w14:textId="77777777" w:rsidR="00EB0BE9" w:rsidRPr="00EB0BE9" w:rsidRDefault="00EB0BE9" w:rsidP="00EB0BE9">
      <w:pPr>
        <w:rPr>
          <w:rFonts w:ascii="Arial" w:hAnsi="Arial" w:cs="Arial"/>
        </w:rPr>
      </w:pPr>
      <w:r w:rsidRPr="00EB0BE9">
        <w:rPr>
          <w:rFonts w:ascii="Arial" w:hAnsi="Arial" w:cs="Arial"/>
        </w:rPr>
        <w:t>&lt;ESMA_QUESTION_CP_BRTS_3&gt;</w:t>
      </w:r>
    </w:p>
    <w:p w14:paraId="62408C9B" w14:textId="4D406AD4" w:rsidR="00EB0BE9" w:rsidRDefault="00EB0BE9" w:rsidP="00EB0BE9">
      <w:pPr>
        <w:rPr>
          <w:rFonts w:ascii="Arial" w:hAnsi="Arial" w:cs="Arial"/>
        </w:rPr>
      </w:pPr>
    </w:p>
    <w:p w14:paraId="615EF6E4" w14:textId="77777777"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xml:space="preserve">: Do you think that other conditions should be </w:t>
      </w:r>
      <w:proofErr w:type="gramStart"/>
      <w:r w:rsidRPr="00EB0BE9">
        <w:rPr>
          <w:rFonts w:ascii="Arial" w:hAnsi="Arial" w:cs="Arial"/>
        </w:rPr>
        <w:t>taken into account</w:t>
      </w:r>
      <w:proofErr w:type="gramEnd"/>
      <w:r w:rsidRPr="00EB0BE9">
        <w:rPr>
          <w:rFonts w:ascii="Arial" w:hAnsi="Arial" w:cs="Arial"/>
        </w:rPr>
        <w:t xml:space="preserve"> to ensure that the methodology complies with the requirements of the BMR? Please specify.</w:t>
      </w:r>
    </w:p>
    <w:p w14:paraId="133267D7" w14:textId="1B93FF4C" w:rsidR="00EB0BE9" w:rsidRPr="00EB0BE9" w:rsidRDefault="00EB0BE9" w:rsidP="00EB0BE9">
      <w:pPr>
        <w:rPr>
          <w:rFonts w:ascii="Arial" w:hAnsi="Arial" w:cs="Arial"/>
        </w:rPr>
      </w:pPr>
      <w:r w:rsidRPr="00EB0BE9">
        <w:rPr>
          <w:rFonts w:ascii="Arial" w:hAnsi="Arial" w:cs="Arial"/>
        </w:rPr>
        <w:t>&lt;ESMA_QUESTION_CP_BRTS_4&gt;</w:t>
      </w:r>
    </w:p>
    <w:p w14:paraId="047AE31D" w14:textId="77777777" w:rsidR="00245139" w:rsidRDefault="003F0DB6" w:rsidP="00EB0BE9">
      <w:pPr>
        <w:rPr>
          <w:rFonts w:ascii="Arial" w:hAnsi="Arial" w:cs="Arial"/>
        </w:rPr>
      </w:pPr>
      <w:r w:rsidRPr="003F0DB6">
        <w:rPr>
          <w:rFonts w:ascii="Arial" w:hAnsi="Arial" w:cs="Arial"/>
        </w:rPr>
        <w:t>No additional requirements needed.</w:t>
      </w:r>
    </w:p>
    <w:p w14:paraId="48CBCE97" w14:textId="61A14FAF" w:rsidR="00EB0BE9" w:rsidRPr="00EB0BE9" w:rsidRDefault="00EB0BE9" w:rsidP="00EB0BE9">
      <w:pPr>
        <w:rPr>
          <w:rFonts w:ascii="Arial" w:hAnsi="Arial" w:cs="Arial"/>
        </w:rPr>
      </w:pPr>
      <w:r w:rsidRPr="00EB0BE9">
        <w:rPr>
          <w:rFonts w:ascii="Arial" w:hAnsi="Arial" w:cs="Arial"/>
        </w:rPr>
        <w:t>&lt;ESMA_QUESTION_CP_BRTS_4&gt;</w:t>
      </w:r>
    </w:p>
    <w:p w14:paraId="4DC15EEE" w14:textId="77777777" w:rsidR="00EB0BE9" w:rsidRPr="00EB0BE9" w:rsidRDefault="00EB0BE9" w:rsidP="00EB0BE9">
      <w:pPr>
        <w:rPr>
          <w:rFonts w:ascii="Arial" w:hAnsi="Arial" w:cs="Arial"/>
        </w:rPr>
      </w:pPr>
    </w:p>
    <w:p w14:paraId="0E63B5C4" w14:textId="52B6C678"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Do you consider that additional requirements are needed to ensure that the methodology is traceable and verifiable?</w:t>
      </w:r>
    </w:p>
    <w:p w14:paraId="2240E9DC" w14:textId="75864BFD" w:rsidR="00EB0BE9" w:rsidRPr="00EB0BE9" w:rsidRDefault="00EB0BE9" w:rsidP="00EB0BE9">
      <w:pPr>
        <w:rPr>
          <w:rFonts w:ascii="Arial" w:hAnsi="Arial" w:cs="Arial"/>
        </w:rPr>
      </w:pPr>
      <w:r w:rsidRPr="00EB0BE9">
        <w:rPr>
          <w:rFonts w:ascii="Arial" w:hAnsi="Arial" w:cs="Arial"/>
        </w:rPr>
        <w:t>&lt;ESMA_QUESTION_CP_BRTS_5&gt;</w:t>
      </w:r>
    </w:p>
    <w:p w14:paraId="1525043A" w14:textId="77777777" w:rsidR="00245139" w:rsidRDefault="003F0DB6" w:rsidP="00EB0BE9">
      <w:pPr>
        <w:rPr>
          <w:rFonts w:ascii="Arial" w:hAnsi="Arial" w:cs="Arial"/>
        </w:rPr>
      </w:pPr>
      <w:r w:rsidRPr="003F0DB6">
        <w:rPr>
          <w:rFonts w:ascii="Arial" w:hAnsi="Arial" w:cs="Arial"/>
        </w:rPr>
        <w:t>No additional requirements needed.</w:t>
      </w:r>
    </w:p>
    <w:p w14:paraId="6D3EA620" w14:textId="796790A5" w:rsidR="00EB0BE9" w:rsidRPr="00EB0BE9" w:rsidRDefault="00EB0BE9" w:rsidP="00EB0BE9">
      <w:pPr>
        <w:rPr>
          <w:rFonts w:ascii="Arial" w:hAnsi="Arial" w:cs="Arial"/>
        </w:rPr>
      </w:pPr>
      <w:r w:rsidRPr="00EB0BE9">
        <w:rPr>
          <w:rFonts w:ascii="Arial" w:hAnsi="Arial" w:cs="Arial"/>
        </w:rPr>
        <w:t>&lt;ESMA_QUESTION_CP_BRTS_5&gt;</w:t>
      </w:r>
    </w:p>
    <w:p w14:paraId="17780A05" w14:textId="77777777" w:rsidR="00EB0BE9" w:rsidRPr="00EB0BE9" w:rsidRDefault="00EB0BE9" w:rsidP="00EB0BE9">
      <w:pPr>
        <w:rPr>
          <w:rFonts w:ascii="Arial" w:hAnsi="Arial" w:cs="Arial"/>
        </w:rPr>
      </w:pPr>
    </w:p>
    <w:p w14:paraId="08F01E65" w14:textId="74EA9D86" w:rsidR="007E2BC0" w:rsidRPr="00802717" w:rsidRDefault="00EB0BE9" w:rsidP="00802717">
      <w:pPr>
        <w:pStyle w:val="Questionstyle"/>
        <w:numPr>
          <w:ilvl w:val="0"/>
          <w:numId w:val="5"/>
        </w:numPr>
        <w:spacing w:after="250" w:line="276" w:lineRule="auto"/>
        <w:rPr>
          <w:rFonts w:ascii="Arial" w:hAnsi="Arial" w:cs="Arial"/>
        </w:rPr>
      </w:pPr>
      <w:r w:rsidRPr="00EB0BE9">
        <w:rPr>
          <w:rFonts w:ascii="Arial" w:hAnsi="Arial" w:cs="Arial"/>
        </w:rPr>
        <w:t>: Do you think that the back-testing requirements are appropriate? Please specify.</w:t>
      </w:r>
    </w:p>
    <w:p w14:paraId="680852E0" w14:textId="79EECA00" w:rsidR="36DD711D" w:rsidRPr="00BF0EEA" w:rsidRDefault="36DD711D">
      <w:pPr>
        <w:rPr>
          <w:rFonts w:ascii="Arial" w:hAnsi="Arial" w:cs="Arial"/>
        </w:rPr>
      </w:pPr>
    </w:p>
    <w:p w14:paraId="02BBBE5F" w14:textId="18D68C84" w:rsidR="36DD711D" w:rsidRPr="00BF0EEA" w:rsidRDefault="36DD711D">
      <w:pPr>
        <w:rPr>
          <w:rFonts w:ascii="Arial" w:hAnsi="Arial" w:cs="Arial"/>
        </w:rPr>
      </w:pPr>
    </w:p>
    <w:p w14:paraId="73551165" w14:textId="7A61BFF8" w:rsidR="00EB0BE9" w:rsidRPr="00EB0BE9" w:rsidRDefault="00EB0BE9" w:rsidP="00EB0BE9">
      <w:pPr>
        <w:rPr>
          <w:rFonts w:ascii="Arial" w:hAnsi="Arial" w:cs="Arial"/>
        </w:rPr>
      </w:pPr>
      <w:r w:rsidRPr="00EB0BE9">
        <w:rPr>
          <w:rFonts w:ascii="Arial" w:hAnsi="Arial" w:cs="Arial"/>
        </w:rPr>
        <w:t>&lt;ESMA_QUESTION_CP_BRTS_6&gt;</w:t>
      </w:r>
    </w:p>
    <w:p w14:paraId="035D24E6" w14:textId="77777777" w:rsidR="003F0DB6" w:rsidRPr="007E16E9" w:rsidRDefault="003F0DB6" w:rsidP="003F0DB6">
      <w:pPr>
        <w:rPr>
          <w:rFonts w:ascii="Arial" w:hAnsi="Arial" w:cs="Arial"/>
          <w:sz w:val="22"/>
          <w:szCs w:val="22"/>
        </w:rPr>
      </w:pPr>
      <w:r w:rsidRPr="007E16E9">
        <w:rPr>
          <w:rFonts w:ascii="Arial" w:hAnsi="Arial" w:cs="Arial"/>
          <w:sz w:val="22"/>
          <w:szCs w:val="22"/>
        </w:rPr>
        <w:t>No, we do not think the back-testing requirements are appropriate, they need to be more specific. Please see below for details:</w:t>
      </w:r>
    </w:p>
    <w:p w14:paraId="275D4759" w14:textId="77777777" w:rsidR="003F0DB6" w:rsidRPr="007E16E9" w:rsidRDefault="003F0DB6" w:rsidP="003F0DB6">
      <w:pPr>
        <w:rPr>
          <w:rFonts w:ascii="Arial" w:hAnsi="Arial" w:cs="Arial"/>
          <w:sz w:val="22"/>
          <w:szCs w:val="22"/>
        </w:rPr>
      </w:pPr>
      <w:r w:rsidRPr="007E16E9">
        <w:rPr>
          <w:rFonts w:ascii="Arial" w:hAnsi="Arial" w:cs="Arial"/>
          <w:sz w:val="22"/>
          <w:szCs w:val="22"/>
        </w:rPr>
        <w:t xml:space="preserve"> </w:t>
      </w:r>
    </w:p>
    <w:p w14:paraId="4086F939"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Article 36.a of the RTS / Article 3.1 of the relevant Draft Regulation requires further details in order to become actionable. How is the “</w:t>
      </w:r>
      <w:r w:rsidRPr="007E16E9">
        <w:rPr>
          <w:rFonts w:ascii="Arial" w:hAnsi="Arial" w:cs="Arial"/>
          <w:i/>
          <w:iCs/>
          <w:sz w:val="22"/>
          <w:szCs w:val="22"/>
        </w:rPr>
        <w:t>assessment of the adequacy and appropriateness of the historical values of the benchmark</w:t>
      </w:r>
      <w:r w:rsidRPr="007E16E9">
        <w:rPr>
          <w:rFonts w:ascii="Arial" w:hAnsi="Arial" w:cs="Arial"/>
          <w:sz w:val="22"/>
          <w:szCs w:val="22"/>
        </w:rPr>
        <w:t>” to be performed? What are the criteria for the assessment? Input data utilized in a back-test are not estimated by the benchmark administrator, but typically sourced from exchanges via data providers. Article 39 of the RTS / Article 3.2 of the relevant Draft Regulation: “</w:t>
      </w:r>
      <w:r w:rsidRPr="007E16E9">
        <w:rPr>
          <w:rFonts w:ascii="Arial" w:hAnsi="Arial" w:cs="Arial"/>
          <w:i/>
          <w:iCs/>
          <w:sz w:val="22"/>
          <w:szCs w:val="22"/>
        </w:rPr>
        <w:t>The back-testing against available transaction data should be an ex-post back-testing which compares the observed outcome of the level of the benchmark based on transaction data to the expected outcome derived from the use of the methodology.</w:t>
      </w:r>
      <w:r w:rsidRPr="007E16E9">
        <w:rPr>
          <w:rFonts w:ascii="Arial" w:hAnsi="Arial" w:cs="Arial"/>
          <w:sz w:val="22"/>
          <w:szCs w:val="22"/>
        </w:rPr>
        <w:t xml:space="preserve">” is unclear. The back-test is </w:t>
      </w:r>
      <w:proofErr w:type="gramStart"/>
      <w:r w:rsidRPr="007E16E9">
        <w:rPr>
          <w:rFonts w:ascii="Arial" w:hAnsi="Arial" w:cs="Arial"/>
          <w:sz w:val="22"/>
          <w:szCs w:val="22"/>
        </w:rPr>
        <w:t>by definition executed</w:t>
      </w:r>
      <w:proofErr w:type="gramEnd"/>
      <w:r w:rsidRPr="007E16E9">
        <w:rPr>
          <w:rFonts w:ascii="Arial" w:hAnsi="Arial" w:cs="Arial"/>
          <w:sz w:val="22"/>
          <w:szCs w:val="22"/>
        </w:rPr>
        <w:t xml:space="preserve"> by applying the methodology to past transaction data (or the input data stated in the methodology) and is performed before the benchmark goes live. Once the index is live, there cannot be any difference between the live index data and a back-test performed on the same live period, since the algorithm and data are the same.</w:t>
      </w:r>
    </w:p>
    <w:p w14:paraId="1513DC06"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What is to be understood under “</w:t>
      </w:r>
      <w:r w:rsidRPr="007E16E9">
        <w:rPr>
          <w:rFonts w:ascii="Arial" w:hAnsi="Arial" w:cs="Arial"/>
          <w:i/>
          <w:iCs/>
          <w:sz w:val="22"/>
          <w:szCs w:val="22"/>
        </w:rPr>
        <w:t>the expected outcome derived from the use of the methodology</w:t>
      </w:r>
      <w:r w:rsidRPr="007E16E9">
        <w:rPr>
          <w:rFonts w:ascii="Arial" w:hAnsi="Arial" w:cs="Arial"/>
          <w:sz w:val="22"/>
          <w:szCs w:val="22"/>
        </w:rPr>
        <w:t>”?</w:t>
      </w:r>
    </w:p>
    <w:p w14:paraId="35EC7D44"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 xml:space="preserve"> </w:t>
      </w:r>
    </w:p>
    <w:p w14:paraId="4C8E5E30"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Article 40. of the RTS / Article 3.2 of the relevant Draft Regulation is not clear as to what the index provider is asked to do and what the aim is, therefore, the requirement cannot be properly assessed.</w:t>
      </w:r>
    </w:p>
    <w:p w14:paraId="0CC03207"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In particular, the statement “</w:t>
      </w:r>
      <w:r w:rsidRPr="007E16E9">
        <w:rPr>
          <w:rFonts w:ascii="Arial" w:hAnsi="Arial" w:cs="Arial"/>
          <w:i/>
          <w:iCs/>
          <w:sz w:val="22"/>
          <w:szCs w:val="22"/>
        </w:rPr>
        <w:t>In order for the back-testing to be meaningful and the methodology to be reviewed, if needed, following the back-testing results, the administrator should consider clear statistical tests to assess the back-testing results. The administrator should have a documented process regarding the action it would take depending on the results of the back-testing on a case by case basis.</w:t>
      </w:r>
      <w:r w:rsidRPr="007E16E9">
        <w:rPr>
          <w:rFonts w:ascii="Arial" w:hAnsi="Arial" w:cs="Arial"/>
          <w:sz w:val="22"/>
          <w:szCs w:val="22"/>
        </w:rPr>
        <w:t>” requires further explanation as to how this should be actioned, i.e. what type of statistical tests are expected to be performed in order to validate the back-test with regards to the application of the methodology to input data. Input data utilized in a back-test are not estimated by the benchmark administrator, but typically sourced from exchanges via data providers.</w:t>
      </w:r>
    </w:p>
    <w:p w14:paraId="444C012C"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 xml:space="preserve"> </w:t>
      </w:r>
    </w:p>
    <w:p w14:paraId="32D5CB87"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Article 44 of the RTS / Article 4 of the relevant Draft Regulation: “</w:t>
      </w:r>
      <w:r w:rsidRPr="007E16E9">
        <w:rPr>
          <w:rFonts w:ascii="Arial" w:hAnsi="Arial" w:cs="Arial"/>
          <w:i/>
          <w:iCs/>
          <w:sz w:val="22"/>
          <w:szCs w:val="22"/>
        </w:rPr>
        <w:t>The administrator should ensure that the methodology is resilient to adverse market conditions and therefore the benchmark would not loose representativeness or be ceased in such circumstances.</w:t>
      </w:r>
      <w:r w:rsidRPr="007E16E9">
        <w:rPr>
          <w:rFonts w:ascii="Arial" w:hAnsi="Arial" w:cs="Arial"/>
          <w:sz w:val="22"/>
          <w:szCs w:val="22"/>
        </w:rPr>
        <w:t>” should be put into context. Benchmarks that are built as portfolios of tradeable securities make use of input data typically provided by exchanges in the form of traded prices, quotes or settlement data and thus should intrinsically reflect the evolving underlying economic reality also in adverse market conditions.</w:t>
      </w:r>
    </w:p>
    <w:p w14:paraId="4EEDCC04"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 xml:space="preserve"> </w:t>
      </w:r>
    </w:p>
    <w:p w14:paraId="13B8845B"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The benchmark provider should have in place an effective governance framework that allows them to take decisions tailored to the nature of the exceptional and unforeseeable circumstances: this is the sole solution that truly allows an index to remain resilient and representative in exceptional circumstances.</w:t>
      </w:r>
    </w:p>
    <w:p w14:paraId="28BA54CD"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 xml:space="preserve"> </w:t>
      </w:r>
    </w:p>
    <w:p w14:paraId="0F5409BA" w14:textId="77777777" w:rsidR="003F0DB6" w:rsidRPr="007E16E9" w:rsidRDefault="003F0DB6" w:rsidP="003F0DB6">
      <w:pPr>
        <w:jc w:val="both"/>
        <w:rPr>
          <w:rFonts w:ascii="Arial" w:hAnsi="Arial" w:cs="Arial"/>
          <w:sz w:val="22"/>
          <w:szCs w:val="22"/>
        </w:rPr>
      </w:pPr>
      <w:r w:rsidRPr="007E16E9">
        <w:rPr>
          <w:rFonts w:ascii="Arial" w:hAnsi="Arial" w:cs="Arial"/>
          <w:sz w:val="22"/>
          <w:szCs w:val="22"/>
        </w:rPr>
        <w:t>Back-test should be executed by applying, to the largest extent possible, the same methodology that will applied by the index when live. Input data should hence be of the same nature as prescribed by the methodology. Deviations may be allowed in case the required type of data is not available historically or the costs associated with their purchase are deemed not proportionate.</w:t>
      </w:r>
    </w:p>
    <w:p w14:paraId="29B9EDBC" w14:textId="77777777" w:rsidR="00EB0BE9" w:rsidRPr="00EB0BE9" w:rsidRDefault="00EB0BE9" w:rsidP="00EB0BE9">
      <w:pPr>
        <w:rPr>
          <w:rFonts w:ascii="Arial" w:hAnsi="Arial" w:cs="Arial"/>
        </w:rPr>
      </w:pPr>
      <w:r w:rsidRPr="00EB0BE9">
        <w:rPr>
          <w:rFonts w:ascii="Arial" w:hAnsi="Arial" w:cs="Arial"/>
        </w:rPr>
        <w:lastRenderedPageBreak/>
        <w:t>&lt;ESMA_QUESTION_CP_BRTS_6&gt;</w:t>
      </w:r>
    </w:p>
    <w:p w14:paraId="5CE21CA9" w14:textId="77777777" w:rsidR="00EB0BE9" w:rsidRPr="00EB0BE9" w:rsidRDefault="00EB0BE9" w:rsidP="00EB0BE9">
      <w:pPr>
        <w:rPr>
          <w:rFonts w:ascii="Arial" w:hAnsi="Arial" w:cs="Arial"/>
        </w:rPr>
      </w:pPr>
    </w:p>
    <w:p w14:paraId="697277A7" w14:textId="345053B4" w:rsid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Do you agree with the requirements set out above? Do you have any additional suggestions? Please specify.</w:t>
      </w:r>
    </w:p>
    <w:p w14:paraId="67652FF6" w14:textId="77777777" w:rsidR="00EB0BE9" w:rsidRPr="00EB0BE9" w:rsidRDefault="00EB0BE9" w:rsidP="00EB0BE9">
      <w:pPr>
        <w:rPr>
          <w:rFonts w:ascii="Arial" w:hAnsi="Arial" w:cs="Arial"/>
        </w:rPr>
      </w:pPr>
      <w:r w:rsidRPr="00EB0BE9">
        <w:rPr>
          <w:rFonts w:ascii="Arial" w:hAnsi="Arial" w:cs="Arial"/>
        </w:rPr>
        <w:t>&lt;ESMA_QUESTION_CP_BRTS_7&gt;</w:t>
      </w:r>
    </w:p>
    <w:p w14:paraId="1FB709E3" w14:textId="43242722" w:rsidR="003F0DB6" w:rsidRPr="00245139" w:rsidRDefault="003F0DB6" w:rsidP="003F0DB6">
      <w:pPr>
        <w:jc w:val="both"/>
        <w:rPr>
          <w:rFonts w:ascii="Arial" w:hAnsi="Arial" w:cs="Arial"/>
          <w:sz w:val="22"/>
          <w:szCs w:val="22"/>
        </w:rPr>
      </w:pPr>
      <w:r w:rsidRPr="00245139">
        <w:rPr>
          <w:rFonts w:ascii="Arial" w:hAnsi="Arial" w:cs="Arial"/>
          <w:sz w:val="22"/>
          <w:szCs w:val="22"/>
        </w:rPr>
        <w:t>As set out at the beginning of the chapter ‘4 Reporting of infringements (Article 14 BMR)’ in the Consultation Paper Draft Regulatory Technical Standards under the Benchmarks Regulation (‘Consultation Paper’), “Article 14 of the BMR “Reporting of Infringements” provides for different obligations to enable the administrator to identify infringements, especially with regard to benchmark manipulation, and report them to the competent authority.</w:t>
      </w:r>
    </w:p>
    <w:p w14:paraId="4C031C43" w14:textId="77777777" w:rsidR="003F0DB6" w:rsidRPr="00245139" w:rsidRDefault="003F0DB6" w:rsidP="003F0DB6">
      <w:pPr>
        <w:jc w:val="both"/>
        <w:rPr>
          <w:rFonts w:ascii="Arial" w:hAnsi="Arial" w:cs="Arial"/>
          <w:sz w:val="22"/>
          <w:szCs w:val="22"/>
        </w:rPr>
      </w:pPr>
    </w:p>
    <w:p w14:paraId="2E60052A" w14:textId="77777777" w:rsidR="003F0DB6" w:rsidRPr="00245139" w:rsidRDefault="003F0DB6" w:rsidP="003F0DB6">
      <w:pPr>
        <w:jc w:val="both"/>
        <w:rPr>
          <w:rFonts w:ascii="Arial" w:hAnsi="Arial" w:cs="Arial"/>
          <w:sz w:val="22"/>
          <w:szCs w:val="22"/>
        </w:rPr>
      </w:pPr>
      <w:r w:rsidRPr="00245139">
        <w:rPr>
          <w:rFonts w:ascii="Arial" w:hAnsi="Arial" w:cs="Arial"/>
          <w:sz w:val="22"/>
          <w:szCs w:val="22"/>
        </w:rPr>
        <w:t>We believe that it is self-evident that a benchmark administrator will strive to do the utmost to provide reliable and accurate benchmarks. In order to be able to do so, a benchmark administrator thus needs to screen the input data used to ensure its integrity. In this context, the BMR states that a benchmark administrator should be able to ‘identify and report to the competent authority any conduct that may involve manipulation or attempted manipulation of a benchmark, under Regulation (EU) No 596/2014’. Notably, the BMR refers to manipulation or attempted manipulation of a benchmark.</w:t>
      </w:r>
    </w:p>
    <w:p w14:paraId="34B2F965" w14:textId="77777777" w:rsidR="003F0DB6" w:rsidRPr="00245139" w:rsidRDefault="003F0DB6" w:rsidP="003F0DB6">
      <w:pPr>
        <w:jc w:val="both"/>
        <w:rPr>
          <w:rFonts w:ascii="Arial" w:hAnsi="Arial" w:cs="Arial"/>
          <w:sz w:val="22"/>
          <w:szCs w:val="22"/>
        </w:rPr>
      </w:pPr>
    </w:p>
    <w:p w14:paraId="51166910" w14:textId="77777777" w:rsidR="003F0DB6" w:rsidRPr="00245139" w:rsidRDefault="003F0DB6" w:rsidP="003F0DB6">
      <w:pPr>
        <w:jc w:val="both"/>
        <w:rPr>
          <w:rFonts w:ascii="Arial" w:hAnsi="Arial" w:cs="Arial"/>
          <w:sz w:val="22"/>
          <w:szCs w:val="22"/>
        </w:rPr>
      </w:pPr>
      <w:r w:rsidRPr="00245139">
        <w:rPr>
          <w:rFonts w:ascii="Arial" w:hAnsi="Arial" w:cs="Arial"/>
          <w:sz w:val="22"/>
          <w:szCs w:val="22"/>
        </w:rPr>
        <w:t>This means a manipulation or attempted manipulation of the benchmark itself. Hence, the benchmark administrator is to identify manipulation or attempted manipulation in the sphere of the benchmark administrator. The benchmark administrator can only perceive a manipulation or attempted manipulation in the sphere that it controls. This also follows from applying the proportionality principle to the benchmark administrator’s obligations in the context of Art. 14.</w:t>
      </w:r>
    </w:p>
    <w:p w14:paraId="63C96EB1" w14:textId="77777777" w:rsidR="003F0DB6" w:rsidRPr="00245139" w:rsidRDefault="003F0DB6" w:rsidP="003F0DB6">
      <w:pPr>
        <w:jc w:val="both"/>
        <w:rPr>
          <w:rFonts w:ascii="Arial" w:hAnsi="Arial" w:cs="Arial"/>
          <w:sz w:val="22"/>
          <w:szCs w:val="22"/>
        </w:rPr>
      </w:pPr>
    </w:p>
    <w:p w14:paraId="41A85B03" w14:textId="77777777" w:rsidR="003F0DB6" w:rsidRPr="00245139" w:rsidRDefault="003F0DB6" w:rsidP="003F0DB6">
      <w:pPr>
        <w:jc w:val="both"/>
        <w:rPr>
          <w:rFonts w:ascii="Arial" w:hAnsi="Arial" w:cs="Arial"/>
          <w:sz w:val="22"/>
          <w:szCs w:val="22"/>
        </w:rPr>
      </w:pPr>
      <w:r w:rsidRPr="00245139">
        <w:rPr>
          <w:rFonts w:ascii="Arial" w:hAnsi="Arial" w:cs="Arial"/>
          <w:sz w:val="22"/>
          <w:szCs w:val="22"/>
        </w:rPr>
        <w:t>A benchmark administrator can, however, not be expected to monitor all events (including manipulation or attempted manipulation) on the markets, e. g. exchanges, which could ultimately and indirectly have an influence on the value of a benchmark.</w:t>
      </w:r>
    </w:p>
    <w:p w14:paraId="72B84C57" w14:textId="77777777" w:rsidR="003F0DB6" w:rsidRPr="00245139" w:rsidRDefault="003F0DB6" w:rsidP="003F0DB6">
      <w:pPr>
        <w:jc w:val="both"/>
        <w:rPr>
          <w:rFonts w:ascii="Arial" w:hAnsi="Arial" w:cs="Arial"/>
          <w:sz w:val="22"/>
          <w:szCs w:val="22"/>
        </w:rPr>
      </w:pPr>
    </w:p>
    <w:p w14:paraId="2355A609" w14:textId="77777777" w:rsidR="003F0DB6" w:rsidRPr="00245139" w:rsidRDefault="003F0DB6" w:rsidP="003F0DB6">
      <w:pPr>
        <w:jc w:val="both"/>
        <w:rPr>
          <w:rFonts w:ascii="Arial" w:hAnsi="Arial" w:cs="Arial"/>
          <w:sz w:val="22"/>
          <w:szCs w:val="22"/>
        </w:rPr>
      </w:pPr>
      <w:r w:rsidRPr="00245139">
        <w:rPr>
          <w:rFonts w:ascii="Arial" w:hAnsi="Arial" w:cs="Arial"/>
          <w:sz w:val="22"/>
          <w:szCs w:val="22"/>
        </w:rPr>
        <w:t>Benchmark administrators obtain data from other sources that corroborate the input data, they can e.g. compare the values received from vendors for the calculation of indices against public sources e.g. against data from APAs and information vendors. Benchmark administrators can e.g. monitor price jumps; prices after jumps are not used until data has been checked.</w:t>
      </w:r>
    </w:p>
    <w:p w14:paraId="27CF67A2" w14:textId="77777777" w:rsidR="003F0DB6" w:rsidRPr="00245139" w:rsidRDefault="003F0DB6" w:rsidP="003F0DB6">
      <w:pPr>
        <w:jc w:val="both"/>
        <w:rPr>
          <w:rFonts w:ascii="Arial" w:hAnsi="Arial" w:cs="Arial"/>
          <w:sz w:val="22"/>
          <w:szCs w:val="22"/>
        </w:rPr>
      </w:pPr>
    </w:p>
    <w:p w14:paraId="5AC78CD0" w14:textId="77777777" w:rsidR="003F0DB6" w:rsidRDefault="003F0DB6" w:rsidP="003F0DB6">
      <w:pPr>
        <w:jc w:val="both"/>
      </w:pPr>
      <w:r w:rsidRPr="00245139">
        <w:rPr>
          <w:rFonts w:ascii="Arial" w:hAnsi="Arial" w:cs="Arial"/>
          <w:sz w:val="22"/>
          <w:szCs w:val="22"/>
        </w:rPr>
        <w:t xml:space="preserve">However, benchmark administrators are not </w:t>
      </w:r>
      <w:proofErr w:type="gramStart"/>
      <w:r w:rsidRPr="00245139">
        <w:rPr>
          <w:rFonts w:ascii="Arial" w:hAnsi="Arial" w:cs="Arial"/>
          <w:sz w:val="22"/>
          <w:szCs w:val="22"/>
        </w:rPr>
        <w:t>in a position</w:t>
      </w:r>
      <w:proofErr w:type="gramEnd"/>
      <w:r w:rsidRPr="00245139">
        <w:rPr>
          <w:rFonts w:ascii="Arial" w:hAnsi="Arial" w:cs="Arial"/>
          <w:sz w:val="22"/>
          <w:szCs w:val="22"/>
        </w:rPr>
        <w:t xml:space="preserve"> to establish market surveillance processes which detect any potential input manipulation that could influence the calculation of an index. In this context, the information accessible to a benchmark administrator should be </w:t>
      </w:r>
      <w:proofErr w:type="gramStart"/>
      <w:r w:rsidRPr="00245139">
        <w:rPr>
          <w:rFonts w:ascii="Arial" w:hAnsi="Arial" w:cs="Arial"/>
          <w:sz w:val="22"/>
          <w:szCs w:val="22"/>
        </w:rPr>
        <w:t>taken into account</w:t>
      </w:r>
      <w:proofErr w:type="gramEnd"/>
      <w:r w:rsidRPr="00245139">
        <w:rPr>
          <w:rFonts w:ascii="Arial" w:hAnsi="Arial" w:cs="Arial"/>
          <w:sz w:val="22"/>
          <w:szCs w:val="22"/>
        </w:rPr>
        <w:t>. A benchmark administrator does only have access to data from vendors or publicly available data.</w:t>
      </w:r>
    </w:p>
    <w:p w14:paraId="529B0C18" w14:textId="77777777" w:rsidR="00EB0BE9" w:rsidRPr="00EB0BE9" w:rsidRDefault="00EB0BE9" w:rsidP="00EB0BE9">
      <w:pPr>
        <w:rPr>
          <w:rFonts w:ascii="Arial" w:hAnsi="Arial" w:cs="Arial"/>
        </w:rPr>
      </w:pPr>
      <w:r w:rsidRPr="00EB0BE9">
        <w:rPr>
          <w:rFonts w:ascii="Arial" w:hAnsi="Arial" w:cs="Arial"/>
        </w:rPr>
        <w:t>&lt;ESMA_QUESTION_CP_BRTS_7&gt;</w:t>
      </w:r>
    </w:p>
    <w:p w14:paraId="212BDC7F" w14:textId="77777777" w:rsidR="00EB0BE9" w:rsidRPr="00EB0BE9" w:rsidRDefault="00EB0BE9" w:rsidP="00EB0BE9">
      <w:pPr>
        <w:rPr>
          <w:rFonts w:ascii="Arial" w:hAnsi="Arial" w:cs="Arial"/>
        </w:rPr>
      </w:pPr>
    </w:p>
    <w:p w14:paraId="2AB6BD91" w14:textId="4B3C912B" w:rsid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xml:space="preserve">: Do you agree with the systems suggested for the surveillance of market manipulation? </w:t>
      </w:r>
      <w:proofErr w:type="gramStart"/>
      <w:r w:rsidRPr="00EB0BE9">
        <w:rPr>
          <w:rFonts w:ascii="Arial" w:hAnsi="Arial" w:cs="Arial"/>
        </w:rPr>
        <w:t>In particular, do</w:t>
      </w:r>
      <w:proofErr w:type="gramEnd"/>
      <w:r w:rsidRPr="00EB0BE9">
        <w:rPr>
          <w:rFonts w:ascii="Arial" w:hAnsi="Arial" w:cs="Arial"/>
        </w:rPr>
        <w:t xml:space="preserve"> you think that an automated system should be required only when it appears to be adequate according to the nature, scale and complexity of the benchmark? Please specify.</w:t>
      </w:r>
    </w:p>
    <w:p w14:paraId="68ADFD4F" w14:textId="77777777" w:rsidR="00DF135F" w:rsidRPr="00466C03" w:rsidRDefault="00DF135F" w:rsidP="00466C03"/>
    <w:p w14:paraId="3F933DD1" w14:textId="77777777" w:rsidR="00EB0BE9" w:rsidRPr="00EB0BE9" w:rsidRDefault="00EB0BE9" w:rsidP="00EB0BE9">
      <w:pPr>
        <w:rPr>
          <w:rFonts w:ascii="Arial" w:hAnsi="Arial" w:cs="Arial"/>
        </w:rPr>
      </w:pPr>
      <w:r w:rsidRPr="00EB0BE9">
        <w:rPr>
          <w:rFonts w:ascii="Arial" w:hAnsi="Arial" w:cs="Arial"/>
        </w:rPr>
        <w:t>&lt;ESMA_QUESTION_CP_BRTS_8&gt;</w:t>
      </w:r>
    </w:p>
    <w:p w14:paraId="507E2FBC" w14:textId="77777777" w:rsidR="003F0DB6" w:rsidRPr="00245139" w:rsidRDefault="003F0DB6" w:rsidP="003F0DB6">
      <w:pPr>
        <w:rPr>
          <w:rFonts w:ascii="Arial" w:hAnsi="Arial" w:cs="Arial"/>
          <w:sz w:val="22"/>
          <w:szCs w:val="22"/>
        </w:rPr>
      </w:pPr>
      <w:r w:rsidRPr="00245139">
        <w:rPr>
          <w:rFonts w:ascii="Arial" w:hAnsi="Arial" w:cs="Arial"/>
          <w:sz w:val="22"/>
          <w:szCs w:val="22"/>
        </w:rPr>
        <w:t>Please see the previous answer under Question 7.</w:t>
      </w:r>
    </w:p>
    <w:p w14:paraId="276FF514" w14:textId="77777777" w:rsidR="00EB0BE9" w:rsidRPr="00EB0BE9" w:rsidRDefault="00EB0BE9" w:rsidP="00EB0BE9">
      <w:pPr>
        <w:rPr>
          <w:rFonts w:ascii="Arial" w:hAnsi="Arial" w:cs="Arial"/>
        </w:rPr>
      </w:pPr>
      <w:r w:rsidRPr="00EB0BE9">
        <w:rPr>
          <w:rFonts w:ascii="Arial" w:hAnsi="Arial" w:cs="Arial"/>
        </w:rPr>
        <w:t>&lt;ESMA_QUESTION_CP_BRTS_8&gt;</w:t>
      </w:r>
    </w:p>
    <w:p w14:paraId="0D19CFFE" w14:textId="77777777" w:rsidR="00EB0BE9" w:rsidRPr="00EB0BE9" w:rsidRDefault="00EB0BE9" w:rsidP="00EB0BE9">
      <w:pPr>
        <w:rPr>
          <w:rFonts w:ascii="Arial" w:hAnsi="Arial" w:cs="Arial"/>
        </w:rPr>
      </w:pPr>
    </w:p>
    <w:p w14:paraId="324D00F1" w14:textId="77777777"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lastRenderedPageBreak/>
        <w:t xml:space="preserve">: Do you think that other criteria should be considered in relation to the transition of the provision of the critical benchmark to a new administrator? Please specify. </w:t>
      </w:r>
    </w:p>
    <w:p w14:paraId="21217CC0" w14:textId="77777777" w:rsidR="00117F18" w:rsidRDefault="00117F18" w:rsidP="00EB0BE9">
      <w:pPr>
        <w:rPr>
          <w:rFonts w:ascii="Arial" w:hAnsi="Arial" w:cs="Arial"/>
        </w:rPr>
      </w:pPr>
    </w:p>
    <w:p w14:paraId="4F29E3D5" w14:textId="00C85996" w:rsidR="00EB0BE9" w:rsidRPr="00EB0BE9" w:rsidRDefault="00EB0BE9" w:rsidP="00EB0BE9">
      <w:pPr>
        <w:rPr>
          <w:rFonts w:ascii="Arial" w:hAnsi="Arial" w:cs="Arial"/>
        </w:rPr>
      </w:pPr>
      <w:r w:rsidRPr="00EB0BE9">
        <w:rPr>
          <w:rFonts w:ascii="Arial" w:hAnsi="Arial" w:cs="Arial"/>
        </w:rPr>
        <w:t>&lt;ESMA_QUESTION_CP_BRTS_9&gt;</w:t>
      </w:r>
    </w:p>
    <w:p w14:paraId="15164AC2" w14:textId="44693CAD" w:rsidR="00EB0BE9" w:rsidRPr="00EB0BE9" w:rsidRDefault="00EB0BE9" w:rsidP="00EB0BE9">
      <w:pPr>
        <w:rPr>
          <w:rFonts w:ascii="Arial" w:hAnsi="Arial" w:cs="Arial"/>
        </w:rPr>
      </w:pPr>
      <w:r w:rsidRPr="00EB0BE9">
        <w:rPr>
          <w:rFonts w:ascii="Arial" w:hAnsi="Arial" w:cs="Arial"/>
        </w:rPr>
        <w:t>TYPE YOUR TEXT HERE</w:t>
      </w:r>
    </w:p>
    <w:p w14:paraId="133EA8EE" w14:textId="77777777" w:rsidR="00EB0BE9" w:rsidRPr="00EB0BE9" w:rsidRDefault="00EB0BE9" w:rsidP="00EB0BE9">
      <w:pPr>
        <w:rPr>
          <w:rFonts w:ascii="Arial" w:hAnsi="Arial" w:cs="Arial"/>
        </w:rPr>
      </w:pPr>
      <w:r w:rsidRPr="00EB0BE9">
        <w:rPr>
          <w:rFonts w:ascii="Arial" w:hAnsi="Arial" w:cs="Arial"/>
        </w:rPr>
        <w:t>&lt;ESMA_QUESTION_CP_BRTS_9&gt;</w:t>
      </w:r>
    </w:p>
    <w:p w14:paraId="65E36BA1" w14:textId="42AEB6FB" w:rsidR="00EB0BE9" w:rsidRDefault="00EB0BE9" w:rsidP="00EB0BE9">
      <w:pPr>
        <w:rPr>
          <w:rFonts w:ascii="Arial" w:hAnsi="Arial" w:cs="Arial"/>
        </w:rPr>
      </w:pPr>
    </w:p>
    <w:p w14:paraId="30A7FE35" w14:textId="77777777" w:rsidR="0060347C" w:rsidRPr="00EB0BE9" w:rsidRDefault="0060347C" w:rsidP="00EB0BE9">
      <w:pPr>
        <w:rPr>
          <w:rFonts w:ascii="Arial" w:hAnsi="Arial" w:cs="Arial"/>
        </w:rPr>
      </w:pPr>
    </w:p>
    <w:p w14:paraId="60A4F007" w14:textId="77777777" w:rsidR="00EB0BE9" w:rsidRP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xml:space="preserve">: Do you think that other criteria should be considered in relation to the cessation of the provision of a critical benchmark? Please specify. </w:t>
      </w:r>
    </w:p>
    <w:p w14:paraId="30E3AA94" w14:textId="7649DB11" w:rsidR="00117F18" w:rsidRDefault="00117F18" w:rsidP="00EB0BE9">
      <w:pPr>
        <w:rPr>
          <w:rFonts w:ascii="Arial" w:hAnsi="Arial" w:cs="Arial"/>
        </w:rPr>
      </w:pPr>
    </w:p>
    <w:p w14:paraId="32993601" w14:textId="57FA1AD1" w:rsidR="00EB0BE9" w:rsidRPr="00EB0BE9" w:rsidRDefault="00EB0BE9" w:rsidP="00EB0BE9">
      <w:pPr>
        <w:rPr>
          <w:rFonts w:ascii="Arial" w:hAnsi="Arial" w:cs="Arial"/>
        </w:rPr>
      </w:pPr>
      <w:r w:rsidRPr="00EB0BE9">
        <w:rPr>
          <w:rFonts w:ascii="Arial" w:hAnsi="Arial" w:cs="Arial"/>
        </w:rPr>
        <w:t>&lt;ESMA_QUESTION_CP_BRTS_10&gt;</w:t>
      </w:r>
    </w:p>
    <w:p w14:paraId="3AB988B3" w14:textId="14499BFB" w:rsidR="00EB0BE9" w:rsidRPr="00EB0BE9" w:rsidRDefault="00EB0BE9" w:rsidP="00EB0BE9">
      <w:pPr>
        <w:rPr>
          <w:rFonts w:ascii="Arial" w:hAnsi="Arial" w:cs="Arial"/>
        </w:rPr>
      </w:pPr>
      <w:r w:rsidRPr="00EB0BE9">
        <w:rPr>
          <w:rFonts w:ascii="Arial" w:hAnsi="Arial" w:cs="Arial"/>
        </w:rPr>
        <w:t>TYPE YOUR TEXT HERE</w:t>
      </w:r>
    </w:p>
    <w:p w14:paraId="7ABE07AD" w14:textId="77777777" w:rsidR="00EB0BE9" w:rsidRPr="00EB0BE9" w:rsidRDefault="00EB0BE9" w:rsidP="00EB0BE9">
      <w:pPr>
        <w:rPr>
          <w:rFonts w:ascii="Arial" w:hAnsi="Arial" w:cs="Arial"/>
        </w:rPr>
      </w:pPr>
      <w:r w:rsidRPr="00EB0BE9">
        <w:rPr>
          <w:rFonts w:ascii="Arial" w:hAnsi="Arial" w:cs="Arial"/>
        </w:rPr>
        <w:t>&lt;ESMA_QUESTION_CP_BRTS_10&gt;</w:t>
      </w:r>
    </w:p>
    <w:p w14:paraId="67397114" w14:textId="0B234562" w:rsidR="00EB0BE9" w:rsidRDefault="00EB0BE9" w:rsidP="00EB0BE9">
      <w:pPr>
        <w:rPr>
          <w:rFonts w:ascii="Arial" w:hAnsi="Arial" w:cs="Arial"/>
        </w:rPr>
      </w:pPr>
    </w:p>
    <w:p w14:paraId="63297486" w14:textId="77777777" w:rsidR="0060347C" w:rsidRPr="00EB0BE9" w:rsidRDefault="0060347C" w:rsidP="00EB0BE9">
      <w:pPr>
        <w:rPr>
          <w:rFonts w:ascii="Arial" w:hAnsi="Arial" w:cs="Arial"/>
        </w:rPr>
      </w:pPr>
    </w:p>
    <w:p w14:paraId="21B40893" w14:textId="581D22B3" w:rsidR="00EB0BE9" w:rsidRDefault="00EB0BE9" w:rsidP="00EB0BE9">
      <w:pPr>
        <w:pStyle w:val="Questionstyle"/>
        <w:numPr>
          <w:ilvl w:val="0"/>
          <w:numId w:val="5"/>
        </w:numPr>
        <w:spacing w:after="250" w:line="276" w:lineRule="auto"/>
        <w:rPr>
          <w:rFonts w:ascii="Arial" w:hAnsi="Arial" w:cs="Arial"/>
        </w:rPr>
      </w:pPr>
      <w:r w:rsidRPr="00EB0BE9">
        <w:rPr>
          <w:rFonts w:ascii="Arial" w:hAnsi="Arial" w:cs="Arial"/>
        </w:rPr>
        <w:t>: Do you agree with the criteria under which competent authorities may require changes to the compliance statement? Please specify</w:t>
      </w:r>
    </w:p>
    <w:p w14:paraId="345BBE25" w14:textId="77777777" w:rsidR="0060347C" w:rsidRPr="00466C03" w:rsidRDefault="0060347C" w:rsidP="00466C03"/>
    <w:p w14:paraId="12B9AFFE" w14:textId="77777777" w:rsidR="00EB0BE9" w:rsidRPr="00EB0BE9" w:rsidRDefault="00EB0BE9" w:rsidP="00EB0BE9">
      <w:pPr>
        <w:rPr>
          <w:rFonts w:ascii="Arial" w:hAnsi="Arial" w:cs="Arial"/>
        </w:rPr>
      </w:pPr>
      <w:r w:rsidRPr="00EB0BE9">
        <w:rPr>
          <w:rFonts w:ascii="Arial" w:hAnsi="Arial" w:cs="Arial"/>
        </w:rPr>
        <w:t>&lt;ESMA_QUESTION_CP_BRTS_11&gt;</w:t>
      </w:r>
    </w:p>
    <w:p w14:paraId="43C5964E" w14:textId="77777777" w:rsidR="00245139" w:rsidRDefault="003F0DB6" w:rsidP="00EB0BE9">
      <w:pPr>
        <w:rPr>
          <w:rFonts w:ascii="Arial" w:hAnsi="Arial" w:cs="Arial"/>
        </w:rPr>
      </w:pPr>
      <w:r w:rsidRPr="003F0DB6">
        <w:rPr>
          <w:rFonts w:ascii="Arial" w:hAnsi="Arial" w:cs="Arial"/>
        </w:rPr>
        <w:t>We agree.</w:t>
      </w:r>
    </w:p>
    <w:p w14:paraId="63D6EF66" w14:textId="0B472791" w:rsidR="00EB0BE9" w:rsidRPr="00EB0BE9" w:rsidRDefault="00EB0BE9" w:rsidP="00EB0BE9">
      <w:pPr>
        <w:rPr>
          <w:rFonts w:ascii="Arial" w:hAnsi="Arial" w:cs="Arial"/>
        </w:rPr>
      </w:pPr>
      <w:r w:rsidRPr="00EB0BE9">
        <w:rPr>
          <w:rFonts w:ascii="Arial" w:hAnsi="Arial" w:cs="Arial"/>
        </w:rPr>
        <w:t>&lt;ESMA_QUESTION_CP_BRTS_11&gt;</w:t>
      </w:r>
    </w:p>
    <w:p w14:paraId="47AB057B" w14:textId="77777777" w:rsidR="00EB0BE9" w:rsidRPr="00EB0BE9" w:rsidRDefault="00EB0BE9" w:rsidP="00EB0BE9">
      <w:pPr>
        <w:rPr>
          <w:rFonts w:ascii="Arial" w:hAnsi="Arial" w:cs="Arial"/>
        </w:rPr>
      </w:pPr>
    </w:p>
    <w:p w14:paraId="42F750FF" w14:textId="77777777" w:rsidR="00117F18" w:rsidRDefault="00EB0BE9" w:rsidP="00117F18">
      <w:pPr>
        <w:pStyle w:val="Questionstyle"/>
        <w:numPr>
          <w:ilvl w:val="0"/>
          <w:numId w:val="5"/>
        </w:numPr>
        <w:spacing w:after="250" w:line="276" w:lineRule="auto"/>
        <w:rPr>
          <w:rFonts w:ascii="Arial" w:hAnsi="Arial" w:cs="Arial"/>
        </w:rPr>
      </w:pPr>
      <w:r w:rsidRPr="00EB0BE9">
        <w:rPr>
          <w:rFonts w:ascii="Arial" w:hAnsi="Arial" w:cs="Arial"/>
        </w:rPr>
        <w:t>: Do you agree with the criteria under which competent authorities may require changes to the control framework requirements? Please specify</w:t>
      </w:r>
    </w:p>
    <w:p w14:paraId="44470011" w14:textId="77777777" w:rsidR="00117F18" w:rsidRDefault="00117F18" w:rsidP="00117F18">
      <w:pPr>
        <w:pStyle w:val="Questionstyle"/>
        <w:numPr>
          <w:ilvl w:val="0"/>
          <w:numId w:val="0"/>
        </w:numPr>
        <w:spacing w:after="250" w:line="276" w:lineRule="auto"/>
        <w:rPr>
          <w:rFonts w:ascii="Arial" w:hAnsi="Arial" w:cs="Arial"/>
        </w:rPr>
      </w:pPr>
    </w:p>
    <w:p w14:paraId="5AAAB7EE" w14:textId="4D2A1D98" w:rsidR="00EB0BE9" w:rsidRPr="00EB0BE9" w:rsidRDefault="00EB0BE9" w:rsidP="00EB0BE9">
      <w:pPr>
        <w:rPr>
          <w:rFonts w:ascii="Arial" w:hAnsi="Arial" w:cs="Arial"/>
        </w:rPr>
      </w:pPr>
      <w:r w:rsidRPr="00EB0BE9">
        <w:rPr>
          <w:rFonts w:ascii="Arial" w:hAnsi="Arial" w:cs="Arial"/>
        </w:rPr>
        <w:t>&lt;ESMA_QUESTION_CP_BRTS_12&gt;</w:t>
      </w:r>
    </w:p>
    <w:p w14:paraId="16B0DFA7" w14:textId="77777777" w:rsidR="00245139" w:rsidRDefault="003F0DB6" w:rsidP="00EB0BE9">
      <w:pPr>
        <w:rPr>
          <w:rFonts w:ascii="Arial" w:hAnsi="Arial" w:cs="Arial"/>
        </w:rPr>
      </w:pPr>
      <w:r w:rsidRPr="003F0DB6">
        <w:rPr>
          <w:rFonts w:ascii="Arial" w:hAnsi="Arial" w:cs="Arial"/>
        </w:rPr>
        <w:t>We agree.</w:t>
      </w:r>
    </w:p>
    <w:p w14:paraId="50243BE3" w14:textId="0E2403C2" w:rsidR="00EB0BE9" w:rsidRPr="00EB0BE9" w:rsidRDefault="00EB0BE9" w:rsidP="00EB0BE9">
      <w:pPr>
        <w:rPr>
          <w:rFonts w:ascii="Arial" w:hAnsi="Arial" w:cs="Arial"/>
        </w:rPr>
      </w:pPr>
      <w:r w:rsidRPr="00EB0BE9">
        <w:rPr>
          <w:rFonts w:ascii="Arial" w:hAnsi="Arial" w:cs="Arial"/>
        </w:rPr>
        <w:t>&lt;ESMA_QUESTION_CP_BRTS_12&gt;</w:t>
      </w:r>
    </w:p>
    <w:bookmarkEnd w:id="0"/>
    <w:p w14:paraId="191A43F1" w14:textId="77777777" w:rsidR="00EB0BE9" w:rsidRPr="00EB0BE9" w:rsidRDefault="00EB0BE9" w:rsidP="00EB0BE9">
      <w:pPr>
        <w:spacing w:line="276" w:lineRule="auto"/>
        <w:rPr>
          <w:rFonts w:ascii="Arial" w:hAnsi="Arial" w:cs="Arial"/>
          <w:b/>
          <w:sz w:val="28"/>
          <w:szCs w:val="28"/>
        </w:rPr>
      </w:pPr>
    </w:p>
    <w:sectPr w:rsidR="00EB0BE9" w:rsidRPr="00EB0BE9" w:rsidSect="003343C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81BD" w14:textId="77777777" w:rsidR="00856301" w:rsidRDefault="00856301" w:rsidP="00EB0BE9">
      <w:r>
        <w:separator/>
      </w:r>
    </w:p>
  </w:endnote>
  <w:endnote w:type="continuationSeparator" w:id="0">
    <w:p w14:paraId="3C3E4FBA" w14:textId="77777777" w:rsidR="00856301" w:rsidRDefault="00856301" w:rsidP="00EB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977A" w14:textId="77777777" w:rsidR="00EB0BE9" w:rsidRDefault="00EB0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DEFA48A" w14:textId="77777777" w:rsidR="00EB0BE9" w:rsidRDefault="00EB0BE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D880A4A" w14:textId="77777777" w:rsidR="00EB0BE9" w:rsidRDefault="00EB0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C8E6" w14:textId="77777777" w:rsidR="00EB0BE9" w:rsidRPr="00BF0EEA" w:rsidRDefault="00EB0BE9">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Pr="0D5248BA">
      <w:rPr>
        <w:rFonts w:asciiTheme="majorHAnsi" w:hAnsiTheme="majorHAnsi"/>
        <w:color w:val="FFFFFF" w:themeColor="background1"/>
      </w:rPr>
      <w:t>9 March 2020 |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6A441DE" w14:textId="77777777" w:rsidR="00EB0BE9" w:rsidRPr="008F1DCF" w:rsidRDefault="00EB0BE9"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CAE2EAF" w14:textId="77777777" w:rsidR="00E36813" w:rsidRDefault="003C6796" w:rsidP="008F1DC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141B1D0" w14:textId="77777777" w:rsidR="00E36813" w:rsidRDefault="00856301"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0407" w14:textId="77777777" w:rsidR="00856301" w:rsidRDefault="00856301" w:rsidP="00EB0BE9">
      <w:r>
        <w:separator/>
      </w:r>
    </w:p>
  </w:footnote>
  <w:footnote w:type="continuationSeparator" w:id="0">
    <w:p w14:paraId="7FC7854E" w14:textId="77777777" w:rsidR="00856301" w:rsidRDefault="00856301" w:rsidP="00EB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5305" w14:textId="77777777" w:rsidR="00EB0BE9" w:rsidRDefault="00EB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1178" w14:textId="77777777" w:rsidR="00EB0BE9" w:rsidRDefault="00EB0BE9">
    <w:pPr>
      <w:pStyle w:val="Header"/>
    </w:pPr>
  </w:p>
  <w:p w14:paraId="0F4F1EE9" w14:textId="77777777" w:rsidR="00EB0BE9" w:rsidRDefault="00EB0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BA2E" w14:textId="77777777" w:rsidR="00EB0BE9" w:rsidRDefault="00EB0BE9">
    <w:pPr>
      <w:pStyle w:val="Header"/>
    </w:pPr>
    <w:r>
      <w:rPr>
        <w:noProof/>
      </w:rPr>
      <w:drawing>
        <wp:anchor distT="0" distB="0" distL="114300" distR="114300" simplePos="0" relativeHeight="251657216" behindDoc="0" locked="0" layoutInCell="1" allowOverlap="1" wp14:anchorId="636AF28E" wp14:editId="18E82E32">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E40EA44" wp14:editId="3B67EBB9">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EF42" w14:textId="77777777" w:rsidR="00EB0BE9" w:rsidRPr="003669AC" w:rsidRDefault="00EB0BE9" w:rsidP="006C5A3D">
    <w:pPr>
      <w:pStyle w:val="Header"/>
      <w:ind w:left="708"/>
      <w:jc w:val="right"/>
    </w:pPr>
  </w:p>
  <w:p w14:paraId="31CEA5B9" w14:textId="77777777" w:rsidR="00EB0BE9" w:rsidRPr="003669AC" w:rsidRDefault="00EB0BE9" w:rsidP="006C5A3D">
    <w:pPr>
      <w:pStyle w:val="Header"/>
      <w:ind w:left="708"/>
      <w:jc w:val="right"/>
    </w:pPr>
  </w:p>
  <w:p w14:paraId="5FB86F84" w14:textId="77777777" w:rsidR="00EB0BE9" w:rsidRPr="00BF0EEA" w:rsidRDefault="00EB0BE9">
    <w:pPr>
      <w:pStyle w:val="Header"/>
      <w:ind w:left="6663"/>
      <w:rPr>
        <w:rFonts w:asciiTheme="majorHAnsi" w:hAnsiTheme="majorHAnsi" w:cstheme="majorBidi"/>
        <w:color w:val="2E74B5" w:themeColor="accent5" w:themeShade="BF"/>
        <w:sz w:val="20"/>
        <w:szCs w:val="20"/>
      </w:rPr>
    </w:pPr>
    <w:r w:rsidRPr="003343CB">
      <w:rPr>
        <w:rFonts w:asciiTheme="majorHAnsi" w:hAnsiTheme="majorHAnsi" w:cstheme="majorBidi"/>
        <w:color w:val="2E74B5" w:themeColor="accent5" w:themeShade="BF"/>
        <w:sz w:val="20"/>
        <w:szCs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EB0BE9" w:rsidRPr="008F1DCF" w14:paraId="3A275847" w14:textId="77777777" w:rsidTr="0D5248BA">
      <w:trPr>
        <w:trHeight w:hRule="exact" w:val="589"/>
      </w:trPr>
      <w:tc>
        <w:tcPr>
          <w:tcW w:w="2377" w:type="dxa"/>
        </w:tcPr>
        <w:p w14:paraId="419AF577" w14:textId="77777777" w:rsidR="00EB0BE9" w:rsidRPr="00BF0EEA" w:rsidRDefault="00EB0BE9">
          <w:pPr>
            <w:pStyle w:val="02Date"/>
            <w:rPr>
              <w:rFonts w:asciiTheme="majorHAnsi" w:hAnsiTheme="majorHAnsi" w:cstheme="majorBidi"/>
            </w:rPr>
          </w:pPr>
          <w:r w:rsidRPr="003343CB">
            <w:rPr>
              <w:rFonts w:asciiTheme="majorHAnsi" w:hAnsiTheme="majorHAnsi" w:cstheme="majorBidi"/>
            </w:rPr>
            <w:t>9 March 2020</w:t>
          </w:r>
        </w:p>
        <w:p w14:paraId="70C7C040" w14:textId="77777777" w:rsidR="00EB0BE9" w:rsidRPr="00BF0EEA" w:rsidRDefault="00EB0BE9">
          <w:pPr>
            <w:pStyle w:val="02Date"/>
            <w:rPr>
              <w:rFonts w:asciiTheme="majorHAnsi" w:hAnsiTheme="majorHAnsi" w:cstheme="majorBidi"/>
            </w:rPr>
          </w:pPr>
          <w:r w:rsidRPr="003343CB">
            <w:rPr>
              <w:rFonts w:asciiTheme="majorHAnsi" w:hAnsiTheme="majorHAnsi" w:cstheme="majorBidi"/>
            </w:rPr>
            <w:t>ESMA70-156-</w:t>
          </w:r>
          <w:proofErr w:type="gramStart"/>
          <w:r w:rsidRPr="003343CB">
            <w:rPr>
              <w:rFonts w:asciiTheme="majorHAnsi" w:hAnsiTheme="majorHAnsi" w:cstheme="majorBidi"/>
            </w:rPr>
            <w:t>2429  -</w:t>
          </w:r>
          <w:proofErr w:type="gramEnd"/>
        </w:p>
      </w:tc>
    </w:tr>
  </w:tbl>
  <w:p w14:paraId="12726D8B" w14:textId="77777777" w:rsidR="00EB0BE9" w:rsidRDefault="00EB0BE9" w:rsidP="006C5A3D">
    <w:pPr>
      <w:pStyle w:val="Header"/>
      <w:ind w:left="6663"/>
      <w:rPr>
        <w:color w:val="FF0000"/>
        <w:sz w:val="20"/>
      </w:rPr>
    </w:pPr>
  </w:p>
  <w:p w14:paraId="4AE1277E" w14:textId="77777777" w:rsidR="00EB0BE9" w:rsidRDefault="00EB0BE9">
    <w:pPr>
      <w:pStyle w:val="Header"/>
    </w:pPr>
    <w:r>
      <w:rPr>
        <w:noProof/>
      </w:rPr>
      <w:drawing>
        <wp:anchor distT="0" distB="0" distL="114300" distR="114300" simplePos="0" relativeHeight="251659264" behindDoc="0" locked="0" layoutInCell="1" allowOverlap="1" wp14:anchorId="1CCAFAD1" wp14:editId="3204D8E7">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9A17" w14:textId="77777777" w:rsidR="00EB0BE9" w:rsidRDefault="00EB0BE9">
    <w:pPr>
      <w:pStyle w:val="Header"/>
    </w:pPr>
  </w:p>
  <w:p w14:paraId="40FD1463" w14:textId="77777777" w:rsidR="00EB0BE9" w:rsidRDefault="00EB0BE9">
    <w:pPr>
      <w:pStyle w:val="Header"/>
    </w:pPr>
  </w:p>
  <w:p w14:paraId="4803DE00" w14:textId="77777777" w:rsidR="00EB0BE9" w:rsidRDefault="00EB0BE9">
    <w:pPr>
      <w:pStyle w:val="Header"/>
    </w:pPr>
    <w:r>
      <w:rPr>
        <w:noProof/>
      </w:rPr>
      <w:drawing>
        <wp:anchor distT="0" distB="0" distL="114300" distR="114300" simplePos="0" relativeHeight="251660288" behindDoc="0" locked="0" layoutInCell="1" allowOverlap="1" wp14:anchorId="7F01D980" wp14:editId="0501FD90">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B16E" w14:textId="77777777" w:rsidR="00E36813" w:rsidRDefault="003C6796"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0" behindDoc="0" locked="0" layoutInCell="1" allowOverlap="1" wp14:anchorId="49B7AEEF" wp14:editId="26BEE6F6">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710C99A">
            <v:line id="Line 1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83583" strokeweight="1pt" from="125.5pt,36.3pt" to="125.5pt,80.25pt" w14:anchorId="2B30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w10:wrap anchorx="page" anchory="page"/>
            </v:line>
          </w:pict>
        </mc:Fallback>
      </mc:AlternateContent>
    </w:r>
  </w:p>
  <w:p w14:paraId="2FC4C39F" w14:textId="77777777" w:rsidR="00E36813" w:rsidRPr="00BF0EEA" w:rsidRDefault="003C6796">
    <w:pPr>
      <w:pStyle w:val="Header"/>
      <w:jc w:val="right"/>
      <w:rPr>
        <w:rFonts w:asciiTheme="minorHAnsi" w:hAnsiTheme="minorHAnsi" w:cstheme="minorBidi"/>
        <w:color w:val="2E74B5" w:themeColor="accent5" w:themeShade="BF"/>
        <w:sz w:val="20"/>
        <w:szCs w:val="20"/>
      </w:rPr>
    </w:pPr>
    <w:r w:rsidRPr="00D13661">
      <w:rPr>
        <w:rFonts w:asciiTheme="minorHAnsi" w:hAnsiTheme="minorHAnsi" w:cstheme="minorHAnsi"/>
        <w:noProof/>
        <w:color w:val="2E74B5" w:themeColor="accent5" w:themeShade="BF"/>
        <w:sz w:val="20"/>
      </w:rPr>
      <w:drawing>
        <wp:anchor distT="0" distB="0" distL="114300" distR="114300" simplePos="0" relativeHeight="251656192" behindDoc="0" locked="0" layoutInCell="1" allowOverlap="1" wp14:anchorId="04AF2092" wp14:editId="4D81332A">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D5248BA">
      <w:rPr>
        <w:rFonts w:asciiTheme="minorHAnsi" w:hAnsiTheme="minorHAnsi" w:cstheme="minorBidi"/>
        <w:color w:val="2E74B5" w:themeColor="accent5" w:themeShade="BF"/>
        <w:sz w:val="20"/>
        <w:szCs w:val="20"/>
      </w:rPr>
      <w:t>ESMA REGULAR USE</w:t>
    </w:r>
  </w:p>
  <w:p w14:paraId="2A916B80" w14:textId="77777777" w:rsidR="00E36813" w:rsidRPr="00C3170E" w:rsidRDefault="00856301" w:rsidP="00B50534">
    <w:pPr>
      <w:pStyle w:val="Header"/>
      <w:jc w:val="right"/>
      <w:rPr>
        <w:color w:val="2E74B5" w:themeColor="accent5" w:themeShade="BF"/>
        <w:sz w:val="20"/>
      </w:rPr>
    </w:pPr>
  </w:p>
  <w:p w14:paraId="27D5E4F1" w14:textId="77777777" w:rsidR="00E36813" w:rsidRPr="00B50534" w:rsidRDefault="00856301"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0AE3C57"/>
    <w:multiLevelType w:val="hybridMultilevel"/>
    <w:tmpl w:val="20AA68DC"/>
    <w:lvl w:ilvl="0" w:tplc="A9DE3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42C2589A"/>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B4627"/>
    <w:multiLevelType w:val="hybridMultilevel"/>
    <w:tmpl w:val="1CF66F04"/>
    <w:lvl w:ilvl="0" w:tplc="4D8E9C20">
      <w:start w:val="1"/>
      <w:numFmt w:val="bullet"/>
      <w:lvlText w:val=""/>
      <w:lvlJc w:val="left"/>
      <w:pPr>
        <w:ind w:left="720" w:hanging="360"/>
      </w:pPr>
      <w:rPr>
        <w:rFonts w:ascii="Symbol" w:hAnsi="Symbol" w:hint="default"/>
      </w:rPr>
    </w:lvl>
    <w:lvl w:ilvl="1" w:tplc="E898AA80">
      <w:start w:val="1"/>
      <w:numFmt w:val="bullet"/>
      <w:lvlText w:val="o"/>
      <w:lvlJc w:val="left"/>
      <w:pPr>
        <w:ind w:left="1440" w:hanging="360"/>
      </w:pPr>
      <w:rPr>
        <w:rFonts w:ascii="Courier New" w:hAnsi="Courier New" w:hint="default"/>
      </w:rPr>
    </w:lvl>
    <w:lvl w:ilvl="2" w:tplc="A058E6A8">
      <w:start w:val="1"/>
      <w:numFmt w:val="bullet"/>
      <w:lvlText w:val=""/>
      <w:lvlJc w:val="left"/>
      <w:pPr>
        <w:ind w:left="2160" w:hanging="360"/>
      </w:pPr>
      <w:rPr>
        <w:rFonts w:ascii="Wingdings" w:hAnsi="Wingdings" w:hint="default"/>
      </w:rPr>
    </w:lvl>
    <w:lvl w:ilvl="3" w:tplc="649870CC">
      <w:start w:val="1"/>
      <w:numFmt w:val="bullet"/>
      <w:lvlText w:val=""/>
      <w:lvlJc w:val="left"/>
      <w:pPr>
        <w:ind w:left="2880" w:hanging="360"/>
      </w:pPr>
      <w:rPr>
        <w:rFonts w:ascii="Symbol" w:hAnsi="Symbol" w:hint="default"/>
      </w:rPr>
    </w:lvl>
    <w:lvl w:ilvl="4" w:tplc="E528E270">
      <w:start w:val="1"/>
      <w:numFmt w:val="bullet"/>
      <w:lvlText w:val="o"/>
      <w:lvlJc w:val="left"/>
      <w:pPr>
        <w:ind w:left="3600" w:hanging="360"/>
      </w:pPr>
      <w:rPr>
        <w:rFonts w:ascii="Courier New" w:hAnsi="Courier New" w:hint="default"/>
      </w:rPr>
    </w:lvl>
    <w:lvl w:ilvl="5" w:tplc="5FCC70D8">
      <w:start w:val="1"/>
      <w:numFmt w:val="bullet"/>
      <w:lvlText w:val=""/>
      <w:lvlJc w:val="left"/>
      <w:pPr>
        <w:ind w:left="4320" w:hanging="360"/>
      </w:pPr>
      <w:rPr>
        <w:rFonts w:ascii="Wingdings" w:hAnsi="Wingdings" w:hint="default"/>
      </w:rPr>
    </w:lvl>
    <w:lvl w:ilvl="6" w:tplc="8D1276FA">
      <w:start w:val="1"/>
      <w:numFmt w:val="bullet"/>
      <w:lvlText w:val=""/>
      <w:lvlJc w:val="left"/>
      <w:pPr>
        <w:ind w:left="5040" w:hanging="360"/>
      </w:pPr>
      <w:rPr>
        <w:rFonts w:ascii="Symbol" w:hAnsi="Symbol" w:hint="default"/>
      </w:rPr>
    </w:lvl>
    <w:lvl w:ilvl="7" w:tplc="F112D6EA">
      <w:start w:val="1"/>
      <w:numFmt w:val="bullet"/>
      <w:lvlText w:val="o"/>
      <w:lvlJc w:val="left"/>
      <w:pPr>
        <w:ind w:left="5760" w:hanging="360"/>
      </w:pPr>
      <w:rPr>
        <w:rFonts w:ascii="Courier New" w:hAnsi="Courier New" w:hint="default"/>
      </w:rPr>
    </w:lvl>
    <w:lvl w:ilvl="8" w:tplc="848448B2">
      <w:start w:val="1"/>
      <w:numFmt w:val="bullet"/>
      <w:lvlText w:val=""/>
      <w:lvlJc w:val="left"/>
      <w:pPr>
        <w:ind w:left="6480" w:hanging="360"/>
      </w:pPr>
      <w:rPr>
        <w:rFonts w:ascii="Wingdings" w:hAnsi="Wingdings" w:hint="default"/>
      </w:r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E9"/>
    <w:rsid w:val="0000232E"/>
    <w:rsid w:val="00027100"/>
    <w:rsid w:val="00040B83"/>
    <w:rsid w:val="00046453"/>
    <w:rsid w:val="00053B3D"/>
    <w:rsid w:val="00062D21"/>
    <w:rsid w:val="00071DF0"/>
    <w:rsid w:val="00072C8E"/>
    <w:rsid w:val="000812FD"/>
    <w:rsid w:val="000A025B"/>
    <w:rsid w:val="000A36F2"/>
    <w:rsid w:val="000B47A3"/>
    <w:rsid w:val="000B4902"/>
    <w:rsid w:val="000B57B6"/>
    <w:rsid w:val="000B690E"/>
    <w:rsid w:val="000D0697"/>
    <w:rsid w:val="000D7456"/>
    <w:rsid w:val="000F45FE"/>
    <w:rsid w:val="00101B8D"/>
    <w:rsid w:val="001030B9"/>
    <w:rsid w:val="00117F18"/>
    <w:rsid w:val="00130477"/>
    <w:rsid w:val="001313BF"/>
    <w:rsid w:val="00142993"/>
    <w:rsid w:val="00142FD5"/>
    <w:rsid w:val="001458C5"/>
    <w:rsid w:val="00152B1C"/>
    <w:rsid w:val="001548D5"/>
    <w:rsid w:val="00167141"/>
    <w:rsid w:val="001738A3"/>
    <w:rsid w:val="00181EB7"/>
    <w:rsid w:val="001839D8"/>
    <w:rsid w:val="00184C59"/>
    <w:rsid w:val="001A1C0C"/>
    <w:rsid w:val="001B404A"/>
    <w:rsid w:val="001D4D87"/>
    <w:rsid w:val="001F7A5B"/>
    <w:rsid w:val="00210EC6"/>
    <w:rsid w:val="00215E0D"/>
    <w:rsid w:val="00245139"/>
    <w:rsid w:val="002454DC"/>
    <w:rsid w:val="00252AD8"/>
    <w:rsid w:val="00291590"/>
    <w:rsid w:val="002A0F93"/>
    <w:rsid w:val="002A3240"/>
    <w:rsid w:val="002E20A0"/>
    <w:rsid w:val="00322E99"/>
    <w:rsid w:val="00332EB5"/>
    <w:rsid w:val="003343CB"/>
    <w:rsid w:val="003359A2"/>
    <w:rsid w:val="00336197"/>
    <w:rsid w:val="00337D35"/>
    <w:rsid w:val="00343368"/>
    <w:rsid w:val="003471FB"/>
    <w:rsid w:val="00370D4A"/>
    <w:rsid w:val="003B0AF3"/>
    <w:rsid w:val="003B6A8E"/>
    <w:rsid w:val="003C385B"/>
    <w:rsid w:val="003C6796"/>
    <w:rsid w:val="003D6B64"/>
    <w:rsid w:val="003E4288"/>
    <w:rsid w:val="003E627E"/>
    <w:rsid w:val="003F061F"/>
    <w:rsid w:val="003F0DB6"/>
    <w:rsid w:val="003F1F18"/>
    <w:rsid w:val="003F5DB7"/>
    <w:rsid w:val="003F679F"/>
    <w:rsid w:val="003F778F"/>
    <w:rsid w:val="0040553C"/>
    <w:rsid w:val="004108F4"/>
    <w:rsid w:val="00424F58"/>
    <w:rsid w:val="00426373"/>
    <w:rsid w:val="00427DE1"/>
    <w:rsid w:val="004360F6"/>
    <w:rsid w:val="00466C03"/>
    <w:rsid w:val="00483577"/>
    <w:rsid w:val="004838E0"/>
    <w:rsid w:val="004900B0"/>
    <w:rsid w:val="00490C35"/>
    <w:rsid w:val="004911ED"/>
    <w:rsid w:val="004A1643"/>
    <w:rsid w:val="004B54B1"/>
    <w:rsid w:val="004C117A"/>
    <w:rsid w:val="004C2961"/>
    <w:rsid w:val="004C4E3A"/>
    <w:rsid w:val="004D083F"/>
    <w:rsid w:val="004E1075"/>
    <w:rsid w:val="004F0C78"/>
    <w:rsid w:val="004F1BD5"/>
    <w:rsid w:val="004F4E54"/>
    <w:rsid w:val="0052621C"/>
    <w:rsid w:val="0054250E"/>
    <w:rsid w:val="005512BE"/>
    <w:rsid w:val="0055226A"/>
    <w:rsid w:val="00552E42"/>
    <w:rsid w:val="005576B0"/>
    <w:rsid w:val="00561BE3"/>
    <w:rsid w:val="005676BD"/>
    <w:rsid w:val="005A01B1"/>
    <w:rsid w:val="005B056A"/>
    <w:rsid w:val="005B36E2"/>
    <w:rsid w:val="005C4AB9"/>
    <w:rsid w:val="006022FB"/>
    <w:rsid w:val="0060347C"/>
    <w:rsid w:val="006035F8"/>
    <w:rsid w:val="00607A2C"/>
    <w:rsid w:val="0061273D"/>
    <w:rsid w:val="00633FBB"/>
    <w:rsid w:val="00650596"/>
    <w:rsid w:val="00652A4D"/>
    <w:rsid w:val="00652FE8"/>
    <w:rsid w:val="006759B7"/>
    <w:rsid w:val="0067611F"/>
    <w:rsid w:val="006838CD"/>
    <w:rsid w:val="00686675"/>
    <w:rsid w:val="00690531"/>
    <w:rsid w:val="0069186F"/>
    <w:rsid w:val="00692E4E"/>
    <w:rsid w:val="006A295C"/>
    <w:rsid w:val="006B4C6F"/>
    <w:rsid w:val="006B5048"/>
    <w:rsid w:val="006B5B1A"/>
    <w:rsid w:val="006B703D"/>
    <w:rsid w:val="007035E7"/>
    <w:rsid w:val="00703EC1"/>
    <w:rsid w:val="00712CE2"/>
    <w:rsid w:val="00724C94"/>
    <w:rsid w:val="00762896"/>
    <w:rsid w:val="00767143"/>
    <w:rsid w:val="007819DB"/>
    <w:rsid w:val="00786C1C"/>
    <w:rsid w:val="007A061A"/>
    <w:rsid w:val="007A6311"/>
    <w:rsid w:val="007C445C"/>
    <w:rsid w:val="007D55CA"/>
    <w:rsid w:val="007E16E9"/>
    <w:rsid w:val="007E2BC0"/>
    <w:rsid w:val="007F3AE2"/>
    <w:rsid w:val="007F6254"/>
    <w:rsid w:val="007F6F08"/>
    <w:rsid w:val="00802717"/>
    <w:rsid w:val="00813773"/>
    <w:rsid w:val="00816F88"/>
    <w:rsid w:val="0081723B"/>
    <w:rsid w:val="00820BBF"/>
    <w:rsid w:val="00823BBE"/>
    <w:rsid w:val="00823F20"/>
    <w:rsid w:val="0084572D"/>
    <w:rsid w:val="00856301"/>
    <w:rsid w:val="0086260A"/>
    <w:rsid w:val="00863740"/>
    <w:rsid w:val="00867047"/>
    <w:rsid w:val="00873396"/>
    <w:rsid w:val="00875DE8"/>
    <w:rsid w:val="00886AFF"/>
    <w:rsid w:val="008A5893"/>
    <w:rsid w:val="008B4285"/>
    <w:rsid w:val="008B7D88"/>
    <w:rsid w:val="008C6F32"/>
    <w:rsid w:val="008D6172"/>
    <w:rsid w:val="008E0E61"/>
    <w:rsid w:val="0090036F"/>
    <w:rsid w:val="00901087"/>
    <w:rsid w:val="00903AD1"/>
    <w:rsid w:val="00911711"/>
    <w:rsid w:val="00911D47"/>
    <w:rsid w:val="009159B0"/>
    <w:rsid w:val="00920B87"/>
    <w:rsid w:val="00926B5E"/>
    <w:rsid w:val="00936E29"/>
    <w:rsid w:val="00942050"/>
    <w:rsid w:val="00950A9E"/>
    <w:rsid w:val="0097570A"/>
    <w:rsid w:val="00976E4F"/>
    <w:rsid w:val="00984003"/>
    <w:rsid w:val="00986187"/>
    <w:rsid w:val="00990585"/>
    <w:rsid w:val="009A173E"/>
    <w:rsid w:val="009A4506"/>
    <w:rsid w:val="009A51D8"/>
    <w:rsid w:val="009B4D85"/>
    <w:rsid w:val="009E54A1"/>
    <w:rsid w:val="009E6E70"/>
    <w:rsid w:val="009F5AEB"/>
    <w:rsid w:val="00A05B3B"/>
    <w:rsid w:val="00A07703"/>
    <w:rsid w:val="00A16BD9"/>
    <w:rsid w:val="00A26043"/>
    <w:rsid w:val="00A262C7"/>
    <w:rsid w:val="00A437EA"/>
    <w:rsid w:val="00A43C9B"/>
    <w:rsid w:val="00A457C6"/>
    <w:rsid w:val="00A458CE"/>
    <w:rsid w:val="00A623EB"/>
    <w:rsid w:val="00A82AD6"/>
    <w:rsid w:val="00A91FD6"/>
    <w:rsid w:val="00A9395E"/>
    <w:rsid w:val="00AB7E80"/>
    <w:rsid w:val="00AC1A79"/>
    <w:rsid w:val="00AC334E"/>
    <w:rsid w:val="00AE3FD9"/>
    <w:rsid w:val="00AE7191"/>
    <w:rsid w:val="00AF7F2B"/>
    <w:rsid w:val="00B03A9E"/>
    <w:rsid w:val="00B24C82"/>
    <w:rsid w:val="00B4522F"/>
    <w:rsid w:val="00B565E5"/>
    <w:rsid w:val="00B57856"/>
    <w:rsid w:val="00B86E5D"/>
    <w:rsid w:val="00B95BA9"/>
    <w:rsid w:val="00BA383F"/>
    <w:rsid w:val="00BA765A"/>
    <w:rsid w:val="00BB3EB7"/>
    <w:rsid w:val="00BB45E6"/>
    <w:rsid w:val="00BC6644"/>
    <w:rsid w:val="00BC6DE7"/>
    <w:rsid w:val="00BC7080"/>
    <w:rsid w:val="00BD1A96"/>
    <w:rsid w:val="00BD50DD"/>
    <w:rsid w:val="00BE3A68"/>
    <w:rsid w:val="00BF0EEA"/>
    <w:rsid w:val="00BF2524"/>
    <w:rsid w:val="00BF39DF"/>
    <w:rsid w:val="00BF3BEA"/>
    <w:rsid w:val="00C026EA"/>
    <w:rsid w:val="00C15BC3"/>
    <w:rsid w:val="00C25E62"/>
    <w:rsid w:val="00C35374"/>
    <w:rsid w:val="00C3589B"/>
    <w:rsid w:val="00C36EC5"/>
    <w:rsid w:val="00C370F1"/>
    <w:rsid w:val="00C371E5"/>
    <w:rsid w:val="00C411FE"/>
    <w:rsid w:val="00C41F2D"/>
    <w:rsid w:val="00C46517"/>
    <w:rsid w:val="00C53228"/>
    <w:rsid w:val="00C5325D"/>
    <w:rsid w:val="00C62DE0"/>
    <w:rsid w:val="00C64B58"/>
    <w:rsid w:val="00C77342"/>
    <w:rsid w:val="00CA3911"/>
    <w:rsid w:val="00CA413D"/>
    <w:rsid w:val="00CB4B9B"/>
    <w:rsid w:val="00CB57EB"/>
    <w:rsid w:val="00CC36ED"/>
    <w:rsid w:val="00CD2522"/>
    <w:rsid w:val="00CD2748"/>
    <w:rsid w:val="00CF71DC"/>
    <w:rsid w:val="00D1017D"/>
    <w:rsid w:val="00D20752"/>
    <w:rsid w:val="00D24B5E"/>
    <w:rsid w:val="00D5226C"/>
    <w:rsid w:val="00D560FE"/>
    <w:rsid w:val="00DA692F"/>
    <w:rsid w:val="00DB0FC6"/>
    <w:rsid w:val="00DC21AD"/>
    <w:rsid w:val="00DD19E9"/>
    <w:rsid w:val="00DE135A"/>
    <w:rsid w:val="00DE3925"/>
    <w:rsid w:val="00DF135F"/>
    <w:rsid w:val="00E16F80"/>
    <w:rsid w:val="00E23985"/>
    <w:rsid w:val="00E30496"/>
    <w:rsid w:val="00E45D84"/>
    <w:rsid w:val="00E5462F"/>
    <w:rsid w:val="00E63590"/>
    <w:rsid w:val="00E73648"/>
    <w:rsid w:val="00E7491C"/>
    <w:rsid w:val="00E81F19"/>
    <w:rsid w:val="00E9217A"/>
    <w:rsid w:val="00E92C88"/>
    <w:rsid w:val="00E9532D"/>
    <w:rsid w:val="00E967C9"/>
    <w:rsid w:val="00EB0BE9"/>
    <w:rsid w:val="00EB575A"/>
    <w:rsid w:val="00EE0C01"/>
    <w:rsid w:val="00EF01FC"/>
    <w:rsid w:val="00EF7E96"/>
    <w:rsid w:val="00F13222"/>
    <w:rsid w:val="00F268AC"/>
    <w:rsid w:val="00F53900"/>
    <w:rsid w:val="00F55678"/>
    <w:rsid w:val="00F557EF"/>
    <w:rsid w:val="00F73A4F"/>
    <w:rsid w:val="00F74E12"/>
    <w:rsid w:val="00F90AAF"/>
    <w:rsid w:val="00F94558"/>
    <w:rsid w:val="00FA7E0E"/>
    <w:rsid w:val="00FB2437"/>
    <w:rsid w:val="00FB5E35"/>
    <w:rsid w:val="00FD196E"/>
    <w:rsid w:val="00FD517D"/>
    <w:rsid w:val="00FF21D0"/>
    <w:rsid w:val="0D5248BA"/>
    <w:rsid w:val="13B26A6A"/>
    <w:rsid w:val="18CFA541"/>
    <w:rsid w:val="18D8F4F0"/>
    <w:rsid w:val="2C6DD195"/>
    <w:rsid w:val="3012BAA4"/>
    <w:rsid w:val="367E0F2A"/>
    <w:rsid w:val="36DD711D"/>
    <w:rsid w:val="47E31FDB"/>
    <w:rsid w:val="512D9A2C"/>
    <w:rsid w:val="512F835C"/>
    <w:rsid w:val="557B38CA"/>
    <w:rsid w:val="5BB4CC46"/>
    <w:rsid w:val="79BE25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92CBE"/>
  <w15:chartTrackingRefBased/>
  <w15:docId w15:val="{21F86372-B6EC-40EB-B177-ADFA49B2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BE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B0BE9"/>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EB0BE9"/>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EB0BE9"/>
    <w:pPr>
      <w:keepNext/>
      <w:keepLines/>
      <w:numPr>
        <w:ilvl w:val="2"/>
        <w:numId w:val="2"/>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EB0BE9"/>
    <w:pPr>
      <w:keepNext/>
      <w:keepLines/>
      <w:numPr>
        <w:ilvl w:val="3"/>
        <w:numId w:val="2"/>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EB0BE9"/>
    <w:pPr>
      <w:keepNext/>
      <w:keepLines/>
      <w:numPr>
        <w:ilvl w:val="5"/>
        <w:numId w:val="2"/>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EB0BE9"/>
    <w:pPr>
      <w:keepNext/>
      <w:keepLines/>
      <w:numPr>
        <w:ilvl w:val="6"/>
        <w:numId w:val="2"/>
      </w:numPr>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EB0BE9"/>
    <w:pPr>
      <w:keepNext/>
      <w:keepLines/>
      <w:numPr>
        <w:ilvl w:val="7"/>
        <w:numId w:val="2"/>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EB0BE9"/>
    <w:pPr>
      <w:keepNext/>
      <w:keepLines/>
      <w:numPr>
        <w:ilvl w:val="8"/>
        <w:numId w:val="2"/>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0BE9"/>
    <w:pPr>
      <w:tabs>
        <w:tab w:val="center" w:pos="4680"/>
        <w:tab w:val="right" w:pos="9360"/>
      </w:tabs>
    </w:pPr>
  </w:style>
  <w:style w:type="character" w:customStyle="1" w:styleId="HeaderChar">
    <w:name w:val="Header Char"/>
    <w:basedOn w:val="DefaultParagraphFont"/>
    <w:link w:val="Header"/>
    <w:uiPriority w:val="99"/>
    <w:rsid w:val="00EB0BE9"/>
  </w:style>
  <w:style w:type="paragraph" w:styleId="Footer">
    <w:name w:val="footer"/>
    <w:basedOn w:val="Normal"/>
    <w:link w:val="FooterChar"/>
    <w:uiPriority w:val="99"/>
    <w:unhideWhenUsed/>
    <w:rsid w:val="00EB0BE9"/>
    <w:pPr>
      <w:tabs>
        <w:tab w:val="center" w:pos="4680"/>
        <w:tab w:val="right" w:pos="9360"/>
      </w:tabs>
    </w:pPr>
  </w:style>
  <w:style w:type="character" w:customStyle="1" w:styleId="FooterChar">
    <w:name w:val="Footer Char"/>
    <w:basedOn w:val="DefaultParagraphFont"/>
    <w:link w:val="Footer"/>
    <w:uiPriority w:val="99"/>
    <w:rsid w:val="00EB0BE9"/>
  </w:style>
  <w:style w:type="character" w:customStyle="1" w:styleId="Heading1Char">
    <w:name w:val="Heading 1 Char"/>
    <w:basedOn w:val="DefaultParagraphFont"/>
    <w:link w:val="Heading1"/>
    <w:rsid w:val="00EB0BE9"/>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EB0BE9"/>
    <w:rPr>
      <w:rFonts w:asciiTheme="majorHAnsi" w:eastAsiaTheme="majorEastAsia" w:hAnsiTheme="majorHAnsi" w:cstheme="majorBidi"/>
      <w:b/>
      <w:sz w:val="28"/>
      <w:szCs w:val="28"/>
      <w:lang w:val="en-GB" w:eastAsia="en-GB"/>
    </w:rPr>
  </w:style>
  <w:style w:type="character" w:customStyle="1" w:styleId="Heading3Char">
    <w:name w:val="Heading 3 Char"/>
    <w:basedOn w:val="DefaultParagraphFont"/>
    <w:link w:val="Heading3"/>
    <w:rsid w:val="00EB0BE9"/>
    <w:rPr>
      <w:rFonts w:asciiTheme="majorHAnsi" w:eastAsiaTheme="majorEastAsia" w:hAnsiTheme="majorHAnsi" w:cstheme="majorBidi"/>
      <w:sz w:val="24"/>
      <w:szCs w:val="24"/>
      <w:lang w:val="en-GB" w:eastAsia="en-GB"/>
    </w:rPr>
  </w:style>
  <w:style w:type="character" w:customStyle="1" w:styleId="Heading4Char">
    <w:name w:val="Heading 4 Char"/>
    <w:basedOn w:val="DefaultParagraphFont"/>
    <w:link w:val="Heading4"/>
    <w:rsid w:val="00EB0BE9"/>
    <w:rPr>
      <w:rFonts w:asciiTheme="majorHAnsi" w:eastAsiaTheme="majorEastAsia" w:hAnsiTheme="majorHAnsi" w:cstheme="majorBidi"/>
      <w:sz w:val="24"/>
      <w:lang w:val="en-GB" w:eastAsia="en-GB"/>
    </w:rPr>
  </w:style>
  <w:style w:type="character" w:customStyle="1" w:styleId="Heading6Char">
    <w:name w:val="Heading 6 Char"/>
    <w:basedOn w:val="DefaultParagraphFont"/>
    <w:link w:val="Heading6"/>
    <w:rsid w:val="00EB0BE9"/>
    <w:rPr>
      <w:rFonts w:asciiTheme="majorHAnsi" w:eastAsiaTheme="majorEastAsia" w:hAnsiTheme="majorHAnsi" w:cstheme="majorBidi"/>
      <w:i/>
      <w:iCs/>
      <w:color w:val="44546A" w:themeColor="text2"/>
      <w:sz w:val="21"/>
      <w:szCs w:val="21"/>
      <w:lang w:val="en-GB" w:eastAsia="en-GB"/>
    </w:rPr>
  </w:style>
  <w:style w:type="character" w:customStyle="1" w:styleId="Heading7Char">
    <w:name w:val="Heading 7 Char"/>
    <w:basedOn w:val="DefaultParagraphFont"/>
    <w:link w:val="Heading7"/>
    <w:rsid w:val="00EB0BE9"/>
    <w:rPr>
      <w:rFonts w:asciiTheme="majorHAnsi" w:eastAsiaTheme="majorEastAsia" w:hAnsiTheme="majorHAnsi" w:cstheme="majorBidi"/>
      <w:i/>
      <w:iCs/>
      <w:color w:val="1F3864" w:themeColor="accent1" w:themeShade="80"/>
      <w:sz w:val="21"/>
      <w:szCs w:val="21"/>
      <w:lang w:val="en-GB" w:eastAsia="en-GB"/>
    </w:rPr>
  </w:style>
  <w:style w:type="character" w:customStyle="1" w:styleId="Heading8Char">
    <w:name w:val="Heading 8 Char"/>
    <w:basedOn w:val="DefaultParagraphFont"/>
    <w:link w:val="Heading8"/>
    <w:rsid w:val="00EB0BE9"/>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EB0BE9"/>
    <w:rPr>
      <w:rFonts w:asciiTheme="majorHAnsi" w:eastAsiaTheme="majorEastAsia" w:hAnsiTheme="majorHAnsi" w:cstheme="majorBidi"/>
      <w:b/>
      <w:bCs/>
      <w:i/>
      <w:iCs/>
      <w:color w:val="44546A" w:themeColor="text2"/>
      <w:sz w:val="24"/>
      <w:szCs w:val="24"/>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EB0BE9"/>
    <w:pPr>
      <w:numPr>
        <w:numId w:val="4"/>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styleId="Title">
    <w:name w:val="Title"/>
    <w:basedOn w:val="Normal"/>
    <w:next w:val="Normal"/>
    <w:link w:val="TitleChar"/>
    <w:uiPriority w:val="10"/>
    <w:qFormat/>
    <w:rsid w:val="00EB0BE9"/>
    <w:pPr>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EB0BE9"/>
    <w:rPr>
      <w:rFonts w:asciiTheme="majorHAnsi" w:eastAsiaTheme="majorEastAsia" w:hAnsiTheme="majorHAnsi" w:cstheme="majorBidi"/>
      <w:b/>
      <w:color w:val="2E74B5" w:themeColor="accent5" w:themeShade="BF"/>
      <w:spacing w:val="-10"/>
      <w:sz w:val="56"/>
      <w:szCs w:val="56"/>
      <w:lang w:val="en-GB" w:eastAsia="en-GB"/>
    </w:rPr>
  </w:style>
  <w:style w:type="paragraph" w:styleId="Subtitle">
    <w:name w:val="Subtitle"/>
    <w:basedOn w:val="Normal"/>
    <w:next w:val="Normal"/>
    <w:link w:val="SubtitleChar"/>
    <w:uiPriority w:val="11"/>
    <w:qFormat/>
    <w:rsid w:val="00EB0BE9"/>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EB0BE9"/>
    <w:rPr>
      <w:rFonts w:asciiTheme="majorHAnsi" w:eastAsiaTheme="majorEastAsia" w:hAnsiTheme="majorHAnsi" w:cstheme="majorBidi"/>
      <w:b/>
      <w:sz w:val="28"/>
      <w:szCs w:val="24"/>
      <w:lang w:val="en-GB" w:eastAsia="en-GB"/>
    </w:rPr>
  </w:style>
  <w:style w:type="paragraph" w:customStyle="1" w:styleId="02Date">
    <w:name w:val="02_Date"/>
    <w:basedOn w:val="Normal"/>
    <w:rsid w:val="00EB0BE9"/>
    <w:pPr>
      <w:spacing w:line="220" w:lineRule="exact"/>
    </w:pPr>
    <w:rPr>
      <w:rFonts w:ascii="Georgia" w:hAnsi="Georgia"/>
      <w:sz w:val="17"/>
      <w:lang w:eastAsia="de-DE"/>
    </w:rPr>
  </w:style>
  <w:style w:type="character" w:styleId="Hyperlink">
    <w:name w:val="Hyperlink"/>
    <w:basedOn w:val="DefaultParagraphFont"/>
    <w:uiPriority w:val="99"/>
    <w:unhideWhenUsed/>
    <w:rsid w:val="00EB0BE9"/>
    <w:rPr>
      <w:color w:val="0563C1" w:themeColor="hyperlink"/>
      <w:u w:val="single"/>
    </w:rPr>
  </w:style>
  <w:style w:type="paragraph" w:customStyle="1" w:styleId="Questionstyle">
    <w:name w:val="Question style"/>
    <w:basedOn w:val="Normal"/>
    <w:next w:val="Normal"/>
    <w:link w:val="QuestionstyleChar"/>
    <w:autoRedefine/>
    <w:qFormat/>
    <w:rsid w:val="00EB0BE9"/>
    <w:pPr>
      <w:numPr>
        <w:numId w:val="3"/>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EB0BE9"/>
    <w:rPr>
      <w:rFonts w:eastAsia="Times New Roman" w:cstheme="minorHAnsi"/>
      <w:lang w:val="en-GB"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EB0BE9"/>
    <w:rPr>
      <w:rFonts w:eastAsiaTheme="majorEastAsia" w:cstheme="minorHAnsi"/>
      <w:lang w:val="en-GB" w:eastAsia="en-GB"/>
    </w:rPr>
  </w:style>
  <w:style w:type="paragraph" w:customStyle="1" w:styleId="Default">
    <w:name w:val="Default"/>
    <w:rsid w:val="001458C5"/>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BB3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B7"/>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3B6A8E"/>
    <w:rPr>
      <w:sz w:val="16"/>
      <w:szCs w:val="16"/>
    </w:rPr>
  </w:style>
  <w:style w:type="paragraph" w:styleId="CommentText">
    <w:name w:val="annotation text"/>
    <w:basedOn w:val="Normal"/>
    <w:link w:val="CommentTextChar"/>
    <w:uiPriority w:val="99"/>
    <w:semiHidden/>
    <w:unhideWhenUsed/>
    <w:rsid w:val="003B6A8E"/>
    <w:rPr>
      <w:sz w:val="20"/>
      <w:szCs w:val="20"/>
    </w:rPr>
  </w:style>
  <w:style w:type="character" w:customStyle="1" w:styleId="CommentTextChar">
    <w:name w:val="Comment Text Char"/>
    <w:basedOn w:val="DefaultParagraphFont"/>
    <w:link w:val="CommentText"/>
    <w:uiPriority w:val="99"/>
    <w:semiHidden/>
    <w:rsid w:val="003B6A8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B6A8E"/>
    <w:rPr>
      <w:b/>
      <w:bCs/>
    </w:rPr>
  </w:style>
  <w:style w:type="character" w:customStyle="1" w:styleId="CommentSubjectChar">
    <w:name w:val="Comment Subject Char"/>
    <w:basedOn w:val="CommentTextChar"/>
    <w:link w:val="CommentSubject"/>
    <w:uiPriority w:val="99"/>
    <w:semiHidden/>
    <w:rsid w:val="003B6A8E"/>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3B6A8E"/>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70716">
      <w:bodyDiv w:val="1"/>
      <w:marLeft w:val="0"/>
      <w:marRight w:val="0"/>
      <w:marTop w:val="0"/>
      <w:marBottom w:val="0"/>
      <w:divBdr>
        <w:top w:val="none" w:sz="0" w:space="0" w:color="auto"/>
        <w:left w:val="none" w:sz="0" w:space="0" w:color="auto"/>
        <w:bottom w:val="none" w:sz="0" w:space="0" w:color="auto"/>
        <w:right w:val="none" w:sz="0" w:space="0" w:color="auto"/>
      </w:divBdr>
      <w:divsChild>
        <w:div w:id="199190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nazMwMTwvVXNlck5hbWU+PERhdGVUaW1lPjEwLjAzLjIwMjAgMDg6MjM6NDE8L0RhdGVUaW1lPjxMYWJlbFN0cmluZz5JbnRlcm5hbDwvTGFiZWxTdHJpbmc+PC9pdGVtPjwvbGFiZWxIaXN0b3J5Pg==</Value>
</WrappedLabelHistory>
</file>

<file path=customXml/item2.xml><?xml version="1.0" encoding="utf-8"?>
<p:properties xmlns:p="http://schemas.microsoft.com/office/2006/metadata/properties" xmlns:xsi="http://www.w3.org/2001/XMLSchema-instance" xmlns:pc="http://schemas.microsoft.com/office/infopath/2007/PartnerControls">
  <documentManagement>
    <SharedWithUsers xmlns="fcc4fadd-6ea7-4b6d-b748-d725d2c8f1ac">
      <UserInfo>
        <DisplayName>Jason Chelle</DisplayName>
        <AccountId>377</AccountId>
        <AccountType/>
      </UserInfo>
      <UserInfo>
        <DisplayName>Markus Zellmann</DisplayName>
        <AccountId>97</AccountId>
        <AccountType/>
      </UserInfo>
      <UserInfo>
        <DisplayName>Michael Hyzik</DisplayName>
        <AccountId>312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019D827A325F49A08899CBF03CCF79" ma:contentTypeVersion="1" ma:contentTypeDescription="Create a new document." ma:contentTypeScope="" ma:versionID="6454d3ffd338420e5cfd1113a6ae41b2">
  <xsd:schema xmlns:xsd="http://www.w3.org/2001/XMLSchema" xmlns:xs="http://www.w3.org/2001/XMLSchema" xmlns:p="http://schemas.microsoft.com/office/2006/metadata/properties" xmlns:ns2="fcc4fadd-6ea7-4b6d-b748-d725d2c8f1ac" targetNamespace="http://schemas.microsoft.com/office/2006/metadata/properties" ma:root="true" ma:fieldsID="113307f708ea46493d69c83d7e582984" ns2:_="">
    <xsd:import namespace="fcc4fadd-6ea7-4b6d-b748-d725d2c8f1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4fadd-6ea7-4b6d-b748-d725d2c8f1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Props1.xml><?xml version="1.0" encoding="utf-8"?>
<ds:datastoreItem xmlns:ds="http://schemas.openxmlformats.org/officeDocument/2006/customXml" ds:itemID="{BBBE57E5-46ED-48BC-BD94-F555C6C87E8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522784C-4A32-41E4-BC8D-16F099034588}">
  <ds:schemaRefs>
    <ds:schemaRef ds:uri="http://schemas.microsoft.com/office/2006/metadata/properties"/>
    <ds:schemaRef ds:uri="http://schemas.microsoft.com/office/infopath/2007/PartnerControls"/>
    <ds:schemaRef ds:uri="fcc4fadd-6ea7-4b6d-b748-d725d2c8f1ac"/>
  </ds:schemaRefs>
</ds:datastoreItem>
</file>

<file path=customXml/itemProps3.xml><?xml version="1.0" encoding="utf-8"?>
<ds:datastoreItem xmlns:ds="http://schemas.openxmlformats.org/officeDocument/2006/customXml" ds:itemID="{E28F1C8C-B7AC-4FE7-BCEE-D1246E8C80CD}">
  <ds:schemaRefs>
    <ds:schemaRef ds:uri="http://schemas.microsoft.com/sharepoint/v3/contenttype/forms"/>
  </ds:schemaRefs>
</ds:datastoreItem>
</file>

<file path=customXml/itemProps4.xml><?xml version="1.0" encoding="utf-8"?>
<ds:datastoreItem xmlns:ds="http://schemas.openxmlformats.org/officeDocument/2006/customXml" ds:itemID="{CE7A0202-7F7F-4535-927D-D4419BA0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4fadd-6ea7-4b6d-b748-d725d2c8f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8E5F6-333C-4985-99CA-0953D2635D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Kleinert</dc:creator>
  <cp:keywords/>
  <dc:description/>
  <cp:lastModifiedBy>Filip Vanura</cp:lastModifiedBy>
  <cp:revision>27</cp:revision>
  <dcterms:created xsi:type="dcterms:W3CDTF">2020-04-21T08:09:00Z</dcterms:created>
  <dcterms:modified xsi:type="dcterms:W3CDTF">2020-06-08T16:17:00Z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b7add071-e7cd-4832-ac66-ec16ac14eb59</vt:lpwstr>
  </property>
  <property fmtid="{D5CDD505-2E9C-101B-9397-08002B2CF9AE}" pid="3" name="bjSaver">
    <vt:lpwstr>UlzfscqispnKVqRNU6OjatZeWVKxBk38</vt:lpwstr>
  </property>
  <property fmtid="{D5CDD505-2E9C-101B-9397-08002B2CF9AE}" pid="4" name="bjLabelHistoryID">
    <vt:lpwstr>{BBBE57E5-46ED-48BC-BD94-F555C6C87E8F}</vt:lpwstr>
  </property>
  <property fmtid="{D5CDD505-2E9C-101B-9397-08002B2CF9AE}" pid="5" name="ContentTypeId">
    <vt:lpwstr>0x010100DB019D827A325F49A08899CBF03CCF79</vt:lpwstr>
  </property>
  <property fmtid="{D5CDD505-2E9C-101B-9397-08002B2CF9AE}" pid="6"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7" name="bjDocumentLabelXML-0">
    <vt:lpwstr>ames.com/2008/01/sie/internal/label"&gt;&lt;element uid="id_classification_internalonly" value="" /&gt;&lt;/sisl&gt;</vt:lpwstr>
  </property>
  <property fmtid="{D5CDD505-2E9C-101B-9397-08002B2CF9AE}" pid="8" name="bjDocumentSecurityLabel">
    <vt:lpwstr>Internal</vt:lpwstr>
  </property>
  <property fmtid="{D5CDD505-2E9C-101B-9397-08002B2CF9AE}" pid="9" name="DBG_Classification_ID">
    <vt:lpwstr>2</vt:lpwstr>
  </property>
  <property fmtid="{D5CDD505-2E9C-101B-9397-08002B2CF9AE}" pid="10" name="DBG_Classification_Name">
    <vt:lpwstr>Internal</vt:lpwstr>
  </property>
</Properties>
</file>