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14026B9" w:rsidR="00C85C8B" w:rsidRPr="00C85C8B" w:rsidRDefault="00762327" w:rsidP="00762327">
                <w:pPr>
                  <w:rPr>
                    <w:rFonts w:ascii="Arial" w:hAnsi="Arial" w:cs="Arial"/>
                    <w:color w:val="808080"/>
                    <w:sz w:val="20"/>
                    <w:lang w:eastAsia="de-DE"/>
                  </w:rPr>
                </w:pPr>
                <w:r>
                  <w:rPr>
                    <w:rFonts w:ascii="Arial" w:hAnsi="Arial" w:cs="Arial"/>
                    <w:color w:val="808080"/>
                    <w:sz w:val="20"/>
                    <w:lang w:eastAsia="de-DE"/>
                  </w:rPr>
                  <w:t>S&amp;P Dow Jones Indices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AE0A9D7" w:rsidR="00C85C8B" w:rsidRPr="00C85C8B" w:rsidRDefault="007D26E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2327">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54759C1" w:rsidR="00C85C8B" w:rsidRPr="00C85C8B" w:rsidRDefault="00762327" w:rsidP="00C85C8B">
                <w:pPr>
                  <w:rPr>
                    <w:rFonts w:ascii="Arial" w:hAnsi="Arial" w:cs="Arial"/>
                    <w:sz w:val="20"/>
                    <w:lang w:eastAsia="de-DE"/>
                  </w:rPr>
                </w:pPr>
                <w:r>
                  <w:rPr>
                    <w:rFonts w:ascii="Arial" w:hAnsi="Arial" w:cs="Arial"/>
                    <w:sz w:val="20"/>
                    <w:lang w:eastAsia="de-DE"/>
                  </w:rPr>
                  <w:t>North-America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22E8CF04" w14:textId="77777777" w:rsidR="00762327" w:rsidRPr="00762327" w:rsidRDefault="00762327" w:rsidP="00762327">
      <w:pPr>
        <w:jc w:val="both"/>
        <w:rPr>
          <w:rFonts w:ascii="Arial" w:hAnsi="Arial" w:cs="Arial"/>
        </w:rPr>
      </w:pPr>
      <w:permStart w:id="885457707" w:edGrp="everyone"/>
      <w:r w:rsidRPr="00762327">
        <w:rPr>
          <w:rFonts w:ascii="Arial" w:hAnsi="Arial" w:cs="Arial"/>
        </w:rPr>
        <w:t xml:space="preserve">S&amp;P Dow Jones Indices (S&amp;P DJI) welcomes the opportunity to comment on the European Securities and Markets Authority’s (ESMA) draft regulatory and technical standards under Regulation (EU) 2016/2011 (Regulation or BMR) and Regulation (EU) 2019/2175.   In addition, we would welcome an opportunity to engage with ESMA to discuss the BMR and the benchmark industry more generally.  </w:t>
      </w:r>
    </w:p>
    <w:p w14:paraId="585A9429" w14:textId="77777777" w:rsidR="00762327" w:rsidRPr="00762327" w:rsidRDefault="00762327" w:rsidP="00762327">
      <w:pPr>
        <w:rPr>
          <w:rFonts w:ascii="Arial" w:hAnsi="Arial" w:cs="Arial"/>
          <w:b/>
        </w:rPr>
      </w:pPr>
    </w:p>
    <w:p w14:paraId="25F2BC37" w14:textId="69E8C10D" w:rsidR="00762327" w:rsidRPr="00762327" w:rsidRDefault="00762327" w:rsidP="00762327">
      <w:pPr>
        <w:rPr>
          <w:rFonts w:ascii="Arial" w:hAnsi="Arial" w:cs="Arial"/>
        </w:rPr>
      </w:pPr>
      <w:r w:rsidRPr="00762327">
        <w:rPr>
          <w:rFonts w:ascii="Arial" w:hAnsi="Arial" w:cs="Arial"/>
        </w:rPr>
        <w:t>Given the opportunity to provide comments on the BMR to ESMA we would also like to address a number of persistent issues that we believe ESMA can help play an active part in resolving. We would welcome dialogue on these points with ESMA in the context of the scheduled legislative review</w:t>
      </w:r>
      <w:r w:rsidR="00026247">
        <w:rPr>
          <w:rFonts w:ascii="Arial" w:hAnsi="Arial" w:cs="Arial"/>
        </w:rPr>
        <w:t xml:space="preserve"> of the BMR</w:t>
      </w:r>
      <w:r w:rsidRPr="00762327">
        <w:rPr>
          <w:rFonts w:ascii="Arial" w:hAnsi="Arial" w:cs="Arial"/>
        </w:rPr>
        <w:t xml:space="preserve">.  </w:t>
      </w:r>
    </w:p>
    <w:p w14:paraId="6C2B6338" w14:textId="77777777" w:rsidR="00762327" w:rsidRPr="00762327" w:rsidRDefault="00762327" w:rsidP="00762327">
      <w:pPr>
        <w:rPr>
          <w:rFonts w:ascii="Arial" w:hAnsi="Arial" w:cs="Arial"/>
          <w:b/>
        </w:rPr>
      </w:pPr>
    </w:p>
    <w:p w14:paraId="578A41FF" w14:textId="77777777" w:rsidR="00762327" w:rsidRPr="00762327" w:rsidRDefault="00762327" w:rsidP="00762327">
      <w:pPr>
        <w:jc w:val="both"/>
        <w:rPr>
          <w:rFonts w:ascii="Arial" w:hAnsi="Arial" w:cs="Arial"/>
        </w:rPr>
      </w:pPr>
      <w:r w:rsidRPr="00762327">
        <w:rPr>
          <w:rFonts w:ascii="Arial" w:hAnsi="Arial" w:cs="Arial"/>
        </w:rPr>
        <w:t xml:space="preserve">The BMR entered into application across the EU on 1 January 2018.  The BMR was implemented, primarily in response to the manipulation and inherent conflicts of interest with specific interest rate benchmarks.  However, the scope of the BMR is significantly broader, affecting an enormous number of benchmarks, most of which do not pose systemic or material risks.  The considerable scope of the BMR, combined with its extraterritorial reach, has resulted in a substantial compliance burden for administrators, users, and contributors alike.  </w:t>
      </w:r>
    </w:p>
    <w:p w14:paraId="6E12A7C7" w14:textId="77777777" w:rsidR="00762327" w:rsidRPr="00762327" w:rsidRDefault="00762327" w:rsidP="00762327">
      <w:pPr>
        <w:jc w:val="both"/>
        <w:rPr>
          <w:rFonts w:ascii="Arial" w:hAnsi="Arial" w:cs="Arial"/>
        </w:rPr>
      </w:pPr>
    </w:p>
    <w:p w14:paraId="5CBB7CD2" w14:textId="77777777" w:rsidR="00762327" w:rsidRPr="00762327" w:rsidRDefault="00762327" w:rsidP="00762327">
      <w:pPr>
        <w:jc w:val="both"/>
        <w:rPr>
          <w:rFonts w:ascii="Arial" w:hAnsi="Arial" w:cs="Arial"/>
        </w:rPr>
      </w:pPr>
      <w:r w:rsidRPr="00762327">
        <w:rPr>
          <w:rFonts w:ascii="Arial" w:hAnsi="Arial" w:cs="Arial"/>
        </w:rPr>
        <w:t xml:space="preserve">Significant issues persist and hamper administrators and users from implementing the requirements of the BMR effectively, for example: </w:t>
      </w:r>
    </w:p>
    <w:p w14:paraId="1FB06420" w14:textId="77777777" w:rsidR="00762327" w:rsidRPr="00762327" w:rsidRDefault="00762327" w:rsidP="00762327">
      <w:pPr>
        <w:jc w:val="both"/>
        <w:rPr>
          <w:rFonts w:ascii="Arial" w:hAnsi="Arial" w:cs="Arial"/>
        </w:rPr>
      </w:pPr>
    </w:p>
    <w:p w14:paraId="4CFDDF50" w14:textId="77777777" w:rsidR="00762327" w:rsidRPr="00762327" w:rsidRDefault="00762327" w:rsidP="00762327">
      <w:pPr>
        <w:pStyle w:val="ListParagraph"/>
        <w:numPr>
          <w:ilvl w:val="0"/>
          <w:numId w:val="19"/>
        </w:numPr>
        <w:jc w:val="both"/>
        <w:rPr>
          <w:rFonts w:ascii="Arial" w:hAnsi="Arial" w:cs="Arial"/>
          <w:sz w:val="24"/>
          <w:szCs w:val="24"/>
        </w:rPr>
      </w:pPr>
      <w:r w:rsidRPr="00762327">
        <w:rPr>
          <w:rFonts w:ascii="Arial" w:hAnsi="Arial" w:cs="Arial"/>
          <w:sz w:val="24"/>
          <w:szCs w:val="24"/>
        </w:rPr>
        <w:t>The scope is disproportionately broad leading to unnecessary requirements which are excessive in relation  to the risk posed by the majority of benchmarks;</w:t>
      </w:r>
    </w:p>
    <w:p w14:paraId="426CE90A" w14:textId="77777777" w:rsidR="00762327" w:rsidRPr="00762327" w:rsidRDefault="00762327" w:rsidP="00762327">
      <w:pPr>
        <w:pStyle w:val="ListParagraph"/>
        <w:numPr>
          <w:ilvl w:val="0"/>
          <w:numId w:val="19"/>
        </w:numPr>
        <w:jc w:val="both"/>
        <w:rPr>
          <w:rFonts w:ascii="Arial" w:hAnsi="Arial" w:cs="Arial"/>
          <w:sz w:val="24"/>
          <w:szCs w:val="24"/>
        </w:rPr>
      </w:pPr>
      <w:r w:rsidRPr="00762327">
        <w:rPr>
          <w:rFonts w:ascii="Arial" w:hAnsi="Arial" w:cs="Arial"/>
          <w:sz w:val="24"/>
          <w:szCs w:val="24"/>
        </w:rPr>
        <w:lastRenderedPageBreak/>
        <w:t>The extraterritorial scope of the BMR, combined with challenging rules for third country administrators creates an uneven playing-field, which could significantly reduce investment opportunities for EU investors;</w:t>
      </w:r>
    </w:p>
    <w:p w14:paraId="6734EA77" w14:textId="77777777" w:rsidR="00762327" w:rsidRPr="00762327" w:rsidRDefault="00762327" w:rsidP="00762327">
      <w:pPr>
        <w:pStyle w:val="ListParagraph"/>
        <w:numPr>
          <w:ilvl w:val="0"/>
          <w:numId w:val="19"/>
        </w:numPr>
        <w:jc w:val="both"/>
        <w:rPr>
          <w:rFonts w:ascii="Arial" w:hAnsi="Arial" w:cs="Arial"/>
          <w:sz w:val="24"/>
          <w:szCs w:val="24"/>
        </w:rPr>
      </w:pPr>
      <w:r w:rsidRPr="00762327">
        <w:rPr>
          <w:rFonts w:ascii="Arial" w:hAnsi="Arial" w:cs="Arial"/>
          <w:sz w:val="24"/>
          <w:szCs w:val="24"/>
        </w:rPr>
        <w:t>The introduction of bureaucratic and duplicative disclosure requirements (benchmark statements) is a further cost and could act as a barrier to entry for this market;</w:t>
      </w:r>
    </w:p>
    <w:p w14:paraId="7413BC28" w14:textId="4BC83CB7" w:rsidR="00762327" w:rsidRPr="00762327" w:rsidRDefault="00762327" w:rsidP="00762327">
      <w:pPr>
        <w:pStyle w:val="ListParagraph"/>
        <w:numPr>
          <w:ilvl w:val="0"/>
          <w:numId w:val="19"/>
        </w:numPr>
        <w:jc w:val="both"/>
        <w:rPr>
          <w:rFonts w:ascii="Arial" w:hAnsi="Arial" w:cs="Arial"/>
          <w:sz w:val="24"/>
          <w:szCs w:val="24"/>
        </w:rPr>
      </w:pPr>
      <w:r w:rsidRPr="00762327">
        <w:rPr>
          <w:rFonts w:ascii="Arial" w:hAnsi="Arial" w:cs="Arial"/>
          <w:sz w:val="24"/>
          <w:szCs w:val="24"/>
        </w:rPr>
        <w:t>The inability for key benchmark classifications (i.e. regulated data benchmarks) to be used in practice h</w:t>
      </w:r>
      <w:r w:rsidR="00A31FB4">
        <w:rPr>
          <w:rFonts w:ascii="Arial" w:hAnsi="Arial" w:cs="Arial"/>
          <w:sz w:val="24"/>
          <w:szCs w:val="24"/>
        </w:rPr>
        <w:t>as prevented the application of</w:t>
      </w:r>
      <w:r w:rsidRPr="00762327">
        <w:rPr>
          <w:rFonts w:ascii="Arial" w:hAnsi="Arial" w:cs="Arial"/>
          <w:sz w:val="24"/>
          <w:szCs w:val="24"/>
        </w:rPr>
        <w:t xml:space="preserve"> the proportionality intended by the co-legislators, which adds to significant confusion among benchmark users; and</w:t>
      </w:r>
    </w:p>
    <w:p w14:paraId="34263E12" w14:textId="3D1DF2DD" w:rsidR="00762327" w:rsidRPr="00762327" w:rsidRDefault="00762327" w:rsidP="00762327">
      <w:pPr>
        <w:pStyle w:val="ListParagraph"/>
        <w:numPr>
          <w:ilvl w:val="0"/>
          <w:numId w:val="19"/>
        </w:numPr>
        <w:jc w:val="both"/>
        <w:rPr>
          <w:rFonts w:ascii="Arial" w:hAnsi="Arial" w:cs="Arial"/>
          <w:sz w:val="24"/>
          <w:szCs w:val="24"/>
        </w:rPr>
      </w:pPr>
      <w:r w:rsidRPr="00762327">
        <w:rPr>
          <w:rFonts w:ascii="Arial" w:hAnsi="Arial" w:cs="Arial"/>
          <w:sz w:val="24"/>
          <w:szCs w:val="24"/>
        </w:rPr>
        <w:t>The impractical, ext</w:t>
      </w:r>
      <w:r w:rsidR="00C66910">
        <w:rPr>
          <w:rFonts w:ascii="Arial" w:hAnsi="Arial" w:cs="Arial"/>
          <w:sz w:val="24"/>
          <w:szCs w:val="24"/>
        </w:rPr>
        <w:t>ensive, and onerous obligations,</w:t>
      </w:r>
      <w:r w:rsidRPr="00762327">
        <w:rPr>
          <w:rFonts w:ascii="Arial" w:hAnsi="Arial" w:cs="Arial"/>
          <w:sz w:val="24"/>
          <w:szCs w:val="24"/>
        </w:rPr>
        <w:t xml:space="preserve"> particularly those related to outsourcing create technical barriers to the functioning of benchmark provision.  </w:t>
      </w:r>
    </w:p>
    <w:p w14:paraId="3A2815FA" w14:textId="77777777" w:rsidR="00762327" w:rsidRPr="00762327" w:rsidRDefault="00762327" w:rsidP="00762327">
      <w:pPr>
        <w:jc w:val="both"/>
        <w:rPr>
          <w:rFonts w:ascii="Arial" w:hAnsi="Arial" w:cs="Arial"/>
        </w:rPr>
      </w:pPr>
    </w:p>
    <w:p w14:paraId="2EDFDEB4" w14:textId="36E05FE1" w:rsidR="00762327" w:rsidRPr="00762327" w:rsidRDefault="00762327" w:rsidP="00762327">
      <w:pPr>
        <w:jc w:val="both"/>
        <w:rPr>
          <w:rFonts w:ascii="Arial" w:hAnsi="Arial" w:cs="Arial"/>
        </w:rPr>
      </w:pPr>
      <w:r w:rsidRPr="00762327">
        <w:rPr>
          <w:rFonts w:ascii="Arial" w:hAnsi="Arial" w:cs="Arial"/>
        </w:rPr>
        <w:t>In addition, there have been a high number of legislative amendments</w:t>
      </w:r>
      <w:r w:rsidR="00C66910">
        <w:rPr>
          <w:rFonts w:ascii="Arial" w:hAnsi="Arial" w:cs="Arial"/>
        </w:rPr>
        <w:t xml:space="preserve"> with limited consultation</w:t>
      </w:r>
      <w:r w:rsidRPr="00762327">
        <w:rPr>
          <w:rFonts w:ascii="Arial" w:hAnsi="Arial" w:cs="Arial"/>
        </w:rPr>
        <w:t xml:space="preserve"> dur</w:t>
      </w:r>
      <w:r w:rsidR="00C66910">
        <w:rPr>
          <w:rFonts w:ascii="Arial" w:hAnsi="Arial" w:cs="Arial"/>
        </w:rPr>
        <w:t xml:space="preserve">ing the short life of the BMR. </w:t>
      </w:r>
      <w:r w:rsidRPr="00762327">
        <w:rPr>
          <w:rFonts w:ascii="Arial" w:hAnsi="Arial" w:cs="Arial"/>
        </w:rPr>
        <w:t xml:space="preserve">The amendments have simultaneously introduced greater and additional disproportionate burdens on administrators, whilst failing to address some of the fundamental issues described above.  Despite repeated calls for these issues to be addressed they remain unresolved. As a result, the regulatory environment for benchmarks in the EU is becoming increasingly challenging with negative effects for the Capital Markets Union and </w:t>
      </w:r>
      <w:r w:rsidR="00C66910">
        <w:rPr>
          <w:rFonts w:ascii="Arial" w:hAnsi="Arial" w:cs="Arial"/>
        </w:rPr>
        <w:t xml:space="preserve">for </w:t>
      </w:r>
      <w:r w:rsidRPr="00762327">
        <w:rPr>
          <w:rFonts w:ascii="Arial" w:hAnsi="Arial" w:cs="Arial"/>
        </w:rPr>
        <w:t>investment opportunities</w:t>
      </w:r>
      <w:r w:rsidR="00026247">
        <w:rPr>
          <w:rFonts w:ascii="Arial" w:hAnsi="Arial" w:cs="Arial"/>
        </w:rPr>
        <w:t>,</w:t>
      </w:r>
      <w:r w:rsidRPr="00762327">
        <w:rPr>
          <w:rFonts w:ascii="Arial" w:hAnsi="Arial" w:cs="Arial"/>
        </w:rPr>
        <w:t xml:space="preserve"> such as the inabilit</w:t>
      </w:r>
      <w:r w:rsidR="00026247">
        <w:rPr>
          <w:rFonts w:ascii="Arial" w:hAnsi="Arial" w:cs="Arial"/>
        </w:rPr>
        <w:t>y to access global benchmarks.</w:t>
      </w:r>
    </w:p>
    <w:p w14:paraId="5D6F72C9" w14:textId="77777777" w:rsidR="00762327" w:rsidRPr="00762327" w:rsidRDefault="00762327" w:rsidP="00762327">
      <w:pPr>
        <w:jc w:val="both"/>
        <w:rPr>
          <w:rFonts w:ascii="Arial" w:hAnsi="Arial" w:cs="Arial"/>
        </w:rPr>
      </w:pPr>
    </w:p>
    <w:p w14:paraId="0149ADF2" w14:textId="487EEE49" w:rsidR="00762327" w:rsidRPr="00762327" w:rsidRDefault="00762327" w:rsidP="00762327">
      <w:pPr>
        <w:jc w:val="both"/>
        <w:rPr>
          <w:rFonts w:ascii="Arial" w:hAnsi="Arial" w:cs="Arial"/>
        </w:rPr>
      </w:pPr>
      <w:r w:rsidRPr="00762327">
        <w:rPr>
          <w:rFonts w:ascii="Arial" w:hAnsi="Arial" w:cs="Arial"/>
        </w:rPr>
        <w:t>In order to illustrate the instability of the BMR and its consistent migration away from the original intent of the legislation we provide a list of significant changes, which have been introduced with diminishing consultation with the index industry:</w:t>
      </w:r>
    </w:p>
    <w:p w14:paraId="5ECBC891" w14:textId="77777777" w:rsidR="00762327" w:rsidRPr="00762327" w:rsidRDefault="00762327" w:rsidP="00762327">
      <w:pPr>
        <w:jc w:val="both"/>
        <w:rPr>
          <w:rFonts w:ascii="Arial" w:hAnsi="Arial" w:cs="Arial"/>
        </w:rPr>
      </w:pPr>
    </w:p>
    <w:p w14:paraId="02A2C4EE" w14:textId="39E22C2A" w:rsidR="00762327" w:rsidRPr="00762327" w:rsidRDefault="00762327" w:rsidP="00762327">
      <w:pPr>
        <w:pStyle w:val="ListParagraph"/>
        <w:rPr>
          <w:sz w:val="24"/>
          <w:szCs w:val="24"/>
        </w:rPr>
      </w:pPr>
      <w:r w:rsidRPr="00762327">
        <w:rPr>
          <w:b/>
          <w:sz w:val="24"/>
          <w:szCs w:val="24"/>
        </w:rPr>
        <w:t>June 2016</w:t>
      </w:r>
      <w:r w:rsidRPr="00762327">
        <w:rPr>
          <w:sz w:val="24"/>
          <w:szCs w:val="24"/>
        </w:rPr>
        <w:t xml:space="preserve"> - BMR </w:t>
      </w:r>
      <w:r w:rsidR="00E87467">
        <w:rPr>
          <w:sz w:val="24"/>
          <w:szCs w:val="24"/>
        </w:rPr>
        <w:t>L</w:t>
      </w:r>
      <w:r w:rsidRPr="00762327">
        <w:rPr>
          <w:sz w:val="24"/>
          <w:szCs w:val="24"/>
        </w:rPr>
        <w:t>evel 1 enacted;</w:t>
      </w:r>
    </w:p>
    <w:p w14:paraId="396991CA" w14:textId="6E359A6D" w:rsidR="00762327" w:rsidRPr="00762327" w:rsidRDefault="00762327" w:rsidP="00762327">
      <w:pPr>
        <w:pStyle w:val="ListParagraph"/>
        <w:rPr>
          <w:sz w:val="24"/>
          <w:szCs w:val="24"/>
        </w:rPr>
      </w:pPr>
      <w:r w:rsidRPr="00762327">
        <w:rPr>
          <w:b/>
          <w:sz w:val="24"/>
          <w:szCs w:val="24"/>
        </w:rPr>
        <w:t>July 2018</w:t>
      </w:r>
      <w:r w:rsidRPr="00762327">
        <w:rPr>
          <w:sz w:val="24"/>
          <w:szCs w:val="24"/>
        </w:rPr>
        <w:t xml:space="preserve"> – Final Regulatory Technical Standards published.  The RTS were published late and included significant changes from the draft RTS published by ESMA.</w:t>
      </w:r>
      <w:r>
        <w:rPr>
          <w:sz w:val="24"/>
          <w:szCs w:val="24"/>
        </w:rPr>
        <w:t xml:space="preserve">  There was no</w:t>
      </w:r>
      <w:r w:rsidRPr="00762327">
        <w:rPr>
          <w:sz w:val="24"/>
          <w:szCs w:val="24"/>
        </w:rPr>
        <w:t xml:space="preserve"> consultation</w:t>
      </w:r>
      <w:r>
        <w:rPr>
          <w:sz w:val="24"/>
          <w:szCs w:val="24"/>
        </w:rPr>
        <w:t xml:space="preserve"> on the proposed changes</w:t>
      </w:r>
      <w:r w:rsidRPr="00762327">
        <w:rPr>
          <w:sz w:val="24"/>
          <w:szCs w:val="24"/>
        </w:rPr>
        <w:t xml:space="preserve">; </w:t>
      </w:r>
    </w:p>
    <w:p w14:paraId="220AC19F" w14:textId="3B3F9CBF" w:rsidR="00762327" w:rsidRPr="00762327" w:rsidRDefault="00762327" w:rsidP="00762327">
      <w:pPr>
        <w:pStyle w:val="ListParagraph"/>
        <w:rPr>
          <w:sz w:val="24"/>
          <w:szCs w:val="24"/>
        </w:rPr>
      </w:pPr>
      <w:r w:rsidRPr="00762327">
        <w:rPr>
          <w:b/>
          <w:sz w:val="24"/>
          <w:szCs w:val="24"/>
        </w:rPr>
        <w:t>November 2019</w:t>
      </w:r>
      <w:r w:rsidRPr="00762327">
        <w:rPr>
          <w:sz w:val="24"/>
          <w:szCs w:val="24"/>
        </w:rPr>
        <w:t xml:space="preserve"> – Amendments to the BMR to introduce Climate Benchmarks and ESG Disclosure. There was no consultation on these changes;</w:t>
      </w:r>
    </w:p>
    <w:p w14:paraId="11B2A3B7" w14:textId="28FE21D5" w:rsidR="00762327" w:rsidRPr="00762327" w:rsidRDefault="00762327" w:rsidP="00762327">
      <w:pPr>
        <w:pStyle w:val="ListParagraph"/>
        <w:rPr>
          <w:sz w:val="24"/>
          <w:szCs w:val="24"/>
        </w:rPr>
      </w:pPr>
      <w:r w:rsidRPr="00762327">
        <w:rPr>
          <w:b/>
          <w:sz w:val="24"/>
          <w:szCs w:val="24"/>
        </w:rPr>
        <w:t>December 2019</w:t>
      </w:r>
      <w:r w:rsidRPr="00762327">
        <w:rPr>
          <w:sz w:val="24"/>
          <w:szCs w:val="24"/>
        </w:rPr>
        <w:t xml:space="preserve"> – Regulation 2019/2175 – Amendments to the BMR following the ESA Review;</w:t>
      </w:r>
    </w:p>
    <w:p w14:paraId="0D3F6ABE" w14:textId="4359B06A" w:rsidR="00762327" w:rsidRPr="00762327" w:rsidRDefault="00762327" w:rsidP="00762327">
      <w:pPr>
        <w:pStyle w:val="ListParagraph"/>
        <w:rPr>
          <w:sz w:val="24"/>
          <w:szCs w:val="24"/>
        </w:rPr>
      </w:pPr>
      <w:r w:rsidRPr="00762327">
        <w:rPr>
          <w:b/>
          <w:sz w:val="24"/>
          <w:szCs w:val="24"/>
        </w:rPr>
        <w:t>December 2019</w:t>
      </w:r>
      <w:r w:rsidRPr="00762327">
        <w:rPr>
          <w:sz w:val="24"/>
          <w:szCs w:val="24"/>
        </w:rPr>
        <w:t xml:space="preserve"> – Review of BMR. There was no consultation on these changes;</w:t>
      </w:r>
    </w:p>
    <w:p w14:paraId="54EEA488" w14:textId="7F109140" w:rsidR="00762327" w:rsidRPr="00762327" w:rsidRDefault="00762327" w:rsidP="00762327">
      <w:pPr>
        <w:pStyle w:val="ListParagraph"/>
        <w:rPr>
          <w:sz w:val="24"/>
          <w:szCs w:val="24"/>
        </w:rPr>
      </w:pPr>
      <w:r w:rsidRPr="00762327">
        <w:rPr>
          <w:b/>
          <w:sz w:val="24"/>
          <w:szCs w:val="24"/>
        </w:rPr>
        <w:t>April 2020</w:t>
      </w:r>
      <w:r w:rsidRPr="00762327">
        <w:rPr>
          <w:sz w:val="24"/>
          <w:szCs w:val="24"/>
        </w:rPr>
        <w:t xml:space="preserve"> – </w:t>
      </w:r>
      <w:r>
        <w:rPr>
          <w:sz w:val="24"/>
          <w:szCs w:val="24"/>
        </w:rPr>
        <w:t xml:space="preserve">Publication of </w:t>
      </w:r>
      <w:r w:rsidRPr="00762327">
        <w:rPr>
          <w:sz w:val="24"/>
          <w:szCs w:val="24"/>
        </w:rPr>
        <w:t>Draft Delegated Acts – climate benchmarks and ESG disclosure;</w:t>
      </w:r>
    </w:p>
    <w:p w14:paraId="622AE75F" w14:textId="56FD72A3" w:rsidR="00762327" w:rsidRPr="00762327" w:rsidRDefault="00762327" w:rsidP="00762327">
      <w:pPr>
        <w:pStyle w:val="ListParagraph"/>
        <w:rPr>
          <w:sz w:val="24"/>
          <w:szCs w:val="24"/>
        </w:rPr>
      </w:pPr>
      <w:r w:rsidRPr="00762327">
        <w:rPr>
          <w:b/>
          <w:sz w:val="24"/>
          <w:szCs w:val="24"/>
        </w:rPr>
        <w:t>April 2020</w:t>
      </w:r>
      <w:r w:rsidRPr="00762327">
        <w:rPr>
          <w:sz w:val="24"/>
          <w:szCs w:val="24"/>
        </w:rPr>
        <w:t xml:space="preserve"> – ESMA No Action Letter due to the Delegated Acts not being finalised on time;</w:t>
      </w:r>
    </w:p>
    <w:p w14:paraId="22FB0BEB" w14:textId="3006FCA2" w:rsidR="00762327" w:rsidRPr="00762327" w:rsidRDefault="00762327" w:rsidP="00762327">
      <w:pPr>
        <w:pStyle w:val="ListParagraph"/>
        <w:rPr>
          <w:sz w:val="24"/>
          <w:szCs w:val="24"/>
        </w:rPr>
      </w:pPr>
      <w:r w:rsidRPr="00762327">
        <w:rPr>
          <w:b/>
          <w:sz w:val="24"/>
          <w:szCs w:val="24"/>
        </w:rPr>
        <w:t>April 2020</w:t>
      </w:r>
      <w:r w:rsidRPr="00762327">
        <w:rPr>
          <w:sz w:val="24"/>
          <w:szCs w:val="24"/>
        </w:rPr>
        <w:t xml:space="preserve"> – ESMA Consultation – draft regulatory technical standards;</w:t>
      </w:r>
    </w:p>
    <w:p w14:paraId="1404F923" w14:textId="652F2F8E" w:rsidR="00762327" w:rsidRPr="00762327" w:rsidRDefault="00762327" w:rsidP="00762327">
      <w:pPr>
        <w:pStyle w:val="ListParagraph"/>
        <w:rPr>
          <w:sz w:val="24"/>
          <w:szCs w:val="24"/>
        </w:rPr>
      </w:pPr>
      <w:r w:rsidRPr="00762327">
        <w:rPr>
          <w:b/>
          <w:sz w:val="24"/>
          <w:szCs w:val="24"/>
        </w:rPr>
        <w:t>July 2020</w:t>
      </w:r>
      <w:r w:rsidRPr="00762327">
        <w:rPr>
          <w:sz w:val="24"/>
          <w:szCs w:val="24"/>
        </w:rPr>
        <w:t xml:space="preserve"> – </w:t>
      </w:r>
      <w:r w:rsidR="00C66910">
        <w:rPr>
          <w:sz w:val="24"/>
          <w:szCs w:val="24"/>
        </w:rPr>
        <w:t>E</w:t>
      </w:r>
      <w:r w:rsidRPr="00762327">
        <w:rPr>
          <w:sz w:val="24"/>
          <w:szCs w:val="24"/>
        </w:rPr>
        <w:t>xpected</w:t>
      </w:r>
      <w:r w:rsidR="00C66910">
        <w:rPr>
          <w:sz w:val="24"/>
          <w:szCs w:val="24"/>
        </w:rPr>
        <w:t xml:space="preserve"> Level 1</w:t>
      </w:r>
      <w:r w:rsidRPr="00762327">
        <w:rPr>
          <w:sz w:val="24"/>
          <w:szCs w:val="24"/>
        </w:rPr>
        <w:t xml:space="preserve"> amendment of BMR. </w:t>
      </w:r>
    </w:p>
    <w:p w14:paraId="1DD66120" w14:textId="77777777" w:rsidR="00762327" w:rsidRPr="00762327" w:rsidRDefault="00762327" w:rsidP="00762327">
      <w:pPr>
        <w:rPr>
          <w:rFonts w:ascii="Arial" w:hAnsi="Arial" w:cs="Arial"/>
        </w:rPr>
      </w:pPr>
    </w:p>
    <w:p w14:paraId="512D64A3" w14:textId="4E0FFEAB" w:rsidR="00762327" w:rsidRPr="00762327" w:rsidRDefault="00026247" w:rsidP="00762327">
      <w:pPr>
        <w:rPr>
          <w:rFonts w:ascii="Arial" w:hAnsi="Arial" w:cs="Arial"/>
        </w:rPr>
      </w:pPr>
      <w:r>
        <w:rPr>
          <w:rFonts w:ascii="Arial" w:hAnsi="Arial" w:cs="Arial"/>
        </w:rPr>
        <w:t>In this context, w</w:t>
      </w:r>
      <w:r w:rsidR="00762327" w:rsidRPr="00762327">
        <w:rPr>
          <w:rFonts w:ascii="Arial" w:hAnsi="Arial" w:cs="Arial"/>
        </w:rPr>
        <w:t xml:space="preserve">e very much welcome ESMA’s No Action Relief Letter to provide greater certainty to benchmark providers and users of benchmarks with regard to the ESG and Climate Benchmark provisions. </w:t>
      </w:r>
    </w:p>
    <w:p w14:paraId="557A9D9A" w14:textId="77777777" w:rsidR="00762327" w:rsidRPr="00762327" w:rsidRDefault="00762327" w:rsidP="00762327">
      <w:pPr>
        <w:rPr>
          <w:rFonts w:ascii="Arial" w:hAnsi="Arial" w:cs="Arial"/>
        </w:rPr>
      </w:pPr>
    </w:p>
    <w:p w14:paraId="5BFCF55C" w14:textId="77777777" w:rsidR="00762327" w:rsidRPr="00762327" w:rsidRDefault="00762327" w:rsidP="00762327">
      <w:pPr>
        <w:rPr>
          <w:rFonts w:ascii="Arial" w:hAnsi="Arial" w:cs="Arial"/>
          <w:b/>
          <w:u w:val="single"/>
        </w:rPr>
      </w:pPr>
      <w:r w:rsidRPr="00762327">
        <w:rPr>
          <w:rFonts w:ascii="Arial" w:hAnsi="Arial" w:cs="Arial"/>
          <w:b/>
          <w:u w:val="single"/>
        </w:rPr>
        <w:t>Suggested Amendments to the BMR</w:t>
      </w:r>
    </w:p>
    <w:p w14:paraId="125DB127" w14:textId="77777777" w:rsidR="00762327" w:rsidRPr="00762327" w:rsidRDefault="00762327" w:rsidP="00762327">
      <w:pPr>
        <w:rPr>
          <w:rFonts w:ascii="Arial" w:hAnsi="Arial" w:cs="Arial"/>
        </w:rPr>
      </w:pPr>
    </w:p>
    <w:p w14:paraId="2F61D9C5" w14:textId="37E504A2" w:rsidR="00762327" w:rsidRPr="00762327" w:rsidRDefault="00762327" w:rsidP="00762327">
      <w:pPr>
        <w:jc w:val="both"/>
        <w:rPr>
          <w:rFonts w:ascii="Arial" w:hAnsi="Arial" w:cs="Arial"/>
        </w:rPr>
      </w:pPr>
      <w:r w:rsidRPr="00762327">
        <w:rPr>
          <w:rFonts w:ascii="Arial" w:hAnsi="Arial" w:cs="Arial"/>
        </w:rPr>
        <w:lastRenderedPageBreak/>
        <w:t>The scope of the BMR should be clarified and should properly focus</w:t>
      </w:r>
      <w:r w:rsidR="00E87467">
        <w:rPr>
          <w:rFonts w:ascii="Arial" w:hAnsi="Arial" w:cs="Arial"/>
        </w:rPr>
        <w:t xml:space="preserve"> </w:t>
      </w:r>
      <w:r w:rsidRPr="00762327">
        <w:rPr>
          <w:rFonts w:ascii="Arial" w:hAnsi="Arial" w:cs="Arial"/>
        </w:rPr>
        <w:t xml:space="preserve">on systemically important benchmarks that pose the greatest risk of manipulation and conflicts of interest.  Amending the BMR to focus its scope on systemically important benchmarks will strike the correct balance between effective protection of European capital markets, while </w:t>
      </w:r>
      <w:r w:rsidR="00B236C8">
        <w:rPr>
          <w:rFonts w:ascii="Arial" w:hAnsi="Arial" w:cs="Arial"/>
        </w:rPr>
        <w:t xml:space="preserve">also </w:t>
      </w:r>
      <w:r w:rsidRPr="00762327">
        <w:rPr>
          <w:rFonts w:ascii="Arial" w:hAnsi="Arial" w:cs="Arial"/>
        </w:rPr>
        <w:t xml:space="preserve">providing European investors with access to a wide variety of benchmarks that pose little risk of manipulation.  Addressing the overly broad scope would also help lift the significant and disproportionate burden that the BMR currently places on administrators and users.  </w:t>
      </w:r>
    </w:p>
    <w:p w14:paraId="57EC21AC" w14:textId="77777777" w:rsidR="00762327" w:rsidRPr="00762327" w:rsidRDefault="00762327" w:rsidP="00762327">
      <w:pPr>
        <w:rPr>
          <w:rFonts w:ascii="Arial" w:hAnsi="Arial" w:cs="Arial"/>
          <w:b/>
          <w:u w:val="single"/>
        </w:rPr>
      </w:pPr>
    </w:p>
    <w:p w14:paraId="18D4ABCA" w14:textId="77777777" w:rsidR="00762327" w:rsidRPr="00762327" w:rsidRDefault="00762327" w:rsidP="00762327">
      <w:pPr>
        <w:pStyle w:val="ListParagraph"/>
        <w:numPr>
          <w:ilvl w:val="0"/>
          <w:numId w:val="24"/>
        </w:numPr>
        <w:ind w:left="360"/>
        <w:jc w:val="both"/>
        <w:rPr>
          <w:rFonts w:ascii="Arial" w:hAnsi="Arial" w:cs="Arial"/>
          <w:b/>
          <w:sz w:val="24"/>
          <w:szCs w:val="24"/>
          <w:u w:val="single"/>
        </w:rPr>
      </w:pPr>
      <w:r w:rsidRPr="00762327">
        <w:rPr>
          <w:rFonts w:ascii="Arial" w:hAnsi="Arial" w:cs="Arial"/>
          <w:sz w:val="24"/>
          <w:szCs w:val="24"/>
        </w:rPr>
        <w:t xml:space="preserve">Reduce the scope – the BMR should focus on systemically important benchmarks and those which are most at risk of manipulation and / or have conflicts of interest.  Regulated data benchmarks, and other non-critical benchmarks should be removed from the scope. </w:t>
      </w:r>
    </w:p>
    <w:p w14:paraId="31CF11DE" w14:textId="77777777" w:rsidR="00762327" w:rsidRPr="00762327" w:rsidRDefault="00762327" w:rsidP="00762327">
      <w:pPr>
        <w:ind w:left="-284" w:hanging="360"/>
        <w:rPr>
          <w:rFonts w:ascii="Arial" w:hAnsi="Arial" w:cs="Arial"/>
          <w:b/>
          <w:u w:val="single"/>
        </w:rPr>
      </w:pPr>
    </w:p>
    <w:p w14:paraId="71632898" w14:textId="77832851" w:rsidR="00762327" w:rsidRPr="00762327" w:rsidRDefault="00762327" w:rsidP="00762327">
      <w:pPr>
        <w:pStyle w:val="ListParagraph"/>
        <w:numPr>
          <w:ilvl w:val="0"/>
          <w:numId w:val="24"/>
        </w:numPr>
        <w:ind w:left="360"/>
        <w:jc w:val="both"/>
        <w:rPr>
          <w:rFonts w:ascii="Arial" w:hAnsi="Arial" w:cs="Arial"/>
          <w:b/>
          <w:sz w:val="24"/>
          <w:szCs w:val="24"/>
          <w:u w:val="single"/>
        </w:rPr>
      </w:pPr>
      <w:r w:rsidRPr="00762327">
        <w:rPr>
          <w:rFonts w:ascii="Arial" w:hAnsi="Arial" w:cs="Arial"/>
          <w:sz w:val="24"/>
          <w:szCs w:val="24"/>
        </w:rPr>
        <w:t>Definition of Regulated Data Benchmark</w:t>
      </w:r>
      <w:r w:rsidR="00026247">
        <w:rPr>
          <w:rFonts w:ascii="Arial" w:hAnsi="Arial" w:cs="Arial"/>
          <w:sz w:val="24"/>
          <w:szCs w:val="24"/>
        </w:rPr>
        <w:t xml:space="preserve"> </w:t>
      </w:r>
      <w:r w:rsidRPr="00762327">
        <w:rPr>
          <w:rFonts w:ascii="Arial" w:hAnsi="Arial" w:cs="Arial"/>
          <w:sz w:val="24"/>
          <w:szCs w:val="24"/>
        </w:rPr>
        <w:t>– the definition of regulated data benchmark must be extended such that it includes benchmarks that use input data from third country exchanges and trading venues.</w:t>
      </w:r>
    </w:p>
    <w:permEnd w:id="885457707"/>
    <w:p w14:paraId="15D00E65" w14:textId="44C0535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513EA24F" w14:textId="2A376B25" w:rsidR="00E87467" w:rsidRPr="00E87467" w:rsidRDefault="00E87467" w:rsidP="00E87467">
      <w:pPr>
        <w:jc w:val="both"/>
        <w:rPr>
          <w:rFonts w:ascii="Arial" w:hAnsi="Arial" w:cs="Arial"/>
        </w:rPr>
      </w:pPr>
      <w:permStart w:id="1927807478" w:edGrp="everyone"/>
      <w:r w:rsidRPr="00E87467">
        <w:rPr>
          <w:rFonts w:ascii="Arial" w:hAnsi="Arial" w:cs="Arial"/>
        </w:rPr>
        <w:t xml:space="preserve">We believe that the proposals contained in the </w:t>
      </w:r>
      <w:r w:rsidR="00517FBA">
        <w:rPr>
          <w:rFonts w:ascii="Arial" w:hAnsi="Arial" w:cs="Arial"/>
        </w:rPr>
        <w:t xml:space="preserve">draft </w:t>
      </w:r>
      <w:r w:rsidRPr="00E87467">
        <w:rPr>
          <w:rFonts w:ascii="Arial" w:hAnsi="Arial" w:cs="Arial"/>
        </w:rPr>
        <w:t xml:space="preserve">technical standards in relation to the ‘management body’ go well beyond the scope of the Level 1 text of the BMR.  The BMR does not include any requirements in relation to an administrator’s management body.  Accordingly, </w:t>
      </w:r>
      <w:r w:rsidRPr="00E87467">
        <w:rPr>
          <w:rFonts w:ascii="Arial" w:hAnsi="Arial" w:cs="Arial"/>
          <w:i/>
        </w:rPr>
        <w:t>Article 1(2) ‘Organisational Structure’</w:t>
      </w:r>
      <w:r w:rsidRPr="00E87467">
        <w:rPr>
          <w:rFonts w:ascii="Arial" w:hAnsi="Arial" w:cs="Arial"/>
        </w:rPr>
        <w:t xml:space="preserve">, of the technical standards for the governance arrangements should be removed to properly align with and reflect the requirements of the BMR.    </w:t>
      </w:r>
    </w:p>
    <w:p w14:paraId="6AE582F8" w14:textId="77777777" w:rsidR="00E87467" w:rsidRPr="00E87467" w:rsidRDefault="00E87467" w:rsidP="00E87467">
      <w:pPr>
        <w:ind w:left="360" w:hanging="360"/>
        <w:jc w:val="both"/>
        <w:rPr>
          <w:rFonts w:ascii="Arial" w:hAnsi="Arial" w:cs="Arial"/>
        </w:rPr>
      </w:pPr>
    </w:p>
    <w:p w14:paraId="5A48BCB0" w14:textId="4D0B4C8E" w:rsidR="00026247" w:rsidRDefault="00E87467" w:rsidP="00762327">
      <w:pPr>
        <w:jc w:val="both"/>
        <w:rPr>
          <w:rFonts w:ascii="Arial" w:hAnsi="Arial" w:cs="Arial"/>
        </w:rPr>
      </w:pPr>
      <w:r w:rsidRPr="00E87467">
        <w:rPr>
          <w:rFonts w:ascii="Arial" w:hAnsi="Arial" w:cs="Arial"/>
        </w:rPr>
        <w:t xml:space="preserve">The </w:t>
      </w:r>
      <w:r w:rsidR="00026247">
        <w:rPr>
          <w:rFonts w:ascii="Arial" w:hAnsi="Arial" w:cs="Arial"/>
        </w:rPr>
        <w:t xml:space="preserve">proposed </w:t>
      </w:r>
      <w:r w:rsidRPr="00E87467">
        <w:rPr>
          <w:rFonts w:ascii="Arial" w:hAnsi="Arial" w:cs="Arial"/>
        </w:rPr>
        <w:t xml:space="preserve">draft technical standards for the governance arrangements </w:t>
      </w:r>
      <w:r w:rsidR="00F5314D">
        <w:rPr>
          <w:rFonts w:ascii="Arial" w:hAnsi="Arial" w:cs="Arial"/>
        </w:rPr>
        <w:t xml:space="preserve">would </w:t>
      </w:r>
      <w:r w:rsidRPr="00E87467">
        <w:rPr>
          <w:rFonts w:ascii="Arial" w:hAnsi="Arial" w:cs="Arial"/>
        </w:rPr>
        <w:t xml:space="preserve">place a disproportionate burden on administrators in relation to the risk posed by the majority of non-significant and significant benchmarks.  Furthermore, the </w:t>
      </w:r>
      <w:r w:rsidR="00F5314D">
        <w:rPr>
          <w:rFonts w:ascii="Arial" w:hAnsi="Arial" w:cs="Arial"/>
        </w:rPr>
        <w:t xml:space="preserve">proposed </w:t>
      </w:r>
      <w:r w:rsidRPr="00E87467">
        <w:rPr>
          <w:rFonts w:ascii="Arial" w:hAnsi="Arial" w:cs="Arial"/>
        </w:rPr>
        <w:t xml:space="preserve">technical standards make no allowances or exemptions for other benchmark classifications, such as regulated data benchmarks. The risks of manipulation and conflicts of interest for regulated data benchmarks are much lower.  We do not believe there is sufficient justification to require all benchmark administrators to implement the extensive requirements proposed by ESMA.  </w:t>
      </w:r>
    </w:p>
    <w:p w14:paraId="7E186AB5" w14:textId="77777777" w:rsidR="00026247" w:rsidRDefault="00026247" w:rsidP="00762327">
      <w:pPr>
        <w:jc w:val="both"/>
        <w:rPr>
          <w:rFonts w:ascii="Arial" w:hAnsi="Arial" w:cs="Arial"/>
        </w:rPr>
      </w:pPr>
    </w:p>
    <w:p w14:paraId="5C23200A" w14:textId="77777777" w:rsidR="00026247" w:rsidRDefault="00E87467" w:rsidP="00762327">
      <w:pPr>
        <w:jc w:val="both"/>
        <w:rPr>
          <w:rFonts w:ascii="Arial" w:hAnsi="Arial" w:cs="Arial"/>
        </w:rPr>
      </w:pPr>
      <w:r w:rsidRPr="00E87467">
        <w:rPr>
          <w:rFonts w:ascii="Arial" w:hAnsi="Arial" w:cs="Arial"/>
        </w:rPr>
        <w:t xml:space="preserve">To ensure the technical standards are proportionate to the risks posed, the governance requirements should be applied appropriately to those benchmarks that pose the greatest risks and which are systemically important. This should result in the governance requirements being for critical benchmarks only.  </w:t>
      </w:r>
    </w:p>
    <w:p w14:paraId="6B6B9C09" w14:textId="77777777" w:rsidR="00026247" w:rsidRDefault="00026247" w:rsidP="00762327">
      <w:pPr>
        <w:jc w:val="both"/>
        <w:rPr>
          <w:rFonts w:ascii="Arial" w:hAnsi="Arial" w:cs="Arial"/>
        </w:rPr>
      </w:pPr>
    </w:p>
    <w:p w14:paraId="1234179B" w14:textId="77777777" w:rsidR="00026247" w:rsidRDefault="00026247" w:rsidP="00762327">
      <w:pPr>
        <w:jc w:val="both"/>
        <w:rPr>
          <w:rFonts w:ascii="Arial" w:hAnsi="Arial" w:cs="Arial"/>
        </w:rPr>
      </w:pPr>
      <w:r>
        <w:rPr>
          <w:rFonts w:ascii="Arial" w:hAnsi="Arial" w:cs="Arial"/>
        </w:rPr>
        <w:t>F</w:t>
      </w:r>
      <w:r w:rsidR="00E87467" w:rsidRPr="00E87467">
        <w:rPr>
          <w:rFonts w:ascii="Arial" w:hAnsi="Arial" w:cs="Arial"/>
        </w:rPr>
        <w:t xml:space="preserve">urthermore, the RTS and Level 1 text make it clear that an administrator should have the flexibility to implement an oversight framework that is appropriate and proportionate to the risks posed by the benchmarks it provides (Recital 69 of the BMR).  The proposed technical standards significantly reduce the concepts of flexibility and proportionality, which are at the heart of the BMR and which were intentionally included by the co-legislators.  </w:t>
      </w:r>
    </w:p>
    <w:p w14:paraId="3626BE29" w14:textId="77777777" w:rsidR="00026247" w:rsidRDefault="00026247" w:rsidP="00762327">
      <w:pPr>
        <w:jc w:val="both"/>
        <w:rPr>
          <w:rFonts w:ascii="Arial" w:hAnsi="Arial" w:cs="Arial"/>
        </w:rPr>
      </w:pPr>
    </w:p>
    <w:p w14:paraId="47AB85D0" w14:textId="30BF4E2C" w:rsidR="00762327" w:rsidRPr="00E87467" w:rsidRDefault="00E87467" w:rsidP="00762327">
      <w:pPr>
        <w:jc w:val="both"/>
        <w:rPr>
          <w:rFonts w:ascii="Arial" w:hAnsi="Arial" w:cs="Arial"/>
        </w:rPr>
      </w:pPr>
      <w:r w:rsidRPr="00E87467">
        <w:rPr>
          <w:rFonts w:ascii="Arial" w:hAnsi="Arial" w:cs="Arial"/>
        </w:rPr>
        <w:t>We urge ESMA to ensure that the proposed requirements only apply to systemically important benchmarks which pose the greatest risks, and allow administrators of non-critical benchmarks the flexibility to implement a proportionate and appropriate governance framework for the benchmarks which they administer.</w:t>
      </w:r>
    </w:p>
    <w:permEnd w:id="1927807478"/>
    <w:p w14:paraId="31B219F5" w14:textId="77777777"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19C39253" w14:textId="77777777" w:rsidR="00026247" w:rsidRDefault="00E87467" w:rsidP="00762327">
      <w:pPr>
        <w:jc w:val="both"/>
        <w:rPr>
          <w:rFonts w:ascii="Arial" w:hAnsi="Arial" w:cs="Arial"/>
        </w:rPr>
      </w:pPr>
      <w:permStart w:id="1601636180" w:edGrp="everyone"/>
      <w:r w:rsidRPr="00E87467">
        <w:rPr>
          <w:rFonts w:ascii="Arial" w:hAnsi="Arial" w:cs="Arial"/>
        </w:rPr>
        <w:t xml:space="preserve">The BMR already requires administrators to identify, prevent and/or manage conflicts of interest.  Inherent within the requirement to prevent and/or manage conflicts of interest is the setting an appropriate remuneration structure.  The overarching principle in relation to conflicts of interest would adequately address remuneration frameworks, whilst allowing administrators sufficient flexibility to implement an appropriate and </w:t>
      </w:r>
      <w:r w:rsidRPr="00E87467">
        <w:rPr>
          <w:rFonts w:ascii="Arial" w:hAnsi="Arial" w:cs="Arial"/>
        </w:rPr>
        <w:lastRenderedPageBreak/>
        <w:t xml:space="preserve">proportionate structure. We do not understand the reasoning for new proposals which go well beyond these requirements.  </w:t>
      </w:r>
    </w:p>
    <w:p w14:paraId="0DF3F8D7" w14:textId="77777777" w:rsidR="00026247" w:rsidRDefault="00026247" w:rsidP="00762327">
      <w:pPr>
        <w:jc w:val="both"/>
        <w:rPr>
          <w:rFonts w:ascii="Arial" w:hAnsi="Arial" w:cs="Arial"/>
        </w:rPr>
      </w:pPr>
    </w:p>
    <w:p w14:paraId="4E695A05" w14:textId="77777777" w:rsidR="00026247" w:rsidRDefault="00E87467" w:rsidP="00762327">
      <w:pPr>
        <w:jc w:val="both"/>
        <w:rPr>
          <w:rFonts w:ascii="Arial" w:hAnsi="Arial" w:cs="Arial"/>
        </w:rPr>
      </w:pPr>
      <w:r w:rsidRPr="00E87467">
        <w:rPr>
          <w:rFonts w:ascii="Arial" w:hAnsi="Arial" w:cs="Arial"/>
        </w:rPr>
        <w:t xml:space="preserve">It is standard practice for many corporate entities to establish a remuneration framework.  However, we do not believe requirements should be imposed on administrators in relation to the content and structure of a remuneration framework.  We are not aware of any reports or incidents which call into question the remuneration of personnel responsible for the provision of a benchmark.  </w:t>
      </w:r>
    </w:p>
    <w:p w14:paraId="0AF123E7" w14:textId="77777777" w:rsidR="00026247" w:rsidRDefault="00026247" w:rsidP="00762327">
      <w:pPr>
        <w:jc w:val="both"/>
        <w:rPr>
          <w:rFonts w:ascii="Arial" w:hAnsi="Arial" w:cs="Arial"/>
        </w:rPr>
      </w:pPr>
    </w:p>
    <w:p w14:paraId="22C30C3B" w14:textId="4DE38DED" w:rsidR="0010762E" w:rsidRPr="00E87467" w:rsidRDefault="00E87467" w:rsidP="00762327">
      <w:pPr>
        <w:jc w:val="both"/>
        <w:rPr>
          <w:rFonts w:ascii="Arial" w:hAnsi="Arial" w:cs="Arial"/>
        </w:rPr>
      </w:pPr>
      <w:r w:rsidRPr="00E87467">
        <w:rPr>
          <w:rFonts w:ascii="Arial" w:hAnsi="Arial" w:cs="Arial"/>
        </w:rPr>
        <w:t>The index industry is a vibrant and competitive market, with numerous and varied providers o</w:t>
      </w:r>
      <w:r w:rsidR="004447B9">
        <w:rPr>
          <w:rFonts w:ascii="Arial" w:hAnsi="Arial" w:cs="Arial"/>
        </w:rPr>
        <w:t>perating from across the globe. C</w:t>
      </w:r>
      <w:r w:rsidRPr="00E87467">
        <w:rPr>
          <w:rFonts w:ascii="Arial" w:hAnsi="Arial" w:cs="Arial"/>
        </w:rPr>
        <w:t>onsequently, administrators should be free to implement a remuneration structure that is appropriate to the market and region in which they operate.  Imposing additional requirements in relation to remuneration is disproportionate and will likely be a barrier for new entrants to the market in the EU.</w:t>
      </w:r>
    </w:p>
    <w:permEnd w:id="1601636180"/>
    <w:p w14:paraId="2FB8FD04" w14:textId="77777777"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828BFC6" w14:textId="77777777" w:rsidR="0010762E" w:rsidRDefault="0010762E" w:rsidP="0010762E">
      <w:pPr>
        <w:rPr>
          <w:rFonts w:ascii="Arial" w:hAnsi="Arial" w:cs="Arial"/>
        </w:rPr>
      </w:pPr>
      <w:permStart w:id="954937618" w:edGrp="everyone"/>
      <w:r>
        <w:rPr>
          <w:rFonts w:ascii="Arial" w:hAnsi="Arial" w:cs="Arial"/>
        </w:rPr>
        <w:t>TYPE YOUR TEXT HERE</w:t>
      </w: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4D7FBADA" w14:textId="23DA1C7F" w:rsidR="00026247" w:rsidRDefault="00E87467" w:rsidP="00762327">
      <w:pPr>
        <w:pStyle w:val="Default"/>
        <w:jc w:val="both"/>
        <w:rPr>
          <w:bCs/>
        </w:rPr>
      </w:pPr>
      <w:permStart w:id="36393939" w:edGrp="everyone"/>
      <w:r w:rsidRPr="00E87467">
        <w:rPr>
          <w:bCs/>
        </w:rPr>
        <w:t xml:space="preserve">The methodology provisions under the Level 1 text of the BMR are sufficiently clear, are currently working, and should not be broadened unnecessarily.  The </w:t>
      </w:r>
      <w:r w:rsidR="00026247">
        <w:rPr>
          <w:bCs/>
        </w:rPr>
        <w:t>prop</w:t>
      </w:r>
      <w:r w:rsidR="00B236C8">
        <w:rPr>
          <w:bCs/>
        </w:rPr>
        <w:t>o</w:t>
      </w:r>
      <w:r w:rsidR="00026247">
        <w:rPr>
          <w:bCs/>
        </w:rPr>
        <w:t xml:space="preserve">sed </w:t>
      </w:r>
      <w:r w:rsidRPr="00E87467">
        <w:rPr>
          <w:bCs/>
        </w:rPr>
        <w:t>technical standards themselves have clearly been drafted to address interest rate benchmarks because they do not reflect how other benchmark classification are designed, calculated</w:t>
      </w:r>
      <w:r w:rsidR="004447B9">
        <w:rPr>
          <w:bCs/>
        </w:rPr>
        <w:t>,</w:t>
      </w:r>
      <w:r w:rsidRPr="00E87467">
        <w:rPr>
          <w:bCs/>
        </w:rPr>
        <w:t xml:space="preserve"> and maintained. This could pose significant problems if implemented for all benchmarks.  </w:t>
      </w:r>
    </w:p>
    <w:p w14:paraId="3463CA15" w14:textId="77777777" w:rsidR="00026247" w:rsidRDefault="00026247" w:rsidP="00762327">
      <w:pPr>
        <w:pStyle w:val="Default"/>
        <w:jc w:val="both"/>
        <w:rPr>
          <w:bCs/>
        </w:rPr>
      </w:pPr>
    </w:p>
    <w:p w14:paraId="0D6AC272" w14:textId="27514422" w:rsidR="00026247" w:rsidRDefault="00E87467" w:rsidP="00762327">
      <w:pPr>
        <w:pStyle w:val="Default"/>
        <w:jc w:val="both"/>
        <w:rPr>
          <w:bCs/>
        </w:rPr>
      </w:pPr>
      <w:r w:rsidRPr="00E87467">
        <w:rPr>
          <w:bCs/>
        </w:rPr>
        <w:t xml:space="preserve">For example, the proposed requirements would not be appropriate for regulated data benchmarks or benchmarks that use readily available data.  The BMR creates a proportionate regime for regulated data benchmarks. However the definition of regulated data benchmarks is poorly constructed, which has resulted in this proportionality being unavailable to administrators in contradiction to what was intended by the co-legislators.  As a consequence, there is significant legal uncertainty for those administrators of benchmarks which use input data from trading venues outside of the EU – such benchmarks should be construed as regulated data.  It is currently unclear whether benchmarks that use input data from trading venues from outside of the EU can rely on the exemptions under Article 17.  </w:t>
      </w:r>
    </w:p>
    <w:p w14:paraId="71334FF1" w14:textId="77777777" w:rsidR="00026247" w:rsidRDefault="00026247" w:rsidP="00762327">
      <w:pPr>
        <w:pStyle w:val="Default"/>
        <w:jc w:val="both"/>
        <w:rPr>
          <w:bCs/>
        </w:rPr>
      </w:pPr>
    </w:p>
    <w:p w14:paraId="128D0CB2" w14:textId="780F8CBB" w:rsidR="0010762E" w:rsidRPr="00E87467" w:rsidRDefault="00E87467" w:rsidP="00762327">
      <w:pPr>
        <w:pStyle w:val="Default"/>
        <w:jc w:val="both"/>
      </w:pPr>
      <w:r w:rsidRPr="00E87467">
        <w:rPr>
          <w:bCs/>
        </w:rPr>
        <w:t>We urge ESMA to amend the technical rules to reflect the limited risk of manipulation posed by regulated data benchmarks.  Please refer to our suggested amendments in Appendix A which is provided as an attachment.</w:t>
      </w:r>
    </w:p>
    <w:permEnd w:id="36393939"/>
    <w:p w14:paraId="482CBC37" w14:textId="77777777" w:rsidR="0010762E" w:rsidRDefault="0010762E" w:rsidP="0010762E">
      <w:pPr>
        <w:rPr>
          <w:rFonts w:ascii="Arial" w:hAnsi="Arial" w:cs="Arial"/>
        </w:rPr>
      </w:pPr>
      <w:r>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09B2FB34" w14:textId="657F8C6B" w:rsidR="0010762E" w:rsidRPr="00E87467" w:rsidRDefault="00E87467" w:rsidP="00762327">
      <w:pPr>
        <w:pStyle w:val="Default"/>
        <w:jc w:val="both"/>
      </w:pPr>
      <w:permStart w:id="1891459047" w:edGrp="everyone"/>
      <w:r w:rsidRPr="00E87467">
        <w:rPr>
          <w:bCs/>
        </w:rPr>
        <w:t>We refer to our comment above in response to Question 4 and we believe that there should be an exemption or a simplified regime for those benchmarks that pose far less risk, such as regulated data benchmarks.</w:t>
      </w:r>
    </w:p>
    <w:permEnd w:id="1891459047"/>
    <w:p w14:paraId="325BA92C" w14:textId="77777777"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t>&lt;ESMA_QUESTION_CP_BRTS_6&gt;</w:t>
      </w:r>
    </w:p>
    <w:p w14:paraId="2AB340AF" w14:textId="77777777" w:rsidR="00026247" w:rsidRDefault="00E87467" w:rsidP="00762327">
      <w:pPr>
        <w:pStyle w:val="Default"/>
        <w:jc w:val="both"/>
        <w:rPr>
          <w:bCs/>
        </w:rPr>
      </w:pPr>
      <w:permStart w:id="1515997747" w:edGrp="everyone"/>
      <w:r w:rsidRPr="00E87467">
        <w:rPr>
          <w:bCs/>
        </w:rPr>
        <w:t xml:space="preserve">We refer to our comment above.  We do not believe that the proposed back-testing requirements are appropriate or proportionate for all classifications of benchmark.  For administrators of benchmarks that use regulated data or readily available data, back-testing is generally defined as a procedure carried out prior to the launch of an index to test whether the index behaves as anticipated using historical input data.  </w:t>
      </w:r>
    </w:p>
    <w:p w14:paraId="7458B79A" w14:textId="77777777" w:rsidR="00026247" w:rsidRDefault="00026247" w:rsidP="00762327">
      <w:pPr>
        <w:pStyle w:val="Default"/>
        <w:jc w:val="both"/>
        <w:rPr>
          <w:bCs/>
        </w:rPr>
      </w:pPr>
    </w:p>
    <w:p w14:paraId="577E9947" w14:textId="2018D965" w:rsidR="0010762E" w:rsidRPr="00E87467" w:rsidRDefault="00E87467" w:rsidP="00762327">
      <w:pPr>
        <w:pStyle w:val="Default"/>
        <w:jc w:val="both"/>
        <w:rPr>
          <w:bCs/>
        </w:rPr>
      </w:pPr>
      <w:r w:rsidRPr="00E87467">
        <w:rPr>
          <w:bCs/>
        </w:rPr>
        <w:t>Once they are launched and in use, benchmarks that use regulated data or readily available data are generally calculated automatically using an input data feed.  Back-testing intra-day or end of day values for regulated data or benchmarks which use readily available data is not an appropriate mechanism to validate index returns because it will not identify errors.  Accordingly, these provisions should not apply to benchmarks that use regulated data or readily available data.</w:t>
      </w:r>
    </w:p>
    <w:permEnd w:id="1515997747"/>
    <w:p w14:paraId="2ECB166B" w14:textId="77777777"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7C01BDB3" w14:textId="35FBA90D" w:rsidR="00026247" w:rsidRDefault="00E87467" w:rsidP="00E87467">
      <w:pPr>
        <w:pStyle w:val="Default"/>
        <w:jc w:val="both"/>
        <w:rPr>
          <w:bCs/>
        </w:rPr>
      </w:pPr>
      <w:permStart w:id="1782531178" w:edGrp="everyone"/>
      <w:r w:rsidRPr="00E87467">
        <w:rPr>
          <w:bCs/>
        </w:rPr>
        <w:t xml:space="preserve">The proposals for reporting of infringements are not adequately calibrated for different categories of benchmarks and would cause potential disruption if applied to a </w:t>
      </w:r>
      <w:r w:rsidR="00AB78D7">
        <w:rPr>
          <w:bCs/>
        </w:rPr>
        <w:t>broad</w:t>
      </w:r>
      <w:r w:rsidRPr="00E87467">
        <w:rPr>
          <w:bCs/>
        </w:rPr>
        <w:t xml:space="preserve"> body of benchmarks.  The requirements in this proposal may also apply unintentionally to regulated data benchmarks due to the limited scope of regulated data be</w:t>
      </w:r>
      <w:r w:rsidR="00AB78D7">
        <w:rPr>
          <w:bCs/>
        </w:rPr>
        <w:t xml:space="preserve">nchmarks as defined in the BMR. </w:t>
      </w:r>
      <w:proofErr w:type="gramStart"/>
      <w:r w:rsidRPr="00E87467">
        <w:rPr>
          <w:bCs/>
        </w:rPr>
        <w:t>i.e</w:t>
      </w:r>
      <w:proofErr w:type="gramEnd"/>
      <w:r w:rsidRPr="00E87467">
        <w:rPr>
          <w:bCs/>
        </w:rPr>
        <w:t xml:space="preserve">. </w:t>
      </w:r>
      <w:r w:rsidR="00AB78D7">
        <w:rPr>
          <w:bCs/>
        </w:rPr>
        <w:t>T</w:t>
      </w:r>
      <w:r w:rsidRPr="00E87467">
        <w:rPr>
          <w:bCs/>
        </w:rPr>
        <w:t>he definition of regulated data benchmarks does not adequately capture benchmarks that use input data from trading venues and ex</w:t>
      </w:r>
      <w:r w:rsidR="00AB78D7">
        <w:rPr>
          <w:bCs/>
        </w:rPr>
        <w:t>changes based outside of the EU</w:t>
      </w:r>
      <w:r w:rsidRPr="00E87467">
        <w:rPr>
          <w:bCs/>
        </w:rPr>
        <w:t xml:space="preserve">.  </w:t>
      </w:r>
    </w:p>
    <w:p w14:paraId="0C092CA8" w14:textId="77777777" w:rsidR="00026247" w:rsidRDefault="00026247" w:rsidP="00E87467">
      <w:pPr>
        <w:pStyle w:val="Default"/>
        <w:jc w:val="both"/>
        <w:rPr>
          <w:bCs/>
        </w:rPr>
      </w:pPr>
    </w:p>
    <w:p w14:paraId="38D62059" w14:textId="5AF3C582" w:rsidR="00E87467" w:rsidRPr="00E87467" w:rsidRDefault="00E87467" w:rsidP="00E87467">
      <w:pPr>
        <w:pStyle w:val="Default"/>
        <w:jc w:val="both"/>
        <w:rPr>
          <w:bCs/>
        </w:rPr>
      </w:pPr>
      <w:r w:rsidRPr="00E87467">
        <w:rPr>
          <w:bCs/>
        </w:rPr>
        <w:t xml:space="preserve">In addition, the </w:t>
      </w:r>
      <w:r w:rsidR="00AB78D7">
        <w:rPr>
          <w:bCs/>
        </w:rPr>
        <w:t xml:space="preserve">proposed </w:t>
      </w:r>
      <w:r w:rsidRPr="00E87467">
        <w:rPr>
          <w:bCs/>
        </w:rPr>
        <w:t xml:space="preserve">technical standards recommend the installation of automated systems.  Administrators would need to incur significant costs to meet these requirements, accordingly they are disproportionate to the level of risk posed by the majority of benchmarks.  The final requirements should be amended to ensure that they are restricted to benchmarks that are critical under the BMR and/or pose the greatest risk of manipulation. </w:t>
      </w:r>
    </w:p>
    <w:p w14:paraId="09A3C682" w14:textId="77777777" w:rsidR="00E87467" w:rsidRPr="00E87467" w:rsidRDefault="00E87467" w:rsidP="00E87467">
      <w:pPr>
        <w:pStyle w:val="Default"/>
        <w:jc w:val="both"/>
        <w:rPr>
          <w:bCs/>
        </w:rPr>
      </w:pPr>
    </w:p>
    <w:p w14:paraId="6AF206FC" w14:textId="0746A050" w:rsidR="0010762E" w:rsidRPr="00E87467" w:rsidRDefault="00AB78D7" w:rsidP="00762327">
      <w:pPr>
        <w:pStyle w:val="Default"/>
        <w:jc w:val="both"/>
        <w:rPr>
          <w:bCs/>
        </w:rPr>
      </w:pPr>
      <w:r>
        <w:rPr>
          <w:bCs/>
        </w:rPr>
        <w:t>Article 5 paragraphs 1 and 2</w:t>
      </w:r>
      <w:r w:rsidR="00E87467" w:rsidRPr="00E87467">
        <w:rPr>
          <w:bCs/>
        </w:rPr>
        <w:t xml:space="preserve"> of the technical standards are particularly unclear and do not reflect how many administrators monitor benchmarks and/or use input data.  Furthermore, paragraphs 2 of Article</w:t>
      </w:r>
      <w:r>
        <w:rPr>
          <w:bCs/>
        </w:rPr>
        <w:t xml:space="preserve"> 5</w:t>
      </w:r>
      <w:r w:rsidR="00E87467" w:rsidRPr="00E87467">
        <w:rPr>
          <w:bCs/>
        </w:rPr>
        <w:t xml:space="preserve"> is particularly unclear, the paragraph makes </w:t>
      </w:r>
      <w:r w:rsidR="00E87467" w:rsidRPr="00E87467">
        <w:rPr>
          <w:bCs/>
        </w:rPr>
        <w:lastRenderedPageBreak/>
        <w:t>reference to ‘data integrity breach’ and ‘data subjects’.  These are terms are more commonly associated with data privacy and the General Data Protection Regulation.  We would urge ESMA to clarify what these phrases mean and how ESMA believes that they apply to the analysis of benchmarks and input data.</w:t>
      </w:r>
    </w:p>
    <w:permEnd w:id="1782531178"/>
    <w:p w14:paraId="6202F412" w14:textId="77777777" w:rsidR="0010762E" w:rsidRDefault="0010762E" w:rsidP="0010762E">
      <w:pPr>
        <w:rPr>
          <w:rFonts w:ascii="Arial" w:hAnsi="Arial" w:cs="Arial"/>
        </w:rPr>
      </w:pPr>
      <w:r>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4012A15E" w14:textId="77777777" w:rsidR="0010762E" w:rsidRDefault="0010762E" w:rsidP="0010762E">
      <w:pPr>
        <w:rPr>
          <w:rFonts w:ascii="Arial" w:hAnsi="Arial" w:cs="Arial"/>
        </w:rPr>
      </w:pPr>
      <w:permStart w:id="1317289506" w:edGrp="everyone"/>
      <w:r>
        <w:rPr>
          <w:rFonts w:ascii="Arial" w:hAnsi="Arial" w:cs="Arial"/>
        </w:rPr>
        <w:t>TYPE YOUR TEXT HERE</w:t>
      </w:r>
    </w:p>
    <w:permEnd w:id="1317289506"/>
    <w:p w14:paraId="25C56C77" w14:textId="77777777" w:rsidR="0010762E" w:rsidRDefault="0010762E" w:rsidP="0010762E">
      <w:pPr>
        <w:rPr>
          <w:rFonts w:ascii="Arial" w:hAnsi="Arial" w:cs="Arial"/>
        </w:rPr>
      </w:pPr>
      <w:r>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0D1630BE" w14:textId="77777777" w:rsidR="0010762E" w:rsidRDefault="0010762E" w:rsidP="0010762E">
      <w:pPr>
        <w:rPr>
          <w:rFonts w:ascii="Arial" w:hAnsi="Arial" w:cs="Arial"/>
        </w:rPr>
      </w:pPr>
      <w:permStart w:id="1927238694" w:edGrp="everyone"/>
      <w:r>
        <w:rPr>
          <w:rFonts w:ascii="Arial" w:hAnsi="Arial" w:cs="Arial"/>
        </w:rPr>
        <w:t>TYPE YOUR TEXT HERE</w:t>
      </w: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673D6FCA" w14:textId="77777777" w:rsidR="0010762E" w:rsidRDefault="0010762E" w:rsidP="0010762E">
      <w:pPr>
        <w:rPr>
          <w:rFonts w:ascii="Arial" w:hAnsi="Arial" w:cs="Arial"/>
        </w:rPr>
      </w:pPr>
      <w:permStart w:id="706027679" w:edGrp="everyone"/>
      <w:r>
        <w:rPr>
          <w:rFonts w:ascii="Arial" w:hAnsi="Arial" w:cs="Arial"/>
        </w:rPr>
        <w:t>TYPE YOUR TEXT HERE</w:t>
      </w: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505FC985" w14:textId="0DE4CDF5" w:rsidR="00E87467" w:rsidRPr="00E87467" w:rsidRDefault="00E87467" w:rsidP="00762327">
      <w:pPr>
        <w:jc w:val="both"/>
        <w:rPr>
          <w:rFonts w:ascii="Arial" w:hAnsi="Arial" w:cs="Arial"/>
          <w:bCs/>
        </w:rPr>
      </w:pPr>
      <w:permStart w:id="2079658631" w:edGrp="everyone"/>
      <w:r w:rsidRPr="00E87467">
        <w:rPr>
          <w:rFonts w:ascii="Arial" w:hAnsi="Arial" w:cs="Arial"/>
          <w:bCs/>
        </w:rPr>
        <w:t>We believe that the BMR does not take account of the difficulties facing benchmark administrators when it comes to calculating the total value of products referencing a benchmark.  It is extremely difficult and problematic for administrators to calculate the total value of all financial instruments, financial contracts</w:t>
      </w:r>
      <w:r w:rsidR="00AB78D7">
        <w:rPr>
          <w:rFonts w:ascii="Arial" w:hAnsi="Arial" w:cs="Arial"/>
          <w:bCs/>
        </w:rPr>
        <w:t>,</w:t>
      </w:r>
      <w:r w:rsidRPr="00E87467">
        <w:rPr>
          <w:rFonts w:ascii="Arial" w:hAnsi="Arial" w:cs="Arial"/>
          <w:bCs/>
        </w:rPr>
        <w:t xml:space="preserve"> and investment funds referencing its benchmarks with any certainty.  There is no obligation on supervised entities under the Regulation, or under any other EU law including MiFID, to provide the value of their </w:t>
      </w:r>
      <w:bookmarkStart w:id="1" w:name="_GoBack"/>
      <w:r w:rsidRPr="00E87467">
        <w:rPr>
          <w:rFonts w:ascii="Arial" w:hAnsi="Arial" w:cs="Arial"/>
          <w:bCs/>
        </w:rPr>
        <w:t>financial instruments, financial contracts and investment funds to benchmark administrat</w:t>
      </w:r>
      <w:bookmarkEnd w:id="1"/>
      <w:r w:rsidRPr="00E87467">
        <w:rPr>
          <w:rFonts w:ascii="Arial" w:hAnsi="Arial" w:cs="Arial"/>
          <w:bCs/>
        </w:rPr>
        <w:t>ors.</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7B6F5753" w14:textId="77777777" w:rsidR="0010762E" w:rsidRDefault="0010762E" w:rsidP="0010762E">
      <w:pPr>
        <w:rPr>
          <w:rFonts w:ascii="Arial" w:hAnsi="Arial" w:cs="Arial"/>
        </w:rPr>
      </w:pPr>
      <w:permStart w:id="1243561789" w:edGrp="everyone"/>
      <w:r>
        <w:rPr>
          <w:rFonts w:ascii="Arial" w:hAnsi="Arial" w:cs="Arial"/>
        </w:rPr>
        <w:t>TYPE YOUR TEXT HERE</w:t>
      </w:r>
    </w:p>
    <w:permEnd w:id="1243561789"/>
    <w:p w14:paraId="79761804" w14:textId="77777777" w:rsidR="0010762E" w:rsidRDefault="0010762E" w:rsidP="0010762E">
      <w:pPr>
        <w:rPr>
          <w:rFonts w:ascii="Arial" w:hAnsi="Arial" w:cs="Arial"/>
        </w:rPr>
      </w:pPr>
      <w:r>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9631F" w14:textId="77777777" w:rsidR="007D26EC" w:rsidRDefault="007D26EC" w:rsidP="007E7997">
      <w:r>
        <w:separator/>
      </w:r>
    </w:p>
  </w:endnote>
  <w:endnote w:type="continuationSeparator" w:id="0">
    <w:p w14:paraId="61E73BDB" w14:textId="77777777" w:rsidR="007D26EC" w:rsidRDefault="007D26EC" w:rsidP="007E7997">
      <w:r>
        <w:continuationSeparator/>
      </w:r>
    </w:p>
  </w:endnote>
  <w:endnote w:type="continuationNotice" w:id="1">
    <w:p w14:paraId="607E7B31" w14:textId="77777777" w:rsidR="007D26EC" w:rsidRDefault="007D2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02E8" w14:textId="77777777" w:rsidR="009570BC" w:rsidRDefault="009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7668240C" w:rsidR="00E36813" w:rsidRDefault="00E36813" w:rsidP="008F1DCF">
        <w:pPr>
          <w:pStyle w:val="Footer"/>
          <w:jc w:val="right"/>
        </w:pPr>
        <w:r>
          <w:fldChar w:fldCharType="begin"/>
        </w:r>
        <w:r>
          <w:instrText xml:space="preserve"> PAGE   \* MERGEFORMAT </w:instrText>
        </w:r>
        <w:r>
          <w:fldChar w:fldCharType="separate"/>
        </w:r>
        <w:r w:rsidR="00AB78D7">
          <w:rPr>
            <w:noProof/>
          </w:rPr>
          <w:t>10</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DA2A2" w14:textId="77777777" w:rsidR="007D26EC" w:rsidRDefault="007D26EC" w:rsidP="007E7997">
      <w:r>
        <w:separator/>
      </w:r>
    </w:p>
  </w:footnote>
  <w:footnote w:type="continuationSeparator" w:id="0">
    <w:p w14:paraId="117BBC45" w14:textId="77777777" w:rsidR="007D26EC" w:rsidRDefault="007D26EC" w:rsidP="007E7997">
      <w:r>
        <w:continuationSeparator/>
      </w:r>
    </w:p>
  </w:footnote>
  <w:footnote w:type="continuationNotice" w:id="1">
    <w:p w14:paraId="36C0BABA" w14:textId="77777777" w:rsidR="007D26EC" w:rsidRDefault="007D26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5ADB3" w14:textId="77777777" w:rsidR="009570BC" w:rsidRDefault="009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9D61D52" w:rsidR="008F1DCF" w:rsidRPr="008F1DCF" w:rsidRDefault="00F36188" w:rsidP="00AE4A5B">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879D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6E9A"/>
    <w:multiLevelType w:val="hybridMultilevel"/>
    <w:tmpl w:val="A7DC5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8278C7"/>
    <w:multiLevelType w:val="hybridMultilevel"/>
    <w:tmpl w:val="2AD0D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1DE403E"/>
    <w:multiLevelType w:val="hybridMultilevel"/>
    <w:tmpl w:val="80ACD698"/>
    <w:lvl w:ilvl="0" w:tplc="36E096AC">
      <w:start w:val="1"/>
      <w:numFmt w:val="bullet"/>
      <w:pStyle w:val="ListParagraph"/>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B172F"/>
    <w:multiLevelType w:val="hybridMultilevel"/>
    <w:tmpl w:val="597E89C2"/>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90F11F0"/>
    <w:multiLevelType w:val="hybridMultilevel"/>
    <w:tmpl w:val="9150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F7DD6"/>
    <w:multiLevelType w:val="hybridMultilevel"/>
    <w:tmpl w:val="9500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5"/>
  </w:num>
  <w:num w:numId="4">
    <w:abstractNumId w:val="3"/>
  </w:num>
  <w:num w:numId="5">
    <w:abstractNumId w:val="11"/>
  </w:num>
  <w:num w:numId="6">
    <w:abstractNumId w:val="17"/>
  </w:num>
  <w:num w:numId="7">
    <w:abstractNumId w:val="10"/>
  </w:num>
  <w:num w:numId="8">
    <w:abstractNumId w:val="4"/>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3"/>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2"/>
  </w:num>
  <w:num w:numId="21">
    <w:abstractNumId w:val="4"/>
    <w:lvlOverride w:ilvl="0">
      <w:startOverride w:val="1"/>
    </w:lvlOverride>
  </w:num>
  <w:num w:numId="22">
    <w:abstractNumId w:val="9"/>
  </w:num>
  <w:num w:numId="23">
    <w:abstractNumId w:val="5"/>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dKEpmO5ojvRrbnas8+vZm3cLI80opMrZ1SKh4CCRnFno/in661YN46heyBLHSu/f0pbc96IBLxVA6U915RGNxQ==" w:salt="2wbdAoQ2PpXyRoiX9SSqe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247"/>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1DB"/>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7B9"/>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17FBA"/>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4F5A"/>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497"/>
    <w:rsid w:val="00754B57"/>
    <w:rsid w:val="0075671D"/>
    <w:rsid w:val="0076002F"/>
    <w:rsid w:val="0076038B"/>
    <w:rsid w:val="00761744"/>
    <w:rsid w:val="00762327"/>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26EC"/>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316F"/>
    <w:rsid w:val="0093261E"/>
    <w:rsid w:val="0094008E"/>
    <w:rsid w:val="00941C0C"/>
    <w:rsid w:val="009437F2"/>
    <w:rsid w:val="0094528B"/>
    <w:rsid w:val="009570BC"/>
    <w:rsid w:val="00960A8B"/>
    <w:rsid w:val="00965128"/>
    <w:rsid w:val="00973F43"/>
    <w:rsid w:val="0097754A"/>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0643"/>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1FB4"/>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B78D7"/>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6C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5B0"/>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6910"/>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467"/>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188"/>
    <w:rsid w:val="00F37236"/>
    <w:rsid w:val="00F44634"/>
    <w:rsid w:val="00F505EC"/>
    <w:rsid w:val="00F5088F"/>
    <w:rsid w:val="00F51657"/>
    <w:rsid w:val="00F5223C"/>
    <w:rsid w:val="00F5314D"/>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5E9"/>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762327"/>
    <w:pPr>
      <w:numPr>
        <w:numId w:val="23"/>
      </w:numPr>
      <w:contextualSpacing/>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762327"/>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327"/>
    <w:pPr>
      <w:autoSpaceDE w:val="0"/>
      <w:autoSpaceDN w:val="0"/>
      <w:adjustRightInd w:val="0"/>
      <w:spacing w:after="0" w:line="240" w:lineRule="auto"/>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ESMA70-156-2429</_dlc_DocId>
    <TaxCatchAll xmlns="20fbe147-bbda-4e53-b6b1-7e8bbff3fe19">
      <Value>622</Value>
      <Value>5</Value>
      <Value>302</Value>
      <Value>14</Value>
    </TaxCatchAll>
    <_dlc_DocIdUrl xmlns="20fbe147-bbda-4e53-b6b1-7e8bbff3fe19">
      <Url>https://sherpa.esma.europa.eu/sites/MKT/SMK/_layouts/15/DocIdRedir.aspx?ID=ESMA70-156-2429</Url>
      <Description>ESMA70-156-2429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Benchmarks</TermName>
          <TermId xmlns="http://schemas.microsoft.com/office/infopath/2007/PartnerControls">7cc2c198-85e3-46a0-a7c0-e121763e5585</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A63E26D6-F473-42A8-805B-D9D9586F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35</TotalTime>
  <Pages>11</Pages>
  <Words>2890</Words>
  <Characters>16476</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Doyle, David Henry</cp:lastModifiedBy>
  <cp:revision>11</cp:revision>
  <cp:lastPrinted>2017-07-24T14:47:00Z</cp:lastPrinted>
  <dcterms:created xsi:type="dcterms:W3CDTF">2020-06-08T09:55:00Z</dcterms:created>
  <dcterms:modified xsi:type="dcterms:W3CDTF">2020-06-08T12:10:00Z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