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43EE8296" w:rsidR="00C85C8B" w:rsidRPr="00C85C8B" w:rsidRDefault="00764A6E" w:rsidP="00C85C8B">
            <w:pPr>
              <w:rPr>
                <w:rFonts w:ascii="Arial" w:hAnsi="Arial" w:cs="Arial"/>
                <w:color w:val="808080"/>
                <w:sz w:val="20"/>
                <w:lang w:eastAsia="de-DE"/>
              </w:rPr>
            </w:pPr>
            <w:r>
              <w:rPr>
                <w:rFonts w:ascii="Arial" w:hAnsi="Arial" w:cs="Arial"/>
                <w:color w:val="808080"/>
                <w:sz w:val="20"/>
                <w:lang w:eastAsia="de-DE"/>
              </w:rPr>
              <w:t xml:space="preserve">Refinitiv Benchmark Services (UK) Limited </w:t>
            </w:r>
          </w:p>
        </w:tc>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EA658A7" w:rsidR="00C85C8B" w:rsidRPr="00C85C8B" w:rsidRDefault="00C6561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64A6E">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2CFE528" w:rsidR="00C85C8B" w:rsidRPr="00C85C8B" w:rsidRDefault="00764A6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ECA2366" w:rsidR="00C85C8B" w:rsidRPr="00C85C8B" w:rsidRDefault="00764A6E"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424B2227" w14:textId="7CEF4395" w:rsidR="00764A6E" w:rsidRPr="006306F2" w:rsidRDefault="00764A6E" w:rsidP="00764A6E">
      <w:pPr>
        <w:spacing w:before="100" w:beforeAutospacing="1" w:after="100" w:afterAutospacing="1"/>
        <w:rPr>
          <w:rFonts w:ascii="Arial" w:hAnsi="Arial" w:cs="Arial"/>
          <w:color w:val="000000"/>
        </w:rPr>
      </w:pPr>
      <w:permStart w:id="885457707" w:edGrp="everyone"/>
      <w:r w:rsidRPr="006306F2">
        <w:rPr>
          <w:rFonts w:ascii="Arial" w:hAnsi="Arial" w:cs="Arial"/>
          <w:color w:val="000000"/>
        </w:rPr>
        <w:t xml:space="preserve">Refinitiv Benchmark Services (UK) Limited (“RBSL”), a wholly owned subsidiary of Refinitiv, is currently authorised by the Financial Conduct Authority (“FCA”) to perform the benchmark administration function. </w:t>
      </w:r>
    </w:p>
    <w:p w14:paraId="6D833B97" w14:textId="4CBF4AE9" w:rsidR="00883AAF" w:rsidRPr="006306F2" w:rsidRDefault="00764A6E" w:rsidP="00764A6E">
      <w:pPr>
        <w:spacing w:before="100" w:beforeAutospacing="1" w:after="100" w:afterAutospacing="1"/>
        <w:rPr>
          <w:rFonts w:ascii="Arial" w:hAnsi="Arial" w:cs="Arial"/>
          <w:color w:val="000000"/>
        </w:rPr>
      </w:pPr>
      <w:r w:rsidRPr="006306F2">
        <w:rPr>
          <w:rFonts w:ascii="Arial" w:hAnsi="Arial" w:cs="Arial"/>
          <w:color w:val="000000"/>
        </w:rPr>
        <w:t>Since 2018, the FCA has authorised RBSL as a regulated administrator of benchmarks under the EU B</w:t>
      </w:r>
      <w:r w:rsidR="00883AAF" w:rsidRPr="006306F2">
        <w:rPr>
          <w:rFonts w:ascii="Arial" w:hAnsi="Arial" w:cs="Arial"/>
          <w:color w:val="000000"/>
        </w:rPr>
        <w:t>enchmark Regulation (“BMR”)</w:t>
      </w:r>
      <w:r w:rsidRPr="006306F2">
        <w:rPr>
          <w:rFonts w:ascii="Arial" w:hAnsi="Arial" w:cs="Arial"/>
          <w:color w:val="000000"/>
        </w:rPr>
        <w:t xml:space="preserve">, which has included the following: </w:t>
      </w:r>
    </w:p>
    <w:p w14:paraId="232EA755" w14:textId="77777777" w:rsidR="00883AAF" w:rsidRPr="006306F2" w:rsidRDefault="00764A6E" w:rsidP="00764A6E">
      <w:pPr>
        <w:spacing w:before="100" w:beforeAutospacing="1" w:after="100" w:afterAutospacing="1"/>
        <w:rPr>
          <w:rFonts w:ascii="Arial" w:hAnsi="Arial" w:cs="Arial"/>
        </w:rPr>
      </w:pPr>
      <w:r w:rsidRPr="006306F2">
        <w:rPr>
          <w:rFonts w:ascii="Arial" w:hAnsi="Arial" w:cs="Arial"/>
        </w:rPr>
        <w:t xml:space="preserve">WM/Reuters London 4pm Closing Spot Rates; </w:t>
      </w:r>
    </w:p>
    <w:p w14:paraId="66C7027E" w14:textId="77777777" w:rsidR="00883AAF" w:rsidRPr="006306F2" w:rsidRDefault="00764A6E" w:rsidP="00764A6E">
      <w:pPr>
        <w:spacing w:before="100" w:beforeAutospacing="1" w:after="100" w:afterAutospacing="1"/>
        <w:rPr>
          <w:rFonts w:ascii="Arial" w:hAnsi="Arial" w:cs="Arial"/>
        </w:rPr>
      </w:pPr>
      <w:r w:rsidRPr="006306F2">
        <w:rPr>
          <w:rFonts w:ascii="Arial" w:hAnsi="Arial" w:cs="Arial"/>
        </w:rPr>
        <w:t xml:space="preserve">Canadian Dollar Offered Rate (“CDOR”); </w:t>
      </w:r>
    </w:p>
    <w:p w14:paraId="4A58607D" w14:textId="77777777" w:rsidR="00883AAF" w:rsidRPr="006306F2" w:rsidRDefault="00764A6E" w:rsidP="00764A6E">
      <w:pPr>
        <w:spacing w:before="100" w:beforeAutospacing="1" w:after="100" w:afterAutospacing="1"/>
        <w:rPr>
          <w:rFonts w:ascii="Arial" w:hAnsi="Arial" w:cs="Arial"/>
        </w:rPr>
      </w:pPr>
      <w:r w:rsidRPr="006306F2">
        <w:rPr>
          <w:rFonts w:ascii="Arial" w:hAnsi="Arial" w:cs="Arial"/>
        </w:rPr>
        <w:t xml:space="preserve">Canadian Offered Repo Rate Average (“CORRA”); </w:t>
      </w:r>
    </w:p>
    <w:p w14:paraId="64302713" w14:textId="77777777" w:rsidR="00883AAF" w:rsidRPr="006306F2" w:rsidRDefault="00764A6E" w:rsidP="00764A6E">
      <w:pPr>
        <w:spacing w:before="100" w:beforeAutospacing="1" w:after="100" w:afterAutospacing="1"/>
        <w:rPr>
          <w:rFonts w:ascii="Arial" w:hAnsi="Arial" w:cs="Arial"/>
        </w:rPr>
      </w:pPr>
      <w:r w:rsidRPr="006306F2">
        <w:rPr>
          <w:rFonts w:ascii="Arial" w:hAnsi="Arial" w:cs="Arial"/>
        </w:rPr>
        <w:t xml:space="preserve">Saudi Arabian Interbank Offered Rate (“SAIBOR”). </w:t>
      </w:r>
    </w:p>
    <w:p w14:paraId="177A6A50" w14:textId="25A17B4F" w:rsidR="00883AAF" w:rsidRPr="006306F2" w:rsidRDefault="00764A6E" w:rsidP="00764A6E">
      <w:pPr>
        <w:spacing w:before="100" w:beforeAutospacing="1" w:after="100" w:afterAutospacing="1"/>
        <w:rPr>
          <w:rFonts w:ascii="Arial" w:hAnsi="Arial" w:cs="Arial"/>
        </w:rPr>
      </w:pPr>
      <w:r w:rsidRPr="006306F2">
        <w:rPr>
          <w:rFonts w:ascii="Arial" w:hAnsi="Arial" w:cs="Arial"/>
        </w:rPr>
        <w:t xml:space="preserve">As of December 2019, RBSL has extended its administration of BMR compliant indices and benchmarks to include: </w:t>
      </w:r>
    </w:p>
    <w:p w14:paraId="061F4133" w14:textId="77777777" w:rsidR="00883AAF" w:rsidRPr="006306F2" w:rsidRDefault="00764A6E" w:rsidP="00764A6E">
      <w:pPr>
        <w:spacing w:before="100" w:beforeAutospacing="1" w:after="100" w:afterAutospacing="1"/>
        <w:rPr>
          <w:rFonts w:ascii="Arial" w:hAnsi="Arial" w:cs="Arial"/>
        </w:rPr>
      </w:pPr>
      <w:r w:rsidRPr="006306F2">
        <w:rPr>
          <w:rFonts w:ascii="Arial" w:hAnsi="Arial" w:cs="Arial"/>
        </w:rPr>
        <w:t xml:space="preserve">WM/R Spot, Forward and NDF benchmark rates; </w:t>
      </w:r>
    </w:p>
    <w:p w14:paraId="588367F7" w14:textId="77777777" w:rsidR="00883AAF" w:rsidRPr="006306F2" w:rsidRDefault="00764A6E" w:rsidP="00764A6E">
      <w:pPr>
        <w:spacing w:before="100" w:beforeAutospacing="1" w:after="100" w:afterAutospacing="1"/>
        <w:rPr>
          <w:rFonts w:ascii="Arial" w:hAnsi="Arial" w:cs="Arial"/>
        </w:rPr>
      </w:pPr>
      <w:r w:rsidRPr="006306F2">
        <w:rPr>
          <w:rFonts w:ascii="Arial" w:hAnsi="Arial" w:cs="Arial"/>
        </w:rPr>
        <w:t>TR/</w:t>
      </w:r>
      <w:proofErr w:type="spellStart"/>
      <w:r w:rsidRPr="006306F2">
        <w:rPr>
          <w:rFonts w:ascii="Arial" w:hAnsi="Arial" w:cs="Arial"/>
        </w:rPr>
        <w:t>CoreCommodity</w:t>
      </w:r>
      <w:proofErr w:type="spellEnd"/>
      <w:r w:rsidRPr="006306F2">
        <w:rPr>
          <w:rFonts w:ascii="Arial" w:hAnsi="Arial" w:cs="Arial"/>
        </w:rPr>
        <w:t xml:space="preserve"> CRB Index; and </w:t>
      </w:r>
    </w:p>
    <w:p w14:paraId="5A7087E2" w14:textId="7814FEE4" w:rsidR="00764A6E" w:rsidRPr="006306F2" w:rsidRDefault="00764A6E" w:rsidP="00764A6E">
      <w:pPr>
        <w:spacing w:before="100" w:beforeAutospacing="1" w:after="100" w:afterAutospacing="1"/>
        <w:rPr>
          <w:rFonts w:ascii="Arial" w:hAnsi="Arial" w:cs="Arial"/>
        </w:rPr>
      </w:pPr>
      <w:r w:rsidRPr="006306F2">
        <w:rPr>
          <w:rFonts w:ascii="Arial" w:hAnsi="Arial" w:cs="Arial"/>
        </w:rPr>
        <w:t>TR Convertible Indices.</w:t>
      </w:r>
    </w:p>
    <w:p w14:paraId="24FDB633" w14:textId="3FEB1A35" w:rsidR="00764A6E" w:rsidRPr="006306F2" w:rsidRDefault="00883AAF" w:rsidP="00764A6E">
      <w:pPr>
        <w:spacing w:before="100" w:beforeAutospacing="1" w:after="100" w:afterAutospacing="1"/>
        <w:rPr>
          <w:rFonts w:ascii="Arial" w:hAnsi="Arial" w:cs="Arial"/>
          <w:color w:val="000000"/>
        </w:rPr>
      </w:pPr>
      <w:r w:rsidRPr="006306F2">
        <w:rPr>
          <w:rFonts w:ascii="Arial" w:hAnsi="Arial" w:cs="Arial"/>
          <w:color w:val="000000"/>
        </w:rPr>
        <w:lastRenderedPageBreak/>
        <w:t>RBSL</w:t>
      </w:r>
      <w:r w:rsidR="00764A6E" w:rsidRPr="006306F2">
        <w:rPr>
          <w:rFonts w:ascii="Arial" w:hAnsi="Arial" w:cs="Arial"/>
          <w:color w:val="000000"/>
        </w:rPr>
        <w:t xml:space="preserve"> welcomes and in principle supports the measures to bring indices used as benchmarks in financial instruments and financial contracts into the wider regulatory framework. Market participants around the world must be able to have confidence that these indices are calculated accurately and reliably and that there is an effective governance and scrutiny regime for contributors that seeks to ensure that inputs are reflective of market conditions.</w:t>
      </w:r>
    </w:p>
    <w:p w14:paraId="138C29EB" w14:textId="77777777" w:rsidR="00764A6E" w:rsidRPr="00883AAF" w:rsidRDefault="00764A6E" w:rsidP="00883AAF">
      <w:pPr>
        <w:pStyle w:val="body"/>
        <w:rPr>
          <w:b/>
          <w:bCs/>
        </w:rPr>
      </w:pPr>
      <w:r w:rsidRPr="00883AAF">
        <w:rPr>
          <w:b/>
          <w:bCs/>
        </w:rPr>
        <w:t>About Refinitiv</w:t>
      </w:r>
    </w:p>
    <w:p w14:paraId="02AF2FF9" w14:textId="0E3E9A75" w:rsidR="00C85C8B" w:rsidRPr="006306F2" w:rsidRDefault="00764A6E" w:rsidP="006306F2">
      <w:pPr>
        <w:pStyle w:val="NormalWeb"/>
        <w:spacing w:before="0" w:beforeAutospacing="0" w:after="0" w:afterAutospacing="0"/>
        <w:rPr>
          <w:rFonts w:ascii="Arial" w:hAnsi="Arial" w:cs="Arial"/>
        </w:rPr>
      </w:pPr>
      <w:r w:rsidRPr="006306F2">
        <w:rPr>
          <w:rFonts w:ascii="Arial" w:hAnsi="Arial" w:cs="Arial"/>
        </w:rPr>
        <w:t>Refinitiv is one of the world’s largest providers of financial markets data and infrastructure, serving over 40,000 institutions in approximately 190 countries. It provides leading data and insights, trading platforms, and open data and technology platforms that connect a thriving global financial markets community - driving performance in trading, investment, wealth management, regulatory compliance, market data management, enterprise risk and fighting financial crime</w:t>
      </w:r>
      <w:r w:rsidR="006306F2" w:rsidRPr="006306F2">
        <w:rPr>
          <w:rFonts w:ascii="Arial" w:hAnsi="Arial" w:cs="Arial"/>
        </w:rPr>
        <w:t>.</w:t>
      </w:r>
    </w:p>
    <w:permEnd w:id="885457707"/>
    <w:p w14:paraId="15D00E65" w14:textId="44C0535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6DFB10B7" w14:textId="77777777" w:rsidR="00764A6E" w:rsidRPr="006306F2" w:rsidRDefault="00764A6E" w:rsidP="00764A6E">
      <w:pPr>
        <w:pStyle w:val="body"/>
        <w:rPr>
          <w:b/>
          <w:sz w:val="24"/>
          <w:szCs w:val="28"/>
        </w:rPr>
      </w:pPr>
      <w:permStart w:id="1927807478" w:edGrp="everyone"/>
      <w:r w:rsidRPr="006306F2">
        <w:rPr>
          <w:sz w:val="24"/>
          <w:szCs w:val="28"/>
        </w:rPr>
        <w:t>We believe it is crucial for benchmark administrators to have robust governance arrangements in place which are the cornerstone of the provision of reliable benchmarks and we welcome the opportunity to provide comments on the proposed Regulatory Technical Standards (RTS).</w:t>
      </w:r>
    </w:p>
    <w:p w14:paraId="53BD29BA" w14:textId="77777777" w:rsidR="00764A6E" w:rsidRPr="006306F2" w:rsidRDefault="00764A6E" w:rsidP="00764A6E">
      <w:pPr>
        <w:pStyle w:val="body"/>
        <w:rPr>
          <w:b/>
          <w:sz w:val="24"/>
          <w:szCs w:val="28"/>
        </w:rPr>
      </w:pPr>
      <w:r w:rsidRPr="006306F2">
        <w:rPr>
          <w:sz w:val="24"/>
          <w:szCs w:val="28"/>
        </w:rPr>
        <w:t xml:space="preserve">We would like to point out the potential for confusion within the proposed RTS around the accountability requirements. </w:t>
      </w:r>
    </w:p>
    <w:p w14:paraId="1AF6981E" w14:textId="77777777" w:rsidR="00764A6E" w:rsidRPr="006306F2" w:rsidRDefault="00764A6E" w:rsidP="00764A6E">
      <w:pPr>
        <w:pStyle w:val="body"/>
        <w:rPr>
          <w:b/>
          <w:sz w:val="24"/>
          <w:szCs w:val="28"/>
        </w:rPr>
      </w:pPr>
      <w:r w:rsidRPr="006306F2">
        <w:rPr>
          <w:sz w:val="24"/>
          <w:szCs w:val="28"/>
        </w:rPr>
        <w:t>Indeed, we would welcome clarification on the differences between the proposed Article 1.1 requiring all decisions taken regarding the provision of the benchmark to have an accountable person and Article 2.1.a. of the same RTS requiring such person for decisions which could have a significant impact on the provision of the benchmark. We believe there could be some confusion on the level of granularity required in order to determine which decisions should be attributed to an accountable person. We would suggest that only decisions with significant impacts are subject to this requirement.</w:t>
      </w:r>
    </w:p>
    <w:p w14:paraId="22A6B380" w14:textId="2946995D" w:rsidR="00764A6E" w:rsidRPr="006306F2" w:rsidRDefault="00764A6E" w:rsidP="00764A6E">
      <w:pPr>
        <w:pStyle w:val="body"/>
        <w:rPr>
          <w:sz w:val="24"/>
          <w:szCs w:val="28"/>
        </w:rPr>
      </w:pPr>
      <w:r w:rsidRPr="006306F2">
        <w:rPr>
          <w:sz w:val="24"/>
          <w:szCs w:val="28"/>
        </w:rPr>
        <w:t>In addition, and as already pointed out by ESMA under paragraph 6, benchmark administrators are already required to implement a control and accountability framework in relation to dedicated areas of the BMR. R</w:t>
      </w:r>
      <w:r w:rsidR="00883AAF" w:rsidRPr="006306F2">
        <w:rPr>
          <w:sz w:val="24"/>
          <w:szCs w:val="28"/>
        </w:rPr>
        <w:t>BSL</w:t>
      </w:r>
      <w:r w:rsidRPr="006306F2">
        <w:rPr>
          <w:sz w:val="24"/>
          <w:szCs w:val="28"/>
        </w:rPr>
        <w:t xml:space="preserve"> would welcome clarification as to how these new accountability requirements would complement the existing frameworks.</w:t>
      </w:r>
    </w:p>
    <w:p w14:paraId="70410A9E" w14:textId="7D329743" w:rsidR="00764A6E" w:rsidRPr="006306F2" w:rsidRDefault="00764A6E" w:rsidP="00764A6E">
      <w:pPr>
        <w:pStyle w:val="body"/>
        <w:rPr>
          <w:b/>
          <w:sz w:val="24"/>
          <w:szCs w:val="28"/>
        </w:rPr>
      </w:pPr>
      <w:r w:rsidRPr="006306F2">
        <w:rPr>
          <w:sz w:val="24"/>
          <w:szCs w:val="28"/>
        </w:rPr>
        <w:t>Overall and as Q3 suggests, the requirements set out in this RTS may not be applicable to all benchmark administrators or may be too granular in some instances. We would like to point out that proportionality is one of the core elements of the</w:t>
      </w:r>
      <w:r w:rsidR="00883AAF" w:rsidRPr="006306F2">
        <w:rPr>
          <w:sz w:val="24"/>
          <w:szCs w:val="28"/>
        </w:rPr>
        <w:t xml:space="preserve"> </w:t>
      </w:r>
      <w:r w:rsidRPr="006306F2">
        <w:rPr>
          <w:sz w:val="24"/>
          <w:szCs w:val="28"/>
        </w:rPr>
        <w:t>BMR and is key to the everyday supervision of the provision of benchmarks. Benchmark administrators can be widely different and covering different kinds of family and types of benchmarks therefore we believe flexibility and proportionality should be allowed in the implementation of the RTS.</w:t>
      </w:r>
    </w:p>
    <w:p w14:paraId="03A024D8" w14:textId="6A843BE8" w:rsidR="0010762E" w:rsidRDefault="0010762E" w:rsidP="0010762E">
      <w:pPr>
        <w:rPr>
          <w:rFonts w:ascii="Arial" w:hAnsi="Arial" w:cs="Arial"/>
        </w:rPr>
      </w:pPr>
    </w:p>
    <w:permEnd w:id="1927807478"/>
    <w:p w14:paraId="31B219F5" w14:textId="77777777" w:rsidR="0010762E" w:rsidRDefault="0010762E" w:rsidP="0010762E">
      <w:pPr>
        <w:rPr>
          <w:rFonts w:ascii="Arial" w:hAnsi="Arial" w:cs="Arial"/>
        </w:rPr>
      </w:pPr>
      <w:r>
        <w:rPr>
          <w:rFonts w:ascii="Arial" w:hAnsi="Arial" w:cs="Arial"/>
        </w:rPr>
        <w:t>&lt;ESMA_QUESTION_CP_BRTS_1&gt;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25A80BEF" w14:textId="04882A25" w:rsidR="00764A6E" w:rsidRPr="006306F2" w:rsidRDefault="00764A6E" w:rsidP="00764A6E">
      <w:pPr>
        <w:rPr>
          <w:rFonts w:asciiTheme="minorHAnsi" w:hAnsiTheme="minorHAnsi" w:cstheme="minorHAnsi"/>
          <w:b/>
        </w:rPr>
      </w:pPr>
      <w:permStart w:id="1601636180" w:edGrp="everyone"/>
      <w:r w:rsidRPr="006306F2">
        <w:rPr>
          <w:rFonts w:asciiTheme="minorHAnsi" w:hAnsiTheme="minorHAnsi" w:cstheme="minorHAnsi"/>
        </w:rPr>
        <w:t>We agree that a remuneration framework is an important part of conflict of interest management and is one of the tools available to administrator</w:t>
      </w:r>
      <w:r w:rsidR="006306F2" w:rsidRPr="006306F2">
        <w:rPr>
          <w:rFonts w:asciiTheme="minorHAnsi" w:hAnsiTheme="minorHAnsi" w:cstheme="minorHAnsi"/>
        </w:rPr>
        <w:t>s</w:t>
      </w:r>
      <w:r w:rsidRPr="006306F2">
        <w:rPr>
          <w:rFonts w:asciiTheme="minorHAnsi" w:hAnsiTheme="minorHAnsi" w:cstheme="minorHAnsi"/>
        </w:rPr>
        <w:t xml:space="preserve"> to ensure the integrity of the provision of benchmarks. We would like to point out that similar requirements </w:t>
      </w:r>
      <w:r w:rsidRPr="006306F2">
        <w:rPr>
          <w:rFonts w:asciiTheme="minorHAnsi" w:hAnsiTheme="minorHAnsi" w:cstheme="minorHAnsi"/>
        </w:rPr>
        <w:lastRenderedPageBreak/>
        <w:t xml:space="preserve">already exist in the BMR under Article 5.7(b) to (e) and believe these requirements are </w:t>
      </w:r>
      <w:proofErr w:type="gramStart"/>
      <w:r w:rsidRPr="006306F2">
        <w:rPr>
          <w:rFonts w:asciiTheme="minorHAnsi" w:hAnsiTheme="minorHAnsi" w:cstheme="minorHAnsi"/>
        </w:rPr>
        <w:t>sufficient</w:t>
      </w:r>
      <w:proofErr w:type="gramEnd"/>
      <w:r w:rsidRPr="006306F2">
        <w:rPr>
          <w:rFonts w:asciiTheme="minorHAnsi" w:hAnsiTheme="minorHAnsi" w:cstheme="minorHAnsi"/>
        </w:rPr>
        <w:t xml:space="preserve"> and proportionate in addressing conflict of interests and persons involved in the provision of benchmarks.</w:t>
      </w:r>
    </w:p>
    <w:p w14:paraId="22C30C3B" w14:textId="4874031B" w:rsidR="0010762E" w:rsidRDefault="0010762E" w:rsidP="0010762E">
      <w:pPr>
        <w:rPr>
          <w:rFonts w:ascii="Arial" w:hAnsi="Arial" w:cs="Arial"/>
        </w:rPr>
      </w:pPr>
    </w:p>
    <w:permEnd w:id="1601636180"/>
    <w:p w14:paraId="2FB8FD04" w14:textId="77777777" w:rsidR="0010762E" w:rsidRDefault="0010762E" w:rsidP="0010762E">
      <w:pPr>
        <w:rPr>
          <w:rFonts w:ascii="Arial" w:hAnsi="Arial" w:cs="Arial"/>
        </w:rPr>
      </w:pPr>
      <w:r>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t>&lt;ESMA_QUESTION_CP_BRTS_3&gt;</w:t>
      </w:r>
    </w:p>
    <w:p w14:paraId="4828BFC6" w14:textId="04399F7C" w:rsidR="0010762E" w:rsidRDefault="0010762E" w:rsidP="0010762E">
      <w:pPr>
        <w:rPr>
          <w:rFonts w:ascii="Arial" w:hAnsi="Arial" w:cs="Arial"/>
        </w:rPr>
      </w:pPr>
      <w:permStart w:id="954937618" w:edGrp="everyone"/>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t>&lt;ESMA_QUESTION_CP_BRTS_4&gt;</w:t>
      </w:r>
    </w:p>
    <w:p w14:paraId="05D17EC4" w14:textId="5BE94D3F" w:rsidR="00764A6E" w:rsidRPr="00E90D70" w:rsidRDefault="00764A6E" w:rsidP="00764A6E">
      <w:pPr>
        <w:rPr>
          <w:rFonts w:ascii="Arial" w:hAnsi="Arial" w:cs="Arial"/>
          <w:b/>
          <w:bCs/>
        </w:rPr>
      </w:pPr>
      <w:permStart w:id="36393939" w:edGrp="everyone"/>
      <w:r w:rsidRPr="00E90D70">
        <w:rPr>
          <w:rFonts w:ascii="Arial" w:hAnsi="Arial" w:cs="Arial"/>
        </w:rPr>
        <w:t xml:space="preserve">We do not think that other conditions should be taken into account but we would like to comment on paragraph 30 of the consultation and the following statement: “Methodologies are generally based on assumptions that consist of assuming a behaviour for the sake </w:t>
      </w:r>
      <w:r w:rsidR="00B402CF">
        <w:rPr>
          <w:rFonts w:ascii="Arial" w:hAnsi="Arial" w:cs="Arial"/>
        </w:rPr>
        <w:t xml:space="preserve">of </w:t>
      </w:r>
      <w:r w:rsidRPr="00E90D70">
        <w:rPr>
          <w:rFonts w:ascii="Arial" w:hAnsi="Arial" w:cs="Arial"/>
        </w:rPr>
        <w:t xml:space="preserve">simplifications of the methodology while in reality behaviour is different”. Whilst assumptions can be used in methodologies, they are not a common feature of methodology across all types and families of benchmarks. It is important to note that most assumptions are non-material in nature otherwise a benchmark may not be accurately representing the underlying economic reality. We would suggest integrating proportionality in this requirement by suggesting that key assumptions should be subject to assessment </w:t>
      </w:r>
      <w:r w:rsidRPr="00E90D70">
        <w:rPr>
          <w:rFonts w:ascii="Arial" w:hAnsi="Arial" w:cs="Arial"/>
          <w:i/>
          <w:iCs/>
        </w:rPr>
        <w:t>where applicable</w:t>
      </w:r>
      <w:r w:rsidRPr="00E90D70">
        <w:rPr>
          <w:rFonts w:ascii="Arial" w:hAnsi="Arial" w:cs="Arial"/>
        </w:rPr>
        <w:t xml:space="preserve"> i.e. where indeed key assumptions are used in the methodology.</w:t>
      </w:r>
    </w:p>
    <w:p w14:paraId="50F8C6B2" w14:textId="77777777" w:rsidR="00764A6E" w:rsidRPr="00E90D70" w:rsidRDefault="00764A6E" w:rsidP="00764A6E">
      <w:pPr>
        <w:rPr>
          <w:rFonts w:ascii="Arial" w:hAnsi="Arial" w:cs="Arial"/>
          <w:b/>
          <w:bCs/>
        </w:rPr>
      </w:pPr>
    </w:p>
    <w:p w14:paraId="72EB7BEB" w14:textId="77777777" w:rsidR="00764A6E" w:rsidRPr="00E90D70" w:rsidRDefault="00764A6E" w:rsidP="00764A6E">
      <w:pPr>
        <w:rPr>
          <w:rFonts w:ascii="Arial" w:hAnsi="Arial" w:cs="Arial"/>
          <w:b/>
          <w:bCs/>
        </w:rPr>
      </w:pPr>
      <w:r w:rsidRPr="00E90D70">
        <w:rPr>
          <w:rFonts w:ascii="Arial" w:hAnsi="Arial" w:cs="Arial"/>
        </w:rPr>
        <w:t>We also have more detailed comments on Article 1 and 2 of the proposed RTS:</w:t>
      </w:r>
    </w:p>
    <w:p w14:paraId="305E8768" w14:textId="77777777" w:rsidR="008A4158" w:rsidRDefault="00764A6E" w:rsidP="00764A6E">
      <w:pPr>
        <w:rPr>
          <w:rFonts w:ascii="Arial" w:hAnsi="Arial" w:cs="Arial"/>
        </w:rPr>
      </w:pPr>
      <w:r w:rsidRPr="00E90D70">
        <w:rPr>
          <w:rFonts w:ascii="Arial" w:hAnsi="Arial" w:cs="Arial"/>
        </w:rPr>
        <w:t>On Article 1, we agree that transaction data is a robust source of input for the calculation of a benchmark but not always the best source of input data. Input data, as per the definition in the BMR can be transaction data but also quotes which, in some instances, are more representative than transactions. We would suggest that ESMA takes this into account in the drafting of Article 1.3 and recommend the usage of transaction data “where available and appropriate”.</w:t>
      </w:r>
      <w:r w:rsidR="001C0E93">
        <w:rPr>
          <w:rFonts w:ascii="Arial" w:hAnsi="Arial" w:cs="Arial"/>
        </w:rPr>
        <w:t xml:space="preserve"> </w:t>
      </w:r>
    </w:p>
    <w:p w14:paraId="7C303668" w14:textId="77777777" w:rsidR="00764A6E" w:rsidRPr="00E90D70" w:rsidRDefault="00764A6E" w:rsidP="00764A6E">
      <w:pPr>
        <w:rPr>
          <w:rFonts w:ascii="Arial" w:hAnsi="Arial" w:cs="Arial"/>
          <w:b/>
          <w:bCs/>
        </w:rPr>
      </w:pPr>
    </w:p>
    <w:p w14:paraId="779D4AF6" w14:textId="11EF3630" w:rsidR="004401F6" w:rsidRPr="006306F2" w:rsidRDefault="00764A6E" w:rsidP="00764A6E">
      <w:pPr>
        <w:rPr>
          <w:rFonts w:ascii="Arial" w:hAnsi="Arial" w:cs="Arial"/>
          <w:highlight w:val="darkGray"/>
        </w:rPr>
      </w:pPr>
      <w:r w:rsidRPr="00E90D70">
        <w:rPr>
          <w:rFonts w:ascii="Arial" w:hAnsi="Arial" w:cs="Arial"/>
        </w:rPr>
        <w:t>On Article 2, we urge ESMA not to make a distinction between expert judgement and discretion. Expert judgement is already defined in the BMR and is a key definition ensuring a harmonised application of the BMR and a central definition to benchmark supervision. Discretion is not defined in the BMR and a lack thereof would potentially harm the uniform application and understanding of the BMR. In addition, we do not see a material difference between the definition of expert judgement and discretion since expert judgement is defined as the exercise of discretion as per Article 3(13) of the BMR.</w:t>
      </w:r>
      <w:r w:rsidR="00935730">
        <w:rPr>
          <w:rFonts w:ascii="Arial" w:hAnsi="Arial" w:cs="Arial"/>
        </w:rPr>
        <w:t xml:space="preserve"> </w:t>
      </w:r>
      <w:r w:rsidR="00755247" w:rsidRPr="006306F2">
        <w:rPr>
          <w:rFonts w:ascii="Arial" w:hAnsi="Arial" w:cs="Arial"/>
          <w:highlight w:val="darkGray"/>
        </w:rPr>
        <w:t xml:space="preserve">For </w:t>
      </w:r>
      <w:proofErr w:type="spellStart"/>
      <w:r w:rsidR="00755247" w:rsidRPr="006306F2">
        <w:rPr>
          <w:rFonts w:ascii="Arial" w:hAnsi="Arial" w:cs="Arial"/>
          <w:highlight w:val="darkGray"/>
        </w:rPr>
        <w:t>instace</w:t>
      </w:r>
      <w:proofErr w:type="spellEnd"/>
      <w:r w:rsidR="00755247" w:rsidRPr="006306F2">
        <w:rPr>
          <w:rFonts w:ascii="Arial" w:hAnsi="Arial" w:cs="Arial"/>
          <w:highlight w:val="darkGray"/>
        </w:rPr>
        <w:t xml:space="preserve">, we struggle to see the difference between </w:t>
      </w:r>
      <w:r w:rsidR="00FA5048" w:rsidRPr="006306F2">
        <w:rPr>
          <w:rFonts w:ascii="Arial" w:hAnsi="Arial" w:cs="Arial"/>
          <w:highlight w:val="darkGray"/>
        </w:rPr>
        <w:t>the proposed Article 2.1.c and the definition of expert judgement.</w:t>
      </w:r>
    </w:p>
    <w:p w14:paraId="20FE8623" w14:textId="33A533DC" w:rsidR="00B34298" w:rsidRPr="006306F2" w:rsidRDefault="00EF548C" w:rsidP="00764A6E">
      <w:pPr>
        <w:rPr>
          <w:rFonts w:ascii="Arial" w:hAnsi="Arial" w:cs="Arial"/>
        </w:rPr>
      </w:pPr>
      <w:r w:rsidRPr="006306F2">
        <w:rPr>
          <w:rFonts w:ascii="Arial" w:hAnsi="Arial" w:cs="Arial"/>
          <w:highlight w:val="darkGray"/>
        </w:rPr>
        <w:t xml:space="preserve">On article 2.1.b: expert judgement is not always based </w:t>
      </w:r>
      <w:r w:rsidR="009B1809" w:rsidRPr="006306F2">
        <w:rPr>
          <w:rFonts w:ascii="Arial" w:hAnsi="Arial" w:cs="Arial"/>
          <w:highlight w:val="darkGray"/>
        </w:rPr>
        <w:t xml:space="preserve">on an algorithm </w:t>
      </w:r>
      <w:r w:rsidR="00EF4731" w:rsidRPr="006306F2">
        <w:rPr>
          <w:rFonts w:ascii="Arial" w:hAnsi="Arial" w:cs="Arial"/>
          <w:highlight w:val="darkGray"/>
        </w:rPr>
        <w:t xml:space="preserve">or </w:t>
      </w:r>
      <w:r w:rsidR="006732E2" w:rsidRPr="006306F2">
        <w:rPr>
          <w:rFonts w:ascii="Arial" w:hAnsi="Arial" w:cs="Arial"/>
          <w:highlight w:val="darkGray"/>
        </w:rPr>
        <w:t xml:space="preserve">an </w:t>
      </w:r>
      <w:r w:rsidR="00EF4731" w:rsidRPr="006306F2">
        <w:rPr>
          <w:rFonts w:ascii="Arial" w:hAnsi="Arial" w:cs="Arial"/>
          <w:highlight w:val="darkGray"/>
        </w:rPr>
        <w:t xml:space="preserve">exact/pre-defined methodology as it could be dependent on the drivers </w:t>
      </w:r>
      <w:r w:rsidR="002D1F23" w:rsidRPr="006306F2">
        <w:rPr>
          <w:rFonts w:ascii="Arial" w:hAnsi="Arial" w:cs="Arial"/>
          <w:highlight w:val="darkGray"/>
        </w:rPr>
        <w:t>leading to the need for expert judgement, such as market conditions, liquidity or a technical failure</w:t>
      </w:r>
      <w:r w:rsidR="0037583E" w:rsidRPr="006306F2">
        <w:rPr>
          <w:rFonts w:ascii="Arial" w:hAnsi="Arial" w:cs="Arial"/>
          <w:highlight w:val="darkGray"/>
        </w:rPr>
        <w:t xml:space="preserve">. </w:t>
      </w:r>
      <w:r w:rsidR="0037583E" w:rsidRPr="006306F2">
        <w:rPr>
          <w:rFonts w:ascii="Arial" w:hAnsi="Arial" w:cs="Arial"/>
          <w:highlight w:val="darkGray"/>
        </w:rPr>
        <w:lastRenderedPageBreak/>
        <w:t xml:space="preserve">We would suggest that policies or guidelines </w:t>
      </w:r>
      <w:r w:rsidR="00EB7A01" w:rsidRPr="006306F2">
        <w:rPr>
          <w:rFonts w:ascii="Arial" w:hAnsi="Arial" w:cs="Arial"/>
          <w:highlight w:val="darkGray"/>
        </w:rPr>
        <w:t>should be better tools to describe the usage of expert judgement in the provision of benchmarks.</w:t>
      </w:r>
    </w:p>
    <w:p w14:paraId="15880670" w14:textId="77777777" w:rsidR="00764A6E" w:rsidRPr="00EF548C" w:rsidRDefault="00764A6E" w:rsidP="00764A6E">
      <w:pPr>
        <w:rPr>
          <w:rFonts w:ascii="Arial" w:hAnsi="Arial" w:cs="Arial"/>
        </w:rPr>
      </w:pPr>
    </w:p>
    <w:p w14:paraId="1E6BBC60" w14:textId="77777777" w:rsidR="00764A6E" w:rsidRPr="00E90D70" w:rsidRDefault="00764A6E" w:rsidP="00764A6E">
      <w:pPr>
        <w:rPr>
          <w:rFonts w:ascii="Arial" w:hAnsi="Arial" w:cs="Arial"/>
          <w:bCs/>
        </w:rPr>
      </w:pPr>
      <w:r w:rsidRPr="00E90D70">
        <w:rPr>
          <w:rFonts w:ascii="Arial" w:eastAsia="Arial" w:hAnsi="Arial" w:cs="Arial"/>
          <w:bCs/>
          <w:lang w:bidi="en-GB"/>
        </w:rPr>
        <w:t xml:space="preserve">On Article 4, </w:t>
      </w:r>
      <w:r w:rsidRPr="00E90D70">
        <w:rPr>
          <w:rFonts w:ascii="Arial" w:hAnsi="Arial" w:cs="Arial"/>
          <w:bCs/>
        </w:rPr>
        <w:t>‘</w:t>
      </w:r>
      <w:r w:rsidRPr="00E90D70">
        <w:rPr>
          <w:rFonts w:ascii="Arial" w:eastAsia="Arial" w:hAnsi="Arial" w:cs="Arial"/>
          <w:bCs/>
          <w:lang w:bidi="en-GB"/>
        </w:rPr>
        <w:t>stress testing</w:t>
      </w:r>
      <w:r w:rsidRPr="00E90D70">
        <w:rPr>
          <w:rFonts w:ascii="Arial" w:hAnsi="Arial" w:cs="Arial"/>
          <w:bCs/>
        </w:rPr>
        <w:t>’</w:t>
      </w:r>
      <w:r w:rsidRPr="00E90D70">
        <w:rPr>
          <w:rFonts w:ascii="Arial" w:eastAsia="Arial" w:hAnsi="Arial" w:cs="Arial"/>
          <w:bCs/>
          <w:lang w:bidi="en-GB"/>
        </w:rPr>
        <w:t xml:space="preserve"> can include a very wide</w:t>
      </w:r>
      <w:r w:rsidRPr="00E90D70">
        <w:rPr>
          <w:rFonts w:ascii="Arial" w:hAnsi="Arial" w:cs="Arial"/>
          <w:bCs/>
        </w:rPr>
        <w:t xml:space="preserve"> and deep</w:t>
      </w:r>
      <w:r w:rsidRPr="00E90D70">
        <w:rPr>
          <w:rFonts w:ascii="Arial" w:eastAsia="Arial" w:hAnsi="Arial" w:cs="Arial"/>
          <w:bCs/>
          <w:lang w:bidi="en-GB"/>
        </w:rPr>
        <w:t xml:space="preserve"> spectrum of work including hypothetical scenarios, historical stresses, reverse stress testing and sensitivity analysis. Undertaking all this analysis across all benchmarks would require significant investment by benchmark administrators in terms of quantitative modelling, resources and IT development. We consider this requirement to be a disproportionate burden, particularly given the resilience of the benchmark industry despite the </w:t>
      </w:r>
      <w:r w:rsidRPr="00E90D70">
        <w:rPr>
          <w:rFonts w:ascii="Arial" w:hAnsi="Arial" w:cs="Arial"/>
          <w:bCs/>
        </w:rPr>
        <w:t xml:space="preserve">recent and </w:t>
      </w:r>
      <w:r w:rsidRPr="00E90D70">
        <w:rPr>
          <w:rFonts w:ascii="Arial" w:eastAsia="Arial" w:hAnsi="Arial" w:cs="Arial"/>
          <w:bCs/>
          <w:lang w:bidi="en-GB"/>
        </w:rPr>
        <w:t xml:space="preserve">ongoing COVID-19 </w:t>
      </w:r>
      <w:r w:rsidRPr="00E90D70">
        <w:rPr>
          <w:rFonts w:ascii="Arial" w:hAnsi="Arial" w:cs="Arial"/>
          <w:bCs/>
        </w:rPr>
        <w:t>situation</w:t>
      </w:r>
      <w:r w:rsidRPr="00E90D70">
        <w:rPr>
          <w:rFonts w:ascii="Arial" w:eastAsia="Arial" w:hAnsi="Arial" w:cs="Arial"/>
          <w:bCs/>
          <w:lang w:bidi="en-GB"/>
        </w:rPr>
        <w:t>, which in many respects is the most severe but plausible multi-factor stress test imaginable. We urge ESMA to further clarify what it expects benchmark administrators to do in this regard in order establish a proportionate approach.</w:t>
      </w:r>
    </w:p>
    <w:p w14:paraId="128D0CB2" w14:textId="69874791" w:rsidR="0010762E" w:rsidRDefault="0010762E" w:rsidP="0010762E">
      <w:pPr>
        <w:rPr>
          <w:rFonts w:ascii="Arial" w:hAnsi="Arial" w:cs="Arial"/>
        </w:rPr>
      </w:pPr>
    </w:p>
    <w:permEnd w:id="36393939"/>
    <w:p w14:paraId="482CBC37" w14:textId="77777777" w:rsidR="0010762E" w:rsidRDefault="0010762E" w:rsidP="0010762E">
      <w:pPr>
        <w:rPr>
          <w:rFonts w:ascii="Arial" w:hAnsi="Arial" w:cs="Arial"/>
        </w:rPr>
      </w:pPr>
      <w:r>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09B2FB34" w14:textId="77777777" w:rsidR="0010762E" w:rsidRDefault="0010762E" w:rsidP="0010762E">
      <w:pPr>
        <w:rPr>
          <w:rFonts w:ascii="Arial" w:hAnsi="Arial" w:cs="Arial"/>
        </w:rPr>
      </w:pPr>
      <w:permStart w:id="1891459047" w:edGrp="everyone"/>
      <w:r>
        <w:rPr>
          <w:rFonts w:ascii="Arial" w:hAnsi="Arial" w:cs="Arial"/>
        </w:rPr>
        <w:t>TYPE YOUR TEXT HERE</w:t>
      </w:r>
    </w:p>
    <w:permEnd w:id="1891459047"/>
    <w:p w14:paraId="325BA92C" w14:textId="77777777" w:rsidR="0010762E" w:rsidRDefault="0010762E" w:rsidP="0010762E">
      <w:pPr>
        <w:rPr>
          <w:rFonts w:ascii="Arial" w:hAnsi="Arial" w:cs="Arial"/>
        </w:rPr>
      </w:pPr>
      <w:r>
        <w:rPr>
          <w:rFonts w:ascii="Arial" w:hAnsi="Arial" w:cs="Arial"/>
        </w:rPr>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t>&lt;ESMA_QUESTION_CP_BRTS_6&gt;</w:t>
      </w:r>
    </w:p>
    <w:p w14:paraId="089850B5" w14:textId="77777777" w:rsidR="00764A6E" w:rsidRPr="00E90D70" w:rsidRDefault="00764A6E" w:rsidP="00764A6E">
      <w:pPr>
        <w:rPr>
          <w:rFonts w:ascii="Arial" w:hAnsi="Arial" w:cs="Arial"/>
          <w:b/>
          <w:bCs/>
        </w:rPr>
      </w:pPr>
      <w:permStart w:id="1515997747" w:edGrp="everyone"/>
      <w:r w:rsidRPr="00E90D70">
        <w:rPr>
          <w:rFonts w:ascii="Arial" w:hAnsi="Arial" w:cs="Arial"/>
        </w:rPr>
        <w:t xml:space="preserve">Back-testing is a widely used tool for ensuring benchmark methodologies are representative of the underlying market they seek to measure. We consider it appropriate for back-testing to continue to be a part of establishing a robust methodology for benchmarks, particularly at the inception of a new product or when considering a material change to the benchmark methodology. Back testing is also likely to be more valuable for certain types of benchmarks than others, for example contribution-based benchmarks may benefit from it more than passive transactions-based benchmarks. </w:t>
      </w:r>
    </w:p>
    <w:p w14:paraId="565CDF68" w14:textId="77777777" w:rsidR="00764A6E" w:rsidRPr="00E90D70" w:rsidRDefault="00764A6E" w:rsidP="00764A6E">
      <w:pPr>
        <w:rPr>
          <w:rFonts w:ascii="Arial" w:hAnsi="Arial" w:cs="Arial"/>
          <w:b/>
          <w:bCs/>
        </w:rPr>
      </w:pPr>
    </w:p>
    <w:p w14:paraId="43F386B3" w14:textId="56ED9159" w:rsidR="00764A6E" w:rsidRDefault="00764A6E" w:rsidP="00764A6E">
      <w:pPr>
        <w:rPr>
          <w:rFonts w:ascii="Arial" w:hAnsi="Arial" w:cs="Arial"/>
        </w:rPr>
      </w:pPr>
      <w:r w:rsidRPr="00E90D70">
        <w:rPr>
          <w:rFonts w:ascii="Arial" w:hAnsi="Arial" w:cs="Arial"/>
        </w:rPr>
        <w:t xml:space="preserve">A limitation of back-testing is that it is always subject to the availability of input data to create historical benchmark values and the availability of comparable rates or prices to provide a means for interpreting the historical benchmark. If a historical benchmark cannot be generated, then alternative methods might be appropriate. For example, a prototype benchmark could be published for </w:t>
      </w:r>
      <w:proofErr w:type="gramStart"/>
      <w:r w:rsidRPr="00E90D70">
        <w:rPr>
          <w:rFonts w:ascii="Arial" w:hAnsi="Arial" w:cs="Arial"/>
        </w:rPr>
        <w:t>a period of time</w:t>
      </w:r>
      <w:proofErr w:type="gramEnd"/>
      <w:r w:rsidRPr="00E90D70">
        <w:rPr>
          <w:rFonts w:ascii="Arial" w:hAnsi="Arial" w:cs="Arial"/>
        </w:rPr>
        <w:t xml:space="preserve"> to enable analysis to be performed and seek feedback in order to assess the quality of the benchmark and the methodology. However, in our view, ongoing and additional back-testing requirements beyond what is already performed is not adding incremental value.</w:t>
      </w:r>
    </w:p>
    <w:p w14:paraId="1FD2B526" w14:textId="326D2470" w:rsidR="00BB6F58" w:rsidRDefault="00307923" w:rsidP="00764A6E">
      <w:pPr>
        <w:rPr>
          <w:rFonts w:ascii="Arial" w:hAnsi="Arial" w:cs="Arial"/>
        </w:rPr>
      </w:pPr>
      <w:r w:rsidRPr="006306F2">
        <w:rPr>
          <w:rFonts w:ascii="Arial" w:hAnsi="Arial" w:cs="Arial"/>
        </w:rPr>
        <w:t>In light of such l</w:t>
      </w:r>
      <w:r w:rsidR="00EE5644" w:rsidRPr="006306F2">
        <w:rPr>
          <w:rFonts w:ascii="Arial" w:hAnsi="Arial" w:cs="Arial"/>
        </w:rPr>
        <w:t>imitations,</w:t>
      </w:r>
      <w:r w:rsidR="00BB6F58" w:rsidRPr="006306F2">
        <w:rPr>
          <w:rFonts w:ascii="Arial" w:hAnsi="Arial" w:cs="Arial"/>
        </w:rPr>
        <w:t xml:space="preserve"> we would suggest </w:t>
      </w:r>
      <w:r w:rsidR="00EE5644" w:rsidRPr="006306F2">
        <w:rPr>
          <w:rFonts w:ascii="Arial" w:hAnsi="Arial" w:cs="Arial"/>
        </w:rPr>
        <w:t>adding</w:t>
      </w:r>
      <w:r w:rsidR="00F76A5C" w:rsidRPr="006306F2">
        <w:rPr>
          <w:rFonts w:ascii="Arial" w:hAnsi="Arial" w:cs="Arial"/>
        </w:rPr>
        <w:t xml:space="preserve"> alternative and equally </w:t>
      </w:r>
      <w:r w:rsidR="00EE5644" w:rsidRPr="006306F2">
        <w:rPr>
          <w:rFonts w:ascii="Arial" w:hAnsi="Arial" w:cs="Arial"/>
        </w:rPr>
        <w:t xml:space="preserve">appropriate </w:t>
      </w:r>
      <w:r w:rsidR="000532F0" w:rsidRPr="006306F2">
        <w:rPr>
          <w:rFonts w:ascii="Arial" w:hAnsi="Arial" w:cs="Arial"/>
        </w:rPr>
        <w:t>solution</w:t>
      </w:r>
      <w:r w:rsidR="001F4915" w:rsidRPr="006306F2">
        <w:rPr>
          <w:rFonts w:ascii="Arial" w:hAnsi="Arial" w:cs="Arial"/>
        </w:rPr>
        <w:t xml:space="preserve">s </w:t>
      </w:r>
      <w:r w:rsidR="00747782" w:rsidRPr="006306F2">
        <w:rPr>
          <w:rFonts w:ascii="Arial" w:hAnsi="Arial" w:cs="Arial"/>
        </w:rPr>
        <w:t xml:space="preserve">to the </w:t>
      </w:r>
      <w:proofErr w:type="gramStart"/>
      <w:r w:rsidR="00747782" w:rsidRPr="006306F2">
        <w:rPr>
          <w:rFonts w:ascii="Arial" w:hAnsi="Arial" w:cs="Arial"/>
        </w:rPr>
        <w:t>back testing</w:t>
      </w:r>
      <w:proofErr w:type="gramEnd"/>
      <w:r w:rsidR="00747782" w:rsidRPr="006306F2">
        <w:rPr>
          <w:rFonts w:ascii="Arial" w:hAnsi="Arial" w:cs="Arial"/>
        </w:rPr>
        <w:t xml:space="preserve"> requirements such as </w:t>
      </w:r>
      <w:r w:rsidR="001B458A" w:rsidRPr="006306F2">
        <w:rPr>
          <w:rFonts w:ascii="Arial" w:hAnsi="Arial" w:cs="Arial"/>
        </w:rPr>
        <w:t>prototype benchmarks.</w:t>
      </w:r>
    </w:p>
    <w:p w14:paraId="201BB8A0" w14:textId="77777777" w:rsidR="008833A2" w:rsidRPr="006306F2" w:rsidRDefault="008833A2" w:rsidP="00764A6E">
      <w:pPr>
        <w:rPr>
          <w:rFonts w:ascii="Arial" w:hAnsi="Arial" w:cs="Arial"/>
          <w:b/>
          <w:bCs/>
        </w:rPr>
      </w:pPr>
      <w:bookmarkStart w:id="1" w:name="_GoBack"/>
      <w:bookmarkEnd w:id="1"/>
    </w:p>
    <w:p w14:paraId="70836CC6" w14:textId="77777777" w:rsidR="00764A6E" w:rsidRPr="00E90D70" w:rsidRDefault="00764A6E" w:rsidP="00764A6E">
      <w:pPr>
        <w:rPr>
          <w:rFonts w:ascii="Arial" w:hAnsi="Arial" w:cs="Arial"/>
          <w:b/>
          <w:bCs/>
        </w:rPr>
      </w:pPr>
    </w:p>
    <w:p w14:paraId="7CF0C968" w14:textId="77777777" w:rsidR="00764A6E" w:rsidRPr="00E90D70" w:rsidRDefault="00764A6E" w:rsidP="00764A6E">
      <w:pPr>
        <w:rPr>
          <w:rFonts w:ascii="Arial" w:hAnsi="Arial" w:cs="Arial"/>
          <w:b/>
          <w:bCs/>
        </w:rPr>
      </w:pPr>
      <w:r w:rsidRPr="00E90D70">
        <w:rPr>
          <w:rFonts w:ascii="Arial" w:hAnsi="Arial" w:cs="Arial"/>
        </w:rPr>
        <w:lastRenderedPageBreak/>
        <w:t>We also believe that some flexibility should be introduced in the proposed Article 3.2 (c) and (e):</w:t>
      </w:r>
    </w:p>
    <w:p w14:paraId="3C6BA71F" w14:textId="69EB834D" w:rsidR="00764A6E" w:rsidRPr="006306F2" w:rsidRDefault="00764A6E" w:rsidP="00B402CF">
      <w:pPr>
        <w:pStyle w:val="ListParagraph"/>
        <w:numPr>
          <w:ilvl w:val="0"/>
          <w:numId w:val="18"/>
        </w:numPr>
        <w:rPr>
          <w:rFonts w:ascii="Arial" w:hAnsi="Arial" w:cs="Arial"/>
          <w:b/>
          <w:bCs/>
          <w:sz w:val="24"/>
          <w:szCs w:val="24"/>
        </w:rPr>
      </w:pPr>
      <w:r w:rsidRPr="006306F2">
        <w:rPr>
          <w:rFonts w:ascii="Arial" w:hAnsi="Arial" w:cs="Arial"/>
          <w:sz w:val="24"/>
          <w:szCs w:val="24"/>
        </w:rPr>
        <w:t xml:space="preserve">On Article 3.2 (c): </w:t>
      </w:r>
      <w:r w:rsidR="00B402CF" w:rsidRPr="006306F2">
        <w:rPr>
          <w:rFonts w:ascii="Arial" w:hAnsi="Arial" w:cs="Arial"/>
          <w:sz w:val="24"/>
          <w:szCs w:val="24"/>
        </w:rPr>
        <w:t>“</w:t>
      </w:r>
      <w:r w:rsidRPr="006306F2">
        <w:rPr>
          <w:rFonts w:ascii="Arial" w:hAnsi="Arial" w:cs="Arial"/>
          <w:sz w:val="24"/>
          <w:szCs w:val="24"/>
        </w:rPr>
        <w:t>clear statistical tests that would help assess the back-testing results</w:t>
      </w:r>
      <w:r w:rsidR="00F00196" w:rsidRPr="006306F2">
        <w:rPr>
          <w:rFonts w:ascii="Arial" w:hAnsi="Arial" w:cs="Arial"/>
          <w:sz w:val="24"/>
          <w:szCs w:val="24"/>
        </w:rPr>
        <w:t>”</w:t>
      </w:r>
      <w:r w:rsidRPr="006306F2">
        <w:rPr>
          <w:rFonts w:ascii="Arial" w:hAnsi="Arial" w:cs="Arial"/>
          <w:sz w:val="24"/>
          <w:szCs w:val="24"/>
        </w:rPr>
        <w:t xml:space="preserve"> are subject to the availability of comparable references to provide meaningful tests</w:t>
      </w:r>
      <w:r w:rsidR="00B402CF" w:rsidRPr="006306F2">
        <w:rPr>
          <w:rFonts w:ascii="Arial" w:hAnsi="Arial" w:cs="Arial"/>
          <w:sz w:val="24"/>
          <w:szCs w:val="24"/>
        </w:rPr>
        <w:t>.</w:t>
      </w:r>
      <w:r w:rsidRPr="006306F2">
        <w:rPr>
          <w:rFonts w:ascii="Arial" w:hAnsi="Arial" w:cs="Arial"/>
          <w:sz w:val="24"/>
          <w:szCs w:val="24"/>
        </w:rPr>
        <w:t xml:space="preserve"> </w:t>
      </w:r>
    </w:p>
    <w:p w14:paraId="08F73259" w14:textId="32CC7175" w:rsidR="00764A6E" w:rsidRPr="006306F2" w:rsidRDefault="00764A6E" w:rsidP="00B402CF">
      <w:pPr>
        <w:pStyle w:val="ListParagraph"/>
        <w:numPr>
          <w:ilvl w:val="0"/>
          <w:numId w:val="18"/>
        </w:numPr>
        <w:rPr>
          <w:rFonts w:ascii="Arial" w:hAnsi="Arial" w:cs="Arial"/>
          <w:b/>
          <w:bCs/>
          <w:sz w:val="24"/>
          <w:szCs w:val="24"/>
        </w:rPr>
      </w:pPr>
      <w:r w:rsidRPr="006306F2">
        <w:rPr>
          <w:rFonts w:ascii="Arial" w:hAnsi="Arial" w:cs="Arial"/>
          <w:sz w:val="24"/>
          <w:szCs w:val="24"/>
        </w:rPr>
        <w:t xml:space="preserve">On article 3.2 (e): the frequency of testing cannot always be identical to the frequency of the benchmark </w:t>
      </w:r>
      <w:proofErr w:type="gramStart"/>
      <w:r w:rsidRPr="006306F2">
        <w:rPr>
          <w:rFonts w:ascii="Arial" w:hAnsi="Arial" w:cs="Arial"/>
          <w:sz w:val="24"/>
          <w:szCs w:val="24"/>
        </w:rPr>
        <w:t>in particular where</w:t>
      </w:r>
      <w:proofErr w:type="gramEnd"/>
      <w:r w:rsidRPr="006306F2">
        <w:rPr>
          <w:rFonts w:ascii="Arial" w:hAnsi="Arial" w:cs="Arial"/>
          <w:sz w:val="24"/>
          <w:szCs w:val="24"/>
        </w:rPr>
        <w:t xml:space="preserve"> transaction data is derived from real-time high frequency data.</w:t>
      </w:r>
    </w:p>
    <w:permEnd w:id="1515997747"/>
    <w:p w14:paraId="2ECB166B" w14:textId="77777777" w:rsidR="0010762E" w:rsidRDefault="0010762E" w:rsidP="0010762E">
      <w:pPr>
        <w:rPr>
          <w:rFonts w:ascii="Arial" w:hAnsi="Arial" w:cs="Arial"/>
        </w:rPr>
      </w:pPr>
      <w:r>
        <w:rPr>
          <w:rFonts w:ascii="Arial" w:hAnsi="Arial" w:cs="Arial"/>
        </w:rPr>
        <w:t>&lt;ESMA_QUESTION_CP_BRTS_6&gt;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6AF206FC" w14:textId="77777777" w:rsidR="0010762E" w:rsidRDefault="0010762E" w:rsidP="0010762E">
      <w:pPr>
        <w:rPr>
          <w:rFonts w:ascii="Arial" w:hAnsi="Arial" w:cs="Arial"/>
        </w:rPr>
      </w:pPr>
      <w:permStart w:id="1782531178" w:edGrp="everyone"/>
      <w:r>
        <w:rPr>
          <w:rFonts w:ascii="Arial" w:hAnsi="Arial" w:cs="Arial"/>
        </w:rPr>
        <w:t>TYPE YOUR TEXT HERE</w:t>
      </w:r>
    </w:p>
    <w:permEnd w:id="1782531178"/>
    <w:p w14:paraId="6202F412" w14:textId="77777777" w:rsidR="0010762E" w:rsidRDefault="0010762E" w:rsidP="0010762E">
      <w:pPr>
        <w:rPr>
          <w:rFonts w:ascii="Arial" w:hAnsi="Arial" w:cs="Arial"/>
        </w:rPr>
      </w:pPr>
      <w:r>
        <w:rPr>
          <w:rFonts w:ascii="Arial" w:hAnsi="Arial" w:cs="Arial"/>
        </w:rPr>
        <w:t>&lt;ESMA_QUESTION_CP_BRTS_7&gt;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t>&lt;ESMA_QUESTION_CP_BRTS_8&gt;</w:t>
      </w:r>
    </w:p>
    <w:p w14:paraId="4012A15E" w14:textId="40E6B6B6" w:rsidR="0010762E" w:rsidRPr="006306F2" w:rsidRDefault="004E0B97" w:rsidP="0010762E">
      <w:pPr>
        <w:rPr>
          <w:rFonts w:ascii="Arial" w:hAnsi="Arial" w:cs="Arial"/>
        </w:rPr>
      </w:pPr>
      <w:permStart w:id="1317289506" w:edGrp="everyone"/>
      <w:r w:rsidRPr="006306F2">
        <w:rPr>
          <w:rFonts w:ascii="Arial" w:hAnsi="Arial" w:cs="Arial"/>
        </w:rPr>
        <w:t>We agree that automated s</w:t>
      </w:r>
      <w:r w:rsidR="00AA6A72" w:rsidRPr="006306F2">
        <w:rPr>
          <w:rFonts w:ascii="Arial" w:hAnsi="Arial" w:cs="Arial"/>
        </w:rPr>
        <w:t xml:space="preserve">ystem should </w:t>
      </w:r>
      <w:r w:rsidR="00B5269E" w:rsidRPr="006306F2">
        <w:rPr>
          <w:rFonts w:ascii="Arial" w:hAnsi="Arial" w:cs="Arial"/>
        </w:rPr>
        <w:t xml:space="preserve">be required only when it appears to be </w:t>
      </w:r>
      <w:r w:rsidR="00B40D96" w:rsidRPr="006306F2">
        <w:rPr>
          <w:rFonts w:ascii="Arial" w:hAnsi="Arial" w:cs="Arial"/>
        </w:rPr>
        <w:t>adequate according to the nature, scale and complexity of the benchmark.</w:t>
      </w:r>
      <w:r w:rsidR="00825D58" w:rsidRPr="006306F2">
        <w:rPr>
          <w:rFonts w:ascii="Arial" w:hAnsi="Arial" w:cs="Arial"/>
        </w:rPr>
        <w:t xml:space="preserve"> The draft RTS already exempts regulate-data benchmarks and commodity benchmarks from the its scope but we also believe further consideration should be given to non-significant benchmark in the spirit of proportionality of the BMR.</w:t>
      </w:r>
    </w:p>
    <w:permEnd w:id="1317289506"/>
    <w:p w14:paraId="25C56C77" w14:textId="77777777" w:rsidR="0010762E" w:rsidRDefault="0010762E" w:rsidP="0010762E">
      <w:pPr>
        <w:rPr>
          <w:rFonts w:ascii="Arial" w:hAnsi="Arial" w:cs="Arial"/>
        </w:rPr>
      </w:pPr>
      <w:r>
        <w:rPr>
          <w:rFonts w:ascii="Arial" w:hAnsi="Arial" w:cs="Arial"/>
        </w:rPr>
        <w:t>&lt;ESMA_QUESTION_CP_BRTS_8&gt;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0D1630BE" w14:textId="77777777" w:rsidR="0010762E" w:rsidRDefault="0010762E" w:rsidP="0010762E">
      <w:pPr>
        <w:rPr>
          <w:rFonts w:ascii="Arial" w:hAnsi="Arial" w:cs="Arial"/>
        </w:rPr>
      </w:pPr>
      <w:permStart w:id="1927238694" w:edGrp="everyone"/>
      <w:r>
        <w:rPr>
          <w:rFonts w:ascii="Arial" w:hAnsi="Arial" w:cs="Arial"/>
        </w:rPr>
        <w:t>TYPE YOUR TEXT HERE</w:t>
      </w:r>
    </w:p>
    <w:permEnd w:id="1927238694"/>
    <w:p w14:paraId="2758B2C1" w14:textId="77777777"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t>&lt;ESMA_QUESTION_CP_BRTS_10&gt;</w:t>
      </w:r>
    </w:p>
    <w:p w14:paraId="673D6FCA" w14:textId="77777777" w:rsidR="0010762E" w:rsidRDefault="0010762E" w:rsidP="0010762E">
      <w:pPr>
        <w:rPr>
          <w:rFonts w:ascii="Arial" w:hAnsi="Arial" w:cs="Arial"/>
        </w:rPr>
      </w:pPr>
      <w:permStart w:id="706027679" w:edGrp="everyone"/>
      <w:r>
        <w:rPr>
          <w:rFonts w:ascii="Arial" w:hAnsi="Arial" w:cs="Arial"/>
        </w:rPr>
        <w:t>TYPE YOUR TEXT HERE</w:t>
      </w:r>
    </w:p>
    <w:permEnd w:id="706027679"/>
    <w:p w14:paraId="3AF676B8" w14:textId="77777777" w:rsidR="0010762E" w:rsidRDefault="0010762E" w:rsidP="0010762E">
      <w:pPr>
        <w:rPr>
          <w:rFonts w:ascii="Arial" w:hAnsi="Arial" w:cs="Arial"/>
        </w:rPr>
      </w:pPr>
      <w:r>
        <w:rPr>
          <w:rFonts w:ascii="Arial" w:hAnsi="Arial" w:cs="Arial"/>
        </w:rPr>
        <w:t>&lt;ESMA_QUESTION_CP_BRTS_10&gt;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34CEF860" w14:textId="77777777" w:rsidR="0010762E" w:rsidRDefault="0010762E" w:rsidP="0010762E">
      <w:pPr>
        <w:rPr>
          <w:rFonts w:ascii="Arial" w:hAnsi="Arial" w:cs="Arial"/>
        </w:rPr>
      </w:pPr>
      <w:permStart w:id="2079658631" w:edGrp="everyone"/>
      <w:r>
        <w:rPr>
          <w:rFonts w:ascii="Arial" w:hAnsi="Arial" w:cs="Arial"/>
        </w:rPr>
        <w:lastRenderedPageBreak/>
        <w:t>TYPE YOUR TEXT HERE</w:t>
      </w:r>
    </w:p>
    <w:permEnd w:id="2079658631"/>
    <w:p w14:paraId="031B3E2A" w14:textId="77777777" w:rsidR="0010762E" w:rsidRDefault="0010762E" w:rsidP="0010762E">
      <w:pPr>
        <w:rPr>
          <w:rFonts w:ascii="Arial" w:hAnsi="Arial" w:cs="Arial"/>
        </w:rPr>
      </w:pPr>
      <w:r>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7B6F5753" w14:textId="77777777" w:rsidR="0010762E" w:rsidRDefault="0010762E" w:rsidP="0010762E">
      <w:pPr>
        <w:rPr>
          <w:rFonts w:ascii="Arial" w:hAnsi="Arial" w:cs="Arial"/>
        </w:rPr>
      </w:pPr>
      <w:permStart w:id="1243561789" w:edGrp="everyone"/>
      <w:r>
        <w:rPr>
          <w:rFonts w:ascii="Arial" w:hAnsi="Arial" w:cs="Arial"/>
        </w:rPr>
        <w:t>TYPE YOUR TEXT HERE</w:t>
      </w:r>
    </w:p>
    <w:permEnd w:id="1243561789"/>
    <w:p w14:paraId="79761804" w14:textId="77777777" w:rsidR="0010762E" w:rsidRDefault="0010762E" w:rsidP="0010762E">
      <w:pPr>
        <w:rPr>
          <w:rFonts w:ascii="Arial" w:hAnsi="Arial" w:cs="Arial"/>
        </w:rPr>
      </w:pPr>
      <w:r>
        <w:rPr>
          <w:rFonts w:ascii="Arial" w:hAnsi="Arial" w:cs="Arial"/>
        </w:rPr>
        <w:t>&lt;ESMA_QUESTION_CP_BRTS_12&gt;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90BD1" w14:textId="77777777" w:rsidR="00C6561E" w:rsidRDefault="00C6561E" w:rsidP="007E7997">
      <w:r>
        <w:separator/>
      </w:r>
    </w:p>
  </w:endnote>
  <w:endnote w:type="continuationSeparator" w:id="0">
    <w:p w14:paraId="5EDAA294" w14:textId="77777777" w:rsidR="00C6561E" w:rsidRDefault="00C6561E" w:rsidP="007E7997">
      <w:r>
        <w:continuationSeparator/>
      </w:r>
    </w:p>
  </w:endnote>
  <w:endnote w:type="continuationNotice" w:id="1">
    <w:p w14:paraId="6DC5AAF9" w14:textId="77777777" w:rsidR="00C6561E" w:rsidRDefault="00C65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02E8" w14:textId="77777777" w:rsidR="009570BC" w:rsidRDefault="0095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3B542C72" w:rsidR="00E36813" w:rsidRDefault="00E36813" w:rsidP="008F1DCF">
        <w:pPr>
          <w:pStyle w:val="Footer"/>
          <w:jc w:val="right"/>
        </w:pPr>
        <w:r>
          <w:fldChar w:fldCharType="begin"/>
        </w:r>
        <w:r>
          <w:instrText xml:space="preserve"> PAGE   \* MERGEFORMAT </w:instrText>
        </w:r>
        <w:r>
          <w:fldChar w:fldCharType="separate"/>
        </w:r>
        <w:r w:rsidR="00F36188">
          <w:rPr>
            <w:noProof/>
          </w:rPr>
          <w:t>4</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69A50" w14:textId="77777777" w:rsidR="00C6561E" w:rsidRDefault="00C6561E" w:rsidP="007E7997">
      <w:r>
        <w:separator/>
      </w:r>
    </w:p>
  </w:footnote>
  <w:footnote w:type="continuationSeparator" w:id="0">
    <w:p w14:paraId="6386348F" w14:textId="77777777" w:rsidR="00C6561E" w:rsidRDefault="00C6561E" w:rsidP="007E7997">
      <w:r>
        <w:continuationSeparator/>
      </w:r>
    </w:p>
  </w:footnote>
  <w:footnote w:type="continuationNotice" w:id="1">
    <w:p w14:paraId="123672B2" w14:textId="77777777" w:rsidR="00C6561E" w:rsidRDefault="00C65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ADB3" w14:textId="77777777" w:rsidR="009570BC" w:rsidRDefault="0095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69D61D52" w:rsidR="008F1DCF" w:rsidRPr="008F1DCF" w:rsidRDefault="00F36188" w:rsidP="00AE4A5B">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FFC2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8591EBD"/>
    <w:multiLevelType w:val="hybridMultilevel"/>
    <w:tmpl w:val="131A10EA"/>
    <w:lvl w:ilvl="0" w:tplc="5AD2BC0E">
      <w:numFmt w:val="bullet"/>
      <w:lvlText w:val="-"/>
      <w:lvlJc w:val="left"/>
      <w:pPr>
        <w:ind w:left="420" w:hanging="360"/>
      </w:pPr>
      <w:rPr>
        <w:rFonts w:ascii="Arial" w:eastAsia="Times New Roman" w:hAnsi="Arial" w:cs="Arial"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proofState w:spelling="clean" w:grammar="clean"/>
  <w:attachedTemplate r:id="rId1"/>
  <w:documentProtection w:edit="readOnly" w:enforcement="1" w:cryptProviderType="rsaAES" w:cryptAlgorithmClass="hash" w:cryptAlgorithmType="typeAny" w:cryptAlgorithmSid="14" w:cryptSpinCount="100000" w:hash="dKEpmO5ojvRrbnas8+vZm3cLI80opMrZ1SKh4CCRnFno/in661YN46heyBLHSu/f0pbc96IBLxVA6U915RGNxQ==" w:salt="2wbdAoQ2PpXyRoiX9SSqe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02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32F0"/>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1DB"/>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58A"/>
    <w:rsid w:val="001B4957"/>
    <w:rsid w:val="001B4996"/>
    <w:rsid w:val="001C0E59"/>
    <w:rsid w:val="001C0E93"/>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1F4915"/>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1F23"/>
    <w:rsid w:val="002D2992"/>
    <w:rsid w:val="002D37A0"/>
    <w:rsid w:val="002D5AB5"/>
    <w:rsid w:val="002D6667"/>
    <w:rsid w:val="002D79F3"/>
    <w:rsid w:val="002E1C11"/>
    <w:rsid w:val="002E3D0B"/>
    <w:rsid w:val="002E3E7D"/>
    <w:rsid w:val="002F6279"/>
    <w:rsid w:val="003013B7"/>
    <w:rsid w:val="00301993"/>
    <w:rsid w:val="00301E55"/>
    <w:rsid w:val="00307397"/>
    <w:rsid w:val="00307923"/>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583E"/>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1F6"/>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0B97"/>
    <w:rsid w:val="004E19C0"/>
    <w:rsid w:val="004E1C54"/>
    <w:rsid w:val="004E2C37"/>
    <w:rsid w:val="004E5285"/>
    <w:rsid w:val="004F0CF3"/>
    <w:rsid w:val="004F5740"/>
    <w:rsid w:val="004F58C9"/>
    <w:rsid w:val="005009D1"/>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4F5A"/>
    <w:rsid w:val="00565193"/>
    <w:rsid w:val="00567D8F"/>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06F2"/>
    <w:rsid w:val="0063565E"/>
    <w:rsid w:val="00636E02"/>
    <w:rsid w:val="00641DB1"/>
    <w:rsid w:val="00642297"/>
    <w:rsid w:val="00642950"/>
    <w:rsid w:val="00644A34"/>
    <w:rsid w:val="00654824"/>
    <w:rsid w:val="00661766"/>
    <w:rsid w:val="00662882"/>
    <w:rsid w:val="0066298C"/>
    <w:rsid w:val="00663008"/>
    <w:rsid w:val="00663093"/>
    <w:rsid w:val="00665A7C"/>
    <w:rsid w:val="00665B0B"/>
    <w:rsid w:val="006705CD"/>
    <w:rsid w:val="00671363"/>
    <w:rsid w:val="00672780"/>
    <w:rsid w:val="00672842"/>
    <w:rsid w:val="006732E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1917"/>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782"/>
    <w:rsid w:val="00747C5E"/>
    <w:rsid w:val="00750210"/>
    <w:rsid w:val="00754B57"/>
    <w:rsid w:val="00755247"/>
    <w:rsid w:val="0075671D"/>
    <w:rsid w:val="0076002F"/>
    <w:rsid w:val="0076038B"/>
    <w:rsid w:val="00761744"/>
    <w:rsid w:val="00764582"/>
    <w:rsid w:val="00764A6E"/>
    <w:rsid w:val="00765FA3"/>
    <w:rsid w:val="00766961"/>
    <w:rsid w:val="00766B5A"/>
    <w:rsid w:val="00770C33"/>
    <w:rsid w:val="007741C3"/>
    <w:rsid w:val="00777BE0"/>
    <w:rsid w:val="00780923"/>
    <w:rsid w:val="0078131F"/>
    <w:rsid w:val="00781687"/>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5D58"/>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33A2"/>
    <w:rsid w:val="00883AAF"/>
    <w:rsid w:val="008842F7"/>
    <w:rsid w:val="00885B94"/>
    <w:rsid w:val="0089075A"/>
    <w:rsid w:val="00890F80"/>
    <w:rsid w:val="00892BFD"/>
    <w:rsid w:val="0089338A"/>
    <w:rsid w:val="00894199"/>
    <w:rsid w:val="008948BE"/>
    <w:rsid w:val="008A1E27"/>
    <w:rsid w:val="008A2C86"/>
    <w:rsid w:val="008A4158"/>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2316F"/>
    <w:rsid w:val="0093261E"/>
    <w:rsid w:val="00935730"/>
    <w:rsid w:val="0094008E"/>
    <w:rsid w:val="00941C0C"/>
    <w:rsid w:val="009437F2"/>
    <w:rsid w:val="0094528B"/>
    <w:rsid w:val="009570BC"/>
    <w:rsid w:val="00960A8B"/>
    <w:rsid w:val="00965128"/>
    <w:rsid w:val="00972A53"/>
    <w:rsid w:val="00973F43"/>
    <w:rsid w:val="0097785D"/>
    <w:rsid w:val="0098011D"/>
    <w:rsid w:val="00981912"/>
    <w:rsid w:val="009819C0"/>
    <w:rsid w:val="00987A75"/>
    <w:rsid w:val="00991A8A"/>
    <w:rsid w:val="00992611"/>
    <w:rsid w:val="00994303"/>
    <w:rsid w:val="0099526D"/>
    <w:rsid w:val="009A0054"/>
    <w:rsid w:val="009A0F6E"/>
    <w:rsid w:val="009A5548"/>
    <w:rsid w:val="009B1809"/>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6A72"/>
    <w:rsid w:val="00AB1894"/>
    <w:rsid w:val="00AB22DF"/>
    <w:rsid w:val="00AB30EA"/>
    <w:rsid w:val="00AB458B"/>
    <w:rsid w:val="00AB45E4"/>
    <w:rsid w:val="00AB6157"/>
    <w:rsid w:val="00AB7542"/>
    <w:rsid w:val="00AC022D"/>
    <w:rsid w:val="00AC0629"/>
    <w:rsid w:val="00AC70C7"/>
    <w:rsid w:val="00AC79E0"/>
    <w:rsid w:val="00AD0B9F"/>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4298"/>
    <w:rsid w:val="00B402CF"/>
    <w:rsid w:val="00B40D81"/>
    <w:rsid w:val="00B40D96"/>
    <w:rsid w:val="00B424F5"/>
    <w:rsid w:val="00B43167"/>
    <w:rsid w:val="00B435BE"/>
    <w:rsid w:val="00B43A9D"/>
    <w:rsid w:val="00B467B0"/>
    <w:rsid w:val="00B47F9B"/>
    <w:rsid w:val="00B50534"/>
    <w:rsid w:val="00B51FCB"/>
    <w:rsid w:val="00B5269E"/>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6F58"/>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561E"/>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B7A01"/>
    <w:rsid w:val="00EC1546"/>
    <w:rsid w:val="00EC5B23"/>
    <w:rsid w:val="00EC5DED"/>
    <w:rsid w:val="00EC6BD8"/>
    <w:rsid w:val="00ED0356"/>
    <w:rsid w:val="00ED0D71"/>
    <w:rsid w:val="00ED3DCD"/>
    <w:rsid w:val="00ED3DD5"/>
    <w:rsid w:val="00ED56BE"/>
    <w:rsid w:val="00ED74D7"/>
    <w:rsid w:val="00EE40F8"/>
    <w:rsid w:val="00EE5644"/>
    <w:rsid w:val="00EE6DD6"/>
    <w:rsid w:val="00EF0867"/>
    <w:rsid w:val="00EF1A10"/>
    <w:rsid w:val="00EF1A9F"/>
    <w:rsid w:val="00EF1B27"/>
    <w:rsid w:val="00EF4370"/>
    <w:rsid w:val="00EF4731"/>
    <w:rsid w:val="00EF548C"/>
    <w:rsid w:val="00EF5AD7"/>
    <w:rsid w:val="00F00196"/>
    <w:rsid w:val="00F03FA7"/>
    <w:rsid w:val="00F048EF"/>
    <w:rsid w:val="00F06AAD"/>
    <w:rsid w:val="00F146BE"/>
    <w:rsid w:val="00F22013"/>
    <w:rsid w:val="00F22356"/>
    <w:rsid w:val="00F226E0"/>
    <w:rsid w:val="00F2522F"/>
    <w:rsid w:val="00F30180"/>
    <w:rsid w:val="00F31A29"/>
    <w:rsid w:val="00F3279A"/>
    <w:rsid w:val="00F33554"/>
    <w:rsid w:val="00F36188"/>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A5C"/>
    <w:rsid w:val="00F77851"/>
    <w:rsid w:val="00F80FAB"/>
    <w:rsid w:val="00F81E3B"/>
    <w:rsid w:val="00F827E1"/>
    <w:rsid w:val="00F84E82"/>
    <w:rsid w:val="00F927B5"/>
    <w:rsid w:val="00F94BD0"/>
    <w:rsid w:val="00F95403"/>
    <w:rsid w:val="00F96705"/>
    <w:rsid w:val="00F96750"/>
    <w:rsid w:val="00F9704D"/>
    <w:rsid w:val="00FA0166"/>
    <w:rsid w:val="00FA2400"/>
    <w:rsid w:val="00FA33E9"/>
    <w:rsid w:val="00FA5048"/>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43149872">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695932445">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AAFA283AA7234F8D5DFB6F4D28A0EB" ma:contentTypeVersion="7" ma:contentTypeDescription="Create a new document." ma:contentTypeScope="" ma:versionID="0a2b33be0b41075bca68b0ad811ac722">
  <xsd:schema xmlns:xsd="http://www.w3.org/2001/XMLSchema" xmlns:xs="http://www.w3.org/2001/XMLSchema" xmlns:p="http://schemas.microsoft.com/office/2006/metadata/properties" xmlns:ns3="86a649b7-ad0c-4d95-8d11-85c8c912ef35" xmlns:ns4="ad2e3155-ab49-4ebc-8094-62e77f3ada32" targetNamespace="http://schemas.microsoft.com/office/2006/metadata/properties" ma:root="true" ma:fieldsID="99cc4bc8519aee1adbc1f15712064a0c" ns3:_="" ns4:_="">
    <xsd:import namespace="86a649b7-ad0c-4d95-8d11-85c8c912ef35"/>
    <xsd:import namespace="ad2e3155-ab49-4ebc-8094-62e77f3ada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649b7-ad0c-4d95-8d11-85c8c912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2e3155-ab49-4ebc-8094-62e77f3ad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0F1E64-F0AF-48E4-8965-A5C0E7AAB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649b7-ad0c-4d95-8d11-85c8c912ef35"/>
    <ds:schemaRef ds:uri="ad2e3155-ab49-4ebc-8094-62e77f3ad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97988-B2BF-4DAA-AB4E-B4C297DD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15</TotalTime>
  <Pages>10</Pages>
  <Words>2291</Words>
  <Characters>13064</Characters>
  <Application>Microsoft Office Word</Application>
  <DocSecurity>10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Ratz, Emilie (Refinitiv)</cp:lastModifiedBy>
  <cp:revision>3</cp:revision>
  <cp:lastPrinted>2017-07-24T14:47:00Z</cp:lastPrinted>
  <dcterms:created xsi:type="dcterms:W3CDTF">2020-06-08T13:35:00Z</dcterms:created>
  <dcterms:modified xsi:type="dcterms:W3CDTF">2020-06-08T13:50:00Z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0x010100C3AAFA283AA7234F8D5DFB6F4D28A0EB</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