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484C6FED" w14:textId="114D64F8" w:rsidR="0010762E" w:rsidRDefault="00F36188" w:rsidP="0010762E">
                <w:pPr>
                  <w:pStyle w:val="Subtitle"/>
                  <w:rPr>
                    <w:rFonts w:cs="Arial"/>
                  </w:rPr>
                </w:pPr>
                <w:r>
                  <w:rPr>
                    <w:rFonts w:cs="Arial"/>
                  </w:rPr>
                  <w:t>Draft R</w:t>
                </w:r>
                <w:r w:rsidR="001001DB">
                  <w:rPr>
                    <w:rFonts w:cs="Arial"/>
                  </w:rPr>
                  <w:t xml:space="preserve">egulatory </w:t>
                </w:r>
                <w:r>
                  <w:rPr>
                    <w:rFonts w:cs="Arial"/>
                  </w:rPr>
                  <w:t>T</w:t>
                </w:r>
                <w:r w:rsidR="001001DB">
                  <w:rPr>
                    <w:rFonts w:cs="Arial"/>
                  </w:rPr>
                  <w:t xml:space="preserve">echnical </w:t>
                </w:r>
                <w:r>
                  <w:rPr>
                    <w:rFonts w:cs="Arial"/>
                  </w:rPr>
                  <w:t>S</w:t>
                </w:r>
                <w:r w:rsidR="0010762E">
                  <w:rPr>
                    <w:rFonts w:cs="Arial"/>
                  </w:rPr>
                  <w:t>tandards under the Benchmarks Regulation</w:t>
                </w:r>
              </w:p>
              <w:p w14:paraId="7EFF292E" w14:textId="137345E0" w:rsidR="00363639" w:rsidRDefault="00363639" w:rsidP="00363639">
                <w:pPr>
                  <w:pStyle w:val="Subtitle"/>
                  <w:rPr>
                    <w:rFonts w:cs="Arial"/>
                  </w:rPr>
                </w:pPr>
              </w:p>
              <w:p w14:paraId="26CF3934" w14:textId="4EE33F4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4D09CB7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10762E">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2BABD99E"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10762E">
            <w:rPr>
              <w:rFonts w:asciiTheme="minorHAnsi" w:eastAsiaTheme="minorEastAsia" w:hAnsiTheme="minorHAnsi" w:cstheme="minorBidi"/>
              <w:b/>
              <w:sz w:val="22"/>
              <w:szCs w:val="20"/>
              <w:lang w:eastAsia="en-US"/>
            </w:rPr>
            <w:t>9 May</w:t>
          </w:r>
          <w:r w:rsidR="008F1DCF">
            <w:rPr>
              <w:rFonts w:asciiTheme="minorHAnsi" w:eastAsiaTheme="minorEastAsia" w:hAnsiTheme="minorHAnsi" w:cstheme="minorBidi"/>
              <w:b/>
              <w:sz w:val="22"/>
              <w:szCs w:val="20"/>
              <w:lang w:eastAsia="en-US"/>
            </w:rPr>
            <w:t xml:space="preserve"> 2020</w:t>
          </w:r>
          <w:r w:rsidRPr="002D118A">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2FF1CE84"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0762E">
            <w:rPr>
              <w:rFonts w:eastAsiaTheme="minorEastAsia" w:cstheme="minorBidi"/>
              <w:szCs w:val="20"/>
              <w:lang w:eastAsia="en-US"/>
            </w:rPr>
            <w:t>CP_BRTS</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66D03D26"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10762E">
            <w:rPr>
              <w:rFonts w:eastAsiaTheme="minorEastAsia" w:cstheme="minorBidi"/>
              <w:szCs w:val="20"/>
              <w:lang w:eastAsia="en-US"/>
            </w:rPr>
            <w:t>BRTS</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10762E">
            <w:rPr>
              <w:rFonts w:eastAsiaTheme="minorEastAsia" w:cstheme="minorBidi"/>
              <w:szCs w:val="20"/>
              <w:lang w:eastAsia="en-US"/>
            </w:rPr>
            <w:t>BRTS</w:t>
          </w:r>
          <w:r w:rsidRPr="00C85C8B">
            <w:rPr>
              <w:rFonts w:eastAsiaTheme="minorEastAsia" w:cstheme="minorBidi"/>
              <w:szCs w:val="20"/>
              <w:lang w:eastAsia="en-US"/>
            </w:rPr>
            <w:t>_ABCD_RESPONSEFORM.</w:t>
          </w:r>
        </w:p>
        <w:p w14:paraId="1A9C59D6" w14:textId="60D9CD8A"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lastRenderedPageBreak/>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w:t>
          </w:r>
          <w:r w:rsidR="008F1DCF">
            <w:rPr>
              <w:rFonts w:eastAsiaTheme="minorEastAsia" w:cstheme="minorBidi"/>
              <w:szCs w:val="20"/>
              <w:lang w:eastAsia="en-US"/>
            </w:rPr>
            <w:t>C</w:t>
          </w:r>
          <w:r w:rsidRPr="00C85C8B">
            <w:rPr>
              <w:rFonts w:eastAsiaTheme="minorEastAsia" w:cstheme="minorBidi"/>
              <w:szCs w:val="20"/>
              <w:lang w:eastAsia="en-US"/>
            </w:rPr>
            <w:t xml:space="preserve">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8F1DCF" w:rsidRPr="008F1DCF">
            <w:rPr>
              <w:rFonts w:eastAsiaTheme="minorEastAsia" w:cstheme="minorBidi"/>
              <w:szCs w:val="20"/>
              <w:lang w:eastAsia="en-US"/>
            </w:rPr>
            <w:t>MiFIR report on Systematic Internalisers in non-equity instruments</w:t>
          </w:r>
          <w:r w:rsidRPr="00C85C8B">
            <w:rPr>
              <w:rFonts w:eastAsiaTheme="minorEastAsia" w:cstheme="minorBidi"/>
              <w:szCs w:val="20"/>
              <w:lang w:eastAsia="en-US"/>
            </w:rPr>
            <w:t>”).</w:t>
          </w: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0E37E27C" w14:textId="5B7931C9" w:rsid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77C076"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39C99B77" w:rsid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065DE725" w14:textId="77777777" w:rsidR="0010762E" w:rsidRPr="00AB6157" w:rsidRDefault="0010762E" w:rsidP="00AB6157">
          <w:pPr>
            <w:spacing w:after="250" w:line="276" w:lineRule="auto"/>
            <w:jc w:val="both"/>
            <w:rPr>
              <w:rFonts w:asciiTheme="minorHAnsi" w:eastAsiaTheme="minorEastAsia" w:hAnsiTheme="minorHAnsi" w:cstheme="minorBidi"/>
              <w:sz w:val="22"/>
              <w:szCs w:val="20"/>
              <w:lang w:eastAsia="en-US"/>
            </w:rPr>
          </w:pPr>
        </w:p>
        <w:p w14:paraId="7C02CD7B" w14:textId="7FC35D6F"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53617EDB"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This paper may be specifically of interest to administrators of benchmarks, contributors to benchmarks and to any investor dealing with financial instruments and financial contracts whose value is determined by a benchmark or with investment funds whose performances are measured by means of a benchmark.</w:t>
      </w:r>
    </w:p>
    <w:p w14:paraId="48A7DB1B" w14:textId="2EFAEF5E" w:rsidR="0010762E" w:rsidRPr="008F1DCF" w:rsidRDefault="0010762E" w:rsidP="008F1DCF">
      <w:pPr>
        <w:spacing w:after="250" w:line="276" w:lineRule="auto"/>
        <w:jc w:val="both"/>
        <w:rPr>
          <w:rFonts w:asciiTheme="minorHAnsi" w:eastAsiaTheme="minorEastAsia" w:hAnsiTheme="minorHAnsi" w:cstheme="minorBidi"/>
          <w:sz w:val="22"/>
          <w:szCs w:val="20"/>
          <w:lang w:eastAsia="en-US"/>
        </w:rPr>
        <w:sectPr w:rsidR="0010762E" w:rsidRPr="008F1DCF" w:rsidSect="00AC79E0">
          <w:headerReference w:type="default" r:id="rId22"/>
          <w:footerReference w:type="default" r:id="rId23"/>
          <w:headerReference w:type="first" r:id="rId24"/>
          <w:pgSz w:w="11906" w:h="16838"/>
          <w:pgMar w:top="1417" w:right="1417" w:bottom="1417" w:left="1417" w:header="708" w:footer="708" w:gutter="0"/>
          <w:pgNumType w:start="2"/>
          <w:cols w:space="708"/>
          <w:docGrid w:linePitch="360"/>
        </w:sectPr>
      </w:pPr>
    </w:p>
    <w:p w14:paraId="20AC791C" w14:textId="77777777" w:rsidR="00AF2EF7" w:rsidRPr="00B8572C" w:rsidRDefault="00AF2EF7" w:rsidP="00AF2EF7">
      <w:pPr>
        <w:spacing w:after="120" w:line="276" w:lineRule="auto"/>
        <w:rPr>
          <w:rFonts w:asciiTheme="minorHAnsi" w:hAnsiTheme="minorHAnsi" w:cstheme="minorHAnsi"/>
        </w:rPr>
      </w:pP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51701F2C" w:rsidR="00C85C8B" w:rsidRPr="00C85C8B" w:rsidRDefault="00EC2DF2" w:rsidP="00EC2DF2">
                <w:pPr>
                  <w:rPr>
                    <w:rFonts w:ascii="Arial" w:hAnsi="Arial" w:cs="Arial"/>
                    <w:color w:val="808080"/>
                    <w:sz w:val="20"/>
                    <w:lang w:eastAsia="de-DE"/>
                  </w:rPr>
                </w:pPr>
                <w:r>
                  <w:rPr>
                    <w:rFonts w:ascii="Arial" w:hAnsi="Arial" w:cs="Arial"/>
                    <w:color w:val="808080"/>
                    <w:sz w:val="20"/>
                    <w:lang w:eastAsia="de-DE"/>
                  </w:rPr>
                  <w:t>Nasdaq</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504EA20E" w:rsidR="00C85C8B" w:rsidRPr="00C85C8B" w:rsidRDefault="00F235BB"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C2DF2">
                  <w:rPr>
                    <w:rFonts w:ascii="Arial" w:hAnsi="Arial" w:cs="Arial"/>
                    <w:sz w:val="20"/>
                    <w:lang w:eastAsia="de-DE"/>
                  </w:rPr>
                  <w:t>Regulated markets/Exchanges/Trading Systems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220EF17F" w:rsidR="00C85C8B" w:rsidRPr="00C85C8B" w:rsidRDefault="00EC2DF2" w:rsidP="00C85C8B">
                <w:pPr>
                  <w:rPr>
                    <w:rFonts w:ascii="Arial" w:hAnsi="Arial" w:cs="Arial"/>
                    <w:sz w:val="20"/>
                    <w:lang w:eastAsia="de-DE"/>
                  </w:rPr>
                </w:pPr>
                <w:r>
                  <w:rPr>
                    <w:rFonts w:ascii="Arial" w:hAnsi="Arial" w:cs="Arial"/>
                    <w:sz w:val="20"/>
                    <w:lang w:eastAsia="de-DE"/>
                  </w:rPr>
                  <w:t>International</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76C07B9C"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0762E">
        <w:rPr>
          <w:rFonts w:asciiTheme="minorHAnsi" w:eastAsiaTheme="minorEastAsia" w:hAnsiTheme="minorHAnsi" w:cstheme="minorBidi"/>
          <w:sz w:val="22"/>
          <w:szCs w:val="20"/>
          <w:lang w:eastAsia="en-US"/>
        </w:rPr>
        <w:t>CP_BRTS</w:t>
      </w:r>
      <w:r w:rsidRPr="00C85C8B">
        <w:rPr>
          <w:rFonts w:asciiTheme="minorHAnsi" w:eastAsiaTheme="minorEastAsia" w:hAnsiTheme="minorHAnsi" w:cstheme="minorBidi"/>
          <w:sz w:val="22"/>
          <w:szCs w:val="20"/>
          <w:lang w:eastAsia="en-US"/>
        </w:rPr>
        <w:t>_1&gt;</w:t>
      </w:r>
      <w:bookmarkStart w:id="1" w:name="_GoBack"/>
      <w:bookmarkEnd w:id="1"/>
    </w:p>
    <w:p w14:paraId="71C70CBB" w14:textId="77777777" w:rsidR="006522BF" w:rsidRDefault="006522BF" w:rsidP="006522BF">
      <w:permStart w:id="885457707" w:edGrp="everyone"/>
      <w:proofErr w:type="gramStart"/>
      <w:r>
        <w:t>Nasdaq</w:t>
      </w:r>
      <w:proofErr w:type="gramEnd"/>
      <w:r>
        <w:t xml:space="preserve"> welcomes the opportunity to provide comments on the Benchmarks Regulation (BMR) draft RTS. </w:t>
      </w:r>
      <w:r w:rsidRPr="00E43FED">
        <w:t>BMR applies to all benchmarks, regardless of the underlying market. However, different types of benchmarks pose different types of risks to the markets. From a global perspective – where many developments have taken place - IOSCO has recognised that benchmarks based on regulated data should be subject to a proportionate approach. BMR acknowledged that regulated data benchmarks are less prone to manipulation. Nevertheless, experience with its application has shown that the framework does not differ much from that of other types of benchmarks.</w:t>
      </w:r>
      <w:r>
        <w:t xml:space="preserve"> </w:t>
      </w:r>
    </w:p>
    <w:p w14:paraId="02AF2FF9" w14:textId="7C405339" w:rsidR="00C85C8B" w:rsidRPr="00C85C8B" w:rsidRDefault="006522BF" w:rsidP="006522BF">
      <w:pPr>
        <w:spacing w:after="250" w:line="276" w:lineRule="auto"/>
        <w:jc w:val="both"/>
        <w:rPr>
          <w:rFonts w:ascii="Arial" w:eastAsiaTheme="minorEastAsia" w:hAnsi="Arial" w:cs="Arial"/>
          <w:sz w:val="22"/>
          <w:szCs w:val="20"/>
          <w:lang w:eastAsia="en-US"/>
        </w:rPr>
      </w:pPr>
      <w:r>
        <w:t xml:space="preserve">In this context, </w:t>
      </w:r>
      <w:proofErr w:type="gramStart"/>
      <w:r>
        <w:t>Nasdaq</w:t>
      </w:r>
      <w:proofErr w:type="gramEnd"/>
      <w:r>
        <w:t xml:space="preserve"> considers that there overall </w:t>
      </w:r>
      <w:r w:rsidRPr="004B7294">
        <w:t>appears to be a lack of proportionality</w:t>
      </w:r>
      <w:r>
        <w:t xml:space="preserve"> in the suggested RTS</w:t>
      </w:r>
      <w:r w:rsidRPr="004B7294">
        <w:t xml:space="preserve"> as regulated data benchmarks are mostly suggested to be covered by the same provisions as other benchmarks.</w:t>
      </w:r>
      <w:r>
        <w:t xml:space="preserve"> We</w:t>
      </w:r>
      <w:r w:rsidRPr="00E43FED">
        <w:t xml:space="preserve"> would therefore support changes to the draft RTS to better reflect benchmarks’ respective risk profiles.</w:t>
      </w:r>
    </w:p>
    <w:permEnd w:id="885457707"/>
    <w:p w14:paraId="15D00E65" w14:textId="44C0535D"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0762E">
        <w:rPr>
          <w:rFonts w:asciiTheme="minorHAnsi" w:eastAsiaTheme="minorEastAsia" w:hAnsiTheme="minorHAnsi" w:cstheme="minorBidi"/>
          <w:sz w:val="22"/>
          <w:szCs w:val="20"/>
          <w:lang w:eastAsia="en-US"/>
        </w:rPr>
        <w:t>CP_BRTS</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4BA0A72F"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6D3A8ABE" w14:textId="02004CA2" w:rsidR="0010762E" w:rsidRDefault="0010762E" w:rsidP="00C1698A">
      <w:pPr>
        <w:spacing w:line="276" w:lineRule="auto"/>
        <w:rPr>
          <w:rFonts w:asciiTheme="minorHAnsi" w:hAnsiTheme="minorHAnsi" w:cstheme="minorHAnsi"/>
          <w:b/>
          <w:sz w:val="28"/>
          <w:szCs w:val="28"/>
        </w:rPr>
      </w:pPr>
    </w:p>
    <w:p w14:paraId="4B76C470" w14:textId="77777777" w:rsidR="0010762E" w:rsidRPr="00BD08D3" w:rsidRDefault="0010762E" w:rsidP="0010762E">
      <w:pPr>
        <w:pStyle w:val="Questionstyle"/>
        <w:numPr>
          <w:ilvl w:val="0"/>
          <w:numId w:val="9"/>
        </w:numPr>
        <w:spacing w:after="250" w:line="276" w:lineRule="auto"/>
      </w:pPr>
      <w:r>
        <w:t>: Do you agree with the governance arrangements set above? Do you have any additional suggestions? Please specify.</w:t>
      </w:r>
    </w:p>
    <w:p w14:paraId="265AC765" w14:textId="77777777" w:rsidR="0010762E" w:rsidRDefault="0010762E" w:rsidP="0010762E">
      <w:pPr>
        <w:rPr>
          <w:rFonts w:ascii="Arial" w:hAnsi="Arial" w:cs="Arial"/>
        </w:rPr>
      </w:pPr>
      <w:r>
        <w:rPr>
          <w:rFonts w:ascii="Arial" w:hAnsi="Arial" w:cs="Arial"/>
        </w:rPr>
        <w:t>&lt;ESMA_QUESTION_CP_BRTS_1&gt;</w:t>
      </w:r>
    </w:p>
    <w:p w14:paraId="10792001" w14:textId="77777777" w:rsidR="006522BF" w:rsidRDefault="006522BF" w:rsidP="006522BF">
      <w:permStart w:id="1927807478" w:edGrp="everyone"/>
      <w:proofErr w:type="gramStart"/>
      <w:r>
        <w:t>Nasdaq</w:t>
      </w:r>
      <w:proofErr w:type="gramEnd"/>
      <w:r>
        <w:t xml:space="preserve"> believes that the draft RTS does not allow for sufficient proportionality. While ESMA states that the “</w:t>
      </w:r>
      <w:r w:rsidRPr="00AF6E80">
        <w:t>concept of “robust governance arrangements” should be interpreted in accordance with the nature, scale and complexity of the benchmark administrator</w:t>
      </w:r>
      <w:r>
        <w:t>”, the proposed RTS only suggests small alleviations for non-significant benchmarks compared to other benchmarks. Moreover, ESMA proposes that benchmarks based on contribution data and regulated data benchmarks, where the latter are much less susceptible to manipulation, be subject to the same requirements. We would therefore support changes to the draft RTS to better reflect benchmarks’ respective risk profiles in terms of the reliability of regulated market data and the limited impact of non-significant benchmarks.</w:t>
      </w:r>
    </w:p>
    <w:p w14:paraId="11CD8FDF" w14:textId="77777777" w:rsidR="006522BF" w:rsidRDefault="006522BF" w:rsidP="006522BF">
      <w:r>
        <w:t>In addition, we strongly</w:t>
      </w:r>
      <w:r w:rsidRPr="00CE1CCA">
        <w:t xml:space="preserve"> </w:t>
      </w:r>
      <w:r>
        <w:t>dis</w:t>
      </w:r>
      <w:r w:rsidRPr="00CE1CCA">
        <w:t>agree with ESMA’s statement in paragraph (5) that in case an administrator administers different types (i.e. non-significant, significant or critical) of benchmarks, the most stringent requirement</w:t>
      </w:r>
      <w:r>
        <w:t xml:space="preserve">s should apply to them. In essence, such an approach would wipe away the proportionality which is to a certain extent built in to the BMR regime.  Rather, BMR should permit differing governance frameworks to apply to benchmarks with different characteristics, even if they are administered by one administrator. </w:t>
      </w:r>
    </w:p>
    <w:p w14:paraId="03A024D8" w14:textId="161518C2" w:rsidR="0010762E" w:rsidRDefault="006522BF" w:rsidP="006522BF">
      <w:pPr>
        <w:rPr>
          <w:rFonts w:ascii="Arial" w:hAnsi="Arial" w:cs="Arial"/>
        </w:rPr>
      </w:pPr>
      <w:r>
        <w:t xml:space="preserve">In addition, some of the provisions proposed might not be well suited to financial institutions which are also benchmarks administrators and which may belong to company groups. This is indeed the case for </w:t>
      </w:r>
      <w:proofErr w:type="gramStart"/>
      <w:r>
        <w:t>Nasdaq</w:t>
      </w:r>
      <w:proofErr w:type="gramEnd"/>
      <w:r>
        <w:t xml:space="preserve">. Financial institutions are already subject to governance requirements. For a company group such as </w:t>
      </w:r>
      <w:proofErr w:type="gramStart"/>
      <w:r>
        <w:t>Nasdaq</w:t>
      </w:r>
      <w:proofErr w:type="gramEnd"/>
      <w:r>
        <w:t xml:space="preserve"> this means importantly MiFID II/</w:t>
      </w:r>
      <w:proofErr w:type="spellStart"/>
      <w:r>
        <w:t>MiFIR</w:t>
      </w:r>
      <w:proofErr w:type="spellEnd"/>
      <w:r>
        <w:t xml:space="preserve"> as well as EMIR. There is a risk for overlapping and divergent requirements. </w:t>
      </w:r>
      <w:r w:rsidRPr="00CE1CCA">
        <w:t>We do ther</w:t>
      </w:r>
      <w:r>
        <w:t>efore not agree with ESMA’s suggestion for</w:t>
      </w:r>
      <w:r w:rsidRPr="00CE1CCA">
        <w:t xml:space="preserve"> a cumulative approach. This would not only lead to a disproportionate b</w:t>
      </w:r>
      <w:r>
        <w:t>urden but possibly also to</w:t>
      </w:r>
      <w:r w:rsidRPr="00CE1CCA">
        <w:t xml:space="preserve"> conflict</w:t>
      </w:r>
      <w:r>
        <w:t>s</w:t>
      </w:r>
      <w:r w:rsidRPr="00CE1CCA">
        <w:t>, especially where group policies and benchmark related policies would cover the same topic. Indeed, leveraging existing frame</w:t>
      </w:r>
      <w:r>
        <w:t>works would be preferred</w:t>
      </w:r>
      <w:r w:rsidRPr="00CE1CCA">
        <w:t>.</w:t>
      </w:r>
    </w:p>
    <w:permEnd w:id="1927807478"/>
    <w:p w14:paraId="31B219F5" w14:textId="77777777" w:rsidR="0010762E" w:rsidRDefault="0010762E" w:rsidP="0010762E">
      <w:pPr>
        <w:rPr>
          <w:rFonts w:ascii="Arial" w:hAnsi="Arial" w:cs="Arial"/>
        </w:rPr>
      </w:pPr>
      <w:r>
        <w:rPr>
          <w:rFonts w:ascii="Arial" w:hAnsi="Arial" w:cs="Arial"/>
        </w:rPr>
        <w:t>&lt;ESMA_QUESTION_CP_BRTS_1&gt;</w:t>
      </w:r>
    </w:p>
    <w:p w14:paraId="189A9B48" w14:textId="77777777" w:rsidR="0010762E" w:rsidRDefault="0010762E" w:rsidP="0010762E">
      <w:pPr>
        <w:rPr>
          <w:rFonts w:ascii="Arial" w:hAnsi="Arial" w:cs="Arial"/>
        </w:rPr>
      </w:pPr>
    </w:p>
    <w:p w14:paraId="7E43D35F" w14:textId="77777777" w:rsidR="0010762E" w:rsidRDefault="0010762E" w:rsidP="0010762E">
      <w:pPr>
        <w:pStyle w:val="Questionstyle"/>
        <w:numPr>
          <w:ilvl w:val="0"/>
          <w:numId w:val="9"/>
        </w:numPr>
        <w:spacing w:after="250" w:line="276" w:lineRule="auto"/>
      </w:pPr>
      <w:r>
        <w:t xml:space="preserve">: </w:t>
      </w:r>
      <w:r w:rsidRPr="00285EEC">
        <w:t xml:space="preserve">Do you agree </w:t>
      </w:r>
      <w:r>
        <w:t xml:space="preserve">that administrators </w:t>
      </w:r>
      <w:r w:rsidRPr="00285EEC">
        <w:t xml:space="preserve">should have in place a remuneration </w:t>
      </w:r>
      <w:r>
        <w:t>framework</w:t>
      </w:r>
      <w:r w:rsidRPr="00285EEC">
        <w:t>?</w:t>
      </w:r>
    </w:p>
    <w:p w14:paraId="0B10E8E3" w14:textId="77777777" w:rsidR="0010762E" w:rsidRDefault="0010762E" w:rsidP="0010762E">
      <w:pPr>
        <w:rPr>
          <w:rFonts w:ascii="Arial" w:hAnsi="Arial" w:cs="Arial"/>
        </w:rPr>
      </w:pPr>
      <w:r>
        <w:rPr>
          <w:rFonts w:ascii="Arial" w:hAnsi="Arial" w:cs="Arial"/>
        </w:rPr>
        <w:t>&lt;ESMA_QUESTION_CP_BRTS_2&gt;</w:t>
      </w:r>
    </w:p>
    <w:p w14:paraId="22C30C3B" w14:textId="0ED5C2AB" w:rsidR="0010762E" w:rsidRPr="00F235BB" w:rsidRDefault="00F235BB" w:rsidP="0010762E">
      <w:permStart w:id="1601636180" w:edGrp="everyone"/>
      <w:r w:rsidRPr="004C1A5C">
        <w:t xml:space="preserve">The BMR regulation is very clear </w:t>
      </w:r>
      <w:r>
        <w:t>regarding</w:t>
      </w:r>
      <w:r w:rsidRPr="004C1A5C">
        <w:t xml:space="preserve"> handling of Risk of Conflict </w:t>
      </w:r>
      <w:r>
        <w:t xml:space="preserve">and we see no need for further elaborations nor separate framework. </w:t>
      </w:r>
    </w:p>
    <w:permEnd w:id="1601636180"/>
    <w:p w14:paraId="2FB8FD04" w14:textId="77777777" w:rsidR="0010762E" w:rsidRDefault="0010762E" w:rsidP="0010762E">
      <w:pPr>
        <w:rPr>
          <w:rFonts w:ascii="Arial" w:hAnsi="Arial" w:cs="Arial"/>
        </w:rPr>
      </w:pPr>
      <w:r>
        <w:rPr>
          <w:rFonts w:ascii="Arial" w:hAnsi="Arial" w:cs="Arial"/>
        </w:rPr>
        <w:t>&lt;ESMA_QUESTION_CP_BRTS_2&gt;</w:t>
      </w:r>
    </w:p>
    <w:p w14:paraId="66CF442A" w14:textId="77777777" w:rsidR="0010762E" w:rsidRDefault="0010762E" w:rsidP="0010762E">
      <w:pPr>
        <w:rPr>
          <w:rFonts w:ascii="Arial" w:hAnsi="Arial" w:cs="Arial"/>
        </w:rPr>
      </w:pPr>
    </w:p>
    <w:p w14:paraId="3876E490" w14:textId="77777777" w:rsidR="0010762E" w:rsidRPr="00BD08D3" w:rsidRDefault="0010762E" w:rsidP="0010762E">
      <w:pPr>
        <w:pStyle w:val="Questionstyle"/>
        <w:numPr>
          <w:ilvl w:val="0"/>
          <w:numId w:val="9"/>
        </w:numPr>
        <w:spacing w:after="250" w:line="276" w:lineRule="auto"/>
      </w:pPr>
      <w:r w:rsidRPr="001F0700">
        <w:t xml:space="preserve">: Do you </w:t>
      </w:r>
      <w:r>
        <w:t xml:space="preserve">agree that the same requirements should </w:t>
      </w:r>
      <w:r w:rsidRPr="001F0700">
        <w:t>apply to an administrator that is a natural person?</w:t>
      </w:r>
      <w:r>
        <w:t xml:space="preserve"> Please elaborate. </w:t>
      </w:r>
      <w:r w:rsidRPr="001F0700">
        <w:t xml:space="preserve"> </w:t>
      </w:r>
    </w:p>
    <w:p w14:paraId="442B31F8" w14:textId="77777777" w:rsidR="0010762E" w:rsidRDefault="0010762E" w:rsidP="0010762E">
      <w:pPr>
        <w:rPr>
          <w:rFonts w:ascii="Arial" w:hAnsi="Arial" w:cs="Arial"/>
        </w:rPr>
      </w:pPr>
      <w:r>
        <w:rPr>
          <w:rFonts w:ascii="Arial" w:hAnsi="Arial" w:cs="Arial"/>
        </w:rPr>
        <w:t>&lt;ESMA_QUESTION_CP_BRTS_3&gt;</w:t>
      </w:r>
    </w:p>
    <w:p w14:paraId="4828BFC6" w14:textId="77777777" w:rsidR="0010762E" w:rsidRDefault="0010762E" w:rsidP="0010762E">
      <w:pPr>
        <w:rPr>
          <w:rFonts w:ascii="Arial" w:hAnsi="Arial" w:cs="Arial"/>
        </w:rPr>
      </w:pPr>
      <w:permStart w:id="954937618" w:edGrp="everyone"/>
      <w:r>
        <w:rPr>
          <w:rFonts w:ascii="Arial" w:hAnsi="Arial" w:cs="Arial"/>
        </w:rPr>
        <w:t>TYPE YOUR TEXT HERE</w:t>
      </w:r>
    </w:p>
    <w:permEnd w:id="954937618"/>
    <w:p w14:paraId="5E51F01C" w14:textId="77777777" w:rsidR="0010762E" w:rsidRDefault="0010762E" w:rsidP="0010762E">
      <w:pPr>
        <w:rPr>
          <w:rFonts w:ascii="Arial" w:hAnsi="Arial" w:cs="Arial"/>
        </w:rPr>
      </w:pPr>
      <w:r>
        <w:rPr>
          <w:rFonts w:ascii="Arial" w:hAnsi="Arial" w:cs="Arial"/>
        </w:rPr>
        <w:t>&lt;ESMA_QUESTION_CP_BRTS_3&gt;</w:t>
      </w:r>
    </w:p>
    <w:p w14:paraId="08755291" w14:textId="77777777" w:rsidR="0010762E" w:rsidRDefault="0010762E" w:rsidP="0010762E">
      <w:pPr>
        <w:rPr>
          <w:rFonts w:ascii="Arial" w:hAnsi="Arial" w:cs="Arial"/>
        </w:rPr>
      </w:pPr>
    </w:p>
    <w:p w14:paraId="17ED49D6" w14:textId="77777777" w:rsidR="0010762E" w:rsidRPr="00BD08D3" w:rsidRDefault="0010762E" w:rsidP="0010762E">
      <w:pPr>
        <w:pStyle w:val="Questionstyle"/>
        <w:numPr>
          <w:ilvl w:val="0"/>
          <w:numId w:val="9"/>
        </w:numPr>
        <w:spacing w:after="250" w:line="276" w:lineRule="auto"/>
      </w:pPr>
      <w:r>
        <w:t>: Do you think that other conditions should be taken into account to ensure that the methodology complies with the requirements of the BMR? Please specify.</w:t>
      </w:r>
    </w:p>
    <w:p w14:paraId="05366353" w14:textId="77777777" w:rsidR="0010762E" w:rsidRDefault="0010762E" w:rsidP="0010762E">
      <w:pPr>
        <w:rPr>
          <w:rFonts w:ascii="Arial" w:hAnsi="Arial" w:cs="Arial"/>
        </w:rPr>
      </w:pPr>
      <w:r>
        <w:rPr>
          <w:rFonts w:ascii="Arial" w:hAnsi="Arial" w:cs="Arial"/>
        </w:rPr>
        <w:lastRenderedPageBreak/>
        <w:t>&lt;ESMA_QUESTION_CP_BRTS_4&gt;</w:t>
      </w:r>
    </w:p>
    <w:p w14:paraId="385DD6D4" w14:textId="77777777" w:rsidR="006522BF" w:rsidRDefault="006522BF" w:rsidP="006522BF">
      <w:permStart w:id="36393939" w:edGrp="everyone"/>
      <w:r>
        <w:t>No.</w:t>
      </w:r>
    </w:p>
    <w:p w14:paraId="128D0CB2" w14:textId="779C8EC1" w:rsidR="0010762E" w:rsidRPr="006522BF" w:rsidRDefault="006522BF" w:rsidP="0010762E">
      <w:r>
        <w:t xml:space="preserve">Regarding </w:t>
      </w:r>
      <w:r w:rsidRPr="006951C2">
        <w:t xml:space="preserve">the type of data to be used, </w:t>
      </w:r>
      <w:r>
        <w:t>we</w:t>
      </w:r>
      <w:r w:rsidRPr="006951C2">
        <w:t xml:space="preserve"> agrees that transaction data should preferably be used where available. </w:t>
      </w:r>
      <w:r>
        <w:t xml:space="preserve">However, for certain benchmarks, such as commodity benchmarks and certain bond benchmarks, it might not be possible to use </w:t>
      </w:r>
      <w:r w:rsidRPr="006951C2">
        <w:t>transaction data in all cases</w:t>
      </w:r>
      <w:r>
        <w:t xml:space="preserve">. It should therefore still be possible to </w:t>
      </w:r>
      <w:r w:rsidRPr="006951C2">
        <w:t>use other types of input data</w:t>
      </w:r>
      <w:r>
        <w:t>, including quotes</w:t>
      </w:r>
      <w:r w:rsidRPr="006951C2">
        <w:t>.</w:t>
      </w:r>
    </w:p>
    <w:permEnd w:id="36393939"/>
    <w:p w14:paraId="482CBC37" w14:textId="77777777" w:rsidR="0010762E" w:rsidRDefault="0010762E" w:rsidP="0010762E">
      <w:pPr>
        <w:rPr>
          <w:rFonts w:ascii="Arial" w:hAnsi="Arial" w:cs="Arial"/>
        </w:rPr>
      </w:pPr>
      <w:r>
        <w:rPr>
          <w:rFonts w:ascii="Arial" w:hAnsi="Arial" w:cs="Arial"/>
        </w:rPr>
        <w:t>&lt;ESMA_QUESTION_CP_BRTS_4&gt;</w:t>
      </w:r>
    </w:p>
    <w:p w14:paraId="773D629E" w14:textId="77777777" w:rsidR="0010762E" w:rsidRDefault="0010762E" w:rsidP="0010762E">
      <w:pPr>
        <w:rPr>
          <w:rFonts w:ascii="Arial" w:hAnsi="Arial" w:cs="Arial"/>
        </w:rPr>
      </w:pPr>
    </w:p>
    <w:p w14:paraId="08FD4309" w14:textId="77777777" w:rsidR="0010762E" w:rsidRPr="00BD08D3" w:rsidRDefault="0010762E" w:rsidP="0010762E">
      <w:pPr>
        <w:pStyle w:val="Questionstyle"/>
        <w:numPr>
          <w:ilvl w:val="0"/>
          <w:numId w:val="9"/>
        </w:numPr>
        <w:spacing w:after="250" w:line="276" w:lineRule="auto"/>
      </w:pPr>
      <w:r>
        <w:t>: Do you consider that additional requirements are needed to ensure that the methodology is traceable and verifiable? Please specify.</w:t>
      </w:r>
    </w:p>
    <w:p w14:paraId="770158A7" w14:textId="77777777" w:rsidR="0010762E" w:rsidRDefault="0010762E" w:rsidP="0010762E">
      <w:pPr>
        <w:rPr>
          <w:rFonts w:ascii="Arial" w:hAnsi="Arial" w:cs="Arial"/>
        </w:rPr>
      </w:pPr>
      <w:r>
        <w:rPr>
          <w:rFonts w:ascii="Arial" w:hAnsi="Arial" w:cs="Arial"/>
        </w:rPr>
        <w:t>&lt;ESMA_QUESTION_CP_BRTS_5&gt;</w:t>
      </w:r>
    </w:p>
    <w:p w14:paraId="09B2FB34" w14:textId="2B9AA982" w:rsidR="0010762E" w:rsidRDefault="006522BF" w:rsidP="0010762E">
      <w:pPr>
        <w:rPr>
          <w:rFonts w:ascii="Arial" w:hAnsi="Arial" w:cs="Arial"/>
        </w:rPr>
      </w:pPr>
      <w:permStart w:id="1891459047" w:edGrp="everyone"/>
      <w:r>
        <w:rPr>
          <w:rFonts w:ascii="Arial" w:hAnsi="Arial" w:cs="Arial"/>
        </w:rPr>
        <w:t>No.</w:t>
      </w:r>
    </w:p>
    <w:permEnd w:id="1891459047"/>
    <w:p w14:paraId="325BA92C" w14:textId="77777777" w:rsidR="0010762E" w:rsidRDefault="0010762E" w:rsidP="0010762E">
      <w:pPr>
        <w:rPr>
          <w:rFonts w:ascii="Arial" w:hAnsi="Arial" w:cs="Arial"/>
        </w:rPr>
      </w:pPr>
      <w:r>
        <w:rPr>
          <w:rFonts w:ascii="Arial" w:hAnsi="Arial" w:cs="Arial"/>
        </w:rPr>
        <w:t>&lt;ESMA_QUESTION_CP_BRTS_5&gt;</w:t>
      </w:r>
    </w:p>
    <w:p w14:paraId="0175C811" w14:textId="77777777" w:rsidR="0010762E" w:rsidRDefault="0010762E" w:rsidP="0010762E">
      <w:pPr>
        <w:rPr>
          <w:rFonts w:ascii="Arial" w:hAnsi="Arial" w:cs="Arial"/>
        </w:rPr>
      </w:pPr>
    </w:p>
    <w:p w14:paraId="1E88E7CE" w14:textId="77777777" w:rsidR="0010762E" w:rsidRPr="00BD08D3" w:rsidRDefault="0010762E" w:rsidP="0010762E">
      <w:pPr>
        <w:pStyle w:val="Questionstyle"/>
        <w:numPr>
          <w:ilvl w:val="0"/>
          <w:numId w:val="9"/>
        </w:numPr>
        <w:spacing w:after="250" w:line="276" w:lineRule="auto"/>
      </w:pPr>
      <w:r>
        <w:t>: Do you think that the back-testing requirements are appropriate? Please specify.</w:t>
      </w:r>
    </w:p>
    <w:p w14:paraId="05318316" w14:textId="77777777" w:rsidR="0010762E" w:rsidRDefault="0010762E" w:rsidP="0010762E">
      <w:pPr>
        <w:rPr>
          <w:rFonts w:ascii="Arial" w:hAnsi="Arial" w:cs="Arial"/>
        </w:rPr>
      </w:pPr>
      <w:r>
        <w:rPr>
          <w:rFonts w:ascii="Arial" w:hAnsi="Arial" w:cs="Arial"/>
        </w:rPr>
        <w:t>&lt;ESMA_QUESTION_CP_BRTS_6&gt;</w:t>
      </w:r>
    </w:p>
    <w:p w14:paraId="236559A9" w14:textId="77777777" w:rsidR="006522BF" w:rsidRDefault="006522BF" w:rsidP="006522BF">
      <w:permStart w:id="1515997747" w:edGrp="everyone"/>
      <w:r>
        <w:t>The proposed requirements for</w:t>
      </w:r>
      <w:r w:rsidRPr="004B7294">
        <w:t xml:space="preserve"> back-testing </w:t>
      </w:r>
      <w:r>
        <w:t xml:space="preserve">as proposed in the draft RTS Article 3.2e are very far-reaching. </w:t>
      </w:r>
    </w:p>
    <w:p w14:paraId="577E9947" w14:textId="7990E253" w:rsidR="0010762E" w:rsidRPr="006522BF" w:rsidRDefault="006522BF" w:rsidP="006522BF">
      <w:pPr>
        <w:pStyle w:val="CommentText"/>
      </w:pPr>
      <w:r>
        <w:t xml:space="preserve">While ESMA repeatedly outlines that benchmarks based on transaction data are less prone to manipulation, it is still suggested that regulated data benchmarks be subject to the same requirements as benchmarks based on contribution data. ESMA should make it clear that benchmarks based on transaction data do not need to be back-tested. </w:t>
      </w:r>
    </w:p>
    <w:permEnd w:id="1515997747"/>
    <w:p w14:paraId="2ECB166B" w14:textId="77777777" w:rsidR="0010762E" w:rsidRDefault="0010762E" w:rsidP="0010762E">
      <w:pPr>
        <w:rPr>
          <w:rFonts w:ascii="Arial" w:hAnsi="Arial" w:cs="Arial"/>
        </w:rPr>
      </w:pPr>
      <w:r>
        <w:rPr>
          <w:rFonts w:ascii="Arial" w:hAnsi="Arial" w:cs="Arial"/>
        </w:rPr>
        <w:t>&lt;ESMA_QUESTION_CP_BRTS_6&gt;</w:t>
      </w:r>
    </w:p>
    <w:p w14:paraId="4027CBF5" w14:textId="77777777" w:rsidR="0010762E" w:rsidRDefault="0010762E" w:rsidP="0010762E">
      <w:pPr>
        <w:rPr>
          <w:rFonts w:ascii="Arial" w:hAnsi="Arial" w:cs="Arial"/>
        </w:rPr>
      </w:pPr>
    </w:p>
    <w:p w14:paraId="51C83B9D" w14:textId="77777777" w:rsidR="0010762E" w:rsidRPr="00BD08D3" w:rsidRDefault="0010762E" w:rsidP="0010762E">
      <w:pPr>
        <w:pStyle w:val="Questionstyle"/>
        <w:numPr>
          <w:ilvl w:val="0"/>
          <w:numId w:val="9"/>
        </w:numPr>
        <w:spacing w:after="250" w:line="276" w:lineRule="auto"/>
      </w:pPr>
      <w:r>
        <w:t>: Do you agree with the requirements set out above? Do you have any additional suggestions? Please specify.</w:t>
      </w:r>
    </w:p>
    <w:p w14:paraId="09A3C610" w14:textId="77777777" w:rsidR="0010762E" w:rsidRDefault="0010762E" w:rsidP="0010762E">
      <w:pPr>
        <w:rPr>
          <w:rFonts w:ascii="Arial" w:hAnsi="Arial" w:cs="Arial"/>
        </w:rPr>
      </w:pPr>
      <w:r>
        <w:rPr>
          <w:rFonts w:ascii="Arial" w:hAnsi="Arial" w:cs="Arial"/>
        </w:rPr>
        <w:t>&lt;ESMA_QUESTION_CP_BRTS_7&gt;</w:t>
      </w:r>
    </w:p>
    <w:p w14:paraId="55B3DD9C" w14:textId="77777777" w:rsidR="00FE32B7" w:rsidRDefault="00FE32B7" w:rsidP="00FE32B7">
      <w:bookmarkStart w:id="2" w:name="_Hlk40352583"/>
      <w:permStart w:id="1782531178" w:edGrp="everyone"/>
      <w:proofErr w:type="gramStart"/>
      <w:r>
        <w:t>Nasdaq</w:t>
      </w:r>
      <w:proofErr w:type="gramEnd"/>
      <w:r w:rsidRPr="00A34210">
        <w:t xml:space="preserve"> welcomes the proportional approach proposed by ESMA whereby regulated data benchmarks and certain commodity benchmarks would not be subject to this RTS due to the character of the input data used</w:t>
      </w:r>
      <w:r>
        <w:t xml:space="preserve"> for these types of benchmarks. </w:t>
      </w:r>
    </w:p>
    <w:bookmarkEnd w:id="2"/>
    <w:p w14:paraId="6AF206FC" w14:textId="70497D37" w:rsidR="0010762E" w:rsidRDefault="00FE32B7" w:rsidP="00FE32B7">
      <w:pPr>
        <w:rPr>
          <w:rFonts w:ascii="Arial" w:hAnsi="Arial" w:cs="Arial"/>
        </w:rPr>
      </w:pPr>
      <w:r>
        <w:t>We note, however, in this context, that benchmark administrators obtain data from other sources that corroborate the input data, they can e.g. compare the values received from vendors for the calculation of indices against public sources e.g. against data from APAs and information vendors. Benchmark administrators can e.g. monitor price jumps; prices after jumps are not used until data has been checked. However, benchmark administrators are not in a position to establish market surveillance processes which detect any potential input manipulation that could influence the calculation of an index. In this context, the information accessible to a benchmark administrator should be taken into account as benchmarks administrators only have access to data from vendors or publicly available data.</w:t>
      </w:r>
    </w:p>
    <w:permEnd w:id="1782531178"/>
    <w:p w14:paraId="6202F412" w14:textId="77777777" w:rsidR="0010762E" w:rsidRDefault="0010762E" w:rsidP="0010762E">
      <w:pPr>
        <w:rPr>
          <w:rFonts w:ascii="Arial" w:hAnsi="Arial" w:cs="Arial"/>
        </w:rPr>
      </w:pPr>
      <w:r>
        <w:rPr>
          <w:rFonts w:ascii="Arial" w:hAnsi="Arial" w:cs="Arial"/>
        </w:rPr>
        <w:t>&lt;ESMA_QUESTION_CP_BRTS_7&gt;</w:t>
      </w:r>
    </w:p>
    <w:p w14:paraId="265A4091" w14:textId="77777777" w:rsidR="0010762E" w:rsidRDefault="0010762E" w:rsidP="0010762E">
      <w:pPr>
        <w:rPr>
          <w:rFonts w:ascii="Arial" w:hAnsi="Arial" w:cs="Arial"/>
        </w:rPr>
      </w:pPr>
    </w:p>
    <w:p w14:paraId="6F6BAEF9" w14:textId="77777777" w:rsidR="0010762E" w:rsidRPr="00BD08D3" w:rsidRDefault="0010762E" w:rsidP="0010762E">
      <w:pPr>
        <w:pStyle w:val="Questionstyle"/>
        <w:numPr>
          <w:ilvl w:val="0"/>
          <w:numId w:val="9"/>
        </w:numPr>
        <w:spacing w:after="250" w:line="276" w:lineRule="auto"/>
      </w:pPr>
      <w:r>
        <w:t>: Do you agree with the systems suggested for the surveillance of market manipulation? In particular, do you think that an automated system should be required only when it appears to be adequate according to the nature, scale and complexity of the benchmark? Please specify.</w:t>
      </w:r>
    </w:p>
    <w:p w14:paraId="11247E6C" w14:textId="77777777" w:rsidR="0010762E" w:rsidRDefault="0010762E" w:rsidP="0010762E">
      <w:pPr>
        <w:rPr>
          <w:rFonts w:ascii="Arial" w:hAnsi="Arial" w:cs="Arial"/>
        </w:rPr>
      </w:pPr>
      <w:r>
        <w:rPr>
          <w:rFonts w:ascii="Arial" w:hAnsi="Arial" w:cs="Arial"/>
        </w:rPr>
        <w:t>&lt;ESMA_QUESTION_CP_BRTS_8&gt;</w:t>
      </w:r>
    </w:p>
    <w:p w14:paraId="4012A15E" w14:textId="58940FAF" w:rsidR="0010762E" w:rsidRDefault="00FE32B7" w:rsidP="0010762E">
      <w:pPr>
        <w:rPr>
          <w:rFonts w:ascii="Arial" w:hAnsi="Arial" w:cs="Arial"/>
        </w:rPr>
      </w:pPr>
      <w:permStart w:id="1317289506" w:edGrp="everyone"/>
      <w:r w:rsidRPr="006F2352">
        <w:lastRenderedPageBreak/>
        <w:t>Please see the answer under Question 7.</w:t>
      </w:r>
    </w:p>
    <w:permEnd w:id="1317289506"/>
    <w:p w14:paraId="25C56C77" w14:textId="77777777" w:rsidR="0010762E" w:rsidRDefault="0010762E" w:rsidP="0010762E">
      <w:pPr>
        <w:rPr>
          <w:rFonts w:ascii="Arial" w:hAnsi="Arial" w:cs="Arial"/>
        </w:rPr>
      </w:pPr>
      <w:r>
        <w:rPr>
          <w:rFonts w:ascii="Arial" w:hAnsi="Arial" w:cs="Arial"/>
        </w:rPr>
        <w:t>&lt;ESMA_QUESTION_CP_BRTS_8&gt;</w:t>
      </w:r>
    </w:p>
    <w:p w14:paraId="21DED87D" w14:textId="77777777" w:rsidR="0010762E" w:rsidRDefault="0010762E" w:rsidP="0010762E">
      <w:pPr>
        <w:rPr>
          <w:rFonts w:ascii="Arial" w:hAnsi="Arial" w:cs="Arial"/>
        </w:rPr>
      </w:pPr>
    </w:p>
    <w:p w14:paraId="7D240348" w14:textId="77777777" w:rsidR="0010762E" w:rsidRPr="00BD08D3" w:rsidRDefault="0010762E" w:rsidP="0010762E">
      <w:pPr>
        <w:pStyle w:val="Questionstyle"/>
        <w:numPr>
          <w:ilvl w:val="0"/>
          <w:numId w:val="9"/>
        </w:numPr>
        <w:spacing w:after="250" w:line="276" w:lineRule="auto"/>
      </w:pPr>
      <w:r w:rsidRPr="00F537E9">
        <w:t xml:space="preserve">: </w:t>
      </w:r>
      <w:r>
        <w:t>Do you think that</w:t>
      </w:r>
      <w:r w:rsidRPr="00F537E9">
        <w:t xml:space="preserve"> other criteria </w:t>
      </w:r>
      <w:r>
        <w:t>sh</w:t>
      </w:r>
      <w:r w:rsidRPr="00F537E9">
        <w:t>ould be considered in relation to the transition of the provision of the critical benchmark to a new administrator?</w:t>
      </w:r>
      <w:r>
        <w:t xml:space="preserve"> Please specify. </w:t>
      </w:r>
    </w:p>
    <w:p w14:paraId="699ED31F" w14:textId="77777777" w:rsidR="0010762E" w:rsidRDefault="0010762E" w:rsidP="0010762E">
      <w:pPr>
        <w:rPr>
          <w:rFonts w:ascii="Arial" w:hAnsi="Arial" w:cs="Arial"/>
        </w:rPr>
      </w:pPr>
      <w:r>
        <w:rPr>
          <w:rFonts w:ascii="Arial" w:hAnsi="Arial" w:cs="Arial"/>
        </w:rPr>
        <w:t>&lt;ESMA_QUESTION_CP_BRTS_9&gt;</w:t>
      </w:r>
    </w:p>
    <w:p w14:paraId="0D1630BE" w14:textId="77777777" w:rsidR="0010762E" w:rsidRDefault="0010762E" w:rsidP="0010762E">
      <w:pPr>
        <w:rPr>
          <w:rFonts w:ascii="Arial" w:hAnsi="Arial" w:cs="Arial"/>
        </w:rPr>
      </w:pPr>
      <w:permStart w:id="1927238694" w:edGrp="everyone"/>
      <w:r>
        <w:rPr>
          <w:rFonts w:ascii="Arial" w:hAnsi="Arial" w:cs="Arial"/>
        </w:rPr>
        <w:t>TYPE YOUR TEXT HERE</w:t>
      </w:r>
    </w:p>
    <w:permEnd w:id="1927238694"/>
    <w:p w14:paraId="2758B2C1" w14:textId="77777777" w:rsidR="0010762E" w:rsidRDefault="0010762E" w:rsidP="0010762E">
      <w:pPr>
        <w:rPr>
          <w:rFonts w:ascii="Arial" w:hAnsi="Arial" w:cs="Arial"/>
        </w:rPr>
      </w:pPr>
      <w:r>
        <w:rPr>
          <w:rFonts w:ascii="Arial" w:hAnsi="Arial" w:cs="Arial"/>
        </w:rPr>
        <w:t>&lt;ESMA_QUESTION_CP_BRTS_9&gt;</w:t>
      </w:r>
    </w:p>
    <w:p w14:paraId="10CE65C4" w14:textId="77777777" w:rsidR="0010762E" w:rsidRDefault="0010762E" w:rsidP="0010762E">
      <w:pPr>
        <w:rPr>
          <w:rFonts w:ascii="Arial" w:hAnsi="Arial" w:cs="Arial"/>
        </w:rPr>
      </w:pPr>
    </w:p>
    <w:p w14:paraId="5922C6E6" w14:textId="77777777" w:rsidR="0010762E" w:rsidRPr="00BD08D3" w:rsidRDefault="0010762E" w:rsidP="0010762E">
      <w:pPr>
        <w:pStyle w:val="Questionstyle"/>
        <w:numPr>
          <w:ilvl w:val="0"/>
          <w:numId w:val="9"/>
        </w:numPr>
        <w:spacing w:after="250" w:line="276" w:lineRule="auto"/>
      </w:pPr>
      <w:r w:rsidRPr="00F537E9">
        <w:t xml:space="preserve">: </w:t>
      </w:r>
      <w:r>
        <w:t xml:space="preserve">Do you think that </w:t>
      </w:r>
      <w:r w:rsidRPr="00F537E9">
        <w:t xml:space="preserve">other criteria </w:t>
      </w:r>
      <w:r>
        <w:t>sh</w:t>
      </w:r>
      <w:r w:rsidRPr="00F537E9">
        <w:t>ould be considered in relation to the c</w:t>
      </w:r>
      <w:r>
        <w:t>essation of the provision of a</w:t>
      </w:r>
      <w:r w:rsidRPr="00F537E9">
        <w:t xml:space="preserve"> critical benchmark?</w:t>
      </w:r>
      <w:r>
        <w:t xml:space="preserve"> Please specify. </w:t>
      </w:r>
    </w:p>
    <w:p w14:paraId="26355653" w14:textId="77777777" w:rsidR="0010762E" w:rsidRDefault="0010762E" w:rsidP="0010762E">
      <w:pPr>
        <w:rPr>
          <w:rFonts w:ascii="Arial" w:hAnsi="Arial" w:cs="Arial"/>
        </w:rPr>
      </w:pPr>
      <w:r>
        <w:rPr>
          <w:rFonts w:ascii="Arial" w:hAnsi="Arial" w:cs="Arial"/>
        </w:rPr>
        <w:t>&lt;ESMA_QUESTION_CP_BRTS_10&gt;</w:t>
      </w:r>
    </w:p>
    <w:p w14:paraId="673D6FCA" w14:textId="251F6BD8" w:rsidR="0010762E" w:rsidRDefault="00FE32B7" w:rsidP="0010762E">
      <w:pPr>
        <w:rPr>
          <w:rFonts w:ascii="Arial" w:hAnsi="Arial" w:cs="Arial"/>
        </w:rPr>
      </w:pPr>
      <w:permStart w:id="706027679" w:edGrp="everyone"/>
      <w:r>
        <w:t>We strongly believe that the BMR should not give a competent authority the power to require an administrator to publish a benchmark that is unrepresentative of the underlying market or economic reality the benchmark is intended to measure. Any such expansion of a competent authority’s powers would create significant reputational and litigation risks for an administrator and could result in market uncertainty and instability.</w:t>
      </w:r>
    </w:p>
    <w:permEnd w:id="706027679"/>
    <w:p w14:paraId="3AF676B8" w14:textId="77777777" w:rsidR="0010762E" w:rsidRDefault="0010762E" w:rsidP="0010762E">
      <w:pPr>
        <w:rPr>
          <w:rFonts w:ascii="Arial" w:hAnsi="Arial" w:cs="Arial"/>
        </w:rPr>
      </w:pPr>
      <w:r>
        <w:rPr>
          <w:rFonts w:ascii="Arial" w:hAnsi="Arial" w:cs="Arial"/>
        </w:rPr>
        <w:t>&lt;ESMA_QUESTION_CP_BRTS_10&gt;</w:t>
      </w:r>
    </w:p>
    <w:p w14:paraId="1C353E9F" w14:textId="77777777" w:rsidR="0010762E" w:rsidRDefault="0010762E" w:rsidP="0010762E">
      <w:pPr>
        <w:rPr>
          <w:rFonts w:ascii="Arial" w:hAnsi="Arial" w:cs="Arial"/>
        </w:rPr>
      </w:pPr>
    </w:p>
    <w:p w14:paraId="41B02211" w14:textId="77777777" w:rsidR="0010762E" w:rsidRPr="00BD08D3" w:rsidRDefault="0010762E" w:rsidP="0010762E">
      <w:pPr>
        <w:pStyle w:val="Questionstyle"/>
        <w:numPr>
          <w:ilvl w:val="0"/>
          <w:numId w:val="9"/>
        </w:numPr>
        <w:spacing w:after="250" w:line="276" w:lineRule="auto"/>
      </w:pPr>
      <w:r w:rsidRPr="00B6264C">
        <w:t>: Do you agree with the criteria under which competent authorities may require changes to the compliance statement? Please specify</w:t>
      </w:r>
    </w:p>
    <w:p w14:paraId="1D17CAE2" w14:textId="77777777" w:rsidR="0010762E" w:rsidRDefault="0010762E" w:rsidP="0010762E">
      <w:pPr>
        <w:rPr>
          <w:rFonts w:ascii="Arial" w:hAnsi="Arial" w:cs="Arial"/>
        </w:rPr>
      </w:pPr>
      <w:r>
        <w:rPr>
          <w:rFonts w:ascii="Arial" w:hAnsi="Arial" w:cs="Arial"/>
        </w:rPr>
        <w:t>&lt;ESMA_QUESTION_CP_BRTS_11&gt;</w:t>
      </w:r>
    </w:p>
    <w:p w14:paraId="523D6E13" w14:textId="77777777" w:rsidR="00FE32B7" w:rsidRDefault="00FE32B7" w:rsidP="00FE32B7">
      <w:permStart w:id="2079658631" w:edGrp="everyone"/>
      <w:proofErr w:type="gramStart"/>
      <w:r>
        <w:t>Nasdaq</w:t>
      </w:r>
      <w:proofErr w:type="gramEnd"/>
      <w:r>
        <w:t xml:space="preserve"> reiterate</w:t>
      </w:r>
      <w:r w:rsidRPr="007F7D21">
        <w:t>s that non-significant benchmarks should be subject to a proportional approach. We share ESMA’s understanding that ‘changes (to the compliance statement)’ does not mean that NCAs could require administrators of non-significant benchmarks to apply the requirements which they have chosen not to comply with.</w:t>
      </w:r>
      <w:r>
        <w:t xml:space="preserve"> </w:t>
      </w:r>
    </w:p>
    <w:p w14:paraId="34CEF860" w14:textId="19B4BA0D" w:rsidR="0010762E" w:rsidRDefault="00FE32B7" w:rsidP="00FE32B7">
      <w:pPr>
        <w:rPr>
          <w:rFonts w:ascii="Arial" w:hAnsi="Arial" w:cs="Arial"/>
        </w:rPr>
      </w:pPr>
      <w:r>
        <w:t>We underline that the proposed requirements for administrators of non-significant benchmarks to supply additional information regarding how they address requirements they have chosen to opt out of, should not become in reality as burdensome as applying the actual requirements, in which case the proportional regime set out in the BMR would be of limited value.</w:t>
      </w:r>
    </w:p>
    <w:permEnd w:id="2079658631"/>
    <w:p w14:paraId="031B3E2A" w14:textId="77777777" w:rsidR="0010762E" w:rsidRDefault="0010762E" w:rsidP="0010762E">
      <w:pPr>
        <w:rPr>
          <w:rFonts w:ascii="Arial" w:hAnsi="Arial" w:cs="Arial"/>
        </w:rPr>
      </w:pPr>
      <w:r>
        <w:rPr>
          <w:rFonts w:ascii="Arial" w:hAnsi="Arial" w:cs="Arial"/>
        </w:rPr>
        <w:t>&lt;ESMA_QUESTION_CP_BRTS_11&gt;</w:t>
      </w:r>
    </w:p>
    <w:p w14:paraId="472C8914" w14:textId="77777777" w:rsidR="0010762E" w:rsidRDefault="0010762E" w:rsidP="0010762E">
      <w:pPr>
        <w:rPr>
          <w:rFonts w:ascii="Arial" w:hAnsi="Arial" w:cs="Arial"/>
        </w:rPr>
      </w:pPr>
    </w:p>
    <w:p w14:paraId="1293AA79" w14:textId="77777777" w:rsidR="0010762E" w:rsidRPr="00BD08D3" w:rsidRDefault="0010762E" w:rsidP="0010762E">
      <w:pPr>
        <w:pStyle w:val="Questionstyle"/>
        <w:numPr>
          <w:ilvl w:val="0"/>
          <w:numId w:val="9"/>
        </w:numPr>
        <w:spacing w:after="250" w:line="276" w:lineRule="auto"/>
      </w:pPr>
      <w:r w:rsidRPr="00B6264C">
        <w:t xml:space="preserve">: Do you agree with the criteria under which competent authorities may require changes to the </w:t>
      </w:r>
      <w:r>
        <w:t>control framework requirements</w:t>
      </w:r>
      <w:r w:rsidRPr="00B6264C">
        <w:t>? Please specify</w:t>
      </w:r>
    </w:p>
    <w:p w14:paraId="45FFA525" w14:textId="77777777" w:rsidR="0010762E" w:rsidRDefault="0010762E" w:rsidP="0010762E">
      <w:pPr>
        <w:rPr>
          <w:rFonts w:ascii="Arial" w:hAnsi="Arial" w:cs="Arial"/>
        </w:rPr>
      </w:pPr>
      <w:r>
        <w:rPr>
          <w:rFonts w:ascii="Arial" w:hAnsi="Arial" w:cs="Arial"/>
        </w:rPr>
        <w:t>&lt;ESMA_QUESTION_CP_BRTS_12&gt;</w:t>
      </w:r>
    </w:p>
    <w:p w14:paraId="7B6F5753" w14:textId="1C79FCC7" w:rsidR="0010762E" w:rsidRPr="00FE32B7" w:rsidRDefault="00FE32B7" w:rsidP="0010762E">
      <w:permStart w:id="1243561789" w:edGrp="everyone"/>
      <w:proofErr w:type="gramStart"/>
      <w:r>
        <w:t>Nasdaq</w:t>
      </w:r>
      <w:proofErr w:type="gramEnd"/>
      <w:r w:rsidRPr="007F7D21">
        <w:t xml:space="preserve"> considers that non-significant benchmarks should be subject to a proportional approach.</w:t>
      </w:r>
      <w:r>
        <w:t xml:space="preserve"> Regarding the proposed criteria, it is worth reminding that non-significant benchmarks are deemed such following an assessment concluding that there would not be a significant or adverse impact were the benchmark no longer to be provided. </w:t>
      </w:r>
    </w:p>
    <w:permEnd w:id="1243561789"/>
    <w:p w14:paraId="79761804" w14:textId="77777777" w:rsidR="0010762E" w:rsidRDefault="0010762E" w:rsidP="0010762E">
      <w:pPr>
        <w:rPr>
          <w:rFonts w:ascii="Arial" w:hAnsi="Arial" w:cs="Arial"/>
        </w:rPr>
      </w:pPr>
      <w:r>
        <w:rPr>
          <w:rFonts w:ascii="Arial" w:hAnsi="Arial" w:cs="Arial"/>
        </w:rPr>
        <w:t>&lt;ESMA_QUESTION_CP_BRTS_12&gt;</w:t>
      </w:r>
    </w:p>
    <w:p w14:paraId="42843DE0" w14:textId="77777777" w:rsidR="0010762E" w:rsidRDefault="0010762E" w:rsidP="0010762E">
      <w:pPr>
        <w:rPr>
          <w:rFonts w:ascii="Arial" w:hAnsi="Arial" w:cs="Arial"/>
        </w:rPr>
      </w:pPr>
    </w:p>
    <w:p w14:paraId="66468DEB" w14:textId="77777777" w:rsidR="0010762E" w:rsidRPr="007B52B2" w:rsidRDefault="0010762E" w:rsidP="0010762E">
      <w:pPr>
        <w:rPr>
          <w:rFonts w:ascii="Arial" w:hAnsi="Arial" w:cs="Arial"/>
        </w:rPr>
      </w:pPr>
    </w:p>
    <w:bookmarkEnd w:id="0"/>
    <w:p w14:paraId="60888218" w14:textId="77777777" w:rsidR="0010762E" w:rsidRDefault="0010762E" w:rsidP="00C1698A">
      <w:pPr>
        <w:spacing w:line="276" w:lineRule="auto"/>
        <w:rPr>
          <w:rFonts w:asciiTheme="minorHAnsi" w:hAnsiTheme="minorHAnsi" w:cstheme="minorHAnsi"/>
          <w:b/>
          <w:sz w:val="28"/>
          <w:szCs w:val="28"/>
        </w:rPr>
      </w:pPr>
    </w:p>
    <w:sectPr w:rsidR="0010762E" w:rsidSect="00C85C8B">
      <w:headerReference w:type="default" r:id="rId25"/>
      <w:footerReference w:type="default" r:id="rId2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C5728" w14:textId="77777777" w:rsidR="004B6C3B" w:rsidRDefault="004B6C3B" w:rsidP="007E7997">
      <w:r>
        <w:separator/>
      </w:r>
    </w:p>
  </w:endnote>
  <w:endnote w:type="continuationSeparator" w:id="0">
    <w:p w14:paraId="4F04B608" w14:textId="77777777" w:rsidR="004B6C3B" w:rsidRDefault="004B6C3B" w:rsidP="007E7997">
      <w:r>
        <w:continuationSeparator/>
      </w:r>
    </w:p>
  </w:endnote>
  <w:endnote w:type="continuationNotice" w:id="1">
    <w:p w14:paraId="55AF20F4" w14:textId="77777777" w:rsidR="004B6C3B" w:rsidRDefault="004B6C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E02E8" w14:textId="77777777" w:rsidR="009570BC" w:rsidRDefault="00957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F3915" w14:textId="4F5F5341" w:rsidR="00E36813" w:rsidRPr="00514DFA" w:rsidRDefault="00564F5A" w:rsidP="00564F5A">
    <w:pPr>
      <w:pStyle w:val="Footer"/>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t>9</w:t>
    </w:r>
    <w:r w:rsidR="0010762E">
      <w:rPr>
        <w:rFonts w:asciiTheme="majorHAnsi" w:hAnsiTheme="majorHAnsi"/>
        <w:color w:val="FFFFFF" w:themeColor="background1"/>
      </w:rPr>
      <w:t xml:space="preserve"> </w:t>
    </w:r>
    <w:r>
      <w:rPr>
        <w:rFonts w:asciiTheme="majorHAnsi" w:hAnsiTheme="majorHAnsi"/>
        <w:color w:val="FFFFFF" w:themeColor="background1"/>
      </w:rPr>
      <w:t>March</w:t>
    </w:r>
    <w:r w:rsidR="008F1DCF" w:rsidRPr="0010762E">
      <w:rPr>
        <w:rFonts w:asciiTheme="majorHAnsi" w:hAnsiTheme="majorHAnsi"/>
        <w:color w:val="FFFFFF" w:themeColor="background1"/>
      </w:rPr>
      <w:t xml:space="preserve"> 2020</w:t>
    </w:r>
    <w:r w:rsidR="008F1DCF">
      <w:rPr>
        <w:rFonts w:asciiTheme="majorHAnsi" w:hAnsiTheme="majorHAnsi"/>
        <w:color w:val="FFFFFF" w:themeColor="background1"/>
      </w:rPr>
      <w:t xml:space="preserve"> | </w:t>
    </w:r>
    <w:r w:rsidRPr="00564F5A">
      <w:rPr>
        <w:rFonts w:asciiTheme="majorHAnsi" w:hAnsiTheme="majorHAnsi"/>
        <w:color w:val="FFFFFF" w:themeColor="background1"/>
      </w:rPr>
      <w:t xml:space="preserve"> </w:t>
    </w:r>
    <w:r>
      <w:rPr>
        <w:rFonts w:asciiTheme="majorHAnsi" w:hAnsiTheme="majorHAnsi"/>
        <w:color w:val="FFFFFF" w:themeColor="background1"/>
      </w:rPr>
      <w:t xml:space="preserve"> ESMA70-156-2429</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rPr>
      <w:id w:val="616098339"/>
      <w:docPartObj>
        <w:docPartGallery w:val="Page Numbers (Bottom of Page)"/>
        <w:docPartUnique/>
      </w:docPartObj>
    </w:sdtPr>
    <w:sdtEndPr>
      <w:rPr>
        <w:noProof/>
      </w:rPr>
    </w:sdtEndPr>
    <w:sdtContent>
      <w:p w14:paraId="47ECB64F" w14:textId="66A056E9" w:rsidR="008F1DCF" w:rsidRPr="008F1DCF" w:rsidRDefault="008F1DCF" w:rsidP="008F1DCF">
        <w:pPr>
          <w:pStyle w:val="Footer"/>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752247"/>
      <w:docPartObj>
        <w:docPartGallery w:val="Page Numbers (Bottom of Page)"/>
        <w:docPartUnique/>
      </w:docPartObj>
    </w:sdtPr>
    <w:sdtEndPr>
      <w:rPr>
        <w:noProof/>
      </w:rPr>
    </w:sdtEndPr>
    <w:sdtContent>
      <w:p w14:paraId="4C9B3DBF" w14:textId="3280AD4C" w:rsidR="00E36813" w:rsidRDefault="00E36813" w:rsidP="008F1DCF">
        <w:pPr>
          <w:pStyle w:val="Footer"/>
          <w:jc w:val="right"/>
        </w:pPr>
        <w:r>
          <w:fldChar w:fldCharType="begin"/>
        </w:r>
        <w:r>
          <w:instrText xml:space="preserve"> PAGE   \* MERGEFORMAT </w:instrText>
        </w:r>
        <w:r>
          <w:fldChar w:fldCharType="separate"/>
        </w:r>
        <w:r w:rsidR="00F235BB">
          <w:rPr>
            <w:noProof/>
          </w:rPr>
          <w:t>5</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880FA" w14:textId="77777777" w:rsidR="004B6C3B" w:rsidRDefault="004B6C3B" w:rsidP="007E7997">
      <w:r>
        <w:separator/>
      </w:r>
    </w:p>
  </w:footnote>
  <w:footnote w:type="continuationSeparator" w:id="0">
    <w:p w14:paraId="5F4B9607" w14:textId="77777777" w:rsidR="004B6C3B" w:rsidRDefault="004B6C3B" w:rsidP="007E7997">
      <w:r>
        <w:continuationSeparator/>
      </w:r>
    </w:p>
  </w:footnote>
  <w:footnote w:type="continuationNotice" w:id="1">
    <w:p w14:paraId="0A99474F" w14:textId="77777777" w:rsidR="004B6C3B" w:rsidRDefault="004B6C3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5ADB3" w14:textId="77777777" w:rsidR="009570BC" w:rsidRDefault="00957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956F7" w14:textId="77777777" w:rsidR="00E36813" w:rsidRDefault="00E36813">
    <w:pPr>
      <w:pStyle w:val="Header"/>
    </w:pPr>
  </w:p>
  <w:p w14:paraId="59FA3C9D" w14:textId="77777777" w:rsidR="00E36813" w:rsidRDefault="00E3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91035" w14:textId="77777777" w:rsidR="00E36813" w:rsidRDefault="00E36813">
    <w:pPr>
      <w:pStyle w:val="Header"/>
    </w:pPr>
    <w:r>
      <w:rPr>
        <w:noProof/>
        <w:lang w:val="en-US" w:eastAsia="en-US"/>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D6BE1" w14:textId="77777777" w:rsidR="008F1DCF" w:rsidRPr="003669AC" w:rsidRDefault="008F1DCF" w:rsidP="006C5A3D">
    <w:pPr>
      <w:pStyle w:val="Header"/>
      <w:ind w:left="708"/>
      <w:jc w:val="right"/>
    </w:pPr>
  </w:p>
  <w:p w14:paraId="4E70851B" w14:textId="77777777" w:rsidR="008F1DCF" w:rsidRPr="003669AC" w:rsidRDefault="008F1DCF" w:rsidP="006C5A3D">
    <w:pPr>
      <w:pStyle w:val="Header"/>
      <w:ind w:left="708"/>
      <w:jc w:val="right"/>
    </w:pPr>
  </w:p>
  <w:p w14:paraId="4DAF4C00" w14:textId="77777777" w:rsidR="008F1DCF" w:rsidRPr="008F1DCF" w:rsidRDefault="008F1DCF" w:rsidP="006C5A3D">
    <w:pPr>
      <w:pStyle w:val="Header"/>
      <w:ind w:left="6663"/>
      <w:rPr>
        <w:rFonts w:asciiTheme="majorHAnsi" w:hAnsiTheme="majorHAnsi" w:cstheme="majorHAnsi"/>
        <w:color w:val="2F5496" w:themeColor="accent5" w:themeShade="BF"/>
        <w:sz w:val="20"/>
      </w:rPr>
    </w:pPr>
    <w:r w:rsidRPr="008F1DCF">
      <w:rPr>
        <w:rFonts w:asciiTheme="majorHAnsi" w:hAnsiTheme="majorHAnsi" w:cstheme="majorHAnsi"/>
        <w:color w:val="2F5496" w:themeColor="accent5" w:themeShade="BF"/>
        <w:sz w:val="20"/>
      </w:rPr>
      <w:t>ESMA REGULAR USE</w:t>
    </w: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8F1DCF" w:rsidRPr="008F1DCF" w14:paraId="3C1246A2" w14:textId="77777777" w:rsidTr="00AE4A5B">
      <w:trPr>
        <w:trHeight w:hRule="exact" w:val="589"/>
      </w:trPr>
      <w:tc>
        <w:tcPr>
          <w:tcW w:w="2377" w:type="dxa"/>
        </w:tcPr>
        <w:p w14:paraId="59038B1E" w14:textId="69D61D52" w:rsidR="008F1DCF" w:rsidRPr="008F1DCF" w:rsidRDefault="00F36188" w:rsidP="00AE4A5B">
          <w:pPr>
            <w:pStyle w:val="02Date"/>
            <w:rPr>
              <w:rFonts w:asciiTheme="majorHAnsi" w:hAnsiTheme="majorHAnsi" w:cstheme="majorHAnsi"/>
            </w:rPr>
          </w:pPr>
          <w:r>
            <w:rPr>
              <w:rFonts w:asciiTheme="majorHAnsi" w:hAnsiTheme="majorHAnsi" w:cstheme="majorHAnsi"/>
            </w:rPr>
            <w:t>9</w:t>
          </w:r>
          <w:r w:rsidR="00564F5A">
            <w:rPr>
              <w:rFonts w:asciiTheme="majorHAnsi" w:hAnsiTheme="majorHAnsi" w:cstheme="majorHAnsi"/>
            </w:rPr>
            <w:t xml:space="preserve"> March</w:t>
          </w:r>
          <w:r w:rsidR="0010762E">
            <w:rPr>
              <w:rFonts w:asciiTheme="majorHAnsi" w:hAnsiTheme="majorHAnsi" w:cstheme="majorHAnsi"/>
            </w:rPr>
            <w:t xml:space="preserve"> 2020</w:t>
          </w:r>
        </w:p>
        <w:p w14:paraId="77FCE60C" w14:textId="5BEB2329" w:rsidR="008F1DCF" w:rsidRPr="008F1DCF" w:rsidRDefault="00564F5A" w:rsidP="00564F5A">
          <w:pPr>
            <w:pStyle w:val="02Date"/>
            <w:rPr>
              <w:rFonts w:asciiTheme="majorHAnsi" w:hAnsiTheme="majorHAnsi" w:cstheme="majorHAnsi"/>
            </w:rPr>
          </w:pPr>
          <w:r w:rsidRPr="00564F5A">
            <w:rPr>
              <w:rFonts w:asciiTheme="majorHAnsi" w:hAnsiTheme="majorHAnsi" w:cstheme="majorHAnsi"/>
            </w:rPr>
            <w:t xml:space="preserve">ESMA70-156-2429  </w:t>
          </w:r>
          <w:r w:rsidR="008F1DCF" w:rsidRPr="008F1DCF">
            <w:rPr>
              <w:rFonts w:asciiTheme="majorHAnsi" w:hAnsiTheme="majorHAnsi" w:cstheme="majorHAnsi"/>
            </w:rPr>
            <w:t>-</w:t>
          </w:r>
        </w:p>
      </w:tc>
    </w:tr>
  </w:tbl>
  <w:p w14:paraId="242C7A76" w14:textId="77777777" w:rsidR="008F1DCF" w:rsidRDefault="008F1DCF" w:rsidP="006C5A3D">
    <w:pPr>
      <w:pStyle w:val="Header"/>
      <w:ind w:left="6663"/>
      <w:rPr>
        <w:color w:val="FF0000"/>
        <w:sz w:val="20"/>
      </w:rPr>
    </w:pPr>
  </w:p>
  <w:p w14:paraId="5962D0E4" w14:textId="77777777" w:rsidR="008F1DCF" w:rsidRDefault="008F1DCF">
    <w:pPr>
      <w:pStyle w:val="Header"/>
    </w:pPr>
    <w:r>
      <w:rPr>
        <w:noProof/>
        <w:lang w:val="en-US" w:eastAsia="en-US"/>
      </w:rPr>
      <w:drawing>
        <wp:anchor distT="0" distB="0" distL="114300" distR="114300" simplePos="0" relativeHeight="251660800" behindDoc="0" locked="0" layoutInCell="1" allowOverlap="1" wp14:anchorId="0A2270BF" wp14:editId="664BF4C6">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97A22" w14:textId="77777777" w:rsidR="008F1DCF" w:rsidRDefault="008F1DCF">
    <w:pPr>
      <w:pStyle w:val="Header"/>
    </w:pPr>
  </w:p>
  <w:p w14:paraId="462F1DD4" w14:textId="77777777" w:rsidR="008F1DCF" w:rsidRDefault="008F1DCF">
    <w:pPr>
      <w:pStyle w:val="Header"/>
    </w:pPr>
  </w:p>
  <w:p w14:paraId="18981FB1" w14:textId="77777777" w:rsidR="008F1DCF" w:rsidRDefault="008F1DCF">
    <w:pPr>
      <w:pStyle w:val="Header"/>
    </w:pPr>
    <w:r>
      <w:rPr>
        <w:noProof/>
        <w:lang w:val="en-US" w:eastAsia="en-US"/>
      </w:rPr>
      <w:drawing>
        <wp:anchor distT="0" distB="0" distL="114300" distR="114300" simplePos="0" relativeHeight="251661824" behindDoc="0" locked="0" layoutInCell="1" allowOverlap="1" wp14:anchorId="0AFA4246" wp14:editId="3DCD31F3">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6EC4" w14:textId="5E62980F" w:rsidR="00E36813" w:rsidRDefault="00E36813" w:rsidP="00B50534">
    <w:pPr>
      <w:pStyle w:val="Header"/>
      <w:jc w:val="right"/>
      <w:rPr>
        <w:b/>
        <w:color w:val="FF0000"/>
      </w:rPr>
    </w:pPr>
    <w:r w:rsidRPr="008D5F86">
      <w:rPr>
        <w:rFonts w:ascii="Arial" w:hAnsi="Arial" w:cs="Arial"/>
        <w:noProof/>
        <w:lang w:val="en-US" w:eastAsia="en-US"/>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E879DF"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en-US" w:eastAsia="en-US"/>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fr-FR" w:vendorID="64" w:dllVersion="6" w:nlCheck="1" w:checkStyle="0"/>
  <w:activeWritingStyle w:appName="MSWord" w:lang="en-GB" w:vendorID="64" w:dllVersion="131078" w:nlCheck="1" w:checkStyle="1"/>
  <w:proofState w:spelling="clean" w:grammar="clean"/>
  <w:attachedTemplate r:id="rId1"/>
  <w:documentProtection w:edit="readOnly" w:enforcement="1" w:cryptProviderType="rsaAES" w:cryptAlgorithmClass="hash" w:cryptAlgorithmType="typeAny" w:cryptAlgorithmSid="14" w:cryptSpinCount="100000" w:hash="dKEpmO5ojvRrbnas8+vZm3cLI80opMrZ1SKh4CCRnFno/in661YN46heyBLHSu/f0pbc96IBLxVA6U915RGNxQ==" w:salt="2wbdAoQ2PpXyRoiX9SSqeA=="/>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17B1"/>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1DB"/>
    <w:rsid w:val="00100ADC"/>
    <w:rsid w:val="0010429A"/>
    <w:rsid w:val="00105424"/>
    <w:rsid w:val="001075EC"/>
    <w:rsid w:val="0010762E"/>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1AE9"/>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271C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118A"/>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490D"/>
    <w:rsid w:val="004759EB"/>
    <w:rsid w:val="00477919"/>
    <w:rsid w:val="00482611"/>
    <w:rsid w:val="00482A27"/>
    <w:rsid w:val="00487DCE"/>
    <w:rsid w:val="004950B7"/>
    <w:rsid w:val="00497FEA"/>
    <w:rsid w:val="004B07B2"/>
    <w:rsid w:val="004B0955"/>
    <w:rsid w:val="004B1842"/>
    <w:rsid w:val="004B25D0"/>
    <w:rsid w:val="004B3553"/>
    <w:rsid w:val="004B5E92"/>
    <w:rsid w:val="004B6C3B"/>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4DFA"/>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4F5A"/>
    <w:rsid w:val="00565193"/>
    <w:rsid w:val="0057042F"/>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22BF"/>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DCF"/>
    <w:rsid w:val="008F3386"/>
    <w:rsid w:val="008F3AD9"/>
    <w:rsid w:val="008F4642"/>
    <w:rsid w:val="008F4E00"/>
    <w:rsid w:val="008F761D"/>
    <w:rsid w:val="00900D44"/>
    <w:rsid w:val="00902520"/>
    <w:rsid w:val="00906DC4"/>
    <w:rsid w:val="0091457F"/>
    <w:rsid w:val="0091729E"/>
    <w:rsid w:val="0092316F"/>
    <w:rsid w:val="0093261E"/>
    <w:rsid w:val="0094008E"/>
    <w:rsid w:val="00941C0C"/>
    <w:rsid w:val="009437F2"/>
    <w:rsid w:val="0094528B"/>
    <w:rsid w:val="009570BC"/>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6424"/>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379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31B"/>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6622"/>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33E9"/>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2DF2"/>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35BB"/>
    <w:rsid w:val="00F2522F"/>
    <w:rsid w:val="00F30180"/>
    <w:rsid w:val="00F31A29"/>
    <w:rsid w:val="00F3279A"/>
    <w:rsid w:val="00F36188"/>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4F52"/>
    <w:rsid w:val="00FC589E"/>
    <w:rsid w:val="00FC6733"/>
    <w:rsid w:val="00FD2677"/>
    <w:rsid w:val="00FD28B8"/>
    <w:rsid w:val="00FE0BD8"/>
    <w:rsid w:val="00FE1709"/>
    <w:rsid w:val="00FE1FC9"/>
    <w:rsid w:val="00FE32B7"/>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ESMA70-156-2429</_dlc_DocId>
    <TaxCatchAll xmlns="20fbe147-bbda-4e53-b6b1-7e8bbff3fe19">
      <Value>622</Value>
      <Value>5</Value>
      <Value>302</Value>
      <Value>14</Value>
    </TaxCatchAll>
    <_dlc_DocIdUrl xmlns="20fbe147-bbda-4e53-b6b1-7e8bbff3fe19">
      <Url>https://sherpa.esma.europa.eu/sites/MKT/SMK/_layouts/15/DocIdRedir.aspx?ID=ESMA70-156-2429</Url>
      <Description>ESMA70-156-2429</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Benchmarks</TermName>
          <TermId xmlns="http://schemas.microsoft.com/office/infopath/2007/PartnerControls">7cc2c198-85e3-46a0-a7c0-e121763e5585</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eed0a0b2ea6941718a34434e243f3d8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2E5616C7-ED82-4658-922A-008F228FD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7F5EE-E87B-49CE-96B5-F95CE63A0DF2}">
  <ds:schemaRefs>
    <ds:schemaRef ds:uri="http://purl.org/dc/terms/"/>
    <ds:schemaRef ds:uri="20fbe147-bbda-4e53-b6b1-7e8bbff3fe1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schemas.microsoft.com/sharepoint/v4"/>
    <ds:schemaRef ds:uri="http://www.w3.org/XML/1998/namespace"/>
    <ds:schemaRef ds:uri="http://purl.org/dc/dcmitype/"/>
  </ds:schemaRefs>
</ds:datastoreItem>
</file>

<file path=customXml/itemProps5.xml><?xml version="1.0" encoding="utf-8"?>
<ds:datastoreItem xmlns:ds="http://schemas.openxmlformats.org/officeDocument/2006/customXml" ds:itemID="{9162FAA4-9332-4CA6-8ED1-BBD046BBE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24</TotalTime>
  <Pages>7</Pages>
  <Words>1820</Words>
  <Characters>10375</Characters>
  <Application>Microsoft Office Word</Application>
  <DocSecurity>8</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Elina Yrgård</cp:lastModifiedBy>
  <cp:revision>5</cp:revision>
  <cp:lastPrinted>2017-07-24T14:47:00Z</cp:lastPrinted>
  <dcterms:created xsi:type="dcterms:W3CDTF">2020-06-08T15:30:00Z</dcterms:created>
  <dcterms:modified xsi:type="dcterms:W3CDTF">2020-06-08T16:33:00Z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2b9706bc-33db-4a6d-bc4c-a444f46a84d4</vt:lpwstr>
  </property>
  <property fmtid="{D5CDD505-2E9C-101B-9397-08002B2CF9AE}" pid="6" name="DocumentType">
    <vt:lpwstr>302;#Feedback Statement (includes responses)|00bc750a-87e5-4a0d-9385-52a7c69693e1</vt:lpwstr>
  </property>
  <property fmtid="{D5CDD505-2E9C-101B-9397-08002B2CF9AE}" pid="7" name="Topic">
    <vt:lpwstr>622;#Benchmarks|7cc2c198-85e3-46a0-a7c0-e121763e5585</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
  </property>
</Properties>
</file>