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6D67D4">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6D67D4">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1B67440D" w14:textId="419D0BC1" w:rsidR="00C85C8B" w:rsidRPr="00C85C8B" w:rsidRDefault="000F0754" w:rsidP="00C85C8B">
                <w:pPr>
                  <w:rPr>
                    <w:rFonts w:ascii="Arial" w:hAnsi="Arial" w:cs="Arial"/>
                    <w:color w:val="808080"/>
                    <w:sz w:val="20"/>
                    <w:lang w:eastAsia="de-DE"/>
                  </w:rPr>
                </w:pPr>
                <w:r w:rsidRPr="00CE64E3">
                  <w:rPr>
                    <w:rFonts w:ascii="Arial" w:hAnsi="Arial" w:cs="Arial"/>
                    <w:sz w:val="20"/>
                    <w:lang w:eastAsia="de-DE"/>
                  </w:rPr>
                  <w:t>MSCI Limited</w:t>
                </w:r>
              </w:p>
            </w:tc>
          </w:sdtContent>
        </w:sdt>
      </w:tr>
      <w:tr w:rsidR="00C85C8B" w:rsidRPr="00C85C8B" w14:paraId="216F3E57" w14:textId="77777777" w:rsidTr="006D67D4">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ACFF7F9" w:rsidR="00C85C8B" w:rsidRPr="00C85C8B" w:rsidRDefault="002C0FF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B2121">
                  <w:rPr>
                    <w:rFonts w:ascii="Arial" w:hAnsi="Arial" w:cs="Arial"/>
                    <w:sz w:val="20"/>
                    <w:lang w:eastAsia="de-DE"/>
                  </w:rPr>
                  <w:t>Other Financial service providers</w:t>
                </w:r>
              </w:sdtContent>
            </w:sdt>
          </w:p>
        </w:tc>
      </w:tr>
      <w:tr w:rsidR="00C85C8B" w:rsidRPr="00C85C8B" w14:paraId="0D216581" w14:textId="77777777" w:rsidTr="006D67D4">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6D67D4">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859DBD6" w:rsidR="00C85C8B" w:rsidRPr="00C85C8B" w:rsidRDefault="005B2121"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3C80C9C" w14:textId="55A33801" w:rsidR="00CE64E3" w:rsidRPr="00014299" w:rsidRDefault="00CE64E3" w:rsidP="00926E1B">
      <w:pPr>
        <w:pStyle w:val="AboutMSCIBody"/>
        <w:rPr>
          <w:rFonts w:asciiTheme="majorHAnsi" w:hAnsiTheme="majorHAnsi" w:cstheme="majorHAnsi"/>
          <w:sz w:val="24"/>
          <w:szCs w:val="24"/>
        </w:rPr>
      </w:pPr>
      <w:permStart w:id="885457707" w:edGrp="everyone"/>
      <w:r w:rsidRPr="00014299">
        <w:rPr>
          <w:rFonts w:asciiTheme="majorHAnsi" w:hAnsiTheme="majorHAnsi" w:cstheme="majorHAnsi"/>
          <w:sz w:val="24"/>
          <w:szCs w:val="24"/>
        </w:rPr>
        <w:t>MSCI appreciates the opportunity to comment on this consultation.</w:t>
      </w:r>
    </w:p>
    <w:p w14:paraId="5B270FC5" w14:textId="74C20F0B" w:rsidR="00BE22A4" w:rsidRPr="00014299" w:rsidRDefault="00BE22A4" w:rsidP="00926E1B">
      <w:pPr>
        <w:pStyle w:val="AboutMSCIBody"/>
        <w:rPr>
          <w:rFonts w:asciiTheme="majorHAnsi" w:eastAsiaTheme="minorEastAsia" w:hAnsiTheme="majorHAnsi" w:cstheme="majorHAnsi"/>
          <w:noProof/>
          <w:sz w:val="24"/>
          <w:szCs w:val="24"/>
        </w:rPr>
      </w:pPr>
      <w:r w:rsidRPr="00014299">
        <w:rPr>
          <w:rFonts w:asciiTheme="majorHAnsi" w:eastAsiaTheme="minorEastAsia" w:hAnsiTheme="majorHAnsi" w:cstheme="majorHAnsi"/>
          <w:noProof/>
          <w:sz w:val="24"/>
          <w:szCs w:val="24"/>
        </w:rPr>
        <w:t xml:space="preserve">MSCI is a leading provider of investment decision support tools to institutional investors globally, including asset managers, banks, hedge funds and pension funds. MSCI products and services include indexes, ESG research and tools, and portfolio risk and performance analytics. MSCI is headquartered in New York, with research and commercial offices around the world. </w:t>
      </w:r>
    </w:p>
    <w:p w14:paraId="224ED71D" w14:textId="77777777" w:rsidR="001463FC" w:rsidRPr="00014299" w:rsidRDefault="001463FC" w:rsidP="00926E1B">
      <w:pPr>
        <w:ind w:right="4"/>
        <w:jc w:val="both"/>
        <w:rPr>
          <w:rFonts w:asciiTheme="majorHAnsi" w:hAnsiTheme="majorHAnsi" w:cstheme="majorHAnsi"/>
          <w:noProof/>
          <w:highlight w:val="yellow"/>
        </w:rPr>
      </w:pPr>
    </w:p>
    <w:p w14:paraId="459F3326" w14:textId="66EAB74C" w:rsidR="001463FC" w:rsidRPr="00014299" w:rsidRDefault="001463FC" w:rsidP="00926E1B">
      <w:pPr>
        <w:ind w:right="4"/>
        <w:jc w:val="both"/>
        <w:rPr>
          <w:rFonts w:asciiTheme="majorHAnsi" w:hAnsiTheme="majorHAnsi" w:cstheme="majorHAnsi"/>
          <w:noProof/>
        </w:rPr>
      </w:pPr>
      <w:r w:rsidRPr="00014299">
        <w:rPr>
          <w:rFonts w:asciiTheme="majorHAnsi" w:hAnsiTheme="majorHAnsi" w:cstheme="majorHAnsi"/>
          <w:noProof/>
        </w:rPr>
        <w:t xml:space="preserve">MSCI’s flagship equity indexes include the MSCI Global Equity Indexes and MSCI as been calculating indexes for more than </w:t>
      </w:r>
      <w:r w:rsidR="002C0FFD">
        <w:rPr>
          <w:rFonts w:asciiTheme="majorHAnsi" w:hAnsiTheme="majorHAnsi" w:cstheme="majorHAnsi"/>
          <w:noProof/>
        </w:rPr>
        <w:t>45</w:t>
      </w:r>
      <w:bookmarkStart w:id="1" w:name="_GoBack"/>
      <w:bookmarkEnd w:id="1"/>
      <w:r w:rsidRPr="00014299">
        <w:rPr>
          <w:rFonts w:asciiTheme="majorHAnsi" w:hAnsiTheme="majorHAnsi" w:cstheme="majorHAnsi"/>
          <w:noProof/>
        </w:rPr>
        <w:t xml:space="preserve"> years.  MSCI Global Equity Index categories include country and regional indexes, size indexes (large cap, small cap, and micro-cap), sector indexes, style (value/growth) indexes, strategy indexes, thematic indexes</w:t>
      </w:r>
      <w:r w:rsidRPr="00014299" w:rsidDel="00DC534F">
        <w:rPr>
          <w:rFonts w:asciiTheme="majorHAnsi" w:hAnsiTheme="majorHAnsi" w:cstheme="majorHAnsi"/>
          <w:noProof/>
        </w:rPr>
        <w:t xml:space="preserve"> </w:t>
      </w:r>
      <w:r w:rsidRPr="00014299">
        <w:rPr>
          <w:rFonts w:asciiTheme="majorHAnsi" w:hAnsiTheme="majorHAnsi" w:cstheme="majorHAnsi"/>
          <w:noProof/>
        </w:rPr>
        <w:t>and ESG indexes. MSCI also calculates custom indexes at the request of clients, by applying client screens and constraints to MSCI Global Equity Indexes.</w:t>
      </w:r>
    </w:p>
    <w:p w14:paraId="077A1AD1" w14:textId="77777777" w:rsidR="001463FC" w:rsidRPr="00014299" w:rsidRDefault="001463FC" w:rsidP="00926E1B">
      <w:pPr>
        <w:ind w:right="4"/>
        <w:jc w:val="both"/>
        <w:rPr>
          <w:rFonts w:asciiTheme="majorHAnsi" w:hAnsiTheme="majorHAnsi" w:cstheme="majorHAnsi"/>
          <w:noProof/>
        </w:rPr>
      </w:pPr>
    </w:p>
    <w:p w14:paraId="72636784" w14:textId="77777777" w:rsidR="001463FC" w:rsidRPr="00014299" w:rsidRDefault="001463FC" w:rsidP="00926E1B">
      <w:pPr>
        <w:ind w:right="4"/>
        <w:jc w:val="both"/>
        <w:rPr>
          <w:rFonts w:asciiTheme="majorHAnsi" w:hAnsiTheme="majorHAnsi" w:cstheme="majorHAnsi"/>
          <w:noProof/>
        </w:rPr>
      </w:pPr>
      <w:r w:rsidRPr="00014299">
        <w:rPr>
          <w:rFonts w:asciiTheme="majorHAnsi" w:hAnsiTheme="majorHAnsi" w:cstheme="majorHAnsi"/>
          <w:noProof/>
        </w:rPr>
        <w:t>MSCI Global Equity Indexes</w:t>
      </w:r>
      <w:r w:rsidRPr="00014299" w:rsidDel="00DC534F">
        <w:rPr>
          <w:rFonts w:asciiTheme="majorHAnsi" w:hAnsiTheme="majorHAnsi" w:cstheme="majorHAnsi"/>
          <w:noProof/>
        </w:rPr>
        <w:t xml:space="preserve"> </w:t>
      </w:r>
      <w:r w:rsidRPr="00014299">
        <w:rPr>
          <w:rFonts w:asciiTheme="majorHAnsi" w:hAnsiTheme="majorHAnsi" w:cstheme="majorHAnsi"/>
          <w:noProof/>
        </w:rPr>
        <w:t>are used worldwide by:</w:t>
      </w:r>
    </w:p>
    <w:p w14:paraId="6A871781" w14:textId="77777777" w:rsidR="001463FC" w:rsidRPr="00014299" w:rsidRDefault="001463FC" w:rsidP="004D4928">
      <w:pPr>
        <w:pStyle w:val="ListParagraph"/>
        <w:numPr>
          <w:ilvl w:val="0"/>
          <w:numId w:val="18"/>
        </w:numPr>
        <w:rPr>
          <w:noProof/>
        </w:rPr>
      </w:pPr>
      <w:r w:rsidRPr="00014299">
        <w:rPr>
          <w:noProof/>
        </w:rPr>
        <w:t xml:space="preserve">assets owners to help them with their mandate decisions and with reviewing their managers’ performance; </w:t>
      </w:r>
    </w:p>
    <w:p w14:paraId="5B9DA713" w14:textId="77777777" w:rsidR="001463FC" w:rsidRPr="00014299" w:rsidRDefault="001463FC" w:rsidP="004D4928">
      <w:pPr>
        <w:pStyle w:val="ListParagraph"/>
        <w:numPr>
          <w:ilvl w:val="0"/>
          <w:numId w:val="18"/>
        </w:numPr>
        <w:rPr>
          <w:noProof/>
        </w:rPr>
      </w:pPr>
      <w:r w:rsidRPr="00014299">
        <w:rPr>
          <w:noProof/>
        </w:rPr>
        <w:t xml:space="preserve">active asset managers so that they can actively manage their funds against an index and report performance; </w:t>
      </w:r>
    </w:p>
    <w:p w14:paraId="4A1F5D5E" w14:textId="77777777" w:rsidR="001463FC" w:rsidRPr="00014299" w:rsidRDefault="001463FC" w:rsidP="004D4928">
      <w:pPr>
        <w:pStyle w:val="ListParagraph"/>
        <w:numPr>
          <w:ilvl w:val="0"/>
          <w:numId w:val="18"/>
        </w:numPr>
        <w:rPr>
          <w:noProof/>
        </w:rPr>
      </w:pPr>
      <w:r w:rsidRPr="00014299">
        <w:rPr>
          <w:noProof/>
        </w:rPr>
        <w:t xml:space="preserve">passive fund managers to issue passive funds and ETFs based on the indexes; </w:t>
      </w:r>
    </w:p>
    <w:p w14:paraId="304DB458" w14:textId="77777777" w:rsidR="001463FC" w:rsidRPr="00014299" w:rsidRDefault="001463FC" w:rsidP="004D4928">
      <w:pPr>
        <w:pStyle w:val="ListParagraph"/>
        <w:numPr>
          <w:ilvl w:val="0"/>
          <w:numId w:val="18"/>
        </w:numPr>
        <w:rPr>
          <w:noProof/>
        </w:rPr>
      </w:pPr>
      <w:r w:rsidRPr="00014299">
        <w:rPr>
          <w:noProof/>
        </w:rPr>
        <w:t xml:space="preserve">broker dealers for providing trading execution services, creating OTC and non-OTC derivative financial products and writing research more generally; </w:t>
      </w:r>
    </w:p>
    <w:p w14:paraId="300C5B9A" w14:textId="77777777" w:rsidR="001463FC" w:rsidRPr="00014299" w:rsidRDefault="001463FC" w:rsidP="004D4928">
      <w:pPr>
        <w:pStyle w:val="ListParagraph"/>
        <w:numPr>
          <w:ilvl w:val="0"/>
          <w:numId w:val="18"/>
        </w:numPr>
        <w:rPr>
          <w:noProof/>
        </w:rPr>
      </w:pPr>
      <w:r w:rsidRPr="00014299">
        <w:rPr>
          <w:noProof/>
        </w:rPr>
        <w:t>stock exchanges to create equity index linked futures and options contracts;  and</w:t>
      </w:r>
    </w:p>
    <w:p w14:paraId="6522EF4C" w14:textId="77777777" w:rsidR="001463FC" w:rsidRPr="00014299" w:rsidRDefault="001463FC" w:rsidP="004D4928">
      <w:pPr>
        <w:pStyle w:val="ListParagraph"/>
        <w:numPr>
          <w:ilvl w:val="0"/>
          <w:numId w:val="18"/>
        </w:numPr>
        <w:rPr>
          <w:noProof/>
        </w:rPr>
      </w:pPr>
      <w:r w:rsidRPr="00014299">
        <w:rPr>
          <w:noProof/>
        </w:rPr>
        <w:lastRenderedPageBreak/>
        <w:t>CCPs to calculate the risks of its positions for index linked futures and options contracts.</w:t>
      </w:r>
    </w:p>
    <w:p w14:paraId="084313F9" w14:textId="77777777" w:rsidR="001463FC" w:rsidRPr="00014299" w:rsidRDefault="001463FC" w:rsidP="00926E1B">
      <w:pPr>
        <w:ind w:right="4"/>
        <w:jc w:val="both"/>
        <w:rPr>
          <w:rFonts w:asciiTheme="majorHAnsi" w:hAnsiTheme="majorHAnsi" w:cstheme="majorHAnsi"/>
          <w:noProof/>
        </w:rPr>
      </w:pPr>
    </w:p>
    <w:p w14:paraId="1061F760" w14:textId="11114646" w:rsidR="001463FC" w:rsidRPr="00014299" w:rsidRDefault="001463FC" w:rsidP="00926E1B">
      <w:pPr>
        <w:spacing w:after="160" w:line="259" w:lineRule="auto"/>
        <w:jc w:val="both"/>
        <w:rPr>
          <w:rFonts w:asciiTheme="majorHAnsi" w:hAnsiTheme="majorHAnsi" w:cstheme="majorHAnsi"/>
        </w:rPr>
      </w:pPr>
      <w:r w:rsidRPr="00014299">
        <w:rPr>
          <w:rFonts w:asciiTheme="majorHAnsi" w:hAnsiTheme="majorHAnsi" w:cstheme="majorHAnsi"/>
        </w:rPr>
        <w:t xml:space="preserve">During 2013 and 2014, MSCI implemented the IOSCO Principles for Financial Benchmarks, was externally audited during each of 2014, 2015 and 2016 for the MSCI equity indexes and select MSCI private real estate indexes, and posted the adherence statements and audit reports on the Index Regulation page of </w:t>
      </w:r>
      <w:hyperlink r:id="rId24" w:history="1">
        <w:r w:rsidRPr="00014299">
          <w:rPr>
            <w:rStyle w:val="Hyperlink"/>
            <w:rFonts w:asciiTheme="majorHAnsi" w:eastAsiaTheme="majorEastAsia" w:hAnsiTheme="majorHAnsi" w:cstheme="majorHAnsi"/>
            <w:color w:val="auto"/>
          </w:rPr>
          <w:t>www.msci.com</w:t>
        </w:r>
      </w:hyperlink>
      <w:r w:rsidRPr="00014299">
        <w:rPr>
          <w:rFonts w:asciiTheme="majorHAnsi" w:hAnsiTheme="majorHAnsi" w:cstheme="majorHAnsi"/>
        </w:rPr>
        <w:t>. During 2017</w:t>
      </w:r>
      <w:r w:rsidR="00303AC9" w:rsidRPr="00014299">
        <w:rPr>
          <w:rFonts w:asciiTheme="majorHAnsi" w:hAnsiTheme="majorHAnsi" w:cstheme="majorHAnsi"/>
        </w:rPr>
        <w:t xml:space="preserve">, </w:t>
      </w:r>
      <w:r w:rsidRPr="00014299">
        <w:rPr>
          <w:rFonts w:asciiTheme="majorHAnsi" w:hAnsiTheme="majorHAnsi" w:cstheme="majorHAnsi"/>
        </w:rPr>
        <w:t>2018</w:t>
      </w:r>
      <w:r w:rsidR="00303AC9" w:rsidRPr="00014299">
        <w:rPr>
          <w:rFonts w:asciiTheme="majorHAnsi" w:hAnsiTheme="majorHAnsi" w:cstheme="majorHAnsi"/>
        </w:rPr>
        <w:t xml:space="preserve"> and 2019</w:t>
      </w:r>
      <w:r w:rsidRPr="00014299">
        <w:rPr>
          <w:rFonts w:asciiTheme="majorHAnsi" w:hAnsiTheme="majorHAnsi" w:cstheme="majorHAnsi"/>
        </w:rPr>
        <w:t>, MSCI devoted those resources to implementing the BMR</w:t>
      </w:r>
      <w:r w:rsidR="00253034" w:rsidRPr="00014299">
        <w:rPr>
          <w:rFonts w:asciiTheme="majorHAnsi" w:hAnsiTheme="majorHAnsi" w:cstheme="majorHAnsi"/>
        </w:rPr>
        <w:t xml:space="preserve"> across its benchmark families</w:t>
      </w:r>
      <w:r w:rsidRPr="00014299">
        <w:rPr>
          <w:rFonts w:asciiTheme="majorHAnsi" w:hAnsiTheme="majorHAnsi" w:cstheme="majorHAnsi"/>
        </w:rPr>
        <w:t xml:space="preserve">, and </w:t>
      </w:r>
      <w:r w:rsidR="00D4735B" w:rsidRPr="00014299">
        <w:rPr>
          <w:rFonts w:asciiTheme="majorHAnsi" w:hAnsiTheme="majorHAnsi" w:cstheme="majorHAnsi"/>
        </w:rPr>
        <w:t>continued to post</w:t>
      </w:r>
      <w:r w:rsidRPr="00014299">
        <w:rPr>
          <w:rFonts w:asciiTheme="majorHAnsi" w:hAnsiTheme="majorHAnsi" w:cstheme="majorHAnsi"/>
        </w:rPr>
        <w:t xml:space="preserve"> IOSCO adherence statements on the Index Regulation page of </w:t>
      </w:r>
      <w:hyperlink r:id="rId25" w:history="1">
        <w:r w:rsidRPr="00014299">
          <w:rPr>
            <w:rStyle w:val="Hyperlink"/>
            <w:rFonts w:asciiTheme="majorHAnsi" w:eastAsiaTheme="majorEastAsia" w:hAnsiTheme="majorHAnsi" w:cstheme="majorHAnsi"/>
            <w:color w:val="auto"/>
          </w:rPr>
          <w:t>www.msci.com</w:t>
        </w:r>
      </w:hyperlink>
      <w:r w:rsidRPr="00014299">
        <w:rPr>
          <w:rFonts w:asciiTheme="majorHAnsi" w:hAnsiTheme="majorHAnsi" w:cstheme="majorHAnsi"/>
        </w:rPr>
        <w:t>.</w:t>
      </w:r>
    </w:p>
    <w:p w14:paraId="195BCF08" w14:textId="290F7BC6" w:rsidR="001463FC" w:rsidRPr="00014299" w:rsidRDefault="001463FC" w:rsidP="00926E1B">
      <w:pPr>
        <w:spacing w:after="160" w:line="259" w:lineRule="auto"/>
        <w:jc w:val="both"/>
        <w:rPr>
          <w:rFonts w:asciiTheme="majorHAnsi" w:hAnsiTheme="majorHAnsi" w:cstheme="majorHAnsi"/>
        </w:rPr>
      </w:pPr>
      <w:r w:rsidRPr="00014299">
        <w:rPr>
          <w:rFonts w:asciiTheme="majorHAnsi" w:hAnsiTheme="majorHAnsi" w:cstheme="majorHAnsi"/>
        </w:rPr>
        <w:t xml:space="preserve">On 5 March 2018, MSCI Limited, which is a UK subsidiary of MSCI Inc., was granted authorization by the UK FCA as a UK administrator under the BMR for the MSCI equity </w:t>
      </w:r>
      <w:r w:rsidR="00985356" w:rsidRPr="00014299">
        <w:rPr>
          <w:rFonts w:asciiTheme="majorHAnsi" w:hAnsiTheme="majorHAnsi" w:cstheme="majorHAnsi"/>
        </w:rPr>
        <w:t xml:space="preserve">and blended </w:t>
      </w:r>
      <w:r w:rsidRPr="00014299">
        <w:rPr>
          <w:rFonts w:asciiTheme="majorHAnsi" w:hAnsiTheme="majorHAnsi" w:cstheme="majorHAnsi"/>
        </w:rPr>
        <w:t xml:space="preserve">indexes. MSCI was the first major global equity index provider to become authorized under the BMR. </w:t>
      </w:r>
      <w:r w:rsidRPr="00014299">
        <w:rPr>
          <w:rFonts w:asciiTheme="majorHAnsi" w:hAnsiTheme="majorHAnsi" w:cstheme="majorHAnsi"/>
          <w:shd w:val="clear" w:color="auto" w:fill="FFFFFF"/>
        </w:rPr>
        <w:t>On 13 June 2019, MSCI notified the FCA in relation to specific UK MSCI Private Real Estate Indexes used as regulated benchmarks under the BMR. On 16 December 2019, MSCI notified the FCA in relation to the MSCI fixed income indexes.</w:t>
      </w:r>
    </w:p>
    <w:permEnd w:id="885457707"/>
    <w:p w14:paraId="15D00E65" w14:textId="44C0535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03A024D8" w14:textId="50D8E254" w:rsidR="0010762E" w:rsidRDefault="009A3DA2" w:rsidP="00014299">
      <w:pPr>
        <w:jc w:val="both"/>
        <w:rPr>
          <w:rFonts w:ascii="Arial" w:hAnsi="Arial" w:cs="Arial"/>
        </w:rPr>
      </w:pPr>
      <w:permStart w:id="1927807478" w:edGrp="everyone"/>
      <w:r>
        <w:rPr>
          <w:rFonts w:ascii="Arial" w:hAnsi="Arial" w:cs="Arial"/>
        </w:rPr>
        <w:t xml:space="preserve">Any outsourcing </w:t>
      </w:r>
      <w:proofErr w:type="spellStart"/>
      <w:r>
        <w:rPr>
          <w:rFonts w:ascii="Arial" w:hAnsi="Arial" w:cs="Arial"/>
        </w:rPr>
        <w:t>arrangments</w:t>
      </w:r>
      <w:proofErr w:type="spellEnd"/>
      <w:r>
        <w:rPr>
          <w:rFonts w:ascii="Arial" w:hAnsi="Arial" w:cs="Arial"/>
        </w:rPr>
        <w:t xml:space="preserve"> in the RTS should only cover shared services regarding benchmark administration and </w:t>
      </w:r>
      <w:proofErr w:type="spellStart"/>
      <w:r>
        <w:rPr>
          <w:rFonts w:ascii="Arial" w:hAnsi="Arial" w:cs="Arial"/>
        </w:rPr>
        <w:t>not</w:t>
      </w:r>
      <w:proofErr w:type="spellEnd"/>
      <w:r>
        <w:rPr>
          <w:rFonts w:ascii="Arial" w:hAnsi="Arial" w:cs="Arial"/>
        </w:rPr>
        <w:t xml:space="preserve"> other non-BMR related functions as that is outside the scope of the BMR</w:t>
      </w:r>
      <w:r w:rsidR="00146E0D">
        <w:rPr>
          <w:rFonts w:ascii="Arial" w:hAnsi="Arial" w:cs="Arial"/>
        </w:rPr>
        <w:t>.</w:t>
      </w: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22C30C3B" w14:textId="3386A481" w:rsidR="0010762E" w:rsidRDefault="000419EB" w:rsidP="001C2155">
      <w:pPr>
        <w:jc w:val="both"/>
        <w:rPr>
          <w:rFonts w:ascii="Arial" w:hAnsi="Arial" w:cs="Arial"/>
        </w:rPr>
      </w:pPr>
      <w:permStart w:id="1601636180" w:edGrp="everyone"/>
      <w:r>
        <w:rPr>
          <w:rFonts w:ascii="Arial" w:hAnsi="Arial" w:cs="Arial"/>
        </w:rPr>
        <w:t>The BMR already has extensive requirements around disclosing and mitigating conflicts of interes</w:t>
      </w:r>
      <w:r w:rsidR="00CA44A3">
        <w:rPr>
          <w:rFonts w:ascii="Arial" w:hAnsi="Arial" w:cs="Arial"/>
        </w:rPr>
        <w:t>t</w:t>
      </w:r>
      <w:r w:rsidR="005D158F">
        <w:rPr>
          <w:rFonts w:ascii="Arial" w:hAnsi="Arial" w:cs="Arial"/>
        </w:rPr>
        <w:t>, so clauses around remuneration are unnecessary. Further, t</w:t>
      </w:r>
      <w:r w:rsidR="00813696">
        <w:rPr>
          <w:rFonts w:ascii="Arial" w:hAnsi="Arial" w:cs="Arial"/>
        </w:rPr>
        <w:t xml:space="preserve">he </w:t>
      </w:r>
      <w:r w:rsidR="00934AD6">
        <w:rPr>
          <w:rFonts w:ascii="Arial" w:hAnsi="Arial" w:cs="Arial"/>
        </w:rPr>
        <w:t>prop</w:t>
      </w:r>
      <w:r w:rsidR="00EB7C7A">
        <w:rPr>
          <w:rFonts w:ascii="Arial" w:hAnsi="Arial" w:cs="Arial"/>
        </w:rPr>
        <w:t>o</w:t>
      </w:r>
      <w:r w:rsidR="00934AD6">
        <w:rPr>
          <w:rFonts w:ascii="Arial" w:hAnsi="Arial" w:cs="Arial"/>
        </w:rPr>
        <w:t xml:space="preserve">sed </w:t>
      </w:r>
      <w:r w:rsidR="00813696">
        <w:rPr>
          <w:rFonts w:ascii="Arial" w:hAnsi="Arial" w:cs="Arial"/>
        </w:rPr>
        <w:t>RTS</w:t>
      </w:r>
      <w:r w:rsidR="00FC7BFB">
        <w:rPr>
          <w:rFonts w:ascii="Arial" w:hAnsi="Arial" w:cs="Arial"/>
        </w:rPr>
        <w:t xml:space="preserve">’ overly broad scope in terms of “appropriately setting” the levels of individual remunerate is certainly </w:t>
      </w:r>
      <w:r w:rsidR="00813696">
        <w:rPr>
          <w:rFonts w:ascii="Arial" w:hAnsi="Arial" w:cs="Arial"/>
        </w:rPr>
        <w:t>beyond the scope of the BMR.</w:t>
      </w:r>
      <w:r w:rsidR="00FC7BFB">
        <w:rPr>
          <w:rFonts w:ascii="Arial" w:hAnsi="Arial" w:cs="Arial"/>
        </w:rPr>
        <w:t xml:space="preserve"> The</w:t>
      </w:r>
      <w:r w:rsidR="00813696">
        <w:rPr>
          <w:rFonts w:ascii="Arial" w:hAnsi="Arial" w:cs="Arial"/>
        </w:rPr>
        <w:t xml:space="preserve"> </w:t>
      </w:r>
      <w:r w:rsidR="00FC7BFB">
        <w:rPr>
          <w:rFonts w:ascii="Arial" w:hAnsi="Arial" w:cs="Arial"/>
        </w:rPr>
        <w:t>IOSCO Principles for Financial Benchmark</w:t>
      </w:r>
      <w:r w:rsidR="00DF6D25">
        <w:rPr>
          <w:rFonts w:ascii="Arial" w:hAnsi="Arial" w:cs="Arial"/>
        </w:rPr>
        <w:t>s</w:t>
      </w:r>
      <w:r w:rsidR="00FC7BFB">
        <w:rPr>
          <w:rFonts w:ascii="Arial" w:hAnsi="Arial" w:cs="Arial"/>
        </w:rPr>
        <w:t xml:space="preserve"> fo</w:t>
      </w:r>
      <w:r w:rsidR="00EA5B5E">
        <w:rPr>
          <w:rFonts w:ascii="Arial" w:hAnsi="Arial" w:cs="Arial"/>
        </w:rPr>
        <w:t xml:space="preserve">cused on </w:t>
      </w:r>
      <w:r w:rsidR="00A90A15">
        <w:rPr>
          <w:rFonts w:ascii="Arial" w:hAnsi="Arial" w:cs="Arial"/>
        </w:rPr>
        <w:t>remuneration policies</w:t>
      </w:r>
      <w:r w:rsidR="00C74A26">
        <w:rPr>
          <w:rFonts w:ascii="Arial" w:hAnsi="Arial" w:cs="Arial"/>
        </w:rPr>
        <w:t xml:space="preserve"> </w:t>
      </w:r>
      <w:r w:rsidR="00DF6D25">
        <w:rPr>
          <w:rFonts w:ascii="Arial" w:hAnsi="Arial" w:cs="Arial"/>
        </w:rPr>
        <w:t>of</w:t>
      </w:r>
      <w:r w:rsidR="00050F92">
        <w:rPr>
          <w:rFonts w:ascii="Arial" w:hAnsi="Arial" w:cs="Arial"/>
        </w:rPr>
        <w:t xml:space="preserve"> staff involved in benchmark determination</w:t>
      </w:r>
      <w:r w:rsidR="00D437A4">
        <w:rPr>
          <w:rFonts w:ascii="Arial" w:hAnsi="Arial" w:cs="Arial"/>
        </w:rPr>
        <w:t xml:space="preserve"> not being “rewarded or</w:t>
      </w:r>
      <w:r w:rsidR="00B96BA9">
        <w:rPr>
          <w:rFonts w:ascii="Arial" w:hAnsi="Arial" w:cs="Arial"/>
        </w:rPr>
        <w:t xml:space="preserve"> </w:t>
      </w:r>
      <w:r w:rsidR="00A90A15">
        <w:rPr>
          <w:rFonts w:ascii="Arial" w:hAnsi="Arial" w:cs="Arial"/>
        </w:rPr>
        <w:t>incentiv</w:t>
      </w:r>
      <w:r w:rsidR="0064043C">
        <w:rPr>
          <w:rFonts w:ascii="Arial" w:hAnsi="Arial" w:cs="Arial"/>
        </w:rPr>
        <w:t>i</w:t>
      </w:r>
      <w:r w:rsidR="00C74A26">
        <w:rPr>
          <w:rFonts w:ascii="Arial" w:hAnsi="Arial" w:cs="Arial"/>
        </w:rPr>
        <w:t>ze</w:t>
      </w:r>
      <w:r w:rsidR="00277DDE">
        <w:rPr>
          <w:rFonts w:ascii="Arial" w:hAnsi="Arial" w:cs="Arial"/>
        </w:rPr>
        <w:t>d by the level</w:t>
      </w:r>
      <w:r w:rsidR="00A31BC8">
        <w:rPr>
          <w:rFonts w:ascii="Arial" w:hAnsi="Arial" w:cs="Arial"/>
        </w:rPr>
        <w:t>s</w:t>
      </w:r>
      <w:r w:rsidR="00277DDE">
        <w:rPr>
          <w:rFonts w:ascii="Arial" w:hAnsi="Arial" w:cs="Arial"/>
        </w:rPr>
        <w:t xml:space="preserve"> of the Benchmark”</w:t>
      </w:r>
      <w:r w:rsidR="00A90A15">
        <w:rPr>
          <w:rFonts w:ascii="Arial" w:hAnsi="Arial" w:cs="Arial"/>
        </w:rPr>
        <w:t>.</w:t>
      </w:r>
      <w:r w:rsidR="008A589D">
        <w:rPr>
          <w:rFonts w:ascii="Arial" w:hAnsi="Arial" w:cs="Arial"/>
        </w:rPr>
        <w:t xml:space="preserve"> </w:t>
      </w:r>
      <w:r w:rsidR="002E540A">
        <w:rPr>
          <w:rFonts w:ascii="Arial" w:hAnsi="Arial" w:cs="Arial"/>
        </w:rPr>
        <w:t>Thus, a</w:t>
      </w:r>
      <w:r w:rsidR="00FC7BFB">
        <w:rPr>
          <w:rFonts w:ascii="Arial" w:hAnsi="Arial" w:cs="Arial"/>
        </w:rPr>
        <w:t xml:space="preserve">ny requirements around remuneration should </w:t>
      </w:r>
      <w:r w:rsidR="00770BE9">
        <w:rPr>
          <w:rFonts w:ascii="Arial" w:hAnsi="Arial" w:cs="Arial"/>
        </w:rPr>
        <w:t xml:space="preserve">only </w:t>
      </w:r>
      <w:r w:rsidR="00FC7BFB">
        <w:rPr>
          <w:rFonts w:ascii="Arial" w:hAnsi="Arial" w:cs="Arial"/>
        </w:rPr>
        <w:t>apply to</w:t>
      </w:r>
      <w:r w:rsidR="00770BE9">
        <w:rPr>
          <w:rFonts w:ascii="Arial" w:hAnsi="Arial" w:cs="Arial"/>
        </w:rPr>
        <w:t xml:space="preserve"> benchmarks</w:t>
      </w:r>
      <w:r w:rsidR="00FC7BFB">
        <w:rPr>
          <w:rFonts w:ascii="Arial" w:hAnsi="Arial" w:cs="Arial"/>
        </w:rPr>
        <w:t xml:space="preserve"> where the risk of manipulation is significant, and in those situations,</w:t>
      </w:r>
      <w:r w:rsidR="00B96BA9">
        <w:rPr>
          <w:rFonts w:ascii="Arial" w:hAnsi="Arial" w:cs="Arial"/>
        </w:rPr>
        <w:t xml:space="preserve"> the global standard </w:t>
      </w:r>
      <w:r w:rsidR="00A31BC8">
        <w:rPr>
          <w:rFonts w:ascii="Arial" w:hAnsi="Arial" w:cs="Arial"/>
        </w:rPr>
        <w:t>in the</w:t>
      </w:r>
      <w:r w:rsidR="00B96BA9">
        <w:rPr>
          <w:rFonts w:ascii="Arial" w:hAnsi="Arial" w:cs="Arial"/>
        </w:rPr>
        <w:t xml:space="preserve"> IOSCO</w:t>
      </w:r>
      <w:r w:rsidR="00A31BC8">
        <w:rPr>
          <w:rFonts w:ascii="Arial" w:hAnsi="Arial" w:cs="Arial"/>
        </w:rPr>
        <w:t xml:space="preserve"> Principles</w:t>
      </w:r>
      <w:r w:rsidR="00B96BA9">
        <w:rPr>
          <w:rFonts w:ascii="Arial" w:hAnsi="Arial" w:cs="Arial"/>
        </w:rPr>
        <w:t xml:space="preserve"> should be more closely followed.</w:t>
      </w:r>
    </w:p>
    <w:permEnd w:id="1601636180"/>
    <w:p w14:paraId="2FB8FD04" w14:textId="77777777"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128D0CB2" w14:textId="7D846476" w:rsidR="0010762E" w:rsidRDefault="00AA39CE" w:rsidP="0010762E">
      <w:pPr>
        <w:rPr>
          <w:rFonts w:ascii="Arial" w:hAnsi="Arial" w:cs="Arial"/>
        </w:rPr>
      </w:pPr>
      <w:permStart w:id="36393939" w:edGrp="everyone"/>
      <w:r>
        <w:rPr>
          <w:rFonts w:ascii="Arial" w:hAnsi="Arial" w:cs="Arial"/>
        </w:rPr>
        <w:t>The requirements in</w:t>
      </w:r>
      <w:r w:rsidR="00131FEF">
        <w:rPr>
          <w:rFonts w:ascii="Arial" w:hAnsi="Arial" w:cs="Arial"/>
        </w:rPr>
        <w:t xml:space="preserve"> the</w:t>
      </w:r>
      <w:r>
        <w:rPr>
          <w:rFonts w:ascii="Arial" w:hAnsi="Arial" w:cs="Arial"/>
        </w:rPr>
        <w:t xml:space="preserve"> Level 1 </w:t>
      </w:r>
      <w:r w:rsidR="00131FEF">
        <w:rPr>
          <w:rFonts w:ascii="Arial" w:hAnsi="Arial" w:cs="Arial"/>
        </w:rPr>
        <w:t>text do not require further clarification.</w:t>
      </w:r>
    </w:p>
    <w:permEnd w:id="36393939"/>
    <w:p w14:paraId="482CBC37" w14:textId="77777777"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25869029" w14:textId="365532A3" w:rsidR="00070C08" w:rsidRDefault="00070C08" w:rsidP="00070C08">
      <w:pPr>
        <w:rPr>
          <w:rFonts w:ascii="Arial" w:hAnsi="Arial" w:cs="Arial"/>
        </w:rPr>
      </w:pPr>
      <w:permStart w:id="1891459047" w:edGrp="everyone"/>
      <w:r>
        <w:rPr>
          <w:rFonts w:ascii="Arial" w:hAnsi="Arial" w:cs="Arial"/>
        </w:rPr>
        <w:t>The requirements in the Level 1 text do not require further clarification.</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lastRenderedPageBreak/>
        <w:t>&lt;ESMA_QUESTION_CP_BRTS_6&gt;</w:t>
      </w:r>
    </w:p>
    <w:p w14:paraId="414CC051" w14:textId="4D0ACAD9" w:rsidR="00512E94" w:rsidRPr="00512E94" w:rsidRDefault="00D0004E" w:rsidP="00512E94">
      <w:pPr>
        <w:spacing w:before="100" w:beforeAutospacing="1" w:after="100" w:afterAutospacing="1"/>
        <w:jc w:val="both"/>
        <w:rPr>
          <w:rFonts w:asciiTheme="minorHAnsi" w:hAnsiTheme="minorHAnsi" w:cstheme="minorHAnsi"/>
        </w:rPr>
      </w:pPr>
      <w:permStart w:id="1515997747" w:edGrp="everyone"/>
      <w:r>
        <w:rPr>
          <w:rFonts w:ascii="Arial" w:hAnsi="Arial" w:cs="Arial"/>
        </w:rPr>
        <w:t>No</w:t>
      </w:r>
      <w:r w:rsidRPr="00512E94">
        <w:rPr>
          <w:rFonts w:ascii="Arial" w:hAnsi="Arial" w:cs="Arial"/>
        </w:rPr>
        <w:t xml:space="preserve">. </w:t>
      </w:r>
      <w:r w:rsidR="00512E94" w:rsidRPr="00512E94">
        <w:rPr>
          <w:rFonts w:asciiTheme="minorHAnsi" w:hAnsiTheme="minorHAnsi" w:cstheme="minorHAnsi"/>
        </w:rPr>
        <w:t>As proposed, the additional back</w:t>
      </w:r>
      <w:r w:rsidR="00BF09CA">
        <w:rPr>
          <w:rFonts w:asciiTheme="minorHAnsi" w:hAnsiTheme="minorHAnsi" w:cstheme="minorHAnsi"/>
        </w:rPr>
        <w:t>-</w:t>
      </w:r>
      <w:r w:rsidR="00512E94" w:rsidRPr="00512E94">
        <w:rPr>
          <w:rFonts w:asciiTheme="minorHAnsi" w:hAnsiTheme="minorHAnsi" w:cstheme="minorHAnsi"/>
        </w:rPr>
        <w:t>testing requirements are unclear and disproportionate:</w:t>
      </w:r>
    </w:p>
    <w:p w14:paraId="387AC848" w14:textId="14A6E8FE" w:rsidR="00512E94" w:rsidRPr="00512E94" w:rsidRDefault="00512E94" w:rsidP="004D4928">
      <w:pPr>
        <w:pStyle w:val="ListParagraph"/>
        <w:rPr>
          <w:rFonts w:eastAsiaTheme="minorHAnsi"/>
        </w:rPr>
      </w:pPr>
      <w:r w:rsidRPr="00512E94">
        <w:t>Firstly, the concept of “where appropriate” in the level 1 text should be maintained, as periodic back</w:t>
      </w:r>
      <w:r w:rsidR="001A3E35">
        <w:t>-</w:t>
      </w:r>
      <w:r w:rsidRPr="00512E94">
        <w:t>testing may not be useful or relevant for all types of benchmarks. For example, where transaction</w:t>
      </w:r>
      <w:r w:rsidR="000D7CE9">
        <w:t xml:space="preserve"> input</w:t>
      </w:r>
      <w:r w:rsidRPr="00512E94">
        <w:t xml:space="preserve"> data is used to calculate the benchmark (for example in equity benchmarks)</w:t>
      </w:r>
      <w:r w:rsidRPr="00512E94">
        <w:rPr>
          <w:lang w:val="en-US" w:eastAsia="en-US"/>
        </w:rPr>
        <w:t xml:space="preserve">, creating and running periodic back-testing exercises comparing these to transaction data is irrelevant, </w:t>
      </w:r>
      <w:r w:rsidRPr="00512E94">
        <w:t>as that just appears to only be recalculating the history. It is also operationally burdensome and costly. As such, periodic back</w:t>
      </w:r>
      <w:r w:rsidR="001A3E35">
        <w:t>-</w:t>
      </w:r>
      <w:r w:rsidRPr="00512E94">
        <w:t>tests should only be applied to benchmarks that do not use transaction data or readily available data as input data.</w:t>
      </w:r>
    </w:p>
    <w:p w14:paraId="5962385D" w14:textId="3214C7CA" w:rsidR="00512E94" w:rsidRPr="00512E94" w:rsidRDefault="00512E94" w:rsidP="004D4928">
      <w:pPr>
        <w:pStyle w:val="ListParagraph"/>
      </w:pPr>
      <w:r w:rsidRPr="00512E94">
        <w:t>Secondly, where back</w:t>
      </w:r>
      <w:r w:rsidR="00BF09CA">
        <w:t>-</w:t>
      </w:r>
      <w:r w:rsidRPr="00512E94">
        <w:t>tests are appropriate, it does not follow that all the requirements in the proposed RTS should apply. Tests should only be used if and as appropriate. Setting out a single set of prescriptive requirements directly contravenes the proportionality already provided in the Level 1 text, and even more worrying, applies requirements that do not work</w:t>
      </w:r>
      <w:r w:rsidR="00B11527">
        <w:t xml:space="preserve"> in all cases</w:t>
      </w:r>
      <w:r w:rsidR="00355325">
        <w:t>,</w:t>
      </w:r>
      <w:r w:rsidR="00B11527">
        <w:t xml:space="preserve"> and as a result </w:t>
      </w:r>
      <w:r w:rsidR="00421DBC">
        <w:t>may be</w:t>
      </w:r>
      <w:r w:rsidRPr="00512E94">
        <w:t xml:space="preserve"> anomalous or, in fact, inappropriate</w:t>
      </w:r>
      <w:r w:rsidR="00B11527">
        <w:t>.</w:t>
      </w:r>
      <w:r w:rsidRPr="00512E94">
        <w:t xml:space="preserve"> For example,</w:t>
      </w:r>
    </w:p>
    <w:p w14:paraId="28192932" w14:textId="7134207C" w:rsidR="00512E94" w:rsidRPr="00512E94" w:rsidRDefault="00512E94" w:rsidP="004D4928">
      <w:pPr>
        <w:pStyle w:val="ListParagraph"/>
        <w:numPr>
          <w:ilvl w:val="1"/>
          <w:numId w:val="20"/>
        </w:numPr>
      </w:pPr>
      <w:r w:rsidRPr="00512E94">
        <w:t>Statistical tests to assess the back-testing results (if meant to</w:t>
      </w:r>
      <w:r w:rsidRPr="00512E94">
        <w:rPr>
          <w:lang w:val="en-US"/>
        </w:rPr>
        <w:t xml:space="preserve"> check statistical significance of the results obtained over a historical back-test e.g. index returns, risk etc.) are not appropriate, because it is not and should not be role of the administrator to establish the statistical significance of the performance of a benchmark. </w:t>
      </w:r>
      <w:r w:rsidRPr="00512E94">
        <w:t>(Article 3(2)(c))</w:t>
      </w:r>
    </w:p>
    <w:p w14:paraId="684E1BBC" w14:textId="77777777" w:rsidR="00512E94" w:rsidRPr="00512E94" w:rsidRDefault="00512E94" w:rsidP="004D4928">
      <w:pPr>
        <w:pStyle w:val="ListParagraph"/>
        <w:numPr>
          <w:ilvl w:val="1"/>
          <w:numId w:val="20"/>
        </w:numPr>
      </w:pPr>
      <w:r w:rsidRPr="00512E94">
        <w:t>For the time horizon, w</w:t>
      </w:r>
      <w:proofErr w:type="spellStart"/>
      <w:r w:rsidRPr="00512E94">
        <w:rPr>
          <w:lang w:val="en-US"/>
        </w:rPr>
        <w:t>hile</w:t>
      </w:r>
      <w:proofErr w:type="spellEnd"/>
      <w:r w:rsidRPr="00512E94">
        <w:rPr>
          <w:lang w:val="en-US"/>
        </w:rPr>
        <w:t xml:space="preserve"> it may be prudent to back-test a new index methodology from as far back as possible, the actual time horizon depends upon the availability of data which is influenced by many other factors (regions v/s countries, large caps v/s small caps, index objective etc.). The index methodology could be generic in </w:t>
      </w:r>
      <w:proofErr w:type="gramStart"/>
      <w:r w:rsidRPr="00512E94">
        <w:rPr>
          <w:lang w:val="en-US"/>
        </w:rPr>
        <w:t>nature</w:t>
      </w:r>
      <w:proofErr w:type="gramEnd"/>
      <w:r w:rsidRPr="00512E94">
        <w:rPr>
          <w:lang w:val="en-US"/>
        </w:rPr>
        <w:t xml:space="preserve"> but the actual index history could vary depending upon these factors. </w:t>
      </w:r>
      <w:r w:rsidRPr="00512E94">
        <w:t>(Article 3(2)(b))</w:t>
      </w:r>
    </w:p>
    <w:p w14:paraId="178ADA75" w14:textId="77777777" w:rsidR="00512E94" w:rsidRPr="00512E94" w:rsidRDefault="00512E94" w:rsidP="004D4928">
      <w:pPr>
        <w:pStyle w:val="ListParagraph"/>
        <w:numPr>
          <w:ilvl w:val="1"/>
          <w:numId w:val="20"/>
        </w:numPr>
      </w:pPr>
      <w:r w:rsidRPr="00512E94">
        <w:rPr>
          <w:lang w:val="en-US" w:eastAsia="en-US"/>
        </w:rPr>
        <w:t>Additionally, i</w:t>
      </w:r>
      <w:r w:rsidRPr="00512E94">
        <w:rPr>
          <w:lang w:val="en-US"/>
        </w:rPr>
        <w:t xml:space="preserve">ndex methodology development is an iterative research process that undergoes multi-dimensional analysis. Documenting and minuting </w:t>
      </w:r>
      <w:proofErr w:type="gramStart"/>
      <w:r w:rsidRPr="00512E94">
        <w:rPr>
          <w:lang w:val="en-US"/>
        </w:rPr>
        <w:t>each and every</w:t>
      </w:r>
      <w:proofErr w:type="gramEnd"/>
      <w:r w:rsidRPr="00512E94">
        <w:rPr>
          <w:lang w:val="en-US"/>
        </w:rPr>
        <w:t xml:space="preserve"> test/sample/simulation/step is unnecessary and disproportionate, adding layers of operational burden and cost into the research process. </w:t>
      </w:r>
      <w:r w:rsidRPr="00512E94">
        <w:t>(Article 3(2)(d))</w:t>
      </w:r>
    </w:p>
    <w:p w14:paraId="44EB8834" w14:textId="7CDE8CCB" w:rsidR="00512E94" w:rsidRPr="00512E94" w:rsidRDefault="00512E94" w:rsidP="004D4928">
      <w:pPr>
        <w:pStyle w:val="ListParagraph"/>
        <w:numPr>
          <w:ilvl w:val="1"/>
          <w:numId w:val="20"/>
        </w:numPr>
      </w:pPr>
      <w:r w:rsidRPr="00512E94">
        <w:t>For testing frequency, it may or may not be appropriate to match the frequency of the calculation of the benchmark, and may depend on factors such as, the objective of the index, the type of data, type of asset class and frequency of index calculation and rebalancing. Again, putting single standards of prescriptive rules on testing frequency is problematic, and because of that should be applied proportionally as was already provided for in the Level 1 text. (Article 3(2)(</w:t>
      </w:r>
      <w:r w:rsidR="00490610">
        <w:t>e</w:t>
      </w:r>
      <w:r w:rsidRPr="00512E94">
        <w:t>))</w:t>
      </w:r>
    </w:p>
    <w:p w14:paraId="1AD51A98" w14:textId="539BBEB0" w:rsidR="00512E94" w:rsidRPr="00512E94" w:rsidRDefault="00512E94" w:rsidP="004D4928">
      <w:pPr>
        <w:pStyle w:val="ListParagraph"/>
        <w:rPr>
          <w:lang w:eastAsia="en-US"/>
        </w:rPr>
      </w:pPr>
      <w:r w:rsidRPr="00512E94">
        <w:rPr>
          <w:lang w:val="en-US" w:eastAsia="en-US"/>
        </w:rPr>
        <w:t xml:space="preserve">Further, while realized market stress may be included as part of </w:t>
      </w:r>
      <w:r w:rsidR="008E0205">
        <w:rPr>
          <w:lang w:val="en-US" w:eastAsia="en-US"/>
        </w:rPr>
        <w:t xml:space="preserve">the initial </w:t>
      </w:r>
      <w:r w:rsidR="000D011A">
        <w:rPr>
          <w:lang w:val="en-US" w:eastAsia="en-US"/>
        </w:rPr>
        <w:t xml:space="preserve">and/or </w:t>
      </w:r>
      <w:r w:rsidRPr="00512E94">
        <w:rPr>
          <w:lang w:val="en-US" w:eastAsia="en-US"/>
        </w:rPr>
        <w:t xml:space="preserve">periodic (e.g., annual) methodology reviews, requiring benchmark administrators to </w:t>
      </w:r>
      <w:r w:rsidRPr="00512E94">
        <w:rPr>
          <w:u w:val="single"/>
          <w:lang w:val="en-US" w:eastAsia="en-US"/>
        </w:rPr>
        <w:t>also</w:t>
      </w:r>
      <w:r w:rsidRPr="00512E94">
        <w:rPr>
          <w:lang w:val="en-US" w:eastAsia="en-US"/>
        </w:rPr>
        <w:t xml:space="preserve"> use hypothetical data for unrealized market conditions is not necessarily useful or relevant, and may not even be practical. While applying appropriate reviews makes sense, requiring reviews that are burdensome and not relevant, practical or useful, for the sake of ticking a box, does not make sense and is costly. To address this, MSCI proposes the following modification to the Article 4.1 on methodology to read "</w:t>
      </w:r>
      <w:proofErr w:type="spellStart"/>
      <w:r w:rsidRPr="00512E94">
        <w:rPr>
          <w:lang w:val="en-US" w:eastAsia="en-US"/>
        </w:rPr>
        <w:t>realised</w:t>
      </w:r>
      <w:proofErr w:type="spellEnd"/>
      <w:r w:rsidRPr="00512E94">
        <w:rPr>
          <w:lang w:val="en-US" w:eastAsia="en-US"/>
        </w:rPr>
        <w:t xml:space="preserve"> stressed market conditions and/or </w:t>
      </w:r>
      <w:r w:rsidR="00D4152B">
        <w:rPr>
          <w:lang w:val="en-US" w:eastAsia="en-US"/>
        </w:rPr>
        <w:t xml:space="preserve">relevant </w:t>
      </w:r>
      <w:proofErr w:type="spellStart"/>
      <w:r w:rsidRPr="00512E94">
        <w:rPr>
          <w:lang w:val="en-US" w:eastAsia="en-US"/>
        </w:rPr>
        <w:t>unrealised</w:t>
      </w:r>
      <w:proofErr w:type="spellEnd"/>
      <w:r w:rsidRPr="00512E94">
        <w:rPr>
          <w:lang w:val="en-US" w:eastAsia="en-US"/>
        </w:rPr>
        <w:t xml:space="preserve"> stressed market conditions, as/where appropriate.”</w:t>
      </w:r>
      <w:r w:rsidRPr="00512E94">
        <w:rPr>
          <w:lang w:val="en-US"/>
        </w:rPr>
        <w:t xml:space="preserve"> </w:t>
      </w:r>
      <w:r w:rsidRPr="00512E94">
        <w:rPr>
          <w:lang w:val="en-US" w:eastAsia="en-US"/>
        </w:rPr>
        <w:t>Additionally, Article 4.2 on methodology, should also apply on a proportional basis by adding “as/where appropriate.</w:t>
      </w:r>
      <w:r w:rsidRPr="00512E94">
        <w:rPr>
          <w:color w:val="0000CC"/>
          <w:lang w:val="en-US" w:eastAsia="en-US"/>
        </w:rPr>
        <w:t>"</w:t>
      </w:r>
    </w:p>
    <w:permEnd w:id="1515997747"/>
    <w:p w14:paraId="2ECB166B" w14:textId="0E49D3BD"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0CB6C00E" w14:textId="77777777" w:rsidR="00C53625" w:rsidRDefault="00C53625" w:rsidP="00C06BF3">
      <w:pPr>
        <w:jc w:val="both"/>
        <w:rPr>
          <w:rFonts w:ascii="Arial" w:hAnsi="Arial" w:cs="Arial"/>
        </w:rPr>
      </w:pPr>
      <w:permStart w:id="1782531178" w:edGrp="everyone"/>
      <w:r>
        <w:rPr>
          <w:rFonts w:ascii="Arial" w:hAnsi="Arial" w:cs="Arial"/>
        </w:rPr>
        <w:t xml:space="preserve">No. This section should apply only to benchmarks based on “contributions of input data”. The provisions are unworkable and disproportionate with respect to benchmarks based on stock prices from non-EU stock exchanges and other readily available data.  This adds not only unnecessary administrative burden, but also unnecessary cost by requiring layers of additional processes and procedures for data that is otherwise regulated and/or otherwise already widely used throughout the EU financial services system. </w:t>
      </w:r>
    </w:p>
    <w:p w14:paraId="59F28AFD" w14:textId="77777777" w:rsidR="00C53625" w:rsidRDefault="00C53625" w:rsidP="00862538">
      <w:pPr>
        <w:rPr>
          <w:rFonts w:ascii="Arial" w:hAnsi="Arial" w:cs="Arial"/>
        </w:rPr>
      </w:pPr>
    </w:p>
    <w:p w14:paraId="6202F412" w14:textId="2F61E04B" w:rsidR="0010762E" w:rsidRDefault="00C53625" w:rsidP="0010762E">
      <w:pPr>
        <w:rPr>
          <w:rFonts w:ascii="Arial" w:hAnsi="Arial" w:cs="Arial"/>
        </w:rPr>
      </w:pPr>
      <w:r>
        <w:rPr>
          <w:rFonts w:ascii="Arial" w:hAnsi="Arial" w:cs="Arial"/>
        </w:rPr>
        <w:t xml:space="preserve">Specifically, in relation to the definition of “regulated-data benchmarks”, we know that it applies only to that small number of equity benchmarks using EU stock prices only, and not to equity benchmarks more widely. As such, these </w:t>
      </w:r>
      <w:r w:rsidR="00DD3E85">
        <w:rPr>
          <w:rFonts w:ascii="Arial" w:hAnsi="Arial" w:cs="Arial"/>
        </w:rPr>
        <w:t xml:space="preserve">proposed </w:t>
      </w:r>
      <w:r>
        <w:rPr>
          <w:rFonts w:ascii="Arial" w:hAnsi="Arial" w:cs="Arial"/>
        </w:rPr>
        <w:t xml:space="preserve">RTS would require most equity benchmarks to follow these extra rules, even though the aim of the regulated-data benchmarks definition was supposed to remove them for equity benchmarks. These </w:t>
      </w:r>
      <w:r w:rsidR="00232CB3">
        <w:rPr>
          <w:rFonts w:ascii="Arial" w:hAnsi="Arial" w:cs="Arial"/>
        </w:rPr>
        <w:t xml:space="preserve">proposed </w:t>
      </w:r>
      <w:r>
        <w:rPr>
          <w:rFonts w:ascii="Arial" w:hAnsi="Arial" w:cs="Arial"/>
        </w:rPr>
        <w:t xml:space="preserve">RTS are another example of the perpetuation of the problem with that definition, and treating EU stock prices differently from non-EU stock price data </w:t>
      </w:r>
      <w:r w:rsidRPr="00354856">
        <w:rPr>
          <w:rFonts w:ascii="Arial" w:hAnsi="Arial" w:cs="Arial"/>
          <w:i/>
        </w:rPr>
        <w:t>in relation to benchmarks</w:t>
      </w:r>
      <w:r>
        <w:rPr>
          <w:rFonts w:ascii="Arial" w:hAnsi="Arial" w:cs="Arial"/>
        </w:rPr>
        <w:t xml:space="preserve"> is anomalous given that stock price data is used widely throughout the EU financial services system today. </w:t>
      </w:r>
      <w:permEnd w:id="1782531178"/>
      <w:r w:rsidR="0010762E">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619070A4" w14:textId="77777777" w:rsidR="00D879EC" w:rsidRDefault="00D879EC" w:rsidP="006A1D73">
      <w:pPr>
        <w:jc w:val="both"/>
        <w:rPr>
          <w:rFonts w:ascii="Arial" w:hAnsi="Arial" w:cs="Arial"/>
        </w:rPr>
      </w:pPr>
      <w:permStart w:id="1317289506" w:edGrp="everyone"/>
      <w:r>
        <w:rPr>
          <w:rFonts w:ascii="Arial" w:hAnsi="Arial" w:cs="Arial"/>
        </w:rPr>
        <w:t xml:space="preserve">No. This section should apply only to benchmarks based on “contributions of input data”. The provisions are unworkable and disproportionate with respect to benchmarks based on stock prices from non-EU stock exchanges and other readily available data.  This adds not only unnecessary administrative burden, but also unnecessary cost by requiring layers of additional processes and procedures for data that is otherwise regulated and/or otherwise already widely used throughout the EU financial services system. </w:t>
      </w:r>
    </w:p>
    <w:p w14:paraId="7D3E25BB" w14:textId="77777777" w:rsidR="00D879EC" w:rsidRDefault="00D879EC" w:rsidP="00D879EC">
      <w:pPr>
        <w:rPr>
          <w:rFonts w:ascii="Arial" w:hAnsi="Arial" w:cs="Arial"/>
        </w:rPr>
      </w:pPr>
    </w:p>
    <w:p w14:paraId="25C56C77" w14:textId="27BA4DA5" w:rsidR="0010762E" w:rsidRDefault="00D879EC" w:rsidP="0010762E">
      <w:pPr>
        <w:rPr>
          <w:rFonts w:ascii="Arial" w:hAnsi="Arial" w:cs="Arial"/>
        </w:rPr>
      </w:pPr>
      <w:r>
        <w:rPr>
          <w:rFonts w:ascii="Arial" w:hAnsi="Arial" w:cs="Arial"/>
        </w:rPr>
        <w:t>Specifically, in relation to the definition of “regulated-data benchmarks”, we know that it applies only to that small number of equity benchmarks using EU stock prices only, and not to equity benchmarks more widely. As such, these</w:t>
      </w:r>
      <w:r w:rsidR="004C333D">
        <w:rPr>
          <w:rFonts w:ascii="Arial" w:hAnsi="Arial" w:cs="Arial"/>
        </w:rPr>
        <w:t xml:space="preserve"> proposed</w:t>
      </w:r>
      <w:r>
        <w:rPr>
          <w:rFonts w:ascii="Arial" w:hAnsi="Arial" w:cs="Arial"/>
        </w:rPr>
        <w:t xml:space="preserve"> RTS would require most equity benchmarks to follow these extra rules, even though the aim of the regulated-data benchmarks definition was supposed to remove </w:t>
      </w:r>
      <w:r w:rsidR="00C53625">
        <w:rPr>
          <w:rFonts w:ascii="Arial" w:hAnsi="Arial" w:cs="Arial"/>
        </w:rPr>
        <w:t>them</w:t>
      </w:r>
      <w:r>
        <w:rPr>
          <w:rFonts w:ascii="Arial" w:hAnsi="Arial" w:cs="Arial"/>
        </w:rPr>
        <w:t xml:space="preserve"> </w:t>
      </w:r>
      <w:r w:rsidR="004305E8">
        <w:rPr>
          <w:rFonts w:ascii="Arial" w:hAnsi="Arial" w:cs="Arial"/>
        </w:rPr>
        <w:t>for</w:t>
      </w:r>
      <w:r>
        <w:rPr>
          <w:rFonts w:ascii="Arial" w:hAnsi="Arial" w:cs="Arial"/>
        </w:rPr>
        <w:t xml:space="preserve"> equity benchmarks. These</w:t>
      </w:r>
      <w:r w:rsidR="00232CB3">
        <w:rPr>
          <w:rFonts w:ascii="Arial" w:hAnsi="Arial" w:cs="Arial"/>
        </w:rPr>
        <w:t xml:space="preserve"> proposed</w:t>
      </w:r>
      <w:r>
        <w:rPr>
          <w:rFonts w:ascii="Arial" w:hAnsi="Arial" w:cs="Arial"/>
        </w:rPr>
        <w:t xml:space="preserve"> RTS are another example of the perpetuation of the problem with that definition, and treating EU stock prices differently from non-EU stock price data </w:t>
      </w:r>
      <w:r w:rsidRPr="00354856">
        <w:rPr>
          <w:rFonts w:ascii="Arial" w:hAnsi="Arial" w:cs="Arial"/>
          <w:i/>
        </w:rPr>
        <w:t>in relation to benchmarks</w:t>
      </w:r>
      <w:r>
        <w:rPr>
          <w:rFonts w:ascii="Arial" w:hAnsi="Arial" w:cs="Arial"/>
        </w:rPr>
        <w:t xml:space="preserve"> is anomalous given </w:t>
      </w:r>
      <w:r w:rsidR="00432994">
        <w:rPr>
          <w:rFonts w:ascii="Arial" w:hAnsi="Arial" w:cs="Arial"/>
        </w:rPr>
        <w:t xml:space="preserve">that </w:t>
      </w:r>
      <w:r>
        <w:rPr>
          <w:rFonts w:ascii="Arial" w:hAnsi="Arial" w:cs="Arial"/>
        </w:rPr>
        <w:t>stock price data is used widely throughout the EU financial services system today.</w:t>
      </w:r>
      <w:r w:rsidR="00662988">
        <w:rPr>
          <w:rFonts w:ascii="Arial" w:hAnsi="Arial" w:cs="Arial"/>
        </w:rPr>
        <w:t xml:space="preserve"> </w:t>
      </w:r>
      <w:permEnd w:id="1317289506"/>
      <w:r w:rsidR="0010762E">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lastRenderedPageBreak/>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673D6FCA" w14:textId="77777777" w:rsidR="0010762E" w:rsidRDefault="0010762E" w:rsidP="0010762E">
      <w:pPr>
        <w:rPr>
          <w:rFonts w:ascii="Arial" w:hAnsi="Arial" w:cs="Arial"/>
        </w:rPr>
      </w:pPr>
      <w:permStart w:id="706027679" w:edGrp="everyone"/>
      <w:r>
        <w:rPr>
          <w:rFonts w:ascii="Arial" w:hAnsi="Arial" w:cs="Arial"/>
        </w:rPr>
        <w:t>TYPE YOUR TEXT HERE</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34CEF860" w14:textId="0AC1AD3A" w:rsidR="0010762E" w:rsidRDefault="00CF5504" w:rsidP="00A92EF0">
      <w:pPr>
        <w:jc w:val="both"/>
        <w:rPr>
          <w:rFonts w:ascii="Arial" w:hAnsi="Arial" w:cs="Arial"/>
        </w:rPr>
      </w:pPr>
      <w:permStart w:id="2079658631" w:edGrp="everyone"/>
      <w:r>
        <w:rPr>
          <w:rFonts w:ascii="Arial" w:hAnsi="Arial" w:cs="Arial"/>
        </w:rPr>
        <w:t xml:space="preserve">The criteria in Article </w:t>
      </w:r>
      <w:r w:rsidR="008A4DA3">
        <w:rPr>
          <w:rFonts w:ascii="Arial" w:hAnsi="Arial" w:cs="Arial"/>
        </w:rPr>
        <w:t>2 of the proposed RTS</w:t>
      </w:r>
      <w:r w:rsidR="002D1E90">
        <w:rPr>
          <w:rFonts w:ascii="Arial" w:hAnsi="Arial" w:cs="Arial"/>
        </w:rPr>
        <w:t xml:space="preserve"> should be expanded to include the </w:t>
      </w:r>
      <w:r w:rsidR="000D302A">
        <w:rPr>
          <w:rFonts w:ascii="Arial" w:hAnsi="Arial" w:cs="Arial"/>
        </w:rPr>
        <w:t xml:space="preserve">potential negative </w:t>
      </w:r>
      <w:r w:rsidR="002D1E90">
        <w:rPr>
          <w:rFonts w:ascii="Arial" w:hAnsi="Arial" w:cs="Arial"/>
        </w:rPr>
        <w:t xml:space="preserve">impact on </w:t>
      </w:r>
      <w:r w:rsidR="000D302A">
        <w:rPr>
          <w:rFonts w:ascii="Arial" w:hAnsi="Arial" w:cs="Arial"/>
        </w:rPr>
        <w:t xml:space="preserve">the amount and quality of </w:t>
      </w:r>
      <w:r w:rsidR="003C2BB5">
        <w:rPr>
          <w:rFonts w:ascii="Arial" w:hAnsi="Arial" w:cs="Arial"/>
        </w:rPr>
        <w:t>contributions to</w:t>
      </w:r>
      <w:r w:rsidR="000D302A">
        <w:rPr>
          <w:rFonts w:ascii="Arial" w:hAnsi="Arial" w:cs="Arial"/>
        </w:rPr>
        <w:t xml:space="preserve"> benchmarks. </w:t>
      </w:r>
      <w:r w:rsidR="003E58C9">
        <w:rPr>
          <w:rFonts w:ascii="Arial" w:hAnsi="Arial" w:cs="Arial"/>
        </w:rPr>
        <w:t>The extent t</w:t>
      </w:r>
      <w:r w:rsidR="00AC598A">
        <w:rPr>
          <w:rFonts w:ascii="Arial" w:hAnsi="Arial" w:cs="Arial"/>
        </w:rPr>
        <w:t xml:space="preserve">o which </w:t>
      </w:r>
      <w:r w:rsidR="003E58C9">
        <w:rPr>
          <w:rFonts w:ascii="Arial" w:hAnsi="Arial" w:cs="Arial"/>
        </w:rPr>
        <w:t>t</w:t>
      </w:r>
      <w:r w:rsidR="00AC598A">
        <w:rPr>
          <w:rFonts w:ascii="Arial" w:hAnsi="Arial" w:cs="Arial"/>
        </w:rPr>
        <w:t>he</w:t>
      </w:r>
      <w:r w:rsidR="003E58C9">
        <w:rPr>
          <w:rFonts w:ascii="Arial" w:hAnsi="Arial" w:cs="Arial"/>
        </w:rPr>
        <w:t xml:space="preserve"> </w:t>
      </w:r>
      <w:r w:rsidR="00932D72">
        <w:rPr>
          <w:rFonts w:ascii="Arial" w:hAnsi="Arial" w:cs="Arial"/>
        </w:rPr>
        <w:t>BMR dissuade</w:t>
      </w:r>
      <w:r w:rsidR="003E58C9">
        <w:rPr>
          <w:rFonts w:ascii="Arial" w:hAnsi="Arial" w:cs="Arial"/>
        </w:rPr>
        <w:t xml:space="preserve">s </w:t>
      </w:r>
      <w:r w:rsidR="00932D72">
        <w:rPr>
          <w:rFonts w:ascii="Arial" w:hAnsi="Arial" w:cs="Arial"/>
        </w:rPr>
        <w:t xml:space="preserve">contributions </w:t>
      </w:r>
      <w:r w:rsidR="003E58C9">
        <w:rPr>
          <w:rFonts w:ascii="Arial" w:hAnsi="Arial" w:cs="Arial"/>
        </w:rPr>
        <w:t xml:space="preserve">of input data (in particular for private asset classes) </w:t>
      </w:r>
      <w:r w:rsidR="00AC598A">
        <w:rPr>
          <w:rFonts w:ascii="Arial" w:hAnsi="Arial" w:cs="Arial"/>
        </w:rPr>
        <w:t>s</w:t>
      </w:r>
      <w:r w:rsidR="00E7022E">
        <w:rPr>
          <w:rFonts w:ascii="Arial" w:hAnsi="Arial" w:cs="Arial"/>
        </w:rPr>
        <w:t>hould be considered a legitimate reason for a</w:t>
      </w:r>
      <w:r w:rsidR="00B33966">
        <w:rPr>
          <w:rFonts w:ascii="Arial" w:hAnsi="Arial" w:cs="Arial"/>
        </w:rPr>
        <w:t>n</w:t>
      </w:r>
      <w:r w:rsidR="0056514C">
        <w:rPr>
          <w:rFonts w:ascii="Arial" w:hAnsi="Arial" w:cs="Arial"/>
        </w:rPr>
        <w:t xml:space="preserve"> administrator to take a</w:t>
      </w:r>
      <w:r w:rsidR="00E7022E">
        <w:rPr>
          <w:rFonts w:ascii="Arial" w:hAnsi="Arial" w:cs="Arial"/>
        </w:rPr>
        <w:t xml:space="preserve"> permitted e</w:t>
      </w:r>
      <w:r w:rsidR="003E58C9">
        <w:rPr>
          <w:rFonts w:ascii="Arial" w:hAnsi="Arial" w:cs="Arial"/>
        </w:rPr>
        <w:t>xemption</w:t>
      </w:r>
      <w:r w:rsidR="0056514C">
        <w:rPr>
          <w:rFonts w:ascii="Arial" w:hAnsi="Arial" w:cs="Arial"/>
        </w:rPr>
        <w:t xml:space="preserve"> (i.e.,</w:t>
      </w:r>
      <w:r w:rsidR="00E7022E">
        <w:rPr>
          <w:rFonts w:ascii="Arial" w:hAnsi="Arial" w:cs="Arial"/>
        </w:rPr>
        <w:t xml:space="preserve"> </w:t>
      </w:r>
      <w:r w:rsidR="003E58C9">
        <w:rPr>
          <w:rFonts w:ascii="Arial" w:hAnsi="Arial" w:cs="Arial"/>
        </w:rPr>
        <w:t>preserv</w:t>
      </w:r>
      <w:r w:rsidR="00E7022E">
        <w:rPr>
          <w:rFonts w:ascii="Arial" w:hAnsi="Arial" w:cs="Arial"/>
        </w:rPr>
        <w:t>ing</w:t>
      </w:r>
      <w:r w:rsidR="003E58C9">
        <w:rPr>
          <w:rFonts w:ascii="Arial" w:hAnsi="Arial" w:cs="Arial"/>
        </w:rPr>
        <w:t xml:space="preserve"> the ability of the benchmark administrator to calculate the index</w:t>
      </w:r>
      <w:r w:rsidR="00E7022E">
        <w:rPr>
          <w:rFonts w:ascii="Arial" w:hAnsi="Arial" w:cs="Arial"/>
        </w:rPr>
        <w:t xml:space="preserve"> at all</w:t>
      </w:r>
      <w:r w:rsidR="003E58C9">
        <w:rPr>
          <w:rFonts w:ascii="Arial" w:hAnsi="Arial" w:cs="Arial"/>
        </w:rPr>
        <w:t xml:space="preserve"> in</w:t>
      </w:r>
      <w:r w:rsidR="00602201">
        <w:rPr>
          <w:rFonts w:ascii="Arial" w:hAnsi="Arial" w:cs="Arial"/>
        </w:rPr>
        <w:t xml:space="preserve"> </w:t>
      </w:r>
      <w:r w:rsidR="003E58C9">
        <w:rPr>
          <w:rFonts w:ascii="Arial" w:hAnsi="Arial" w:cs="Arial"/>
        </w:rPr>
        <w:t>otherwise opaque private market</w:t>
      </w:r>
      <w:r w:rsidR="00602201">
        <w:rPr>
          <w:rFonts w:ascii="Arial" w:hAnsi="Arial" w:cs="Arial"/>
        </w:rPr>
        <w:t>s</w:t>
      </w:r>
      <w:r w:rsidR="0056514C">
        <w:rPr>
          <w:rFonts w:ascii="Arial" w:hAnsi="Arial" w:cs="Arial"/>
        </w:rPr>
        <w:t>)</w:t>
      </w:r>
      <w:r w:rsidR="00BB5E1F">
        <w:rPr>
          <w:rFonts w:ascii="Arial" w:hAnsi="Arial" w:cs="Arial"/>
        </w:rPr>
        <w:t>.</w:t>
      </w:r>
      <w:r w:rsidR="005639BB">
        <w:rPr>
          <w:rFonts w:ascii="Arial" w:hAnsi="Arial" w:cs="Arial"/>
        </w:rPr>
        <w:t xml:space="preserve"> As transparency is the goal of indexes and </w:t>
      </w:r>
      <w:r w:rsidR="00C877EE">
        <w:rPr>
          <w:rFonts w:ascii="Arial" w:hAnsi="Arial" w:cs="Arial"/>
        </w:rPr>
        <w:t>a goal of the BMR, it should follow that overall loss of transparency can be a reason for applying</w:t>
      </w:r>
      <w:r w:rsidR="009843AD">
        <w:rPr>
          <w:rFonts w:ascii="Arial" w:hAnsi="Arial" w:cs="Arial"/>
        </w:rPr>
        <w:t xml:space="preserve"> reasonable</w:t>
      </w:r>
      <w:r w:rsidR="00C877EE">
        <w:rPr>
          <w:rFonts w:ascii="Arial" w:hAnsi="Arial" w:cs="Arial"/>
        </w:rPr>
        <w:t xml:space="preserve"> proportionality.</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21FAF380" w14:textId="77777777" w:rsidR="00574E82" w:rsidRDefault="00574E82" w:rsidP="00574E82">
      <w:pPr>
        <w:rPr>
          <w:rFonts w:ascii="Arial" w:hAnsi="Arial" w:cs="Arial"/>
        </w:rPr>
      </w:pPr>
      <w:permStart w:id="1243561789" w:edGrp="everyone"/>
      <w:r>
        <w:rPr>
          <w:rFonts w:ascii="Arial" w:hAnsi="Arial" w:cs="Arial"/>
        </w:rPr>
        <w:t>TYPE YOUR TEXT HERE</w:t>
      </w:r>
    </w:p>
    <w:permEnd w:id="1243561789"/>
    <w:p w14:paraId="79761804" w14:textId="609971E4"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24412" w14:textId="77777777" w:rsidR="00836FE8" w:rsidRDefault="00836FE8" w:rsidP="007E7997">
      <w:r>
        <w:separator/>
      </w:r>
    </w:p>
  </w:endnote>
  <w:endnote w:type="continuationSeparator" w:id="0">
    <w:p w14:paraId="3C786923" w14:textId="77777777" w:rsidR="00836FE8" w:rsidRDefault="00836FE8" w:rsidP="007E7997">
      <w:r>
        <w:continuationSeparator/>
      </w:r>
    </w:p>
  </w:endnote>
  <w:endnote w:type="continuationNotice" w:id="1">
    <w:p w14:paraId="5634CF30" w14:textId="77777777" w:rsidR="00836FE8" w:rsidRDefault="00836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6BEA" w14:textId="77777777" w:rsidR="006873A8" w:rsidRDefault="00687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3B542C72" w:rsidR="00E36813" w:rsidRDefault="00E36813" w:rsidP="008F1DCF">
        <w:pPr>
          <w:pStyle w:val="Footer"/>
          <w:jc w:val="right"/>
        </w:pPr>
        <w:r>
          <w:fldChar w:fldCharType="begin"/>
        </w:r>
        <w:r>
          <w:instrText xml:space="preserve"> PAGE   \* MERGEFORMAT </w:instrText>
        </w:r>
        <w:r>
          <w:fldChar w:fldCharType="separate"/>
        </w:r>
        <w:r w:rsidR="00F36188">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FD01D" w14:textId="77777777" w:rsidR="00836FE8" w:rsidRDefault="00836FE8" w:rsidP="007E7997">
      <w:r>
        <w:separator/>
      </w:r>
    </w:p>
  </w:footnote>
  <w:footnote w:type="continuationSeparator" w:id="0">
    <w:p w14:paraId="08620294" w14:textId="77777777" w:rsidR="00836FE8" w:rsidRDefault="00836FE8" w:rsidP="007E7997">
      <w:r>
        <w:continuationSeparator/>
      </w:r>
    </w:p>
  </w:footnote>
  <w:footnote w:type="continuationNotice" w:id="1">
    <w:p w14:paraId="15418C6B" w14:textId="77777777" w:rsidR="00836FE8" w:rsidRDefault="00836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8DBF" w14:textId="77777777" w:rsidR="006873A8" w:rsidRDefault="00687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243"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D67D4">
    <w:pPr>
      <w:pStyle w:val="Header"/>
      <w:ind w:left="708"/>
      <w:jc w:val="right"/>
    </w:pPr>
  </w:p>
  <w:p w14:paraId="4E70851B" w14:textId="77777777" w:rsidR="008F1DCF" w:rsidRPr="003669AC" w:rsidRDefault="008F1DCF" w:rsidP="006D67D4">
    <w:pPr>
      <w:pStyle w:val="Header"/>
      <w:ind w:left="708"/>
      <w:jc w:val="right"/>
    </w:pPr>
  </w:p>
  <w:p w14:paraId="4DAF4C00" w14:textId="77777777" w:rsidR="008F1DCF" w:rsidRPr="008F1DCF" w:rsidRDefault="008F1DCF" w:rsidP="006D67D4">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6D67D4">
      <w:trPr>
        <w:trHeight w:hRule="exact" w:val="589"/>
      </w:trPr>
      <w:tc>
        <w:tcPr>
          <w:tcW w:w="2377" w:type="dxa"/>
        </w:tcPr>
        <w:p w14:paraId="59038B1E" w14:textId="69D61D52" w:rsidR="008F1DCF" w:rsidRPr="008F1DCF" w:rsidRDefault="00F36188" w:rsidP="006D67D4">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D67D4">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58244"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58245"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1"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C76C" id="Line 1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00331"/>
    <w:multiLevelType w:val="hybridMultilevel"/>
    <w:tmpl w:val="2A64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05821"/>
    <w:multiLevelType w:val="hybridMultilevel"/>
    <w:tmpl w:val="88685DA4"/>
    <w:lvl w:ilvl="0" w:tplc="CB4230E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66266"/>
    <w:multiLevelType w:val="hybridMultilevel"/>
    <w:tmpl w:val="14401CB8"/>
    <w:lvl w:ilvl="0" w:tplc="237A51A4">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1"/>
  </w:num>
  <w:num w:numId="4">
    <w:abstractNumId w:val="1"/>
  </w:num>
  <w:num w:numId="5">
    <w:abstractNumId w:val="9"/>
  </w:num>
  <w:num w:numId="6">
    <w:abstractNumId w:val="13"/>
  </w:num>
  <w:num w:numId="7">
    <w:abstractNumId w:val="8"/>
  </w:num>
  <w:num w:numId="8">
    <w:abstractNumId w:val="2"/>
  </w:num>
  <w:num w:numId="9">
    <w:abstractNumId w:val="7"/>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proofState w:spelling="clean" w:grammar="clean"/>
  <w:attachedTemplate r:id="rId1"/>
  <w:documentProtection w:edit="readOnly" w:enforcement="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076D8"/>
    <w:rsid w:val="00011F6C"/>
    <w:rsid w:val="0001249B"/>
    <w:rsid w:val="00012D68"/>
    <w:rsid w:val="00014299"/>
    <w:rsid w:val="000142BB"/>
    <w:rsid w:val="00014A3F"/>
    <w:rsid w:val="0001633D"/>
    <w:rsid w:val="0001726F"/>
    <w:rsid w:val="00020098"/>
    <w:rsid w:val="00020300"/>
    <w:rsid w:val="00021A9A"/>
    <w:rsid w:val="00022ADA"/>
    <w:rsid w:val="00022BA5"/>
    <w:rsid w:val="00022D0A"/>
    <w:rsid w:val="00022E21"/>
    <w:rsid w:val="00023A2B"/>
    <w:rsid w:val="00026327"/>
    <w:rsid w:val="00027EC9"/>
    <w:rsid w:val="00033934"/>
    <w:rsid w:val="00036C09"/>
    <w:rsid w:val="000372BF"/>
    <w:rsid w:val="00040803"/>
    <w:rsid w:val="00040A52"/>
    <w:rsid w:val="000419EB"/>
    <w:rsid w:val="00043B24"/>
    <w:rsid w:val="00044C5A"/>
    <w:rsid w:val="00044E0A"/>
    <w:rsid w:val="00050F92"/>
    <w:rsid w:val="00054E00"/>
    <w:rsid w:val="000557D5"/>
    <w:rsid w:val="00061B2B"/>
    <w:rsid w:val="0006448C"/>
    <w:rsid w:val="0006449B"/>
    <w:rsid w:val="000655AD"/>
    <w:rsid w:val="00066FD1"/>
    <w:rsid w:val="00070C08"/>
    <w:rsid w:val="00072BF9"/>
    <w:rsid w:val="000730FB"/>
    <w:rsid w:val="00073DF9"/>
    <w:rsid w:val="0007767E"/>
    <w:rsid w:val="0007796D"/>
    <w:rsid w:val="000830DA"/>
    <w:rsid w:val="00083FBB"/>
    <w:rsid w:val="000921E6"/>
    <w:rsid w:val="00093239"/>
    <w:rsid w:val="00097328"/>
    <w:rsid w:val="000A03C9"/>
    <w:rsid w:val="000A12CC"/>
    <w:rsid w:val="000A2738"/>
    <w:rsid w:val="000A2DF1"/>
    <w:rsid w:val="000A3D10"/>
    <w:rsid w:val="000A409B"/>
    <w:rsid w:val="000A66FC"/>
    <w:rsid w:val="000A741E"/>
    <w:rsid w:val="000B1615"/>
    <w:rsid w:val="000B21B8"/>
    <w:rsid w:val="000B2AAF"/>
    <w:rsid w:val="000B2E26"/>
    <w:rsid w:val="000B5D3D"/>
    <w:rsid w:val="000C0CE0"/>
    <w:rsid w:val="000C13B2"/>
    <w:rsid w:val="000C17B1"/>
    <w:rsid w:val="000C2400"/>
    <w:rsid w:val="000C299C"/>
    <w:rsid w:val="000C362A"/>
    <w:rsid w:val="000C5ACC"/>
    <w:rsid w:val="000D011A"/>
    <w:rsid w:val="000D0293"/>
    <w:rsid w:val="000D0850"/>
    <w:rsid w:val="000D1038"/>
    <w:rsid w:val="000D11A9"/>
    <w:rsid w:val="000D2D7B"/>
    <w:rsid w:val="000D302A"/>
    <w:rsid w:val="000D7CE9"/>
    <w:rsid w:val="000E2232"/>
    <w:rsid w:val="000E3BE5"/>
    <w:rsid w:val="000E3DB1"/>
    <w:rsid w:val="000E5E0F"/>
    <w:rsid w:val="000F0169"/>
    <w:rsid w:val="000F0754"/>
    <w:rsid w:val="000F0951"/>
    <w:rsid w:val="000F11D4"/>
    <w:rsid w:val="000F2598"/>
    <w:rsid w:val="000F29C0"/>
    <w:rsid w:val="000F2BE6"/>
    <w:rsid w:val="000F474D"/>
    <w:rsid w:val="000F5C16"/>
    <w:rsid w:val="000F5C90"/>
    <w:rsid w:val="000F5EA6"/>
    <w:rsid w:val="000F611D"/>
    <w:rsid w:val="000F7998"/>
    <w:rsid w:val="001001DB"/>
    <w:rsid w:val="00100ADC"/>
    <w:rsid w:val="0010429A"/>
    <w:rsid w:val="00104A95"/>
    <w:rsid w:val="00105424"/>
    <w:rsid w:val="00106299"/>
    <w:rsid w:val="001075EC"/>
    <w:rsid w:val="0010762E"/>
    <w:rsid w:val="00112E92"/>
    <w:rsid w:val="001135D0"/>
    <w:rsid w:val="00113B87"/>
    <w:rsid w:val="00113D82"/>
    <w:rsid w:val="00120F0D"/>
    <w:rsid w:val="001214DA"/>
    <w:rsid w:val="00123309"/>
    <w:rsid w:val="0012722A"/>
    <w:rsid w:val="0012757B"/>
    <w:rsid w:val="00130EF9"/>
    <w:rsid w:val="001319C7"/>
    <w:rsid w:val="00131FEF"/>
    <w:rsid w:val="00134D73"/>
    <w:rsid w:val="00134FAD"/>
    <w:rsid w:val="001355E6"/>
    <w:rsid w:val="00135F84"/>
    <w:rsid w:val="0013644A"/>
    <w:rsid w:val="00140BA6"/>
    <w:rsid w:val="00140E92"/>
    <w:rsid w:val="00141946"/>
    <w:rsid w:val="00143DCA"/>
    <w:rsid w:val="00144AAD"/>
    <w:rsid w:val="001455E7"/>
    <w:rsid w:val="0014624E"/>
    <w:rsid w:val="001463FC"/>
    <w:rsid w:val="00146E0D"/>
    <w:rsid w:val="001503BE"/>
    <w:rsid w:val="00155A74"/>
    <w:rsid w:val="00156FB8"/>
    <w:rsid w:val="001608B2"/>
    <w:rsid w:val="00160FE0"/>
    <w:rsid w:val="00163AB3"/>
    <w:rsid w:val="00165047"/>
    <w:rsid w:val="00165FF8"/>
    <w:rsid w:val="0016669F"/>
    <w:rsid w:val="00170AD6"/>
    <w:rsid w:val="001735B8"/>
    <w:rsid w:val="00177AA7"/>
    <w:rsid w:val="00180917"/>
    <w:rsid w:val="00180E53"/>
    <w:rsid w:val="00181CB7"/>
    <w:rsid w:val="00184CDB"/>
    <w:rsid w:val="001862A5"/>
    <w:rsid w:val="00186A70"/>
    <w:rsid w:val="00191035"/>
    <w:rsid w:val="001918E5"/>
    <w:rsid w:val="00191AE9"/>
    <w:rsid w:val="00192A7A"/>
    <w:rsid w:val="001A0F1E"/>
    <w:rsid w:val="001A1DE3"/>
    <w:rsid w:val="001A1EF4"/>
    <w:rsid w:val="001A227C"/>
    <w:rsid w:val="001A3E35"/>
    <w:rsid w:val="001A449D"/>
    <w:rsid w:val="001A7046"/>
    <w:rsid w:val="001A710D"/>
    <w:rsid w:val="001A7E6F"/>
    <w:rsid w:val="001B0A77"/>
    <w:rsid w:val="001B1727"/>
    <w:rsid w:val="001B1E58"/>
    <w:rsid w:val="001B2151"/>
    <w:rsid w:val="001B3CFF"/>
    <w:rsid w:val="001B4957"/>
    <w:rsid w:val="001B4996"/>
    <w:rsid w:val="001C0E59"/>
    <w:rsid w:val="001C2155"/>
    <w:rsid w:val="001C432D"/>
    <w:rsid w:val="001C469E"/>
    <w:rsid w:val="001C56C3"/>
    <w:rsid w:val="001C5D8C"/>
    <w:rsid w:val="001C7E0A"/>
    <w:rsid w:val="001D0112"/>
    <w:rsid w:val="001D19F5"/>
    <w:rsid w:val="001D23D2"/>
    <w:rsid w:val="001D385A"/>
    <w:rsid w:val="001D6B39"/>
    <w:rsid w:val="001E1ECD"/>
    <w:rsid w:val="001E3E0D"/>
    <w:rsid w:val="001E499F"/>
    <w:rsid w:val="001E4A45"/>
    <w:rsid w:val="001E5E30"/>
    <w:rsid w:val="001E7C95"/>
    <w:rsid w:val="001F0479"/>
    <w:rsid w:val="001F18E1"/>
    <w:rsid w:val="001F1F10"/>
    <w:rsid w:val="001F3999"/>
    <w:rsid w:val="001F3D9D"/>
    <w:rsid w:val="00200894"/>
    <w:rsid w:val="00202333"/>
    <w:rsid w:val="00202FA8"/>
    <w:rsid w:val="002034B8"/>
    <w:rsid w:val="002038A1"/>
    <w:rsid w:val="00203A92"/>
    <w:rsid w:val="00205922"/>
    <w:rsid w:val="00206FB8"/>
    <w:rsid w:val="0020766F"/>
    <w:rsid w:val="00207A07"/>
    <w:rsid w:val="00210498"/>
    <w:rsid w:val="002105C3"/>
    <w:rsid w:val="0021147A"/>
    <w:rsid w:val="00213BFB"/>
    <w:rsid w:val="002152E3"/>
    <w:rsid w:val="00217478"/>
    <w:rsid w:val="00220938"/>
    <w:rsid w:val="00224806"/>
    <w:rsid w:val="00226709"/>
    <w:rsid w:val="002271C7"/>
    <w:rsid w:val="00232CB3"/>
    <w:rsid w:val="00232F8E"/>
    <w:rsid w:val="00233071"/>
    <w:rsid w:val="00235E99"/>
    <w:rsid w:val="0024299F"/>
    <w:rsid w:val="00242D40"/>
    <w:rsid w:val="00243DC6"/>
    <w:rsid w:val="002449D8"/>
    <w:rsid w:val="00244B86"/>
    <w:rsid w:val="00244C97"/>
    <w:rsid w:val="0024512F"/>
    <w:rsid w:val="00245406"/>
    <w:rsid w:val="002455D7"/>
    <w:rsid w:val="00245784"/>
    <w:rsid w:val="00245D2E"/>
    <w:rsid w:val="00245F7B"/>
    <w:rsid w:val="00246E1D"/>
    <w:rsid w:val="002472F6"/>
    <w:rsid w:val="0025020D"/>
    <w:rsid w:val="00253034"/>
    <w:rsid w:val="00254CC2"/>
    <w:rsid w:val="002574D1"/>
    <w:rsid w:val="00261CCB"/>
    <w:rsid w:val="002630C0"/>
    <w:rsid w:val="0026332A"/>
    <w:rsid w:val="002645A8"/>
    <w:rsid w:val="0026493B"/>
    <w:rsid w:val="00265566"/>
    <w:rsid w:val="00265DD4"/>
    <w:rsid w:val="00265F44"/>
    <w:rsid w:val="002665E3"/>
    <w:rsid w:val="0027199C"/>
    <w:rsid w:val="00272C4E"/>
    <w:rsid w:val="0027305D"/>
    <w:rsid w:val="002751FC"/>
    <w:rsid w:val="002753BD"/>
    <w:rsid w:val="00277DDE"/>
    <w:rsid w:val="00282D38"/>
    <w:rsid w:val="00282FBE"/>
    <w:rsid w:val="00284AF2"/>
    <w:rsid w:val="0028536B"/>
    <w:rsid w:val="00285CED"/>
    <w:rsid w:val="00285EB5"/>
    <w:rsid w:val="0028798A"/>
    <w:rsid w:val="00287C8F"/>
    <w:rsid w:val="00290893"/>
    <w:rsid w:val="002917B9"/>
    <w:rsid w:val="00291A55"/>
    <w:rsid w:val="00291D25"/>
    <w:rsid w:val="0029394C"/>
    <w:rsid w:val="002A13B0"/>
    <w:rsid w:val="002A2C91"/>
    <w:rsid w:val="002A6C21"/>
    <w:rsid w:val="002A6FD3"/>
    <w:rsid w:val="002A780E"/>
    <w:rsid w:val="002A795A"/>
    <w:rsid w:val="002B144C"/>
    <w:rsid w:val="002B1E5C"/>
    <w:rsid w:val="002B53F3"/>
    <w:rsid w:val="002B78CF"/>
    <w:rsid w:val="002C03FD"/>
    <w:rsid w:val="002C044D"/>
    <w:rsid w:val="002C0FFD"/>
    <w:rsid w:val="002C1AA5"/>
    <w:rsid w:val="002C2A46"/>
    <w:rsid w:val="002C3048"/>
    <w:rsid w:val="002D118A"/>
    <w:rsid w:val="002D1E90"/>
    <w:rsid w:val="002D2992"/>
    <w:rsid w:val="002D37A0"/>
    <w:rsid w:val="002D5AB5"/>
    <w:rsid w:val="002D6667"/>
    <w:rsid w:val="002D79F3"/>
    <w:rsid w:val="002E1C11"/>
    <w:rsid w:val="002E28EB"/>
    <w:rsid w:val="002E3D0B"/>
    <w:rsid w:val="002E3E7D"/>
    <w:rsid w:val="002E540A"/>
    <w:rsid w:val="002F2A0E"/>
    <w:rsid w:val="002F4DA8"/>
    <w:rsid w:val="002F5A03"/>
    <w:rsid w:val="002F6279"/>
    <w:rsid w:val="003013B7"/>
    <w:rsid w:val="00301993"/>
    <w:rsid w:val="00301E55"/>
    <w:rsid w:val="00303AC9"/>
    <w:rsid w:val="00307397"/>
    <w:rsid w:val="003101EF"/>
    <w:rsid w:val="00312BDD"/>
    <w:rsid w:val="00314117"/>
    <w:rsid w:val="00317EDF"/>
    <w:rsid w:val="0032167A"/>
    <w:rsid w:val="00322119"/>
    <w:rsid w:val="003279E7"/>
    <w:rsid w:val="00327B62"/>
    <w:rsid w:val="00327FFD"/>
    <w:rsid w:val="00331FE9"/>
    <w:rsid w:val="0033324D"/>
    <w:rsid w:val="0033587C"/>
    <w:rsid w:val="00336BF9"/>
    <w:rsid w:val="003371E8"/>
    <w:rsid w:val="00337471"/>
    <w:rsid w:val="0034151D"/>
    <w:rsid w:val="00342B5B"/>
    <w:rsid w:val="00343532"/>
    <w:rsid w:val="003435EE"/>
    <w:rsid w:val="00344A34"/>
    <w:rsid w:val="00345469"/>
    <w:rsid w:val="003454ED"/>
    <w:rsid w:val="00345EB9"/>
    <w:rsid w:val="0035030F"/>
    <w:rsid w:val="00351925"/>
    <w:rsid w:val="00353C4B"/>
    <w:rsid w:val="003545A6"/>
    <w:rsid w:val="00354856"/>
    <w:rsid w:val="00355325"/>
    <w:rsid w:val="00356C60"/>
    <w:rsid w:val="003578D1"/>
    <w:rsid w:val="00361650"/>
    <w:rsid w:val="00363639"/>
    <w:rsid w:val="003662B3"/>
    <w:rsid w:val="00366D42"/>
    <w:rsid w:val="0036748C"/>
    <w:rsid w:val="00370A82"/>
    <w:rsid w:val="00372615"/>
    <w:rsid w:val="00373A3C"/>
    <w:rsid w:val="00376233"/>
    <w:rsid w:val="00380B30"/>
    <w:rsid w:val="00381784"/>
    <w:rsid w:val="00381EB0"/>
    <w:rsid w:val="00382A72"/>
    <w:rsid w:val="00382EBA"/>
    <w:rsid w:val="0038331A"/>
    <w:rsid w:val="0039135B"/>
    <w:rsid w:val="003A1217"/>
    <w:rsid w:val="003A2A90"/>
    <w:rsid w:val="003A34E7"/>
    <w:rsid w:val="003A3CB1"/>
    <w:rsid w:val="003A3D55"/>
    <w:rsid w:val="003A44D9"/>
    <w:rsid w:val="003A73A4"/>
    <w:rsid w:val="003B102E"/>
    <w:rsid w:val="003B1290"/>
    <w:rsid w:val="003B28CF"/>
    <w:rsid w:val="003B4E3D"/>
    <w:rsid w:val="003B7956"/>
    <w:rsid w:val="003C167E"/>
    <w:rsid w:val="003C2279"/>
    <w:rsid w:val="003C2BB5"/>
    <w:rsid w:val="003C481D"/>
    <w:rsid w:val="003C4EB5"/>
    <w:rsid w:val="003C729E"/>
    <w:rsid w:val="003C7A82"/>
    <w:rsid w:val="003D1CD1"/>
    <w:rsid w:val="003D2CED"/>
    <w:rsid w:val="003D344A"/>
    <w:rsid w:val="003D3BB8"/>
    <w:rsid w:val="003D7C07"/>
    <w:rsid w:val="003E13FD"/>
    <w:rsid w:val="003E1C24"/>
    <w:rsid w:val="003E4721"/>
    <w:rsid w:val="003E58C9"/>
    <w:rsid w:val="003E61FC"/>
    <w:rsid w:val="003E71E7"/>
    <w:rsid w:val="003E77BC"/>
    <w:rsid w:val="003F0EDF"/>
    <w:rsid w:val="003F20C7"/>
    <w:rsid w:val="003F39B1"/>
    <w:rsid w:val="003F419E"/>
    <w:rsid w:val="003F6173"/>
    <w:rsid w:val="003F712F"/>
    <w:rsid w:val="00400D9C"/>
    <w:rsid w:val="00400FBE"/>
    <w:rsid w:val="004022CF"/>
    <w:rsid w:val="004029B1"/>
    <w:rsid w:val="004038F1"/>
    <w:rsid w:val="00404282"/>
    <w:rsid w:val="0040743A"/>
    <w:rsid w:val="00407623"/>
    <w:rsid w:val="00407A74"/>
    <w:rsid w:val="004114D5"/>
    <w:rsid w:val="00412432"/>
    <w:rsid w:val="00414210"/>
    <w:rsid w:val="004159DB"/>
    <w:rsid w:val="00420FD4"/>
    <w:rsid w:val="00421DBC"/>
    <w:rsid w:val="004242B3"/>
    <w:rsid w:val="00426D62"/>
    <w:rsid w:val="00427A89"/>
    <w:rsid w:val="004305E8"/>
    <w:rsid w:val="00430C5B"/>
    <w:rsid w:val="00430F21"/>
    <w:rsid w:val="00431968"/>
    <w:rsid w:val="004327B6"/>
    <w:rsid w:val="00432994"/>
    <w:rsid w:val="00433936"/>
    <w:rsid w:val="0043475E"/>
    <w:rsid w:val="00435FE9"/>
    <w:rsid w:val="00436279"/>
    <w:rsid w:val="004368D5"/>
    <w:rsid w:val="0044199E"/>
    <w:rsid w:val="0044206D"/>
    <w:rsid w:val="004433F1"/>
    <w:rsid w:val="00444803"/>
    <w:rsid w:val="00445696"/>
    <w:rsid w:val="00446E5F"/>
    <w:rsid w:val="00450C4E"/>
    <w:rsid w:val="004542BF"/>
    <w:rsid w:val="004554CF"/>
    <w:rsid w:val="00455577"/>
    <w:rsid w:val="00456245"/>
    <w:rsid w:val="00456795"/>
    <w:rsid w:val="0046150E"/>
    <w:rsid w:val="00461CC8"/>
    <w:rsid w:val="00462B2F"/>
    <w:rsid w:val="00465EAA"/>
    <w:rsid w:val="004708CA"/>
    <w:rsid w:val="004709E7"/>
    <w:rsid w:val="00470ADE"/>
    <w:rsid w:val="004712C7"/>
    <w:rsid w:val="0047490D"/>
    <w:rsid w:val="004759EB"/>
    <w:rsid w:val="00477919"/>
    <w:rsid w:val="00480B63"/>
    <w:rsid w:val="00482611"/>
    <w:rsid w:val="00482A27"/>
    <w:rsid w:val="00487DCE"/>
    <w:rsid w:val="00490610"/>
    <w:rsid w:val="004923A0"/>
    <w:rsid w:val="004950B7"/>
    <w:rsid w:val="00497FEA"/>
    <w:rsid w:val="004A1969"/>
    <w:rsid w:val="004A3460"/>
    <w:rsid w:val="004B07B2"/>
    <w:rsid w:val="004B0955"/>
    <w:rsid w:val="004B1842"/>
    <w:rsid w:val="004B25D0"/>
    <w:rsid w:val="004B2DE2"/>
    <w:rsid w:val="004B33A0"/>
    <w:rsid w:val="004B3553"/>
    <w:rsid w:val="004B5E92"/>
    <w:rsid w:val="004B6A29"/>
    <w:rsid w:val="004B6C3B"/>
    <w:rsid w:val="004C0A30"/>
    <w:rsid w:val="004C333D"/>
    <w:rsid w:val="004C357C"/>
    <w:rsid w:val="004C3D18"/>
    <w:rsid w:val="004D0B21"/>
    <w:rsid w:val="004D101C"/>
    <w:rsid w:val="004D42B1"/>
    <w:rsid w:val="004D4928"/>
    <w:rsid w:val="004D526F"/>
    <w:rsid w:val="004D7CEC"/>
    <w:rsid w:val="004E19C0"/>
    <w:rsid w:val="004E1C54"/>
    <w:rsid w:val="004E2C37"/>
    <w:rsid w:val="004E41DA"/>
    <w:rsid w:val="004E5285"/>
    <w:rsid w:val="004F0CF3"/>
    <w:rsid w:val="004F4666"/>
    <w:rsid w:val="004F5740"/>
    <w:rsid w:val="004F58C9"/>
    <w:rsid w:val="005028B9"/>
    <w:rsid w:val="00505E17"/>
    <w:rsid w:val="00506CD6"/>
    <w:rsid w:val="00511A59"/>
    <w:rsid w:val="00511C3B"/>
    <w:rsid w:val="005125B4"/>
    <w:rsid w:val="00512E94"/>
    <w:rsid w:val="00514440"/>
    <w:rsid w:val="00514DFA"/>
    <w:rsid w:val="00516068"/>
    <w:rsid w:val="005166C3"/>
    <w:rsid w:val="00520F7C"/>
    <w:rsid w:val="0052395D"/>
    <w:rsid w:val="00523974"/>
    <w:rsid w:val="00524BD2"/>
    <w:rsid w:val="00526E5D"/>
    <w:rsid w:val="00531432"/>
    <w:rsid w:val="0053162A"/>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39BB"/>
    <w:rsid w:val="00564607"/>
    <w:rsid w:val="005646D7"/>
    <w:rsid w:val="00564F5A"/>
    <w:rsid w:val="0056514C"/>
    <w:rsid w:val="00565193"/>
    <w:rsid w:val="00565CDA"/>
    <w:rsid w:val="0057042F"/>
    <w:rsid w:val="005725BD"/>
    <w:rsid w:val="005730B0"/>
    <w:rsid w:val="00574E82"/>
    <w:rsid w:val="00575DCC"/>
    <w:rsid w:val="00580B3B"/>
    <w:rsid w:val="005821B0"/>
    <w:rsid w:val="00582887"/>
    <w:rsid w:val="0059175F"/>
    <w:rsid w:val="00591AAC"/>
    <w:rsid w:val="00595F08"/>
    <w:rsid w:val="00595FBE"/>
    <w:rsid w:val="005A06E7"/>
    <w:rsid w:val="005A1C55"/>
    <w:rsid w:val="005B169D"/>
    <w:rsid w:val="005B1F0F"/>
    <w:rsid w:val="005B2121"/>
    <w:rsid w:val="005B4ACA"/>
    <w:rsid w:val="005B51FB"/>
    <w:rsid w:val="005B6B12"/>
    <w:rsid w:val="005B6BDA"/>
    <w:rsid w:val="005B7B20"/>
    <w:rsid w:val="005C19E9"/>
    <w:rsid w:val="005C2DBC"/>
    <w:rsid w:val="005C5F13"/>
    <w:rsid w:val="005C65F9"/>
    <w:rsid w:val="005C6B0E"/>
    <w:rsid w:val="005C7E1F"/>
    <w:rsid w:val="005D158F"/>
    <w:rsid w:val="005D1B9E"/>
    <w:rsid w:val="005D1F6B"/>
    <w:rsid w:val="005D2DE7"/>
    <w:rsid w:val="005D331C"/>
    <w:rsid w:val="005D6355"/>
    <w:rsid w:val="005D7690"/>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05BE"/>
    <w:rsid w:val="00601541"/>
    <w:rsid w:val="00601B50"/>
    <w:rsid w:val="00602201"/>
    <w:rsid w:val="0060361E"/>
    <w:rsid w:val="00604A25"/>
    <w:rsid w:val="00606683"/>
    <w:rsid w:val="00611580"/>
    <w:rsid w:val="00613BF6"/>
    <w:rsid w:val="00616D27"/>
    <w:rsid w:val="006234FE"/>
    <w:rsid w:val="00623840"/>
    <w:rsid w:val="006255EC"/>
    <w:rsid w:val="00625A25"/>
    <w:rsid w:val="0062736A"/>
    <w:rsid w:val="0063025D"/>
    <w:rsid w:val="0063277C"/>
    <w:rsid w:val="00632ACD"/>
    <w:rsid w:val="0063565E"/>
    <w:rsid w:val="00636E02"/>
    <w:rsid w:val="0063706B"/>
    <w:rsid w:val="0064043C"/>
    <w:rsid w:val="00641DB1"/>
    <w:rsid w:val="00642297"/>
    <w:rsid w:val="00644A34"/>
    <w:rsid w:val="006524D2"/>
    <w:rsid w:val="00654824"/>
    <w:rsid w:val="00661766"/>
    <w:rsid w:val="00662882"/>
    <w:rsid w:val="00662988"/>
    <w:rsid w:val="0066298C"/>
    <w:rsid w:val="00663008"/>
    <w:rsid w:val="00663093"/>
    <w:rsid w:val="006647EF"/>
    <w:rsid w:val="00665A7C"/>
    <w:rsid w:val="00665B0B"/>
    <w:rsid w:val="006705CD"/>
    <w:rsid w:val="00671363"/>
    <w:rsid w:val="00672780"/>
    <w:rsid w:val="00672842"/>
    <w:rsid w:val="0067423D"/>
    <w:rsid w:val="00674749"/>
    <w:rsid w:val="00676CFC"/>
    <w:rsid w:val="00677133"/>
    <w:rsid w:val="00681482"/>
    <w:rsid w:val="006873A8"/>
    <w:rsid w:val="00687BF0"/>
    <w:rsid w:val="006904CF"/>
    <w:rsid w:val="006912FB"/>
    <w:rsid w:val="00695AF2"/>
    <w:rsid w:val="00696A2B"/>
    <w:rsid w:val="00696BD5"/>
    <w:rsid w:val="006A04AE"/>
    <w:rsid w:val="006A0AE4"/>
    <w:rsid w:val="006A1D73"/>
    <w:rsid w:val="006A23F3"/>
    <w:rsid w:val="006A2CF3"/>
    <w:rsid w:val="006A3457"/>
    <w:rsid w:val="006A5047"/>
    <w:rsid w:val="006A7A10"/>
    <w:rsid w:val="006B0DA4"/>
    <w:rsid w:val="006B1B6B"/>
    <w:rsid w:val="006B2C57"/>
    <w:rsid w:val="006B3518"/>
    <w:rsid w:val="006B3F15"/>
    <w:rsid w:val="006B59EC"/>
    <w:rsid w:val="006B79E0"/>
    <w:rsid w:val="006C1633"/>
    <w:rsid w:val="006C5BF8"/>
    <w:rsid w:val="006C7CCB"/>
    <w:rsid w:val="006D6009"/>
    <w:rsid w:val="006D67D4"/>
    <w:rsid w:val="006D7D41"/>
    <w:rsid w:val="006E2284"/>
    <w:rsid w:val="006E2B28"/>
    <w:rsid w:val="006E2F4D"/>
    <w:rsid w:val="006E3FDD"/>
    <w:rsid w:val="006E58FB"/>
    <w:rsid w:val="006E5D82"/>
    <w:rsid w:val="006E66B2"/>
    <w:rsid w:val="006E6C50"/>
    <w:rsid w:val="006E7A69"/>
    <w:rsid w:val="006E7DE4"/>
    <w:rsid w:val="006F53E8"/>
    <w:rsid w:val="006F5FB8"/>
    <w:rsid w:val="006F7718"/>
    <w:rsid w:val="0070017B"/>
    <w:rsid w:val="0070427E"/>
    <w:rsid w:val="00704D53"/>
    <w:rsid w:val="007056C3"/>
    <w:rsid w:val="00706072"/>
    <w:rsid w:val="007062F2"/>
    <w:rsid w:val="00710B6D"/>
    <w:rsid w:val="00713644"/>
    <w:rsid w:val="00721256"/>
    <w:rsid w:val="007217AD"/>
    <w:rsid w:val="00723BA1"/>
    <w:rsid w:val="00724A1B"/>
    <w:rsid w:val="00731671"/>
    <w:rsid w:val="0073173E"/>
    <w:rsid w:val="007319C3"/>
    <w:rsid w:val="0073454F"/>
    <w:rsid w:val="00735C00"/>
    <w:rsid w:val="007364C6"/>
    <w:rsid w:val="00740169"/>
    <w:rsid w:val="00740BF3"/>
    <w:rsid w:val="00741D5C"/>
    <w:rsid w:val="0074352F"/>
    <w:rsid w:val="00744B9F"/>
    <w:rsid w:val="0074794C"/>
    <w:rsid w:val="00747C5E"/>
    <w:rsid w:val="00750210"/>
    <w:rsid w:val="00751E56"/>
    <w:rsid w:val="00753C61"/>
    <w:rsid w:val="00754B57"/>
    <w:rsid w:val="0075671D"/>
    <w:rsid w:val="0076002F"/>
    <w:rsid w:val="0076038B"/>
    <w:rsid w:val="00761744"/>
    <w:rsid w:val="00764582"/>
    <w:rsid w:val="007657D6"/>
    <w:rsid w:val="00765FA3"/>
    <w:rsid w:val="00766961"/>
    <w:rsid w:val="00766B5A"/>
    <w:rsid w:val="00770BE9"/>
    <w:rsid w:val="00770C33"/>
    <w:rsid w:val="00772B0A"/>
    <w:rsid w:val="00773C09"/>
    <w:rsid w:val="007741C3"/>
    <w:rsid w:val="00776AC8"/>
    <w:rsid w:val="00777BE0"/>
    <w:rsid w:val="00780923"/>
    <w:rsid w:val="0078131F"/>
    <w:rsid w:val="007844C6"/>
    <w:rsid w:val="00785397"/>
    <w:rsid w:val="007876EF"/>
    <w:rsid w:val="00790306"/>
    <w:rsid w:val="0079364C"/>
    <w:rsid w:val="007942B9"/>
    <w:rsid w:val="00794B57"/>
    <w:rsid w:val="00796C7F"/>
    <w:rsid w:val="00797E0C"/>
    <w:rsid w:val="007A160F"/>
    <w:rsid w:val="007A48BC"/>
    <w:rsid w:val="007B0BC1"/>
    <w:rsid w:val="007B354B"/>
    <w:rsid w:val="007B41AE"/>
    <w:rsid w:val="007B4300"/>
    <w:rsid w:val="007B4FC3"/>
    <w:rsid w:val="007B73F3"/>
    <w:rsid w:val="007B7EE5"/>
    <w:rsid w:val="007C1475"/>
    <w:rsid w:val="007C1C28"/>
    <w:rsid w:val="007C1EC4"/>
    <w:rsid w:val="007C2A2C"/>
    <w:rsid w:val="007C3577"/>
    <w:rsid w:val="007C5E08"/>
    <w:rsid w:val="007C67EB"/>
    <w:rsid w:val="007D0002"/>
    <w:rsid w:val="007D7427"/>
    <w:rsid w:val="007D7A59"/>
    <w:rsid w:val="007D7DDD"/>
    <w:rsid w:val="007E4492"/>
    <w:rsid w:val="007E5095"/>
    <w:rsid w:val="007E53F5"/>
    <w:rsid w:val="007E6E9E"/>
    <w:rsid w:val="007E7260"/>
    <w:rsid w:val="007E7637"/>
    <w:rsid w:val="007E7997"/>
    <w:rsid w:val="007F014A"/>
    <w:rsid w:val="007F04EF"/>
    <w:rsid w:val="007F0763"/>
    <w:rsid w:val="007F1DE9"/>
    <w:rsid w:val="007F25C2"/>
    <w:rsid w:val="007F2C15"/>
    <w:rsid w:val="007F4F88"/>
    <w:rsid w:val="007F5822"/>
    <w:rsid w:val="007F5B86"/>
    <w:rsid w:val="00800A7F"/>
    <w:rsid w:val="00800CCF"/>
    <w:rsid w:val="0080285D"/>
    <w:rsid w:val="00806D45"/>
    <w:rsid w:val="0081028F"/>
    <w:rsid w:val="008107D9"/>
    <w:rsid w:val="0081093B"/>
    <w:rsid w:val="008116D9"/>
    <w:rsid w:val="00811936"/>
    <w:rsid w:val="008124C6"/>
    <w:rsid w:val="00813059"/>
    <w:rsid w:val="00813096"/>
    <w:rsid w:val="00813696"/>
    <w:rsid w:val="008140C9"/>
    <w:rsid w:val="00814688"/>
    <w:rsid w:val="008157C8"/>
    <w:rsid w:val="008173E2"/>
    <w:rsid w:val="008201C3"/>
    <w:rsid w:val="00820422"/>
    <w:rsid w:val="00820655"/>
    <w:rsid w:val="008227D7"/>
    <w:rsid w:val="008249A1"/>
    <w:rsid w:val="00825D43"/>
    <w:rsid w:val="0082632D"/>
    <w:rsid w:val="00830083"/>
    <w:rsid w:val="00832500"/>
    <w:rsid w:val="00832787"/>
    <w:rsid w:val="00835805"/>
    <w:rsid w:val="0083595F"/>
    <w:rsid w:val="00836FE8"/>
    <w:rsid w:val="008372B6"/>
    <w:rsid w:val="00837DB6"/>
    <w:rsid w:val="00843A1A"/>
    <w:rsid w:val="00846433"/>
    <w:rsid w:val="008472C2"/>
    <w:rsid w:val="008505A4"/>
    <w:rsid w:val="0085081F"/>
    <w:rsid w:val="008510D9"/>
    <w:rsid w:val="008516A1"/>
    <w:rsid w:val="00851EE3"/>
    <w:rsid w:val="00853121"/>
    <w:rsid w:val="00854ACE"/>
    <w:rsid w:val="008555E4"/>
    <w:rsid w:val="008576F8"/>
    <w:rsid w:val="00864E60"/>
    <w:rsid w:val="00866A09"/>
    <w:rsid w:val="008712BF"/>
    <w:rsid w:val="00872209"/>
    <w:rsid w:val="00873656"/>
    <w:rsid w:val="008764E7"/>
    <w:rsid w:val="008800B7"/>
    <w:rsid w:val="00880140"/>
    <w:rsid w:val="008842F7"/>
    <w:rsid w:val="0088525C"/>
    <w:rsid w:val="00885B94"/>
    <w:rsid w:val="0089075A"/>
    <w:rsid w:val="00890F80"/>
    <w:rsid w:val="00892BFD"/>
    <w:rsid w:val="0089338A"/>
    <w:rsid w:val="00894199"/>
    <w:rsid w:val="008948BE"/>
    <w:rsid w:val="008951F7"/>
    <w:rsid w:val="008A1E27"/>
    <w:rsid w:val="008A2C86"/>
    <w:rsid w:val="008A4DA3"/>
    <w:rsid w:val="008A589D"/>
    <w:rsid w:val="008A6000"/>
    <w:rsid w:val="008A660B"/>
    <w:rsid w:val="008A70A8"/>
    <w:rsid w:val="008A7FAC"/>
    <w:rsid w:val="008B1FD9"/>
    <w:rsid w:val="008B2242"/>
    <w:rsid w:val="008B2AF1"/>
    <w:rsid w:val="008B4382"/>
    <w:rsid w:val="008B5191"/>
    <w:rsid w:val="008B710D"/>
    <w:rsid w:val="008B7CA1"/>
    <w:rsid w:val="008C0177"/>
    <w:rsid w:val="008C0389"/>
    <w:rsid w:val="008C27D3"/>
    <w:rsid w:val="008C4B2B"/>
    <w:rsid w:val="008C5E91"/>
    <w:rsid w:val="008C686D"/>
    <w:rsid w:val="008C69BC"/>
    <w:rsid w:val="008C6B18"/>
    <w:rsid w:val="008C75E6"/>
    <w:rsid w:val="008C767A"/>
    <w:rsid w:val="008C7A73"/>
    <w:rsid w:val="008D0569"/>
    <w:rsid w:val="008D167B"/>
    <w:rsid w:val="008D5C28"/>
    <w:rsid w:val="008E0205"/>
    <w:rsid w:val="008E2D26"/>
    <w:rsid w:val="008E4076"/>
    <w:rsid w:val="008E4846"/>
    <w:rsid w:val="008E7DBA"/>
    <w:rsid w:val="008F1DCF"/>
    <w:rsid w:val="008F3386"/>
    <w:rsid w:val="008F3AD9"/>
    <w:rsid w:val="008F4642"/>
    <w:rsid w:val="008F4E00"/>
    <w:rsid w:val="008F761D"/>
    <w:rsid w:val="00900D44"/>
    <w:rsid w:val="00902520"/>
    <w:rsid w:val="00906DC4"/>
    <w:rsid w:val="00907C58"/>
    <w:rsid w:val="0091457F"/>
    <w:rsid w:val="0091729E"/>
    <w:rsid w:val="009208AA"/>
    <w:rsid w:val="0092316F"/>
    <w:rsid w:val="009236A9"/>
    <w:rsid w:val="00926E1B"/>
    <w:rsid w:val="00930F2D"/>
    <w:rsid w:val="0093261E"/>
    <w:rsid w:val="00932D72"/>
    <w:rsid w:val="00934AD6"/>
    <w:rsid w:val="0094008E"/>
    <w:rsid w:val="00941C0C"/>
    <w:rsid w:val="009437F2"/>
    <w:rsid w:val="0094528B"/>
    <w:rsid w:val="0094566E"/>
    <w:rsid w:val="00947352"/>
    <w:rsid w:val="009570BC"/>
    <w:rsid w:val="00960A8B"/>
    <w:rsid w:val="00963E25"/>
    <w:rsid w:val="00965128"/>
    <w:rsid w:val="00972ABD"/>
    <w:rsid w:val="00973F43"/>
    <w:rsid w:val="0097785D"/>
    <w:rsid w:val="00977916"/>
    <w:rsid w:val="0098011D"/>
    <w:rsid w:val="00980760"/>
    <w:rsid w:val="00981912"/>
    <w:rsid w:val="009819C0"/>
    <w:rsid w:val="00983972"/>
    <w:rsid w:val="009839E0"/>
    <w:rsid w:val="009843AD"/>
    <w:rsid w:val="00985356"/>
    <w:rsid w:val="00986D8A"/>
    <w:rsid w:val="00987A75"/>
    <w:rsid w:val="00991A8A"/>
    <w:rsid w:val="00992611"/>
    <w:rsid w:val="0099322C"/>
    <w:rsid w:val="00994303"/>
    <w:rsid w:val="0099526D"/>
    <w:rsid w:val="009A0054"/>
    <w:rsid w:val="009A0F6E"/>
    <w:rsid w:val="009A3DA2"/>
    <w:rsid w:val="009A5548"/>
    <w:rsid w:val="009B1FFB"/>
    <w:rsid w:val="009B25C1"/>
    <w:rsid w:val="009B6424"/>
    <w:rsid w:val="009B7B79"/>
    <w:rsid w:val="009C0383"/>
    <w:rsid w:val="009C0428"/>
    <w:rsid w:val="009C0641"/>
    <w:rsid w:val="009C145B"/>
    <w:rsid w:val="009C1BBE"/>
    <w:rsid w:val="009C3397"/>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39B0"/>
    <w:rsid w:val="009E4FCE"/>
    <w:rsid w:val="009E522E"/>
    <w:rsid w:val="009E5A26"/>
    <w:rsid w:val="009F0ABA"/>
    <w:rsid w:val="009F0AF5"/>
    <w:rsid w:val="009F5AF8"/>
    <w:rsid w:val="00A02199"/>
    <w:rsid w:val="00A026A4"/>
    <w:rsid w:val="00A03E88"/>
    <w:rsid w:val="00A04044"/>
    <w:rsid w:val="00A10FF4"/>
    <w:rsid w:val="00A11D0C"/>
    <w:rsid w:val="00A16579"/>
    <w:rsid w:val="00A2210E"/>
    <w:rsid w:val="00A22AD7"/>
    <w:rsid w:val="00A24843"/>
    <w:rsid w:val="00A26D48"/>
    <w:rsid w:val="00A31BC8"/>
    <w:rsid w:val="00A31C7C"/>
    <w:rsid w:val="00A34276"/>
    <w:rsid w:val="00A367AA"/>
    <w:rsid w:val="00A37896"/>
    <w:rsid w:val="00A378DF"/>
    <w:rsid w:val="00A37AC6"/>
    <w:rsid w:val="00A410CC"/>
    <w:rsid w:val="00A41D7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2CA6"/>
    <w:rsid w:val="00A73949"/>
    <w:rsid w:val="00A73F24"/>
    <w:rsid w:val="00A75487"/>
    <w:rsid w:val="00A7697E"/>
    <w:rsid w:val="00A76E20"/>
    <w:rsid w:val="00A8284E"/>
    <w:rsid w:val="00A870EE"/>
    <w:rsid w:val="00A90A15"/>
    <w:rsid w:val="00A919E3"/>
    <w:rsid w:val="00A91D91"/>
    <w:rsid w:val="00A92EF0"/>
    <w:rsid w:val="00A959C4"/>
    <w:rsid w:val="00A96F81"/>
    <w:rsid w:val="00A9709D"/>
    <w:rsid w:val="00AA054E"/>
    <w:rsid w:val="00AA0A10"/>
    <w:rsid w:val="00AA2094"/>
    <w:rsid w:val="00AA224C"/>
    <w:rsid w:val="00AA2947"/>
    <w:rsid w:val="00AA39CE"/>
    <w:rsid w:val="00AA3AD3"/>
    <w:rsid w:val="00AA432C"/>
    <w:rsid w:val="00AA7095"/>
    <w:rsid w:val="00AA7D72"/>
    <w:rsid w:val="00AB0674"/>
    <w:rsid w:val="00AB131D"/>
    <w:rsid w:val="00AB13D9"/>
    <w:rsid w:val="00AB1894"/>
    <w:rsid w:val="00AB22DF"/>
    <w:rsid w:val="00AB30EA"/>
    <w:rsid w:val="00AB458B"/>
    <w:rsid w:val="00AB45E4"/>
    <w:rsid w:val="00AB6157"/>
    <w:rsid w:val="00AB7542"/>
    <w:rsid w:val="00AC015C"/>
    <w:rsid w:val="00AC022D"/>
    <w:rsid w:val="00AC0629"/>
    <w:rsid w:val="00AC320E"/>
    <w:rsid w:val="00AC4EF7"/>
    <w:rsid w:val="00AC598A"/>
    <w:rsid w:val="00AC70C7"/>
    <w:rsid w:val="00AC72B3"/>
    <w:rsid w:val="00AC79E0"/>
    <w:rsid w:val="00AD0C06"/>
    <w:rsid w:val="00AD32CE"/>
    <w:rsid w:val="00AD3AD2"/>
    <w:rsid w:val="00AD5187"/>
    <w:rsid w:val="00AD6B11"/>
    <w:rsid w:val="00AD6B34"/>
    <w:rsid w:val="00AD6F90"/>
    <w:rsid w:val="00AE0286"/>
    <w:rsid w:val="00AE1742"/>
    <w:rsid w:val="00AE247F"/>
    <w:rsid w:val="00AE379F"/>
    <w:rsid w:val="00AE4A24"/>
    <w:rsid w:val="00AE4FC7"/>
    <w:rsid w:val="00AE7FC6"/>
    <w:rsid w:val="00AF01E3"/>
    <w:rsid w:val="00AF23AE"/>
    <w:rsid w:val="00AF2EF7"/>
    <w:rsid w:val="00AF3741"/>
    <w:rsid w:val="00AF3B5C"/>
    <w:rsid w:val="00AF44E6"/>
    <w:rsid w:val="00B0014A"/>
    <w:rsid w:val="00B00B50"/>
    <w:rsid w:val="00B00DB2"/>
    <w:rsid w:val="00B013A8"/>
    <w:rsid w:val="00B016E3"/>
    <w:rsid w:val="00B022F8"/>
    <w:rsid w:val="00B02869"/>
    <w:rsid w:val="00B02B0B"/>
    <w:rsid w:val="00B03817"/>
    <w:rsid w:val="00B04283"/>
    <w:rsid w:val="00B054EE"/>
    <w:rsid w:val="00B05BA8"/>
    <w:rsid w:val="00B0741D"/>
    <w:rsid w:val="00B07AD8"/>
    <w:rsid w:val="00B07B20"/>
    <w:rsid w:val="00B1081B"/>
    <w:rsid w:val="00B10C17"/>
    <w:rsid w:val="00B11527"/>
    <w:rsid w:val="00B14F01"/>
    <w:rsid w:val="00B15244"/>
    <w:rsid w:val="00B15525"/>
    <w:rsid w:val="00B15C0B"/>
    <w:rsid w:val="00B174BA"/>
    <w:rsid w:val="00B17AF3"/>
    <w:rsid w:val="00B223B5"/>
    <w:rsid w:val="00B229AD"/>
    <w:rsid w:val="00B237BC"/>
    <w:rsid w:val="00B26EBB"/>
    <w:rsid w:val="00B27499"/>
    <w:rsid w:val="00B322D4"/>
    <w:rsid w:val="00B335C4"/>
    <w:rsid w:val="00B3369E"/>
    <w:rsid w:val="00B33966"/>
    <w:rsid w:val="00B33D9A"/>
    <w:rsid w:val="00B34AC7"/>
    <w:rsid w:val="00B40D81"/>
    <w:rsid w:val="00B424F5"/>
    <w:rsid w:val="00B43167"/>
    <w:rsid w:val="00B435BE"/>
    <w:rsid w:val="00B43A9D"/>
    <w:rsid w:val="00B445B1"/>
    <w:rsid w:val="00B467B0"/>
    <w:rsid w:val="00B47F9B"/>
    <w:rsid w:val="00B50037"/>
    <w:rsid w:val="00B50534"/>
    <w:rsid w:val="00B51FCB"/>
    <w:rsid w:val="00B5260E"/>
    <w:rsid w:val="00B5289B"/>
    <w:rsid w:val="00B52B62"/>
    <w:rsid w:val="00B52E10"/>
    <w:rsid w:val="00B5331D"/>
    <w:rsid w:val="00B543D6"/>
    <w:rsid w:val="00B556B0"/>
    <w:rsid w:val="00B57687"/>
    <w:rsid w:val="00B578E3"/>
    <w:rsid w:val="00B57CE5"/>
    <w:rsid w:val="00B6276D"/>
    <w:rsid w:val="00B648F2"/>
    <w:rsid w:val="00B655D1"/>
    <w:rsid w:val="00B73FF2"/>
    <w:rsid w:val="00B74CBA"/>
    <w:rsid w:val="00B74ED3"/>
    <w:rsid w:val="00B74F4C"/>
    <w:rsid w:val="00B768CF"/>
    <w:rsid w:val="00B81657"/>
    <w:rsid w:val="00B81A44"/>
    <w:rsid w:val="00B86BB5"/>
    <w:rsid w:val="00B91072"/>
    <w:rsid w:val="00B91B6E"/>
    <w:rsid w:val="00B94B2C"/>
    <w:rsid w:val="00B96BA9"/>
    <w:rsid w:val="00B96F7D"/>
    <w:rsid w:val="00B970D0"/>
    <w:rsid w:val="00BA49F4"/>
    <w:rsid w:val="00BA57B8"/>
    <w:rsid w:val="00BA5885"/>
    <w:rsid w:val="00BA5C41"/>
    <w:rsid w:val="00BA6ACA"/>
    <w:rsid w:val="00BA7232"/>
    <w:rsid w:val="00BA7809"/>
    <w:rsid w:val="00BB0486"/>
    <w:rsid w:val="00BB3B36"/>
    <w:rsid w:val="00BB449C"/>
    <w:rsid w:val="00BB44D7"/>
    <w:rsid w:val="00BB5E1F"/>
    <w:rsid w:val="00BC2561"/>
    <w:rsid w:val="00BC3E3E"/>
    <w:rsid w:val="00BC422A"/>
    <w:rsid w:val="00BC5128"/>
    <w:rsid w:val="00BC5608"/>
    <w:rsid w:val="00BD04C9"/>
    <w:rsid w:val="00BD3536"/>
    <w:rsid w:val="00BD37FD"/>
    <w:rsid w:val="00BE0B46"/>
    <w:rsid w:val="00BE225E"/>
    <w:rsid w:val="00BE22A4"/>
    <w:rsid w:val="00BE237E"/>
    <w:rsid w:val="00BE3703"/>
    <w:rsid w:val="00BE3801"/>
    <w:rsid w:val="00BE5210"/>
    <w:rsid w:val="00BE567F"/>
    <w:rsid w:val="00BE6692"/>
    <w:rsid w:val="00BF09CA"/>
    <w:rsid w:val="00BF0A29"/>
    <w:rsid w:val="00BF25CD"/>
    <w:rsid w:val="00BF5067"/>
    <w:rsid w:val="00BF5553"/>
    <w:rsid w:val="00BF75CD"/>
    <w:rsid w:val="00C00F1C"/>
    <w:rsid w:val="00C0346D"/>
    <w:rsid w:val="00C0358F"/>
    <w:rsid w:val="00C03BB0"/>
    <w:rsid w:val="00C041CF"/>
    <w:rsid w:val="00C0696A"/>
    <w:rsid w:val="00C06BF3"/>
    <w:rsid w:val="00C12034"/>
    <w:rsid w:val="00C1396B"/>
    <w:rsid w:val="00C1698A"/>
    <w:rsid w:val="00C17E6C"/>
    <w:rsid w:val="00C21AE0"/>
    <w:rsid w:val="00C249CC"/>
    <w:rsid w:val="00C24E5F"/>
    <w:rsid w:val="00C255B6"/>
    <w:rsid w:val="00C26F3A"/>
    <w:rsid w:val="00C2770B"/>
    <w:rsid w:val="00C30296"/>
    <w:rsid w:val="00C303F4"/>
    <w:rsid w:val="00C3170E"/>
    <w:rsid w:val="00C31947"/>
    <w:rsid w:val="00C40053"/>
    <w:rsid w:val="00C4294D"/>
    <w:rsid w:val="00C444C8"/>
    <w:rsid w:val="00C452DD"/>
    <w:rsid w:val="00C45856"/>
    <w:rsid w:val="00C46603"/>
    <w:rsid w:val="00C50C44"/>
    <w:rsid w:val="00C53040"/>
    <w:rsid w:val="00C53625"/>
    <w:rsid w:val="00C54316"/>
    <w:rsid w:val="00C55208"/>
    <w:rsid w:val="00C5527D"/>
    <w:rsid w:val="00C61B1A"/>
    <w:rsid w:val="00C62A53"/>
    <w:rsid w:val="00C64D31"/>
    <w:rsid w:val="00C709F9"/>
    <w:rsid w:val="00C73A70"/>
    <w:rsid w:val="00C74866"/>
    <w:rsid w:val="00C74A26"/>
    <w:rsid w:val="00C76054"/>
    <w:rsid w:val="00C779A2"/>
    <w:rsid w:val="00C80546"/>
    <w:rsid w:val="00C83CAD"/>
    <w:rsid w:val="00C8419E"/>
    <w:rsid w:val="00C851D7"/>
    <w:rsid w:val="00C85C8B"/>
    <w:rsid w:val="00C867AD"/>
    <w:rsid w:val="00C868E0"/>
    <w:rsid w:val="00C877EE"/>
    <w:rsid w:val="00C87F9F"/>
    <w:rsid w:val="00C94869"/>
    <w:rsid w:val="00C9531B"/>
    <w:rsid w:val="00C9545D"/>
    <w:rsid w:val="00C9625C"/>
    <w:rsid w:val="00C96DE6"/>
    <w:rsid w:val="00C978C6"/>
    <w:rsid w:val="00C97F2A"/>
    <w:rsid w:val="00CA112D"/>
    <w:rsid w:val="00CA154E"/>
    <w:rsid w:val="00CA1F9F"/>
    <w:rsid w:val="00CA2179"/>
    <w:rsid w:val="00CA3D8A"/>
    <w:rsid w:val="00CA4308"/>
    <w:rsid w:val="00CA44A3"/>
    <w:rsid w:val="00CB4B3E"/>
    <w:rsid w:val="00CB50EF"/>
    <w:rsid w:val="00CB623F"/>
    <w:rsid w:val="00CB791A"/>
    <w:rsid w:val="00CB7D1B"/>
    <w:rsid w:val="00CC11DF"/>
    <w:rsid w:val="00CC1551"/>
    <w:rsid w:val="00CC1A6E"/>
    <w:rsid w:val="00CC37C2"/>
    <w:rsid w:val="00CC3F62"/>
    <w:rsid w:val="00CC536E"/>
    <w:rsid w:val="00CC59DD"/>
    <w:rsid w:val="00CC7FC6"/>
    <w:rsid w:val="00CD134C"/>
    <w:rsid w:val="00CD47B2"/>
    <w:rsid w:val="00CD5AFD"/>
    <w:rsid w:val="00CD68BE"/>
    <w:rsid w:val="00CD74EB"/>
    <w:rsid w:val="00CE49F8"/>
    <w:rsid w:val="00CE4E1E"/>
    <w:rsid w:val="00CE64E3"/>
    <w:rsid w:val="00CE66B5"/>
    <w:rsid w:val="00CF52DF"/>
    <w:rsid w:val="00CF5504"/>
    <w:rsid w:val="00CF5832"/>
    <w:rsid w:val="00CF5911"/>
    <w:rsid w:val="00CF7221"/>
    <w:rsid w:val="00CF724E"/>
    <w:rsid w:val="00D0004E"/>
    <w:rsid w:val="00D01784"/>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6755"/>
    <w:rsid w:val="00D27150"/>
    <w:rsid w:val="00D27EB3"/>
    <w:rsid w:val="00D354DB"/>
    <w:rsid w:val="00D35E02"/>
    <w:rsid w:val="00D41425"/>
    <w:rsid w:val="00D4152B"/>
    <w:rsid w:val="00D437A4"/>
    <w:rsid w:val="00D46275"/>
    <w:rsid w:val="00D467CA"/>
    <w:rsid w:val="00D4735B"/>
    <w:rsid w:val="00D4759B"/>
    <w:rsid w:val="00D500A4"/>
    <w:rsid w:val="00D51205"/>
    <w:rsid w:val="00D516FC"/>
    <w:rsid w:val="00D51F2D"/>
    <w:rsid w:val="00D535EE"/>
    <w:rsid w:val="00D54FC4"/>
    <w:rsid w:val="00D574C1"/>
    <w:rsid w:val="00D57615"/>
    <w:rsid w:val="00D577C9"/>
    <w:rsid w:val="00D60020"/>
    <w:rsid w:val="00D60043"/>
    <w:rsid w:val="00D606B7"/>
    <w:rsid w:val="00D61A94"/>
    <w:rsid w:val="00D62282"/>
    <w:rsid w:val="00D624D6"/>
    <w:rsid w:val="00D6356C"/>
    <w:rsid w:val="00D64A32"/>
    <w:rsid w:val="00D6553A"/>
    <w:rsid w:val="00D657CA"/>
    <w:rsid w:val="00D67CCC"/>
    <w:rsid w:val="00D70301"/>
    <w:rsid w:val="00D73338"/>
    <w:rsid w:val="00D76073"/>
    <w:rsid w:val="00D775F3"/>
    <w:rsid w:val="00D77868"/>
    <w:rsid w:val="00D77870"/>
    <w:rsid w:val="00D77F25"/>
    <w:rsid w:val="00D81C6D"/>
    <w:rsid w:val="00D84C2A"/>
    <w:rsid w:val="00D879EC"/>
    <w:rsid w:val="00D9064B"/>
    <w:rsid w:val="00D96AF1"/>
    <w:rsid w:val="00D978C6"/>
    <w:rsid w:val="00DA03F6"/>
    <w:rsid w:val="00DA134A"/>
    <w:rsid w:val="00DA1A2E"/>
    <w:rsid w:val="00DA3413"/>
    <w:rsid w:val="00DA426E"/>
    <w:rsid w:val="00DA4339"/>
    <w:rsid w:val="00DA43C5"/>
    <w:rsid w:val="00DA4B1B"/>
    <w:rsid w:val="00DA4EFC"/>
    <w:rsid w:val="00DA648D"/>
    <w:rsid w:val="00DA726D"/>
    <w:rsid w:val="00DB3DEA"/>
    <w:rsid w:val="00DB40BD"/>
    <w:rsid w:val="00DB4B8E"/>
    <w:rsid w:val="00DB4F4B"/>
    <w:rsid w:val="00DC070F"/>
    <w:rsid w:val="00DC3858"/>
    <w:rsid w:val="00DC3A57"/>
    <w:rsid w:val="00DC7A95"/>
    <w:rsid w:val="00DD23D0"/>
    <w:rsid w:val="00DD33E9"/>
    <w:rsid w:val="00DD3E85"/>
    <w:rsid w:val="00DD55C2"/>
    <w:rsid w:val="00DD759E"/>
    <w:rsid w:val="00DE2AAA"/>
    <w:rsid w:val="00DE314E"/>
    <w:rsid w:val="00DE4CFB"/>
    <w:rsid w:val="00DF045B"/>
    <w:rsid w:val="00DF1ED8"/>
    <w:rsid w:val="00DF3785"/>
    <w:rsid w:val="00DF3D27"/>
    <w:rsid w:val="00DF6074"/>
    <w:rsid w:val="00DF6D25"/>
    <w:rsid w:val="00E02239"/>
    <w:rsid w:val="00E027EB"/>
    <w:rsid w:val="00E047EC"/>
    <w:rsid w:val="00E05097"/>
    <w:rsid w:val="00E07D42"/>
    <w:rsid w:val="00E163E9"/>
    <w:rsid w:val="00E22458"/>
    <w:rsid w:val="00E2380F"/>
    <w:rsid w:val="00E23C0A"/>
    <w:rsid w:val="00E240F5"/>
    <w:rsid w:val="00E24692"/>
    <w:rsid w:val="00E27F52"/>
    <w:rsid w:val="00E30004"/>
    <w:rsid w:val="00E31A39"/>
    <w:rsid w:val="00E333AC"/>
    <w:rsid w:val="00E3456B"/>
    <w:rsid w:val="00E35C16"/>
    <w:rsid w:val="00E36085"/>
    <w:rsid w:val="00E36813"/>
    <w:rsid w:val="00E42382"/>
    <w:rsid w:val="00E52A97"/>
    <w:rsid w:val="00E5509F"/>
    <w:rsid w:val="00E603DF"/>
    <w:rsid w:val="00E63745"/>
    <w:rsid w:val="00E66831"/>
    <w:rsid w:val="00E6699F"/>
    <w:rsid w:val="00E67B40"/>
    <w:rsid w:val="00E7022E"/>
    <w:rsid w:val="00E703AE"/>
    <w:rsid w:val="00E72373"/>
    <w:rsid w:val="00E76AF9"/>
    <w:rsid w:val="00E84EF0"/>
    <w:rsid w:val="00E8649C"/>
    <w:rsid w:val="00E87886"/>
    <w:rsid w:val="00E87CDE"/>
    <w:rsid w:val="00E914D2"/>
    <w:rsid w:val="00E91FC1"/>
    <w:rsid w:val="00E92D54"/>
    <w:rsid w:val="00E9323C"/>
    <w:rsid w:val="00E95FD8"/>
    <w:rsid w:val="00EA0283"/>
    <w:rsid w:val="00EA5B5E"/>
    <w:rsid w:val="00EA5DE1"/>
    <w:rsid w:val="00EA797D"/>
    <w:rsid w:val="00EB0C86"/>
    <w:rsid w:val="00EB0E16"/>
    <w:rsid w:val="00EB142E"/>
    <w:rsid w:val="00EB236F"/>
    <w:rsid w:val="00EB237E"/>
    <w:rsid w:val="00EB7C7A"/>
    <w:rsid w:val="00EC1546"/>
    <w:rsid w:val="00EC5B23"/>
    <w:rsid w:val="00EC5DED"/>
    <w:rsid w:val="00EC6BD8"/>
    <w:rsid w:val="00ED0356"/>
    <w:rsid w:val="00ED0D71"/>
    <w:rsid w:val="00ED3625"/>
    <w:rsid w:val="00ED3DCD"/>
    <w:rsid w:val="00ED3DD5"/>
    <w:rsid w:val="00ED56BE"/>
    <w:rsid w:val="00ED74D7"/>
    <w:rsid w:val="00ED7E2F"/>
    <w:rsid w:val="00EE40F8"/>
    <w:rsid w:val="00EE6DD6"/>
    <w:rsid w:val="00EF0867"/>
    <w:rsid w:val="00EF1A10"/>
    <w:rsid w:val="00EF1A9F"/>
    <w:rsid w:val="00EF1B27"/>
    <w:rsid w:val="00EF4370"/>
    <w:rsid w:val="00EF5AD7"/>
    <w:rsid w:val="00F015EA"/>
    <w:rsid w:val="00F03FA7"/>
    <w:rsid w:val="00F048EF"/>
    <w:rsid w:val="00F06AAD"/>
    <w:rsid w:val="00F141B6"/>
    <w:rsid w:val="00F146BE"/>
    <w:rsid w:val="00F22013"/>
    <w:rsid w:val="00F22356"/>
    <w:rsid w:val="00F226E0"/>
    <w:rsid w:val="00F2522F"/>
    <w:rsid w:val="00F2682D"/>
    <w:rsid w:val="00F27354"/>
    <w:rsid w:val="00F30180"/>
    <w:rsid w:val="00F31A29"/>
    <w:rsid w:val="00F3279A"/>
    <w:rsid w:val="00F34D2A"/>
    <w:rsid w:val="00F36188"/>
    <w:rsid w:val="00F3690F"/>
    <w:rsid w:val="00F37236"/>
    <w:rsid w:val="00F440B4"/>
    <w:rsid w:val="00F44634"/>
    <w:rsid w:val="00F468E5"/>
    <w:rsid w:val="00F46F54"/>
    <w:rsid w:val="00F503B1"/>
    <w:rsid w:val="00F505EC"/>
    <w:rsid w:val="00F5088F"/>
    <w:rsid w:val="00F51657"/>
    <w:rsid w:val="00F520A5"/>
    <w:rsid w:val="00F5223C"/>
    <w:rsid w:val="00F57787"/>
    <w:rsid w:val="00F61E82"/>
    <w:rsid w:val="00F6243A"/>
    <w:rsid w:val="00F63323"/>
    <w:rsid w:val="00F636FE"/>
    <w:rsid w:val="00F648B2"/>
    <w:rsid w:val="00F650DC"/>
    <w:rsid w:val="00F67EBD"/>
    <w:rsid w:val="00F70EA4"/>
    <w:rsid w:val="00F77851"/>
    <w:rsid w:val="00F80619"/>
    <w:rsid w:val="00F80FAB"/>
    <w:rsid w:val="00F80FE9"/>
    <w:rsid w:val="00F813F2"/>
    <w:rsid w:val="00F81493"/>
    <w:rsid w:val="00F81E3B"/>
    <w:rsid w:val="00F827E1"/>
    <w:rsid w:val="00F927B5"/>
    <w:rsid w:val="00F9362D"/>
    <w:rsid w:val="00F94BD0"/>
    <w:rsid w:val="00F95403"/>
    <w:rsid w:val="00F96705"/>
    <w:rsid w:val="00F96750"/>
    <w:rsid w:val="00F9704D"/>
    <w:rsid w:val="00FA0166"/>
    <w:rsid w:val="00FA2400"/>
    <w:rsid w:val="00FA33E9"/>
    <w:rsid w:val="00FA55C8"/>
    <w:rsid w:val="00FA6D92"/>
    <w:rsid w:val="00FA74C6"/>
    <w:rsid w:val="00FB24ED"/>
    <w:rsid w:val="00FB29AF"/>
    <w:rsid w:val="00FB313D"/>
    <w:rsid w:val="00FB4003"/>
    <w:rsid w:val="00FB4EBA"/>
    <w:rsid w:val="00FB7086"/>
    <w:rsid w:val="00FC22A1"/>
    <w:rsid w:val="00FC4F52"/>
    <w:rsid w:val="00FC589E"/>
    <w:rsid w:val="00FC6733"/>
    <w:rsid w:val="00FC7B7F"/>
    <w:rsid w:val="00FC7BFB"/>
    <w:rsid w:val="00FD2677"/>
    <w:rsid w:val="00FD28B8"/>
    <w:rsid w:val="00FD50D4"/>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15:docId w15:val="{B6DD53ED-2087-41C6-80C3-10A559FA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4D4928"/>
    <w:pPr>
      <w:numPr>
        <w:numId w:val="20"/>
      </w:numPr>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4D4928"/>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utMSCIBody">
    <w:name w:val="About MSCI Body"/>
    <w:basedOn w:val="BodyText"/>
    <w:rsid w:val="00BE22A4"/>
    <w:pPr>
      <w:spacing w:after="120"/>
      <w:jc w:val="both"/>
    </w:pPr>
    <w:rPr>
      <w:rFonts w:ascii="Calibri" w:hAnsi="Calibri"/>
      <w:sz w:val="18"/>
      <w:szCs w:val="14"/>
      <w:lang w:val="en-US" w:eastAsia="en-US"/>
    </w:rPr>
  </w:style>
  <w:style w:type="character" w:styleId="UnresolvedMention">
    <w:name w:val="Unresolved Mention"/>
    <w:basedOn w:val="DefaultParagraphFont"/>
    <w:uiPriority w:val="99"/>
    <w:unhideWhenUsed/>
    <w:rsid w:val="0012757B"/>
    <w:rPr>
      <w:color w:val="605E5C"/>
      <w:shd w:val="clear" w:color="auto" w:fill="E1DFDD"/>
    </w:rPr>
  </w:style>
  <w:style w:type="character" w:styleId="Mention">
    <w:name w:val="Mention"/>
    <w:basedOn w:val="DefaultParagraphFont"/>
    <w:uiPriority w:val="99"/>
    <w:unhideWhenUsed/>
    <w:rsid w:val="001275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06897390">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51206796">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26662287">
      <w:bodyDiv w:val="1"/>
      <w:marLeft w:val="0"/>
      <w:marRight w:val="0"/>
      <w:marTop w:val="0"/>
      <w:marBottom w:val="0"/>
      <w:divBdr>
        <w:top w:val="none" w:sz="0" w:space="0" w:color="auto"/>
        <w:left w:val="none" w:sz="0" w:space="0" w:color="auto"/>
        <w:bottom w:val="none" w:sz="0" w:space="0" w:color="auto"/>
        <w:right w:val="none" w:sz="0" w:space="0" w:color="auto"/>
      </w:divBdr>
      <w:divsChild>
        <w:div w:id="832527510">
          <w:marLeft w:val="0"/>
          <w:marRight w:val="0"/>
          <w:marTop w:val="0"/>
          <w:marBottom w:val="0"/>
          <w:divBdr>
            <w:top w:val="none" w:sz="0" w:space="0" w:color="auto"/>
            <w:left w:val="none" w:sz="0" w:space="0" w:color="auto"/>
            <w:bottom w:val="none" w:sz="0" w:space="0" w:color="auto"/>
            <w:right w:val="none" w:sz="0" w:space="0" w:color="auto"/>
          </w:divBdr>
        </w:div>
      </w:divsChild>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58903051">
      <w:bodyDiv w:val="1"/>
      <w:marLeft w:val="0"/>
      <w:marRight w:val="0"/>
      <w:marTop w:val="0"/>
      <w:marBottom w:val="0"/>
      <w:divBdr>
        <w:top w:val="none" w:sz="0" w:space="0" w:color="auto"/>
        <w:left w:val="none" w:sz="0" w:space="0" w:color="auto"/>
        <w:bottom w:val="none" w:sz="0" w:space="0" w:color="auto"/>
        <w:right w:val="none" w:sz="0" w:space="0" w:color="auto"/>
      </w:divBdr>
      <w:divsChild>
        <w:div w:id="865019621">
          <w:marLeft w:val="0"/>
          <w:marRight w:val="0"/>
          <w:marTop w:val="0"/>
          <w:marBottom w:val="0"/>
          <w:divBdr>
            <w:top w:val="none" w:sz="0" w:space="0" w:color="auto"/>
            <w:left w:val="none" w:sz="0" w:space="0" w:color="auto"/>
            <w:bottom w:val="none" w:sz="0" w:space="0" w:color="auto"/>
            <w:right w:val="none" w:sz="0" w:space="0" w:color="auto"/>
          </w:divBdr>
        </w:div>
      </w:divsChild>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868764">
      <w:bodyDiv w:val="1"/>
      <w:marLeft w:val="0"/>
      <w:marRight w:val="0"/>
      <w:marTop w:val="0"/>
      <w:marBottom w:val="0"/>
      <w:divBdr>
        <w:top w:val="none" w:sz="0" w:space="0" w:color="auto"/>
        <w:left w:val="none" w:sz="0" w:space="0" w:color="auto"/>
        <w:bottom w:val="none" w:sz="0" w:space="0" w:color="auto"/>
        <w:right w:val="none" w:sz="0" w:space="0" w:color="auto"/>
      </w:divBdr>
      <w:divsChild>
        <w:div w:id="626203010">
          <w:marLeft w:val="0"/>
          <w:marRight w:val="0"/>
          <w:marTop w:val="0"/>
          <w:marBottom w:val="0"/>
          <w:divBdr>
            <w:top w:val="none" w:sz="0" w:space="0" w:color="auto"/>
            <w:left w:val="none" w:sz="0" w:space="0" w:color="auto"/>
            <w:bottom w:val="none" w:sz="0" w:space="0" w:color="auto"/>
            <w:right w:val="none" w:sz="0" w:space="0" w:color="auto"/>
          </w:divBdr>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62838649">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62447230">
      <w:bodyDiv w:val="1"/>
      <w:marLeft w:val="0"/>
      <w:marRight w:val="0"/>
      <w:marTop w:val="0"/>
      <w:marBottom w:val="0"/>
      <w:divBdr>
        <w:top w:val="none" w:sz="0" w:space="0" w:color="auto"/>
        <w:left w:val="none" w:sz="0" w:space="0" w:color="auto"/>
        <w:bottom w:val="none" w:sz="0" w:space="0" w:color="auto"/>
        <w:right w:val="none" w:sz="0" w:space="0" w:color="auto"/>
      </w:divBdr>
    </w:div>
    <w:div w:id="1612933487">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20665228">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hyperlink" Target="http://www.msci.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sci.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6dd788-df36-4d0f-b4c7-d6f160943121">
      <UserInfo>
        <DisplayName>Taranenko, Pavlo</DisplayName>
        <AccountId>18</AccountId>
        <AccountType/>
      </UserInfo>
      <UserInfo>
        <DisplayName>Dabake, Neeraj</DisplayName>
        <AccountId>21</AccountId>
        <AccountType/>
      </UserInfo>
      <UserInfo>
        <DisplayName>Kulkarni, Padmakar</DisplayName>
        <AccountId>19</AccountId>
        <AccountType/>
      </UserInfo>
      <UserInfo>
        <DisplayName>Bhatt, Sameer</DisplayName>
        <AccountId>23</AccountId>
        <AccountType/>
      </UserInfo>
      <UserInfo>
        <DisplayName>G G, Hariharan</DisplayName>
        <AccountId>26</AccountId>
        <AccountType/>
      </UserInfo>
      <UserInfo>
        <DisplayName>Smith, Keith</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FFB61B6C7E9448CDEF8EFE1A5E13F" ma:contentTypeVersion="11" ma:contentTypeDescription="Create a new document." ma:contentTypeScope="" ma:versionID="1d0af3f91cdf2a2bdcfd29b843dd6e1f">
  <xsd:schema xmlns:xsd="http://www.w3.org/2001/XMLSchema" xmlns:xs="http://www.w3.org/2001/XMLSchema" xmlns:p="http://schemas.microsoft.com/office/2006/metadata/properties" xmlns:ns3="057c0806-b220-49b4-b549-af0c9c837973" xmlns:ns4="636dd788-df36-4d0f-b4c7-d6f160943121" targetNamespace="http://schemas.microsoft.com/office/2006/metadata/properties" ma:root="true" ma:fieldsID="1d6d3b0e628ea00edb03f35ad76eace2" ns3:_="" ns4:_="">
    <xsd:import namespace="057c0806-b220-49b4-b549-af0c9c837973"/>
    <xsd:import namespace="636dd788-df36-4d0f-b4c7-d6f1609431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c0806-b220-49b4-b549-af0c9c837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d788-df36-4d0f-b4c7-d6f1609431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documentManagement/types"/>
    <ds:schemaRef ds:uri="http://purl.org/dc/terms/"/>
    <ds:schemaRef ds:uri="057c0806-b220-49b4-b549-af0c9c837973"/>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36dd788-df36-4d0f-b4c7-d6f160943121"/>
    <ds:schemaRef ds:uri="http://www.w3.org/XML/1998/namespace"/>
  </ds:schemaRefs>
</ds:datastoreItem>
</file>

<file path=customXml/itemProps3.xml><?xml version="1.0" encoding="utf-8"?>
<ds:datastoreItem xmlns:ds="http://schemas.openxmlformats.org/officeDocument/2006/customXml" ds:itemID="{85A03DF8-FC6B-438F-8FC5-BE05D01D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c0806-b220-49b4-b549-af0c9c837973"/>
    <ds:schemaRef ds:uri="636dd788-df36-4d0f-b4c7-d6f160943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A55E7-AFC9-480D-86E6-2ABF699E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23</TotalTime>
  <Pages>9</Pages>
  <Words>2416</Words>
  <Characters>13773</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Shanbhogue, Ramesh</cp:lastModifiedBy>
  <cp:revision>14</cp:revision>
  <cp:lastPrinted>2017-07-24T02:17:00Z</cp:lastPrinted>
  <dcterms:created xsi:type="dcterms:W3CDTF">2020-06-08T11:02:00Z</dcterms:created>
  <dcterms:modified xsi:type="dcterms:W3CDTF">2020-06-08T12:53:00Z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0x010100239FFB61B6C7E9448CDEF8EFE1A5E13F</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y fmtid="{D5CDD505-2E9C-101B-9397-08002B2CF9AE}" pid="18" name="MSIP_Label_b60f8386-55a0-404e-9dce-4d5bc8b309d8_Enabled">
    <vt:lpwstr>True</vt:lpwstr>
  </property>
  <property fmtid="{D5CDD505-2E9C-101B-9397-08002B2CF9AE}" pid="19" name="MSIP_Label_b60f8386-55a0-404e-9dce-4d5bc8b309d8_SiteId">
    <vt:lpwstr>7a9376d4-7c43-480f-82ba-a090647f651d</vt:lpwstr>
  </property>
  <property fmtid="{D5CDD505-2E9C-101B-9397-08002B2CF9AE}" pid="20" name="MSIP_Label_b60f8386-55a0-404e-9dce-4d5bc8b309d8_Owner">
    <vt:lpwstr>jamie.pawliczek@msci.com</vt:lpwstr>
  </property>
  <property fmtid="{D5CDD505-2E9C-101B-9397-08002B2CF9AE}" pid="21" name="MSIP_Label_b60f8386-55a0-404e-9dce-4d5bc8b309d8_SetDate">
    <vt:lpwstr>2020-05-18T09:57:20.4738854Z</vt:lpwstr>
  </property>
  <property fmtid="{D5CDD505-2E9C-101B-9397-08002B2CF9AE}" pid="22" name="MSIP_Label_b60f8386-55a0-404e-9dce-4d5bc8b309d8_Name">
    <vt:lpwstr>General</vt:lpwstr>
  </property>
  <property fmtid="{D5CDD505-2E9C-101B-9397-08002B2CF9AE}" pid="23" name="MSIP_Label_b60f8386-55a0-404e-9dce-4d5bc8b309d8_Application">
    <vt:lpwstr>Microsoft Azure Information Protection</vt:lpwstr>
  </property>
  <property fmtid="{D5CDD505-2E9C-101B-9397-08002B2CF9AE}" pid="24" name="MSIP_Label_b60f8386-55a0-404e-9dce-4d5bc8b309d8_ActionId">
    <vt:lpwstr>a1748cc8-aa37-4964-9e41-c2ae80e9a7cc</vt:lpwstr>
  </property>
  <property fmtid="{D5CDD505-2E9C-101B-9397-08002B2CF9AE}" pid="25" name="MSIP_Label_b60f8386-55a0-404e-9dce-4d5bc8b309d8_Extended_MSFT_Method">
    <vt:lpwstr>Automatic</vt:lpwstr>
  </property>
  <property fmtid="{D5CDD505-2E9C-101B-9397-08002B2CF9AE}" pid="26" name="Sensitivity">
    <vt:lpwstr>General</vt:lpwstr>
  </property>
</Properties>
</file>