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Subtitle"/>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866CA69" w:rsidR="00C85C8B" w:rsidRPr="00C85C8B" w:rsidRDefault="00B61F07" w:rsidP="00B61F07">
                <w:pPr>
                  <w:rPr>
                    <w:rFonts w:ascii="Arial" w:hAnsi="Arial" w:cs="Arial"/>
                    <w:color w:val="808080"/>
                    <w:sz w:val="20"/>
                    <w:lang w:eastAsia="de-DE"/>
                  </w:rPr>
                </w:pPr>
                <w:r>
                  <w:rPr>
                    <w:rFonts w:ascii="Arial" w:hAnsi="Arial" w:cs="Arial"/>
                    <w:color w:val="808080"/>
                    <w:sz w:val="20"/>
                    <w:lang w:eastAsia="de-DE"/>
                  </w:rPr>
                  <w:t>Cboe Europe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94801AF" w:rsidR="00C85C8B" w:rsidRPr="00C85C8B" w:rsidRDefault="002A74E4"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61F07">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AFEB885" w:rsidR="00C85C8B" w:rsidRPr="00C85C8B" w:rsidRDefault="00B61F07"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1C3935F" w:rsidR="00C85C8B" w:rsidRPr="00C85C8B" w:rsidRDefault="00B61F07"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71650A6C" w14:textId="02F19332" w:rsidR="00B61F07" w:rsidRPr="00B81704" w:rsidRDefault="00B61F07" w:rsidP="00CC4254">
      <w:permStart w:id="885457707" w:edGrp="everyone"/>
      <w:r w:rsidRPr="00B81704">
        <w:t>While the proposed technical standards address the need for proportionality, we would suggest that consideration be given to further implement</w:t>
      </w:r>
      <w:r w:rsidR="002A74E4">
        <w:t>ation of</w:t>
      </w:r>
      <w:r w:rsidRPr="00B81704">
        <w:t xml:space="preserve"> a risk-based approach, tying the risk of manipulation to the imposed requirements of the regulation.  The scope of each requirement should be right sized to the respective administrators of non-significant, significant and critical benchmarks.  There are also </w:t>
      </w:r>
      <w:r>
        <w:t>limited</w:t>
      </w:r>
      <w:r w:rsidRPr="00802560">
        <w:t xml:space="preserve"> exceptions</w:t>
      </w:r>
      <w:r w:rsidRPr="00B81704">
        <w:t xml:space="preserve"> for regulated data benchmarks which are significantly less prone to manipulat</w:t>
      </w:r>
      <w:r>
        <w:t>ion (e.g., reporting of infringements). However, we believe the scope and depth of the additional obligations should be proportionate to the use, nature, complexity and inherent risk of the benchmark and underlying input data.  It would be appropriate to expand the exemptions to include administrators of non-significant (including those that are not regulated data) benchmarks where the data is derived from transaction input data</w:t>
      </w:r>
      <w:r w:rsidRPr="00B81704">
        <w:t>.</w:t>
      </w:r>
      <w:r>
        <w:t xml:space="preserve">  As ESMA is aware, there are a number of uncertainties relating to the definition of regulated data benchmarks and the NCAs have at times applied this definition inconsistently.  Further, there are a number of third country benchmarks that are derived from non-EU trading venues that are not deemed equivalent and thus not qualified as regulated data benchmarks under the BMR.  Additionally, </w:t>
      </w:r>
      <w:r w:rsidRPr="002E770D">
        <w:t>earlier this year, because of a political decision, the equivalence previously granted for Swiss venues was withdrawn. This decision had nothing to do with</w:t>
      </w:r>
      <w:r w:rsidR="002A74E4">
        <w:t xml:space="preserve"> integrity and reliability of</w:t>
      </w:r>
      <w:r w:rsidRPr="002E770D">
        <w:t xml:space="preserve"> the regulatory environment overseeing the Swiss-based equities trading. As a result of this decision, a select set of benchmarks across Europe went from regulated to non-regulated overnight. </w:t>
      </w:r>
      <w:r>
        <w:t>With respect to the draft technical standards, it would be more proportionate based on the complexity and inherent risks to impose the additional, more stringent requirements to benchmark administrators utilising contributor data.</w:t>
      </w:r>
      <w:r w:rsidRPr="00B81704">
        <w:t xml:space="preserve">  </w:t>
      </w:r>
      <w:r>
        <w:t>N</w:t>
      </w:r>
      <w:r w:rsidRPr="00DE6DBB">
        <w:t>on-significant benchmarks incorporate a wide breadth of varied indices and not all benchmarks in that category should be treated uniformly</w:t>
      </w:r>
      <w:r>
        <w:t>; all</w:t>
      </w:r>
      <w:r w:rsidRPr="00DE6DBB">
        <w:t xml:space="preserve"> exemptions</w:t>
      </w:r>
      <w:r>
        <w:t xml:space="preserve"> and additional requirements</w:t>
      </w:r>
      <w:r w:rsidRPr="00DE6DBB">
        <w:t xml:space="preserve"> should take into account the </w:t>
      </w:r>
      <w:r>
        <w:t xml:space="preserve">use, nature, complexity and inherent risk </w:t>
      </w:r>
      <w:r w:rsidRPr="00DE6DBB">
        <w:t xml:space="preserve">of the benchmark </w:t>
      </w:r>
      <w:r>
        <w:t>and underlying input data. Further, i</w:t>
      </w:r>
      <w:r w:rsidRPr="00B81704">
        <w:t xml:space="preserve">n </w:t>
      </w:r>
      <w:r w:rsidRPr="00B81704">
        <w:lastRenderedPageBreak/>
        <w:t>the few allotted areas where relief is given to administrators of non-</w:t>
      </w:r>
      <w:r w:rsidRPr="00802560">
        <w:t>significant benchmarks</w:t>
      </w:r>
      <w:r w:rsidRPr="00B81704">
        <w:t xml:space="preserve">, </w:t>
      </w:r>
      <w:r>
        <w:t xml:space="preserve">it is unclear what </w:t>
      </w:r>
      <w:r w:rsidRPr="00B81704">
        <w:t xml:space="preserve">level of information </w:t>
      </w:r>
      <w:r>
        <w:t xml:space="preserve">will be </w:t>
      </w:r>
      <w:r w:rsidRPr="00B81704">
        <w:t>necessary to take advantage of the relief</w:t>
      </w:r>
      <w:r>
        <w:t xml:space="preserve"> and whether that burden of production would dilute </w:t>
      </w:r>
      <w:r w:rsidRPr="00B81704">
        <w:t xml:space="preserve">the benefit for </w:t>
      </w:r>
      <w:r>
        <w:t>the less stringent requirement</w:t>
      </w:r>
      <w:r w:rsidRPr="00B81704">
        <w:t>.</w:t>
      </w:r>
    </w:p>
    <w:p w14:paraId="10208866" w14:textId="77777777" w:rsidR="00B61F07" w:rsidRDefault="00B61F07" w:rsidP="00CC4254"/>
    <w:p w14:paraId="79BA2AAD" w14:textId="77777777" w:rsidR="00B61F07" w:rsidRDefault="00B61F07" w:rsidP="00C85C8B">
      <w:pPr>
        <w:spacing w:after="250" w:line="276" w:lineRule="auto"/>
        <w:jc w:val="both"/>
      </w:pPr>
      <w:r w:rsidRPr="00B81704">
        <w:t xml:space="preserve">We would also emphasize that while smaller administrators may have more limited resources, larger group companies should not be unfairly disadvantaged.  In fact, the treatment of larger group companies should </w:t>
      </w:r>
      <w:r>
        <w:t xml:space="preserve">take into account that </w:t>
      </w:r>
      <w:r w:rsidRPr="00B81704">
        <w:t xml:space="preserve">they are able to draw upon more extensive resources and typically have significant controls in place.  Centralised and independent control functions, including compliance, risk and internal audit, typically render a larger group company less prone to manipulation than a smaller firm.  </w:t>
      </w:r>
    </w:p>
    <w:p w14:paraId="15D00E65" w14:textId="0D406047" w:rsidR="00C85C8B" w:rsidRPr="00C85C8B" w:rsidRDefault="00B61F07" w:rsidP="00C85C8B">
      <w:pPr>
        <w:spacing w:after="250" w:line="276" w:lineRule="auto"/>
        <w:jc w:val="both"/>
        <w:rPr>
          <w:rFonts w:asciiTheme="minorHAnsi" w:eastAsiaTheme="minorEastAsia" w:hAnsiTheme="minorHAnsi" w:cstheme="minorBidi"/>
          <w:sz w:val="22"/>
          <w:szCs w:val="20"/>
          <w:lang w:eastAsia="en-US"/>
        </w:rPr>
      </w:pPr>
      <w:r w:rsidRPr="00B81704">
        <w:t>Consideration should be given to ensure that the requirements are right sized to the potential risk of manipulation, with respect to both the nature of the type of benchmark and the size and structure of the administrator.</w:t>
      </w:r>
      <w:permEnd w:id="885457707"/>
      <w:r w:rsidR="00C85C8B"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00C85C8B"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5F7816F6" w14:textId="183B8C76" w:rsidR="00B61F07" w:rsidRDefault="00B61F07" w:rsidP="0010762E">
      <w:permStart w:id="1927807478" w:edGrp="everyone"/>
      <w:r>
        <w:t>Article 1 of the proposed governance arrangements generally consider</w:t>
      </w:r>
      <w:r w:rsidR="002A74E4">
        <w:t>s</w:t>
      </w:r>
      <w:r>
        <w:t xml:space="preserve"> principles that should apply across the board to all administrators and are appropriately calibrated for all benchmark administrators.  </w:t>
      </w:r>
    </w:p>
    <w:p w14:paraId="4DE06C47" w14:textId="77777777" w:rsidR="00B61F07" w:rsidRDefault="00B61F07" w:rsidP="0010762E"/>
    <w:p w14:paraId="31B219F5" w14:textId="61ACE6E1" w:rsidR="0010762E" w:rsidRDefault="00B61F07" w:rsidP="0010762E">
      <w:pPr>
        <w:rPr>
          <w:rFonts w:ascii="Arial" w:hAnsi="Arial" w:cs="Arial"/>
        </w:rPr>
      </w:pPr>
      <w:r>
        <w:t xml:space="preserve">However, we believe that Article 2 does not adequately consider the benefit of leveraging the resources of an administrator who is a part of a larger group organisation.  Firstly, with respect to Article 2(1) in defining roles and responsibilities, it is often a function (e.g., compliance) rather than a specific individual.  Secondly, with respect to Article 2(2), while administrators will always need to ensure the avoidance of any actual or potential conflicts of interest, we think that requiring internal outsourcing arrangements that satisfy Article 10 of the BMR may not be right-sized.  Article 10 is intended for arm’s length arrangements with third-party vendors. When considering the expansive corporate structures </w:t>
      </w:r>
      <w:r w:rsidR="002A74E4">
        <w:t xml:space="preserve">with </w:t>
      </w:r>
      <w:r>
        <w:t>shared resources, all working for the same group company, a different set of standards should apply which will not impose an undue burden when leveraging intragroup outsourcing.  For example, many organisations have a single legal entity that employs their entire staff, but one or more different legal entities for their business operations.  Article 2(2) would imply that a formal outsourcing arrangement would be necessary for any staff to support the business.  Furthermore, many organisations have group-wide control functions that operate independently, avoiding potential conflicts of interest, and provide certain support services for multiple aspects of the business.  For example, a global company may have a single internal audit department that reports to the board of directors and provides independent internal audits for each of the company’s business lines.    We would advise revising Article 2 to both consider the nature of the administrator (e.g., whether it is a part of a group organisation) and the type of benchmarks it administers.</w:t>
      </w:r>
      <w:permEnd w:id="1927807478"/>
      <w:r w:rsidR="0010762E">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31149D6C" w14:textId="77777777" w:rsidR="00B61F07" w:rsidRPr="00017936" w:rsidRDefault="00B61F07" w:rsidP="00B61F07">
      <w:permStart w:id="1601636180" w:edGrp="everyone"/>
      <w:r>
        <w:t xml:space="preserve">As a </w:t>
      </w:r>
      <w:r w:rsidRPr="00017936">
        <w:t xml:space="preserve">general principle, we do not object to administrators having in place a remuneration framework, provided it is narrowly tailored to target the prevention of conflicts of interest derived from the provision of indices.  </w:t>
      </w:r>
    </w:p>
    <w:p w14:paraId="6D80087F" w14:textId="77777777" w:rsidR="00B61F07" w:rsidRDefault="00B61F07" w:rsidP="00B61F07"/>
    <w:p w14:paraId="235E6A60" w14:textId="281FF829" w:rsidR="00B61F07" w:rsidRPr="00017936" w:rsidRDefault="00B61F07" w:rsidP="00B61F07">
      <w:r w:rsidRPr="00017936">
        <w:t xml:space="preserve">Benchmark administrators that are part of a group can be subject to different remuneration frameworks as ESMA itself recognizes (CRD, </w:t>
      </w:r>
      <w:proofErr w:type="spellStart"/>
      <w:r w:rsidRPr="00017936">
        <w:t>Mifid</w:t>
      </w:r>
      <w:proofErr w:type="spellEnd"/>
      <w:r w:rsidRPr="00017936">
        <w:t xml:space="preserve">), as well as subject to additional country-specific provisions. Alignment of remuneration rules is necessary for a firm’s ability to comply, and avoids any potential for regulatory arbitrage. </w:t>
      </w:r>
    </w:p>
    <w:p w14:paraId="27109472" w14:textId="77777777" w:rsidR="00B61F07" w:rsidRDefault="00B61F07" w:rsidP="00B61F07"/>
    <w:p w14:paraId="0C80D95D" w14:textId="17014714" w:rsidR="00B61F07" w:rsidRDefault="00B61F07" w:rsidP="00B61F07">
      <w:pPr>
        <w:rPr>
          <w:lang w:val="en-US"/>
        </w:rPr>
      </w:pPr>
      <w:r w:rsidRPr="00017936">
        <w:t xml:space="preserve">Further, as each firm is structured differently, some flexibility should be given to implement compensation schemes in a manner that does not invite actual or potential conflict.  This is particularly true when the firm </w:t>
      </w:r>
      <w:r w:rsidRPr="00017936">
        <w:rPr>
          <w:lang w:val="en-US"/>
        </w:rPr>
        <w:t>has a number of distinct (but potentially/indirectly impacted) business lines, for example, a company that is both an exchange operator and an index provider.</w:t>
      </w:r>
    </w:p>
    <w:permEnd w:id="1601636180"/>
    <w:p w14:paraId="2FB8FD04" w14:textId="77777777" w:rsidR="0010762E" w:rsidRDefault="0010762E" w:rsidP="0010762E">
      <w:pPr>
        <w:rPr>
          <w:rFonts w:ascii="Arial" w:hAnsi="Arial" w:cs="Arial"/>
        </w:rPr>
      </w:pPr>
      <w:r>
        <w:rPr>
          <w:rFonts w:ascii="Arial" w:hAnsi="Arial" w:cs="Arial"/>
        </w:rPr>
        <w:lastRenderedPageBreak/>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4C0407A1" w14:textId="77777777" w:rsidR="00B61F07" w:rsidRDefault="00B61F07" w:rsidP="00B61F07">
      <w:permStart w:id="954937618" w:edGrp="everyone"/>
      <w:r>
        <w:t>Given the significant value derived from innovation and smaller ventures, we want to encourage such companies to come to market, provided they are fully able to demonstrate their compliance with the spirit and principle of each requirement.  The mechanism for satisfaction can vary amongst different size and structured administrators.</w:t>
      </w:r>
    </w:p>
    <w:permEnd w:id="954937618"/>
    <w:p w14:paraId="5E51F01C" w14:textId="77777777"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0F588FF7" w14:textId="77777777" w:rsidR="00B61F07" w:rsidRDefault="00B61F07" w:rsidP="00B61F07">
      <w:permStart w:id="36393939" w:edGrp="everyone"/>
      <w:r>
        <w:t xml:space="preserve">There is significant importance in the prevention of manipulation of benchmarks and we believe care should be taken whenever discretion is exercised in the determination of a benchmark.  However, that concern must be appropriately balanced with restrictions that can impede development and innovation.  Strict parameters on the development and administration of indices does not often neatly align with the diverse array of inputs and limitless mathematical permutations.  We would instead advise the requirement for a framework be comprised of best practices and promoting transparency rather than hard-coded requirements, to best serve the purpose of the regulation while supporting future innovation.  </w:t>
      </w:r>
    </w:p>
    <w:permEnd w:id="36393939"/>
    <w:p w14:paraId="482CBC37" w14:textId="77777777"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6620E4C7" w14:textId="77777777" w:rsidR="00B61F07" w:rsidRDefault="00B61F07" w:rsidP="00B61F07">
      <w:pPr>
        <w:rPr>
          <w:lang w:val="en-US"/>
        </w:rPr>
      </w:pPr>
      <w:permStart w:id="1891459047" w:edGrp="everyone"/>
      <w:r>
        <w:rPr>
          <w:lang w:val="en-US"/>
        </w:rPr>
        <w:t xml:space="preserve">Regulated data benchmarks should be excluded from this regulation as they are already subject to regulation and supervision ensuring the integrity and transparency of the input data.  Moreover, further consideration should also be given to expand the exclusions offered to non-significant benchmarks utilizing more verifiable input data.  We believe </w:t>
      </w:r>
      <w:r>
        <w:t>it would be more proportionate based on the complexity and inherent risks to impose the additional, more stringent requirements to benchmark administrators utilising and relying on contributor data,</w:t>
      </w:r>
      <w:r>
        <w:rPr>
          <w:lang w:val="en-US"/>
        </w:rPr>
        <w:t xml:space="preserve"> where enhanced procedures would be warranted.  It is also unclear what requirement or burden an NCA would impose on an administrator in order to allow it to “opt out” from certain provisions of the technical standards and whether such requirements would offset the intended benefit.  </w:t>
      </w:r>
    </w:p>
    <w:p w14:paraId="66D95DF2" w14:textId="5A9D7867" w:rsidR="00B61F07" w:rsidRDefault="00B61F07" w:rsidP="00B61F07">
      <w:pPr>
        <w:rPr>
          <w:lang w:val="en-US"/>
        </w:rPr>
      </w:pPr>
      <w:r>
        <w:rPr>
          <w:lang w:val="en-US"/>
        </w:rPr>
        <w:t xml:space="preserve">   </w:t>
      </w:r>
    </w:p>
    <w:p w14:paraId="66A4A920" w14:textId="77777777" w:rsidR="00B61F07" w:rsidRDefault="00B61F07" w:rsidP="00B61F07">
      <w:pPr>
        <w:rPr>
          <w:lang w:val="en-US"/>
        </w:rPr>
      </w:pPr>
      <w:r>
        <w:rPr>
          <w:lang w:val="en-US"/>
        </w:rPr>
        <w:t>Irrespective, we would also note that methodologies generally should be sufficient to explain the universe of input data, how it is derived, and the way it is used in the index formulas.</w:t>
      </w:r>
    </w:p>
    <w:permEnd w:id="1891459047"/>
    <w:p w14:paraId="325BA92C" w14:textId="77777777"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0272757A" w14:textId="434AC87F" w:rsidR="00B61F07" w:rsidRDefault="00B61F07" w:rsidP="00B61F07">
      <w:permStart w:id="1515997747" w:edGrp="everyone"/>
      <w:r>
        <w:lastRenderedPageBreak/>
        <w:t>Back-testing is an important tool to validate the outcome of the calculation from the application of the methodology on the input data and measure if the market conditions are reliable.  We agree that whenever possible, back-testing should be done against available transaction data.  The use and frequency of a back-test should be appropriate to the benchmark nature and complexity and anomalies identified should be explained to provide full transparency to its users.  We would also emphasize the critical point that “</w:t>
      </w:r>
      <w:r w:rsidRPr="00EE4583">
        <w:t>administrators should consider the most appropriate historical time horizon for their back-testing programme</w:t>
      </w:r>
      <w:r>
        <w:t xml:space="preserve">”.  </w:t>
      </w:r>
    </w:p>
    <w:p w14:paraId="26FA840F" w14:textId="77777777" w:rsidR="00B61F07" w:rsidRDefault="00B61F07" w:rsidP="00B61F07"/>
    <w:p w14:paraId="481DF691" w14:textId="77777777" w:rsidR="00B61F07" w:rsidRDefault="00B61F07" w:rsidP="00B61F07">
      <w:r>
        <w:t xml:space="preserve">Moreover, it’s noteworthy to add that the level 1 text provides back-testing where appropriate and we believe any further requirements should be proportionate to the nature and complexity of benchmarks and underlying input data.  </w:t>
      </w:r>
    </w:p>
    <w:permEnd w:id="1515997747"/>
    <w:p w14:paraId="2ECB166B" w14:textId="77777777"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0563E98C" w14:textId="0FA5E13A" w:rsidR="00B61F07" w:rsidRDefault="00B61F07" w:rsidP="00B61F07">
      <w:permStart w:id="1782531178" w:edGrp="everyone"/>
      <w:r w:rsidRPr="00745E90">
        <w:t>We agree that this regulation should not apply to administrators of regulated data benchmarks, however,</w:t>
      </w:r>
      <w:r>
        <w:t xml:space="preserve"> we</w:t>
      </w:r>
      <w:r w:rsidRPr="00745E90">
        <w:t xml:space="preserve"> would urge ESMA to consider adopting a risk-based approach for the treatment of many non-significant benchmarks that are </w:t>
      </w:r>
      <w:r w:rsidR="002A74E4">
        <w:t xml:space="preserve">subject to a </w:t>
      </w:r>
      <w:r w:rsidRPr="00745E90">
        <w:t>low risk of manipulation and derived by transaction data.  The proposed technical standards impose a high burden and should be limited to those benchmarks that are more prone to manipulation</w:t>
      </w:r>
      <w:r>
        <w:t>.  As ESMA recognises, it’s important to adopt a principle of proportionality and avoid putting an excessive administrative burden on administrators when not</w:t>
      </w:r>
      <w:r w:rsidRPr="00921D3C">
        <w:t xml:space="preserve"> </w:t>
      </w:r>
      <w:r>
        <w:t>appropriately necessary.</w:t>
      </w:r>
    </w:p>
    <w:p w14:paraId="5F540930" w14:textId="77777777" w:rsidR="00B61F07" w:rsidRDefault="00B61F07" w:rsidP="00B61F07"/>
    <w:p w14:paraId="4C1F5639" w14:textId="45C791F6" w:rsidR="00B61F07" w:rsidRDefault="00B61F07" w:rsidP="00B61F07">
      <w:r>
        <w:t>Specifically, where</w:t>
      </w:r>
      <w:r>
        <w:rPr>
          <w:lang w:val="en-US"/>
        </w:rPr>
        <w:t xml:space="preserve"> input data is exchange driven data (or even data that is derived from exchange data using</w:t>
      </w:r>
      <w:r w:rsidR="002A74E4">
        <w:rPr>
          <w:lang w:val="en-US"/>
        </w:rPr>
        <w:t xml:space="preserve"> a published methodology – i.e.</w:t>
      </w:r>
      <w:r>
        <w:rPr>
          <w:lang w:val="en-US"/>
        </w:rPr>
        <w:t xml:space="preserve"> theoretical prices), the need for surveillance is diminished.  This is mainly because there is a surveillance function already in place at the exchange operator.  Furthermore, w</w:t>
      </w:r>
      <w:r>
        <w:t xml:space="preserve">e would remind ESMA that there are a number of third country benchmarks that are derived from non-EU trading venues that are not deemed equivalent and thus not qualified as regulated data benchmarks under the BMR.  However, the input data is highly regulated in their respective jurisdictions and subject to strict oversight and surveillance requirements.  </w:t>
      </w:r>
    </w:p>
    <w:p w14:paraId="74673477" w14:textId="77777777" w:rsidR="00B61F07" w:rsidRDefault="00B61F07" w:rsidP="00B61F07">
      <w:pPr>
        <w:rPr>
          <w:lang w:val="en-US"/>
        </w:rPr>
      </w:pPr>
    </w:p>
    <w:p w14:paraId="3158D534" w14:textId="77777777" w:rsidR="00B61F07" w:rsidRDefault="00B61F07" w:rsidP="00B61F07">
      <w:pPr>
        <w:rPr>
          <w:lang w:val="en-US"/>
        </w:rPr>
      </w:pPr>
      <w:r>
        <w:rPr>
          <w:lang w:val="en-US"/>
        </w:rPr>
        <w:t>Accordingly, we believe these additional requirements should only be necessary in circumstances where there is contributed data, and particularly data that is submitted to the administrator directly.  In such case, the administrator is the first and only opportunity to conduct a review of the contributed data before it is used in the calculation so additional measures to prevent actual or potential manipulation would be appropriate.</w:t>
      </w:r>
    </w:p>
    <w:permEnd w:id="1782531178"/>
    <w:p w14:paraId="6202F412" w14:textId="77777777"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615269B3" w14:textId="663FD205" w:rsidR="00B61F07" w:rsidRDefault="00B61F07" w:rsidP="00B61F07">
      <w:permStart w:id="1317289506" w:edGrp="everyone"/>
      <w:r>
        <w:lastRenderedPageBreak/>
        <w:t>As indicated previously, w</w:t>
      </w:r>
      <w:r w:rsidRPr="007B0499">
        <w:t xml:space="preserve">e are concerned that the systems suggested for the surveillance of market manipulation are not proportionate to the actual or potential risk of manipulation for non-significant benchmarks that utilise transaction data as input data.  Transaction data is subject to significant regulation and surveillance requirements, including </w:t>
      </w:r>
      <w:r w:rsidR="002A74E4">
        <w:t>market abuse</w:t>
      </w:r>
      <w:bookmarkStart w:id="1" w:name="_GoBack"/>
      <w:bookmarkEnd w:id="1"/>
      <w:r w:rsidRPr="007B0499">
        <w:t xml:space="preserve"> surveillance for the exchange operator/MTF where the index constituents are traded.  As such, we believe surveillance for the administrator should be limited in scope and </w:t>
      </w:r>
      <w:r>
        <w:t xml:space="preserve">aligned with </w:t>
      </w:r>
      <w:r w:rsidRPr="007B0499">
        <w:t xml:space="preserve">its appropriate risk assessment.  </w:t>
      </w:r>
      <w:r>
        <w:t>As there are only limited opportunities where a benchmark administrator could manipulate transaction data, controls are already in place to address such critical points. Moreover, the size of the administrator should not be relevant,</w:t>
      </w:r>
      <w:r w:rsidRPr="00247529">
        <w:t xml:space="preserve"> i.e., a small entity might produce a complex benchmark which measures volatile, concentrated markets upon which public funds are tied. </w:t>
      </w:r>
    </w:p>
    <w:p w14:paraId="382AF887" w14:textId="77777777" w:rsidR="00B61F07" w:rsidRDefault="00B61F07" w:rsidP="00B61F07"/>
    <w:p w14:paraId="761C4F03" w14:textId="77777777" w:rsidR="00B61F07" w:rsidRDefault="00B61F07" w:rsidP="00B61F07">
      <w:r>
        <w:t xml:space="preserve">Accordingly, we believe the proposed surveillance requirements would be appropriate for administrators utilising contributor data as the requirements would then be </w:t>
      </w:r>
      <w:r w:rsidRPr="00247529">
        <w:t>proportionate to the use, nature</w:t>
      </w:r>
      <w:r>
        <w:t>, inherent risk</w:t>
      </w:r>
      <w:r w:rsidRPr="00247529">
        <w:t xml:space="preserve"> and complexity of the benchmark</w:t>
      </w:r>
      <w:r>
        <w:t xml:space="preserve">.  In such circumstances, additional measures would be useful in monitoring for manipulation.  </w:t>
      </w:r>
    </w:p>
    <w:permEnd w:id="1317289506"/>
    <w:p w14:paraId="25C56C77" w14:textId="77777777" w:rsidR="0010762E" w:rsidRDefault="0010762E" w:rsidP="0010762E">
      <w:pPr>
        <w:rPr>
          <w:rFonts w:ascii="Arial" w:hAnsi="Arial" w:cs="Arial"/>
        </w:rPr>
      </w:pPr>
      <w:r>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0D1630BE" w14:textId="77777777" w:rsidR="0010762E" w:rsidRDefault="0010762E" w:rsidP="0010762E">
      <w:pPr>
        <w:rPr>
          <w:rFonts w:ascii="Arial" w:hAnsi="Arial" w:cs="Arial"/>
        </w:rPr>
      </w:pPr>
      <w:permStart w:id="1927238694" w:edGrp="everyone"/>
      <w:r>
        <w:rPr>
          <w:rFonts w:ascii="Arial" w:hAnsi="Arial" w:cs="Arial"/>
        </w:rPr>
        <w:t>TYPE YOUR TEXT HERE</w:t>
      </w:r>
    </w:p>
    <w:permEnd w:id="1927238694"/>
    <w:p w14:paraId="2758B2C1" w14:textId="77777777" w:rsidR="0010762E" w:rsidRDefault="0010762E" w:rsidP="0010762E">
      <w:pPr>
        <w:rPr>
          <w:rFonts w:ascii="Arial" w:hAnsi="Arial" w:cs="Arial"/>
        </w:rPr>
      </w:pPr>
      <w:r>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t>&lt;ESMA_QUESTION_CP_BRTS_10&gt;</w:t>
      </w:r>
    </w:p>
    <w:p w14:paraId="673D6FCA" w14:textId="77777777" w:rsidR="0010762E" w:rsidRDefault="0010762E" w:rsidP="0010762E">
      <w:pPr>
        <w:rPr>
          <w:rFonts w:ascii="Arial" w:hAnsi="Arial" w:cs="Arial"/>
        </w:rPr>
      </w:pPr>
      <w:permStart w:id="706027679" w:edGrp="everyone"/>
      <w:r>
        <w:rPr>
          <w:rFonts w:ascii="Arial" w:hAnsi="Arial" w:cs="Arial"/>
        </w:rPr>
        <w:t>TYPE YOUR TEXT HERE</w:t>
      </w:r>
    </w:p>
    <w:permEnd w:id="706027679"/>
    <w:p w14:paraId="3AF676B8" w14:textId="77777777" w:rsidR="0010762E" w:rsidRDefault="0010762E" w:rsidP="0010762E">
      <w:pPr>
        <w:rPr>
          <w:rFonts w:ascii="Arial" w:hAnsi="Arial" w:cs="Arial"/>
        </w:rPr>
      </w:pPr>
      <w:r>
        <w:rPr>
          <w:rFonts w:ascii="Arial" w:hAnsi="Arial" w:cs="Arial"/>
        </w:rPr>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t>&lt;ESMA_QUESTION_CP_BRTS_11&gt;</w:t>
      </w:r>
    </w:p>
    <w:p w14:paraId="1DA15340" w14:textId="77777777" w:rsidR="00B61F07" w:rsidRDefault="00B61F07" w:rsidP="00B61F07">
      <w:permStart w:id="2079658631" w:edGrp="everyone"/>
      <w:r>
        <w:t xml:space="preserve">It is important to note that the level 1 text expressly allows a benchmark administrator to opt out of certain requirements as unnecessary given its risk-based approach and/or its likelihood to pose a significant burden for a non-significant administrator.  While it’s important that all competent authorities should have a consistent set of criteria to base their assessment, any criteria that is adopted must not dilute the administrator’s ability to leverage the proscribed benefit or add a further burden that could defeat the purpose of the level 1 exemptions.  For example, it would be contrary to the level 1 text if the technical standards had a chilling effect, forcing firms to comply with the provisions rather than opting out.  We agree with ESMA that the standards for oversight should consider the vulnerability of the benchmark </w:t>
      </w:r>
      <w:r w:rsidRPr="00946A92">
        <w:t xml:space="preserve">and that changes to the compliance statement do not mean that NCAs </w:t>
      </w:r>
      <w:r>
        <w:t>have the authority</w:t>
      </w:r>
      <w:r w:rsidRPr="00946A92">
        <w:t xml:space="preserve"> to apply the requirements </w:t>
      </w:r>
      <w:r>
        <w:t xml:space="preserve">with </w:t>
      </w:r>
      <w:r w:rsidRPr="00946A92">
        <w:t xml:space="preserve">which they have chosen not to comply.  That said, </w:t>
      </w:r>
      <w:r>
        <w:t xml:space="preserve">if the </w:t>
      </w:r>
      <w:r w:rsidRPr="00946A92">
        <w:t>technical standards</w:t>
      </w:r>
      <w:r>
        <w:t xml:space="preserve"> were to allow</w:t>
      </w:r>
      <w:r w:rsidRPr="00946A92">
        <w:t xml:space="preserve"> NCAs</w:t>
      </w:r>
      <w:r>
        <w:t xml:space="preserve"> to</w:t>
      </w:r>
      <w:r w:rsidRPr="00946A92">
        <w:t xml:space="preserve"> </w:t>
      </w:r>
      <w:r>
        <w:t>impose additional requirements that limit the administrator’s ability to leverage the exemption, it would go against the spirit of the regulation as written.</w:t>
      </w:r>
      <w:r w:rsidRPr="00946A92">
        <w:t xml:space="preserve"> </w:t>
      </w:r>
    </w:p>
    <w:p w14:paraId="7B8C4BF4" w14:textId="77777777" w:rsidR="00B61F07" w:rsidRDefault="00B61F07" w:rsidP="00B61F07"/>
    <w:p w14:paraId="0E7923DD" w14:textId="0BBA0CDE" w:rsidR="00B61F07" w:rsidRDefault="00B61F07" w:rsidP="00B61F07">
      <w:r w:rsidRPr="00DE6DBB">
        <w:t>Moreover, we would reiterate that non-significant benchmarks incorporate a wide breadth of varied indices and not all benchmarks in that category should be treated uniformly.  All exemptions should take into account the complexity of the benchmark methodology</w:t>
      </w:r>
      <w:r>
        <w:t xml:space="preserve"> and inherent risk of the input data</w:t>
      </w:r>
      <w:r w:rsidRPr="00DE6DBB">
        <w:t>.</w:t>
      </w:r>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00C58AB" w14:textId="77777777" w:rsidR="00B61F07" w:rsidRDefault="00B61F07" w:rsidP="00B61F07">
      <w:permStart w:id="1243561789" w:edGrp="everyone"/>
      <w:r>
        <w:t xml:space="preserve">We believe the same analysis applies for both changes to the compliance statement and the control framework.  Please see our response to Q11.  </w:t>
      </w: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C5728" w14:textId="77777777" w:rsidR="004B6C3B" w:rsidRDefault="004B6C3B" w:rsidP="007E7997">
      <w:r>
        <w:separator/>
      </w:r>
    </w:p>
  </w:endnote>
  <w:endnote w:type="continuationSeparator" w:id="0">
    <w:p w14:paraId="4F04B608" w14:textId="77777777" w:rsidR="004B6C3B" w:rsidRDefault="004B6C3B" w:rsidP="007E7997">
      <w:r>
        <w:continuationSeparator/>
      </w:r>
    </w:p>
  </w:endnote>
  <w:endnote w:type="continuationNotice" w:id="1">
    <w:p w14:paraId="55AF20F4" w14:textId="77777777" w:rsidR="004B6C3B" w:rsidRDefault="004B6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02E8" w14:textId="77777777" w:rsidR="009570BC" w:rsidRDefault="0095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4F5F5341" w:rsidR="00E36813" w:rsidRPr="00514DFA" w:rsidRDefault="00564F5A" w:rsidP="00564F5A">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0CDB2E9E" w:rsidR="00E36813" w:rsidRDefault="00E36813" w:rsidP="008F1DCF">
        <w:pPr>
          <w:pStyle w:val="Footer"/>
          <w:jc w:val="right"/>
        </w:pPr>
        <w:r>
          <w:fldChar w:fldCharType="begin"/>
        </w:r>
        <w:r>
          <w:instrText xml:space="preserve"> PAGE   \* MERGEFORMAT </w:instrText>
        </w:r>
        <w:r>
          <w:fldChar w:fldCharType="separate"/>
        </w:r>
        <w:r w:rsidR="002A74E4">
          <w:rPr>
            <w:noProof/>
          </w:rPr>
          <w:t>10</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880FA" w14:textId="77777777" w:rsidR="004B6C3B" w:rsidRDefault="004B6C3B" w:rsidP="007E7997">
      <w:r>
        <w:separator/>
      </w:r>
    </w:p>
  </w:footnote>
  <w:footnote w:type="continuationSeparator" w:id="0">
    <w:p w14:paraId="5F4B9607" w14:textId="77777777" w:rsidR="004B6C3B" w:rsidRDefault="004B6C3B" w:rsidP="007E7997">
      <w:r>
        <w:continuationSeparator/>
      </w:r>
    </w:p>
  </w:footnote>
  <w:footnote w:type="continuationNotice" w:id="1">
    <w:p w14:paraId="0A99474F" w14:textId="77777777" w:rsidR="004B6C3B" w:rsidRDefault="004B6C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5ADB3" w14:textId="77777777" w:rsidR="009570BC" w:rsidRDefault="00957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6BE1" w14:textId="77777777" w:rsidR="008F1DCF" w:rsidRPr="003669AC" w:rsidRDefault="008F1DCF" w:rsidP="006C5A3D">
    <w:pPr>
      <w:pStyle w:val="Header"/>
      <w:ind w:left="708"/>
      <w:jc w:val="right"/>
    </w:pPr>
  </w:p>
  <w:p w14:paraId="4E70851B" w14:textId="77777777" w:rsidR="008F1DCF" w:rsidRPr="003669AC" w:rsidRDefault="008F1DCF" w:rsidP="006C5A3D">
    <w:pPr>
      <w:pStyle w:val="Header"/>
      <w:ind w:left="708"/>
      <w:jc w:val="right"/>
    </w:pPr>
  </w:p>
  <w:p w14:paraId="4DAF4C00" w14:textId="77777777" w:rsidR="008F1DCF" w:rsidRPr="008F1DCF" w:rsidRDefault="008F1DCF" w:rsidP="006C5A3D">
    <w:pPr>
      <w:pStyle w:val="Header"/>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69D61D52"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14:paraId="77FCE60C" w14:textId="5BEB2329"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p>
      </w:tc>
    </w:tr>
  </w:tbl>
  <w:p w14:paraId="242C7A76" w14:textId="77777777" w:rsidR="008F1DCF" w:rsidRDefault="008F1DCF" w:rsidP="006C5A3D">
    <w:pPr>
      <w:pStyle w:val="Header"/>
      <w:ind w:left="6663"/>
      <w:rPr>
        <w:color w:val="FF0000"/>
        <w:sz w:val="20"/>
      </w:rPr>
    </w:pPr>
  </w:p>
  <w:p w14:paraId="5962D0E4" w14:textId="77777777" w:rsidR="008F1DCF" w:rsidRDefault="008F1DCF">
    <w:pPr>
      <w:pStyle w:val="Header"/>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7A22" w14:textId="77777777" w:rsidR="008F1DCF" w:rsidRDefault="008F1DCF">
    <w:pPr>
      <w:pStyle w:val="Header"/>
    </w:pPr>
  </w:p>
  <w:p w14:paraId="462F1DD4" w14:textId="77777777" w:rsidR="008F1DCF" w:rsidRDefault="008F1DCF">
    <w:pPr>
      <w:pStyle w:val="Header"/>
    </w:pPr>
  </w:p>
  <w:p w14:paraId="18981FB1" w14:textId="77777777" w:rsidR="008F1DCF" w:rsidRDefault="008F1DCF">
    <w:pPr>
      <w:pStyle w:val="Header"/>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B34"/>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4E4"/>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2EE"/>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1F07"/>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schemas.microsoft.com/sharepoint/v4"/>
    <ds:schemaRef ds:uri="20fbe147-bbda-4e53-b6b1-7e8bbff3fe19"/>
    <ds:schemaRef ds:uri="http://schemas.microsoft.com/sharepoint/v3"/>
  </ds:schemaRefs>
</ds:datastoreItem>
</file>

<file path=customXml/itemProps5.xml><?xml version="1.0" encoding="utf-8"?>
<ds:datastoreItem xmlns:ds="http://schemas.openxmlformats.org/officeDocument/2006/customXml" ds:itemID="{FCE70A44-16B1-4FD5-909C-AD2D23EF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89</TotalTime>
  <Pages>10</Pages>
  <Words>2911</Words>
  <Characters>16596</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Jill Bier</cp:lastModifiedBy>
  <cp:revision>4</cp:revision>
  <cp:lastPrinted>2017-07-24T14:47:00Z</cp:lastPrinted>
  <dcterms:created xsi:type="dcterms:W3CDTF">2020-06-08T08:38:00Z</dcterms:created>
  <dcterms:modified xsi:type="dcterms:W3CDTF">2020-06-08T13:20:00Z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