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114D64F8" w:rsidR="0010762E" w:rsidRDefault="00F36188" w:rsidP="0010762E">
                <w:pPr>
                  <w:pStyle w:val="Untertitel"/>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14:paraId="7EFF292E" w14:textId="137345E0" w:rsidR="00363639" w:rsidRDefault="00363639" w:rsidP="00363639">
                <w:pPr>
                  <w:pStyle w:val="Untertitel"/>
                  <w:rPr>
                    <w:rFonts w:cs="Arial"/>
                  </w:rPr>
                </w:pPr>
              </w:p>
              <w:p w14:paraId="26CF3934" w14:textId="4EE33F45" w:rsidR="00AB6157" w:rsidRPr="00B8572C" w:rsidRDefault="00AB6157" w:rsidP="00AB6157">
                <w:pPr>
                  <w:pStyle w:val="berschrift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2BABD99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2FF1CE84"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66D03D26"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14:paraId="1A9C59D6" w14:textId="60D9CD8A"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D5E1CF6" w:rsidR="00C85C8B" w:rsidRPr="00C85C8B" w:rsidRDefault="007D0E36" w:rsidP="00C85C8B">
                <w:pPr>
                  <w:rPr>
                    <w:rFonts w:ascii="Arial" w:hAnsi="Arial" w:cs="Arial"/>
                    <w:color w:val="808080"/>
                    <w:sz w:val="20"/>
                    <w:lang w:eastAsia="de-DE"/>
                  </w:rPr>
                </w:pPr>
                <w:r>
                  <w:rPr>
                    <w:rFonts w:ascii="Arial" w:hAnsi="Arial" w:cs="Arial"/>
                    <w:color w:val="808080"/>
                    <w:sz w:val="20"/>
                    <w:lang w:eastAsia="de-DE"/>
                  </w:rPr>
                  <w:t>BVI German Fund Association</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D8427BF" w:rsidR="00C85C8B" w:rsidRPr="00C85C8B" w:rsidRDefault="001A2AF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D0E36">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DC81F5D" w:rsidR="00C85C8B" w:rsidRPr="00C85C8B" w:rsidRDefault="007D0E36"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106ECE1" w:rsidR="00C85C8B" w:rsidRPr="00C85C8B" w:rsidRDefault="007D0E36"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C07B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4174584D" w14:textId="77777777" w:rsidR="00A555B0" w:rsidRPr="00A555B0" w:rsidRDefault="00A555B0" w:rsidP="00A555B0">
      <w:pPr>
        <w:spacing w:after="250" w:line="276" w:lineRule="auto"/>
        <w:jc w:val="both"/>
        <w:rPr>
          <w:rFonts w:ascii="Arial" w:eastAsiaTheme="minorEastAsia" w:hAnsi="Arial" w:cs="Arial"/>
          <w:sz w:val="22"/>
          <w:szCs w:val="20"/>
          <w:lang w:eastAsia="en-US"/>
        </w:rPr>
      </w:pPr>
      <w:permStart w:id="885457707" w:edGrp="everyone"/>
      <w:r w:rsidRPr="00A555B0">
        <w:rPr>
          <w:rFonts w:ascii="Arial" w:eastAsiaTheme="minorEastAsia" w:hAnsi="Arial" w:cs="Arial"/>
          <w:sz w:val="22"/>
          <w:szCs w:val="20"/>
          <w:lang w:eastAsia="en-US"/>
        </w:rPr>
        <w:t>BVI  welcomes the opportunity to respond to the consultation paper on Draft Regulatory Technical Standards under the Benchmarks regulation.</w:t>
      </w:r>
    </w:p>
    <w:p w14:paraId="01AC5C04"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We support the goal of the EU Benchmark regulation (BMR) to establish a regulatory framework for indices and benchmarks. The BMR strengthens the confidence in the financial markets and helps to prevent manipulation of financial indices. Therefore, we welcome the initiative started by the ESAs to further modernise the benchmark framework. </w:t>
      </w:r>
    </w:p>
    <w:p w14:paraId="4C52BC86"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Investment funds are highly regulated and transparent financial products under the UCITS/AIFM regime. Investment funds have not contributed to the manipulation of (systemically important) financial indices (e.g. Libor, Euribor). Fund management companies do not provide input data for the calculating of (systemically important) benchmarks. Asset Managers are mainly users of benchmarks/market indices. Fund management companies do not have access or the ability to influence the process of creating (systemically important) benchmarks or financial indices provided by index providers. Asset Managers are not able to manipulate these benchmarks, even if they can be used to measure the performance of an investment fund. </w:t>
      </w:r>
    </w:p>
    <w:p w14:paraId="1D174DEE" w14:textId="77777777" w:rsidR="00A555B0" w:rsidRPr="00E7462D" w:rsidRDefault="00A555B0" w:rsidP="00A555B0">
      <w:pPr>
        <w:spacing w:after="250" w:line="276" w:lineRule="auto"/>
        <w:jc w:val="both"/>
        <w:rPr>
          <w:rFonts w:ascii="Arial" w:eastAsiaTheme="minorEastAsia" w:hAnsi="Arial" w:cs="Arial"/>
          <w:b/>
          <w:bCs/>
          <w:sz w:val="22"/>
          <w:szCs w:val="20"/>
          <w:lang w:eastAsia="en-US"/>
        </w:rPr>
      </w:pPr>
      <w:r w:rsidRPr="00E7462D">
        <w:rPr>
          <w:rFonts w:ascii="Arial" w:eastAsiaTheme="minorEastAsia" w:hAnsi="Arial" w:cs="Arial"/>
          <w:b/>
          <w:bCs/>
          <w:sz w:val="22"/>
          <w:szCs w:val="20"/>
          <w:lang w:eastAsia="en-US"/>
        </w:rPr>
        <w:t>Index data cost</w:t>
      </w:r>
    </w:p>
    <w:p w14:paraId="2215677F"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During the past years our members have observed significant increase of costs related to the use of indices, especially the access to the underlying data.  Over the couple of years our members have witnessed double digit price increases directly by major benchmark administrators and through the making available of the data by market data distributors (MDD).   </w:t>
      </w:r>
    </w:p>
    <w:p w14:paraId="2A304A48"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lastRenderedPageBreak/>
        <w:t xml:space="preserve">This development is evidenced by strong global index industry revenues increase by 8.0% in 2019, reaching a record $3.7 billion, according to Burton-Taylor International Consulting .  Index industry revenue increased across all segments in 2019, with the fastest growth occurring from index license fees based on assets under management which increased 9.0% to a record $1.9 billion, and this at times of low inflation.  Subscription fee revenue grew 8.3% to $1.4 billion in 2019, while other index revenue (non-recurring transaction revenue and revenue from index licensing for use with derivatives, OTC contracts, and structured products) increased 3.3% to $457.5 million. MSCI accounted for the greatest market share, accounting for 24.74% of total industry revenues and narrowly edging out S&amp;P Dow Jones Indices which accounted for a market share of 24.66%. FTSE Russell rounded out the top three with a 20.5% market share. Bloomberg index revenue has seen the highest growth since 2015 with a CAGR of 72.0%. ESG index revenues surged sharply in 2019 rising 31.3% while factor index segment revenues increased by 11.4% over 2018 totals. </w:t>
      </w:r>
    </w:p>
    <w:p w14:paraId="199E6927"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Major parts of benchmark data are originated and provided by EU regulated benchmark administrators (or affiliated group companies) such as prices, values, composition, weightings and traded data. Benchmark data are often procured not directly from data providers but from MDDs who collect, cata-</w:t>
      </w:r>
      <w:proofErr w:type="spellStart"/>
      <w:r w:rsidRPr="00A555B0">
        <w:rPr>
          <w:rFonts w:ascii="Arial" w:eastAsiaTheme="minorEastAsia" w:hAnsi="Arial" w:cs="Arial"/>
          <w:sz w:val="22"/>
          <w:szCs w:val="20"/>
          <w:lang w:eastAsia="en-US"/>
        </w:rPr>
        <w:t>logue</w:t>
      </w:r>
      <w:proofErr w:type="spellEnd"/>
      <w:r w:rsidRPr="00A555B0">
        <w:rPr>
          <w:rFonts w:ascii="Arial" w:eastAsiaTheme="minorEastAsia" w:hAnsi="Arial" w:cs="Arial"/>
          <w:sz w:val="22"/>
          <w:szCs w:val="20"/>
          <w:lang w:eastAsia="en-US"/>
        </w:rPr>
        <w:t xml:space="preserve"> and distribute them. One point to note is that MDDs – such as Bloomberg, </w:t>
      </w:r>
      <w:proofErr w:type="spellStart"/>
      <w:r w:rsidRPr="00A555B0">
        <w:rPr>
          <w:rFonts w:ascii="Arial" w:eastAsiaTheme="minorEastAsia" w:hAnsi="Arial" w:cs="Arial"/>
          <w:sz w:val="22"/>
          <w:szCs w:val="20"/>
          <w:lang w:eastAsia="en-US"/>
        </w:rPr>
        <w:t>Refinitiv</w:t>
      </w:r>
      <w:proofErr w:type="spellEnd"/>
      <w:r w:rsidRPr="00A555B0">
        <w:rPr>
          <w:rFonts w:ascii="Arial" w:eastAsiaTheme="minorEastAsia" w:hAnsi="Arial" w:cs="Arial"/>
          <w:sz w:val="22"/>
          <w:szCs w:val="20"/>
          <w:lang w:eastAsia="en-US"/>
        </w:rPr>
        <w:t xml:space="preserve">, Rimes, or Six Financial – are not regulated as financial services providers under the BMR. </w:t>
      </w:r>
    </w:p>
    <w:p w14:paraId="6D34AB19"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In practice, the use of benchmark data has considerably changed and increased over the past decade largely driven by regulation and automation along the whole value chain of the asset management industry. There is now more benchmark data to consume and the use of them has changed with the drive towards technical process improvement compared to the nineties when users largely consumed financial market data on screen (“display”) and downloaded “locally” into individual user’s applications. </w:t>
      </w:r>
    </w:p>
    <w:p w14:paraId="1894C530"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However, the screen based “pair of eyes” use of data is receding due to the massive growth of data sources to process and the speed of data delivered to the fund management companies has drastically increased as it now mainly used in programmatic (Non Display Usage) processes in the IT systems throughout the value chain of asset management. Data sources, benchmark administrators and market data distributors have reacted to the growth in data usage by developing since 2006 new data strategies. In this context our members have experienced the following trends: </w:t>
      </w:r>
    </w:p>
    <w:p w14:paraId="1E5D7385"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A significant increase in prices: Major index providers have introduced a significant price increase for their products which are clearly above the inflation rate without any additional value for Asset Managers. </w:t>
      </w:r>
    </w:p>
    <w:p w14:paraId="022567D2"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A general increase of the administration of license agreements: Due to the growth of data usage index providers have refined their licensing models and cover now each step along the whole value chain of an Asset Manager. The data license practice ranges from internal applications support to external regulatory reporting as well as ETF production and brand licenses. Increasingly,  benchmark administrators also do not hesitate to charge market participants (e.g. Buy-Side)  for separate “created works”, “manipulated data” or “derived data” </w:t>
      </w:r>
      <w:r w:rsidRPr="00A555B0">
        <w:rPr>
          <w:rFonts w:ascii="Arial" w:eastAsiaTheme="minorEastAsia" w:hAnsi="Arial" w:cs="Arial"/>
          <w:sz w:val="22"/>
          <w:szCs w:val="20"/>
          <w:lang w:eastAsia="en-US"/>
        </w:rPr>
        <w:lastRenderedPageBreak/>
        <w:t xml:space="preserve">licenses based on use of trading venue, ratings or index data to create (e.g., through mathematical or other manipulations or processes) new data points. </w:t>
      </w:r>
    </w:p>
    <w:p w14:paraId="700CA719"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For example, several benchmarks providers today impose in excess of 50 different licenses to “nickel and dime” the Buy Side community. Index providers do not have a transparent price and cost policy for the different and complex license models. Further adding to the licenses complexity, there is no standardization of how license concepts are defined (Taxonomy). There is also an intentional purpose to increase the complexity in the diversification of the type and variety of data policies and price policies to allow for each index sponsor unique selling point (USP) and make it harder for investors to compare the cost of different index services in the index license manager (ILM) contract management tool. Due to a lack of standardization for license concepts fund management companies do not have the possibility to compare the license models across different index providers. </w:t>
      </w:r>
    </w:p>
    <w:p w14:paraId="307352B0"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Stringent audit procedures: Audit procedures are conducted on the benchmark users to review the adoption and correct application of indices and benchmarks. </w:t>
      </w:r>
    </w:p>
    <w:p w14:paraId="5337E402"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„Slicing and Dicing“ of license models: Existing licenses are (further) split along the whole value chain of an Asset Manager. Existing license agreements which were previously priced only for one Asset Manager are now often licensed several times for several companies (custodian, outsourced asset manager, investor). Licensing models have become more fragmented which means that the rights of use of data are more restrictive differentiating between the circumstances of the use of the same data. For example, multiple licensing fees may apply for the same data if used for internal analysis, client reporting and also regulatory purposes. Therefore, the increase of prices along the whole value chain in the fund industry goes further on. This will also be the case for climate-related benchmarks which the Buy-Side needs also to take into consideration. </w:t>
      </w:r>
    </w:p>
    <w:p w14:paraId="2232F1CD"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For the reasons outlined above, we strongly encourage the EU Commission to take the following proposals into consideration to address the cost issue: </w:t>
      </w:r>
    </w:p>
    <w:p w14:paraId="17730D7B"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Price lists – Similar to MiFID, benchmark administrators should be required to publish annual price lists of all products/services allowing also for multiyear comparisons and easy identification of product /service changes. </w:t>
      </w:r>
    </w:p>
    <w:p w14:paraId="33D8F084"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Cost disclosure – Similar to MiFID, BMR should provide for basic pricing rules for products and services stating that prices/revenues under BMR need to have a reasonable relationship with the cost of production. Therefore, benchmark administrators need to publish in-depth cost disclosures allowing to compare the cost of (all) data products with their revenues/price development and to al-low for cost-based pricing of benchmark data. </w:t>
      </w:r>
    </w:p>
    <w:p w14:paraId="248FC0B6"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Prohibition of certain license practices – In particular the (early) termination of data licenses by benchmark administrators in case of pricing policy or data policy changes should be prohibited until an arbitration tribunal or a regular court has adjudicated on the legality of the changes.</w:t>
      </w:r>
    </w:p>
    <w:p w14:paraId="39E0C7E8"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Currently, the BMR (Article 22, Recital 38) requires only the administrators of critical benchmarks, such as the major IBORs, to take adequate steps to ensure that licenses of, and </w:t>
      </w:r>
      <w:r w:rsidRPr="00A555B0">
        <w:rPr>
          <w:rFonts w:ascii="Arial" w:eastAsiaTheme="minorEastAsia" w:hAnsi="Arial" w:cs="Arial"/>
          <w:sz w:val="22"/>
          <w:szCs w:val="20"/>
          <w:lang w:eastAsia="en-US"/>
        </w:rPr>
        <w:lastRenderedPageBreak/>
        <w:t>information on, benchmarks are provided on a fair, reasonable, transparent and non-discriminatory basis to all us-</w:t>
      </w:r>
      <w:proofErr w:type="spellStart"/>
      <w:r w:rsidRPr="00A555B0">
        <w:rPr>
          <w:rFonts w:ascii="Arial" w:eastAsiaTheme="minorEastAsia" w:hAnsi="Arial" w:cs="Arial"/>
          <w:sz w:val="22"/>
          <w:szCs w:val="20"/>
          <w:lang w:eastAsia="en-US"/>
        </w:rPr>
        <w:t>ers</w:t>
      </w:r>
      <w:proofErr w:type="spellEnd"/>
      <w:r w:rsidRPr="00A555B0">
        <w:rPr>
          <w:rFonts w:ascii="Arial" w:eastAsiaTheme="minorEastAsia" w:hAnsi="Arial" w:cs="Arial"/>
          <w:sz w:val="22"/>
          <w:szCs w:val="20"/>
          <w:lang w:eastAsia="en-US"/>
        </w:rPr>
        <w:t xml:space="preserve">. We propose to extend this rule to all administrators of benchmarks/indices. </w:t>
      </w:r>
    </w:p>
    <w:p w14:paraId="7F61D530"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In conclusion, we encourage for a clear requirement to be incorporated in the BMR so that </w:t>
      </w:r>
    </w:p>
    <w:p w14:paraId="673C7E55"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administrators of all benchmarks (and not only critical benchmarks) take adequate steps to ensure that licenses of, and information on, benchmarks are provided on a cost-based, fair, reasonable, transparent and non-discriminatory basis to all supervised entities (including Asset Managers).</w:t>
      </w:r>
    </w:p>
    <w:p w14:paraId="7C78AB44" w14:textId="77777777" w:rsidR="00A555B0" w:rsidRPr="00E7462D" w:rsidRDefault="00A555B0" w:rsidP="00A555B0">
      <w:pPr>
        <w:spacing w:after="250" w:line="276" w:lineRule="auto"/>
        <w:jc w:val="both"/>
        <w:rPr>
          <w:rFonts w:ascii="Arial" w:eastAsiaTheme="minorEastAsia" w:hAnsi="Arial" w:cs="Arial"/>
          <w:b/>
          <w:bCs/>
          <w:sz w:val="22"/>
          <w:szCs w:val="20"/>
          <w:lang w:eastAsia="en-US"/>
        </w:rPr>
      </w:pPr>
      <w:r w:rsidRPr="00E7462D">
        <w:rPr>
          <w:rFonts w:ascii="Arial" w:eastAsiaTheme="minorEastAsia" w:hAnsi="Arial" w:cs="Arial"/>
          <w:b/>
          <w:bCs/>
          <w:sz w:val="22"/>
          <w:szCs w:val="20"/>
          <w:lang w:eastAsia="en-US"/>
        </w:rPr>
        <w:t>ESMA Register</w:t>
      </w:r>
    </w:p>
    <w:p w14:paraId="4A0405AA"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In the context of the review of the Benchmark regulation we would like to reiterate our concerns in the respect of the ESMA register.  Overall, our members are “not satisfied” with the ESMA register for benchmarks and administrators.</w:t>
      </w:r>
    </w:p>
    <w:p w14:paraId="26DD12E7" w14:textId="090F7D6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We have identified the following issues: </w:t>
      </w:r>
    </w:p>
    <w:p w14:paraId="0A2AF1E0"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It is impossible to search benchmarks with an identifier which are produced by EU index providers and non-EU index providers. There is a big problem in the case of global benchmark groups. Some index providers appear in the ESMA register: it is then not possible to identify whether a specific benchmark is produced by the index provider in the register or by another entity within the group. </w:t>
      </w:r>
    </w:p>
    <w:p w14:paraId="2C8DDC91"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It is not practicable to maintain two different registers. The usage of two different registers enhances the complexity for supervised entities to identify the relevant indices as fast as possible. </w:t>
      </w:r>
    </w:p>
    <w:p w14:paraId="5953775F"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Technical interfaces are improperly calibrated to download the data content an in efficient way in the IT systems of supervised entities.</w:t>
      </w:r>
    </w:p>
    <w:p w14:paraId="72176966"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 xml:space="preserve">In order to improve the effectiveness of the registers we would like to make the following proposals: </w:t>
      </w:r>
    </w:p>
    <w:p w14:paraId="073371DB"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The two registers should be merged into one. This will enhance the operational efficiency for all supervised entities as they have only to use one register and access/build up only one interface. </w:t>
      </w:r>
    </w:p>
    <w:p w14:paraId="5BA3A584"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The merged register should maintain a research functionality which enables supervised entities to user friendly identify individual indices provided by EU/Non-EU authorized/endorsed administrators. An identification code of each benchmark (e.g. ISIN, Ticker) should be provided in the register. Supervised entities should also be able to search for indices based on historical data. </w:t>
      </w:r>
    </w:p>
    <w:p w14:paraId="30119351"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It should be possible to download the indices in a user friendly way which automatically fits in the IT systems of the supervised entities. </w:t>
      </w:r>
    </w:p>
    <w:p w14:paraId="2D4D6684"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lastRenderedPageBreak/>
        <w:t>•</w:t>
      </w:r>
      <w:r w:rsidRPr="00A555B0">
        <w:rPr>
          <w:rFonts w:ascii="Arial" w:eastAsiaTheme="minorEastAsia" w:hAnsi="Arial" w:cs="Arial"/>
          <w:sz w:val="22"/>
          <w:szCs w:val="20"/>
          <w:lang w:eastAsia="en-US"/>
        </w:rPr>
        <w:tab/>
        <w:t xml:space="preserve">It would also be useful if for those benchmark administrators endorsed under Article 33, the details of the endorsing entity were stated on the register. Similarly, it would be welcome if the register shows if a benchmark administrators’ application was rejected to ensure that users were able to seek an alternative benchmark in a timely manner. </w:t>
      </w:r>
    </w:p>
    <w:p w14:paraId="0D629280" w14:textId="77777777" w:rsidR="00A555B0" w:rsidRPr="00A555B0"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In addition, controls on the completeness and accuracy of the information included in the register should be enhanced. Web links of the administrators included in the register are not accurate and lead to the generic URL to the administrator’s website. It would be very useful to require administrators to give a URL to a page specific to the benchmark which includes the BMR related documentation, such as the benchmark statement.</w:t>
      </w:r>
    </w:p>
    <w:p w14:paraId="02AF2FF9" w14:textId="68BE18E6" w:rsidR="00C85C8B" w:rsidRPr="00C85C8B" w:rsidRDefault="00A555B0" w:rsidP="00A555B0">
      <w:pPr>
        <w:spacing w:after="250" w:line="276" w:lineRule="auto"/>
        <w:jc w:val="both"/>
        <w:rPr>
          <w:rFonts w:ascii="Arial" w:eastAsiaTheme="minorEastAsia" w:hAnsi="Arial" w:cs="Arial"/>
          <w:sz w:val="22"/>
          <w:szCs w:val="20"/>
          <w:lang w:eastAsia="en-US"/>
        </w:rPr>
      </w:pPr>
      <w:r w:rsidRPr="00A555B0">
        <w:rPr>
          <w:rFonts w:ascii="Arial" w:eastAsiaTheme="minorEastAsia" w:hAnsi="Arial" w:cs="Arial"/>
          <w:sz w:val="22"/>
          <w:szCs w:val="20"/>
          <w:lang w:eastAsia="en-US"/>
        </w:rPr>
        <w:t>•</w:t>
      </w:r>
      <w:r w:rsidRPr="00A555B0">
        <w:rPr>
          <w:rFonts w:ascii="Arial" w:eastAsiaTheme="minorEastAsia" w:hAnsi="Arial" w:cs="Arial"/>
          <w:sz w:val="22"/>
          <w:szCs w:val="20"/>
          <w:lang w:eastAsia="en-US"/>
        </w:rPr>
        <w:tab/>
        <w:t xml:space="preserve">Beyond the obligation for climate-related benchmarks, it should be possible to indicate/flag if a benchmark is based on ESG factors or not. </w:t>
      </w:r>
    </w:p>
    <w:permEnd w:id="885457707"/>
    <w:p w14:paraId="15D00E65" w14:textId="44C0535D"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6D3A8ABE" w14:textId="02004CA2" w:rsidR="0010762E" w:rsidRDefault="0010762E" w:rsidP="00C1698A">
      <w:pPr>
        <w:spacing w:line="276" w:lineRule="auto"/>
        <w:rPr>
          <w:rFonts w:asciiTheme="minorHAnsi" w:hAnsiTheme="minorHAnsi" w:cstheme="minorHAnsi"/>
          <w:b/>
          <w:sz w:val="28"/>
          <w:szCs w:val="28"/>
        </w:rPr>
      </w:pPr>
    </w:p>
    <w:p w14:paraId="4B76C470" w14:textId="77777777"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14:paraId="265AC765" w14:textId="77777777" w:rsidR="0010762E" w:rsidRDefault="0010762E" w:rsidP="0010762E">
      <w:pPr>
        <w:rPr>
          <w:rFonts w:ascii="Arial" w:hAnsi="Arial" w:cs="Arial"/>
        </w:rPr>
      </w:pPr>
      <w:r>
        <w:rPr>
          <w:rFonts w:ascii="Arial" w:hAnsi="Arial" w:cs="Arial"/>
        </w:rPr>
        <w:t>&lt;ESMA_QUESTION_CP_BRTS_1&gt;</w:t>
      </w:r>
    </w:p>
    <w:p w14:paraId="03A024D8" w14:textId="0E8BD9CC" w:rsidR="0010762E" w:rsidRDefault="007C050D" w:rsidP="0010762E">
      <w:pPr>
        <w:rPr>
          <w:rFonts w:ascii="Arial" w:hAnsi="Arial" w:cs="Arial"/>
        </w:rPr>
      </w:pPr>
      <w:permStart w:id="1927807478" w:edGrp="everyone"/>
      <w:r w:rsidRPr="007C050D">
        <w:rPr>
          <w:rFonts w:ascii="Arial" w:hAnsi="Arial" w:cs="Arial"/>
        </w:rPr>
        <w:t>Yes, in general, we agree with the proposals. However, as a management body is established by the benchmark administrator, users of the benchmarks (e.g. fund management companies) should have at least a seat and a voting right in the management body in order to make contribution to the roles and responsibilities of the management body and their related committees. User of the benchmarks should have the possibilities to contribute to the developments of benchmarks and to advise the benchmark administrator if the benchmarks reflect also lacks in the underlying markets.</w:t>
      </w:r>
    </w:p>
    <w:permEnd w:id="1927807478"/>
    <w:p w14:paraId="31B219F5" w14:textId="77777777" w:rsidR="0010762E" w:rsidRDefault="0010762E" w:rsidP="0010762E">
      <w:pPr>
        <w:rPr>
          <w:rFonts w:ascii="Arial" w:hAnsi="Arial" w:cs="Arial"/>
        </w:rPr>
      </w:pPr>
      <w:r>
        <w:rPr>
          <w:rFonts w:ascii="Arial" w:hAnsi="Arial" w:cs="Arial"/>
        </w:rPr>
        <w:t>&lt;ESMA_QUESTION_CP_BRTS_1&gt;</w:t>
      </w:r>
    </w:p>
    <w:p w14:paraId="189A9B48" w14:textId="77777777" w:rsidR="0010762E" w:rsidRDefault="0010762E" w:rsidP="0010762E">
      <w:pPr>
        <w:rPr>
          <w:rFonts w:ascii="Arial" w:hAnsi="Arial" w:cs="Arial"/>
        </w:rPr>
      </w:pPr>
    </w:p>
    <w:p w14:paraId="7E43D35F" w14:textId="77777777"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14:paraId="0B10E8E3" w14:textId="77777777" w:rsidR="0010762E" w:rsidRDefault="0010762E" w:rsidP="0010762E">
      <w:pPr>
        <w:rPr>
          <w:rFonts w:ascii="Arial" w:hAnsi="Arial" w:cs="Arial"/>
        </w:rPr>
      </w:pPr>
      <w:r>
        <w:rPr>
          <w:rFonts w:ascii="Arial" w:hAnsi="Arial" w:cs="Arial"/>
        </w:rPr>
        <w:t>&lt;ESMA_QUESTION_CP_BRTS_2&gt;</w:t>
      </w:r>
    </w:p>
    <w:p w14:paraId="22C30C3B" w14:textId="1252F4AC" w:rsidR="0010762E" w:rsidRDefault="00D86D54" w:rsidP="0010762E">
      <w:pPr>
        <w:rPr>
          <w:rFonts w:ascii="Arial" w:hAnsi="Arial" w:cs="Arial"/>
        </w:rPr>
      </w:pPr>
      <w:permStart w:id="1601636180" w:edGrp="everyone"/>
      <w:r>
        <w:rPr>
          <w:rFonts w:ascii="Arial" w:hAnsi="Arial" w:cs="Arial"/>
        </w:rPr>
        <w:t xml:space="preserve">We </w:t>
      </w:r>
      <w:r w:rsidR="00B44727">
        <w:rPr>
          <w:rFonts w:ascii="Arial" w:hAnsi="Arial" w:cs="Arial"/>
        </w:rPr>
        <w:t xml:space="preserve">have no </w:t>
      </w:r>
      <w:r>
        <w:rPr>
          <w:rFonts w:ascii="Arial" w:hAnsi="Arial" w:cs="Arial"/>
        </w:rPr>
        <w:t>comments.</w:t>
      </w:r>
    </w:p>
    <w:permEnd w:id="1601636180"/>
    <w:p w14:paraId="2FB8FD04" w14:textId="77777777" w:rsidR="0010762E" w:rsidRDefault="0010762E" w:rsidP="0010762E">
      <w:pPr>
        <w:rPr>
          <w:rFonts w:ascii="Arial" w:hAnsi="Arial" w:cs="Arial"/>
        </w:rPr>
      </w:pPr>
      <w:r>
        <w:rPr>
          <w:rFonts w:ascii="Arial" w:hAnsi="Arial" w:cs="Arial"/>
        </w:rPr>
        <w:t>&lt;ESMA_QUESTION_CP_BRTS_2&gt;</w:t>
      </w:r>
    </w:p>
    <w:p w14:paraId="66CF442A" w14:textId="77777777" w:rsidR="0010762E" w:rsidRDefault="0010762E" w:rsidP="0010762E">
      <w:pPr>
        <w:rPr>
          <w:rFonts w:ascii="Arial" w:hAnsi="Arial" w:cs="Arial"/>
        </w:rPr>
      </w:pPr>
    </w:p>
    <w:p w14:paraId="3876E490" w14:textId="77777777"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14:paraId="442B31F8" w14:textId="77777777" w:rsidR="0010762E" w:rsidRDefault="0010762E" w:rsidP="0010762E">
      <w:pPr>
        <w:rPr>
          <w:rFonts w:ascii="Arial" w:hAnsi="Arial" w:cs="Arial"/>
        </w:rPr>
      </w:pPr>
      <w:r>
        <w:rPr>
          <w:rFonts w:ascii="Arial" w:hAnsi="Arial" w:cs="Arial"/>
        </w:rPr>
        <w:t>&lt;ESMA_QUESTION_CP_BRTS_3&gt;</w:t>
      </w:r>
    </w:p>
    <w:p w14:paraId="4828BFC6" w14:textId="0638002A" w:rsidR="0010762E" w:rsidRDefault="00474657" w:rsidP="0010762E">
      <w:pPr>
        <w:rPr>
          <w:rFonts w:ascii="Arial" w:hAnsi="Arial" w:cs="Arial"/>
        </w:rPr>
      </w:pPr>
      <w:permStart w:id="954937618" w:edGrp="everyone"/>
      <w:r>
        <w:rPr>
          <w:rFonts w:ascii="Arial" w:hAnsi="Arial" w:cs="Arial"/>
        </w:rPr>
        <w:t>Please see our answer to question 1.</w:t>
      </w:r>
    </w:p>
    <w:permEnd w:id="954937618"/>
    <w:p w14:paraId="5E51F01C" w14:textId="77777777" w:rsidR="0010762E" w:rsidRDefault="0010762E" w:rsidP="0010762E">
      <w:pPr>
        <w:rPr>
          <w:rFonts w:ascii="Arial" w:hAnsi="Arial" w:cs="Arial"/>
        </w:rPr>
      </w:pPr>
      <w:r>
        <w:rPr>
          <w:rFonts w:ascii="Arial" w:hAnsi="Arial" w:cs="Arial"/>
        </w:rPr>
        <w:t>&lt;ESMA_QUESTION_CP_BRTS_3&gt;</w:t>
      </w:r>
    </w:p>
    <w:p w14:paraId="08755291" w14:textId="77777777" w:rsidR="0010762E" w:rsidRDefault="0010762E" w:rsidP="0010762E">
      <w:pPr>
        <w:rPr>
          <w:rFonts w:ascii="Arial" w:hAnsi="Arial" w:cs="Arial"/>
        </w:rPr>
      </w:pPr>
    </w:p>
    <w:p w14:paraId="17ED49D6" w14:textId="77777777"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14:paraId="05366353" w14:textId="77777777" w:rsidR="0010762E" w:rsidRDefault="0010762E" w:rsidP="0010762E">
      <w:pPr>
        <w:rPr>
          <w:rFonts w:ascii="Arial" w:hAnsi="Arial" w:cs="Arial"/>
        </w:rPr>
      </w:pPr>
      <w:r>
        <w:rPr>
          <w:rFonts w:ascii="Arial" w:hAnsi="Arial" w:cs="Arial"/>
        </w:rPr>
        <w:t>&lt;ESMA_QUESTION_CP_BRTS_4&gt;</w:t>
      </w:r>
    </w:p>
    <w:p w14:paraId="128D0CB2" w14:textId="522C2BBF" w:rsidR="0010762E" w:rsidRDefault="00BD779B" w:rsidP="0010762E">
      <w:pPr>
        <w:rPr>
          <w:rFonts w:ascii="Arial" w:hAnsi="Arial" w:cs="Arial"/>
        </w:rPr>
      </w:pPr>
      <w:permStart w:id="36393939" w:edGrp="everyone"/>
      <w:r w:rsidRPr="00BD779B">
        <w:rPr>
          <w:rFonts w:ascii="Arial" w:hAnsi="Arial" w:cs="Arial"/>
        </w:rPr>
        <w:t>We support the proposals. Users of the benchmarks have to rely on the transparent methodology provided by regulated benchmark administrators. Any discretion in the application of the methodology should be made transparent to the users of benchmarks as they use benchmarks for instance in the investment process. In reality indexes have a huge impact on the scale and timing of investment flows around the world. As daily price changes hit almost unprecedented levels in March 2020, a string of index providers, including FTSE, ICE and S&amp;P, decided to delay the next periodic rebalancing – a regular adjustment of an index’s composition that obliges funds tracking the benchmark to fine-tune their portfolios accordingly. The providers’ rulebooks will stipulate that they are entitled to exercise discretion in this way but postponing the rebalancing of an index can have significant economic consequences, particularly where indexes are vital benchmarks for investors and pension fund holders. Therefore, the industry and regulation must come up with unequivocal standards to guide any future decisions to delay.</w:t>
      </w:r>
    </w:p>
    <w:permEnd w:id="36393939"/>
    <w:p w14:paraId="482CBC37" w14:textId="77777777" w:rsidR="0010762E" w:rsidRDefault="0010762E" w:rsidP="0010762E">
      <w:pPr>
        <w:rPr>
          <w:rFonts w:ascii="Arial" w:hAnsi="Arial" w:cs="Arial"/>
        </w:rPr>
      </w:pPr>
      <w:r>
        <w:rPr>
          <w:rFonts w:ascii="Arial" w:hAnsi="Arial" w:cs="Arial"/>
        </w:rPr>
        <w:t>&lt;ESMA_QUESTION_CP_BRTS_4&gt;</w:t>
      </w:r>
    </w:p>
    <w:p w14:paraId="773D629E" w14:textId="77777777" w:rsidR="0010762E" w:rsidRDefault="0010762E" w:rsidP="0010762E">
      <w:pPr>
        <w:rPr>
          <w:rFonts w:ascii="Arial" w:hAnsi="Arial" w:cs="Arial"/>
        </w:rPr>
      </w:pPr>
    </w:p>
    <w:p w14:paraId="08FD4309" w14:textId="77777777"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14:paraId="770158A7" w14:textId="77777777" w:rsidR="0010762E" w:rsidRDefault="0010762E" w:rsidP="0010762E">
      <w:pPr>
        <w:rPr>
          <w:rFonts w:ascii="Arial" w:hAnsi="Arial" w:cs="Arial"/>
        </w:rPr>
      </w:pPr>
      <w:r>
        <w:rPr>
          <w:rFonts w:ascii="Arial" w:hAnsi="Arial" w:cs="Arial"/>
        </w:rPr>
        <w:t>&lt;ESMA_QUESTION_CP_BRTS_5&gt;</w:t>
      </w:r>
    </w:p>
    <w:p w14:paraId="09B2FB34" w14:textId="6FBB2BEF" w:rsidR="0010762E" w:rsidRDefault="00400DD6" w:rsidP="0010762E">
      <w:pPr>
        <w:rPr>
          <w:rFonts w:ascii="Arial" w:hAnsi="Arial" w:cs="Arial"/>
        </w:rPr>
      </w:pPr>
      <w:permStart w:id="1891459047" w:edGrp="everyone"/>
      <w:r>
        <w:rPr>
          <w:rFonts w:ascii="Arial" w:hAnsi="Arial" w:cs="Arial"/>
        </w:rPr>
        <w:t>Please see our answer to q4.</w:t>
      </w:r>
    </w:p>
    <w:permEnd w:id="1891459047"/>
    <w:p w14:paraId="325BA92C" w14:textId="77777777" w:rsidR="0010762E" w:rsidRDefault="0010762E" w:rsidP="0010762E">
      <w:pPr>
        <w:rPr>
          <w:rFonts w:ascii="Arial" w:hAnsi="Arial" w:cs="Arial"/>
        </w:rPr>
      </w:pPr>
      <w:r>
        <w:rPr>
          <w:rFonts w:ascii="Arial" w:hAnsi="Arial" w:cs="Arial"/>
        </w:rPr>
        <w:t>&lt;ESMA_QUESTION_CP_BRTS_5&gt;</w:t>
      </w:r>
    </w:p>
    <w:p w14:paraId="0175C811" w14:textId="77777777" w:rsidR="0010762E" w:rsidRDefault="0010762E" w:rsidP="0010762E">
      <w:pPr>
        <w:rPr>
          <w:rFonts w:ascii="Arial" w:hAnsi="Arial" w:cs="Arial"/>
        </w:rPr>
      </w:pPr>
    </w:p>
    <w:p w14:paraId="1E88E7CE" w14:textId="77777777"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14:paraId="05318316" w14:textId="77777777" w:rsidR="0010762E" w:rsidRDefault="0010762E" w:rsidP="0010762E">
      <w:pPr>
        <w:rPr>
          <w:rFonts w:ascii="Arial" w:hAnsi="Arial" w:cs="Arial"/>
        </w:rPr>
      </w:pPr>
      <w:r>
        <w:rPr>
          <w:rFonts w:ascii="Arial" w:hAnsi="Arial" w:cs="Arial"/>
        </w:rPr>
        <w:t>&lt;ESMA_QUESTION_CP_BRTS_6&gt;</w:t>
      </w:r>
    </w:p>
    <w:p w14:paraId="577E9947" w14:textId="1D0DFACF" w:rsidR="0010762E" w:rsidRDefault="001F767F" w:rsidP="0010762E">
      <w:pPr>
        <w:rPr>
          <w:rFonts w:ascii="Arial" w:hAnsi="Arial" w:cs="Arial"/>
        </w:rPr>
      </w:pPr>
      <w:permStart w:id="1515997747" w:edGrp="everyone"/>
      <w:r>
        <w:rPr>
          <w:rFonts w:ascii="Arial" w:hAnsi="Arial" w:cs="Arial"/>
        </w:rPr>
        <w:t>Please see our answer to q4.</w:t>
      </w:r>
    </w:p>
    <w:permEnd w:id="1515997747"/>
    <w:p w14:paraId="2ECB166B" w14:textId="77777777" w:rsidR="0010762E" w:rsidRDefault="0010762E" w:rsidP="0010762E">
      <w:pPr>
        <w:rPr>
          <w:rFonts w:ascii="Arial" w:hAnsi="Arial" w:cs="Arial"/>
        </w:rPr>
      </w:pPr>
      <w:r>
        <w:rPr>
          <w:rFonts w:ascii="Arial" w:hAnsi="Arial" w:cs="Arial"/>
        </w:rPr>
        <w:t>&lt;ESMA_QUESTION_CP_BRTS_6&gt;</w:t>
      </w:r>
    </w:p>
    <w:p w14:paraId="4027CBF5" w14:textId="77777777" w:rsidR="0010762E" w:rsidRDefault="0010762E" w:rsidP="0010762E">
      <w:pPr>
        <w:rPr>
          <w:rFonts w:ascii="Arial" w:hAnsi="Arial" w:cs="Arial"/>
        </w:rPr>
      </w:pPr>
    </w:p>
    <w:p w14:paraId="51C83B9D" w14:textId="77777777" w:rsidR="0010762E" w:rsidRPr="00BD08D3" w:rsidRDefault="0010762E" w:rsidP="0010762E">
      <w:pPr>
        <w:pStyle w:val="Questionstyle"/>
        <w:numPr>
          <w:ilvl w:val="0"/>
          <w:numId w:val="9"/>
        </w:numPr>
        <w:spacing w:after="250" w:line="276" w:lineRule="auto"/>
      </w:pPr>
      <w:r>
        <w:t>: Do you agree with the requirements set out above? Do you have any additional suggestions? Please specify.</w:t>
      </w:r>
    </w:p>
    <w:p w14:paraId="09A3C610" w14:textId="77777777" w:rsidR="0010762E" w:rsidRDefault="0010762E" w:rsidP="0010762E">
      <w:pPr>
        <w:rPr>
          <w:rFonts w:ascii="Arial" w:hAnsi="Arial" w:cs="Arial"/>
        </w:rPr>
      </w:pPr>
      <w:r>
        <w:rPr>
          <w:rFonts w:ascii="Arial" w:hAnsi="Arial" w:cs="Arial"/>
        </w:rPr>
        <w:t>&lt;ESMA_QUESTION_CP_BRTS_7&gt;</w:t>
      </w:r>
    </w:p>
    <w:p w14:paraId="6AF206FC" w14:textId="6FA127ED" w:rsidR="0010762E" w:rsidRDefault="00AB428C" w:rsidP="0010762E">
      <w:pPr>
        <w:rPr>
          <w:rFonts w:ascii="Arial" w:hAnsi="Arial" w:cs="Arial"/>
        </w:rPr>
      </w:pPr>
      <w:permStart w:id="1782531178" w:edGrp="everyone"/>
      <w:r>
        <w:rPr>
          <w:rFonts w:ascii="Arial" w:hAnsi="Arial" w:cs="Arial"/>
        </w:rPr>
        <w:t>We have no comments.</w:t>
      </w:r>
    </w:p>
    <w:permEnd w:id="1782531178"/>
    <w:p w14:paraId="6202F412" w14:textId="77777777" w:rsidR="0010762E" w:rsidRDefault="0010762E" w:rsidP="0010762E">
      <w:pPr>
        <w:rPr>
          <w:rFonts w:ascii="Arial" w:hAnsi="Arial" w:cs="Arial"/>
        </w:rPr>
      </w:pPr>
      <w:r>
        <w:rPr>
          <w:rFonts w:ascii="Arial" w:hAnsi="Arial" w:cs="Arial"/>
        </w:rPr>
        <w:t>&lt;ESMA_QUESTION_CP_BRTS_7&gt;</w:t>
      </w:r>
    </w:p>
    <w:p w14:paraId="265A4091" w14:textId="77777777" w:rsidR="0010762E" w:rsidRDefault="0010762E" w:rsidP="0010762E">
      <w:pPr>
        <w:rPr>
          <w:rFonts w:ascii="Arial" w:hAnsi="Arial" w:cs="Arial"/>
        </w:rPr>
      </w:pPr>
    </w:p>
    <w:p w14:paraId="6F6BAEF9" w14:textId="77777777" w:rsidR="0010762E" w:rsidRPr="00BD08D3" w:rsidRDefault="0010762E" w:rsidP="0010762E">
      <w:pPr>
        <w:pStyle w:val="Questionstyle"/>
        <w:numPr>
          <w:ilvl w:val="0"/>
          <w:numId w:val="9"/>
        </w:numPr>
        <w:spacing w:after="250" w:line="276" w:lineRule="auto"/>
      </w:pPr>
      <w:r>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14:paraId="11247E6C" w14:textId="77777777" w:rsidR="0010762E" w:rsidRDefault="0010762E" w:rsidP="0010762E">
      <w:pPr>
        <w:rPr>
          <w:rFonts w:ascii="Arial" w:hAnsi="Arial" w:cs="Arial"/>
        </w:rPr>
      </w:pPr>
      <w:r>
        <w:rPr>
          <w:rFonts w:ascii="Arial" w:hAnsi="Arial" w:cs="Arial"/>
        </w:rPr>
        <w:t>&lt;ESMA_QUESTION_CP_BRTS_8&gt;</w:t>
      </w:r>
    </w:p>
    <w:p w14:paraId="4012A15E" w14:textId="27407A50" w:rsidR="0010762E" w:rsidRDefault="00AB428C" w:rsidP="0010762E">
      <w:pPr>
        <w:rPr>
          <w:rFonts w:ascii="Arial" w:hAnsi="Arial" w:cs="Arial"/>
        </w:rPr>
      </w:pPr>
      <w:permStart w:id="1317289506" w:edGrp="everyone"/>
      <w:r w:rsidRPr="00AB428C">
        <w:rPr>
          <w:rFonts w:ascii="Arial" w:hAnsi="Arial" w:cs="Arial"/>
        </w:rPr>
        <w:t>We have no comments</w:t>
      </w:r>
      <w:r>
        <w:rPr>
          <w:rFonts w:ascii="Arial" w:hAnsi="Arial" w:cs="Arial"/>
        </w:rPr>
        <w:t>.</w:t>
      </w:r>
    </w:p>
    <w:permEnd w:id="1317289506"/>
    <w:p w14:paraId="25C56C77" w14:textId="77777777" w:rsidR="0010762E" w:rsidRDefault="0010762E" w:rsidP="0010762E">
      <w:pPr>
        <w:rPr>
          <w:rFonts w:ascii="Arial" w:hAnsi="Arial" w:cs="Arial"/>
        </w:rPr>
      </w:pPr>
      <w:r>
        <w:rPr>
          <w:rFonts w:ascii="Arial" w:hAnsi="Arial" w:cs="Arial"/>
        </w:rPr>
        <w:t>&lt;ESMA_QUESTION_CP_BRTS_8&gt;</w:t>
      </w:r>
    </w:p>
    <w:p w14:paraId="21DED87D" w14:textId="77777777" w:rsidR="0010762E" w:rsidRDefault="0010762E" w:rsidP="0010762E">
      <w:pPr>
        <w:rPr>
          <w:rFonts w:ascii="Arial" w:hAnsi="Arial" w:cs="Arial"/>
        </w:rPr>
      </w:pPr>
    </w:p>
    <w:p w14:paraId="7D240348" w14:textId="77777777"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14:paraId="699ED31F" w14:textId="77777777" w:rsidR="0010762E" w:rsidRDefault="0010762E" w:rsidP="0010762E">
      <w:pPr>
        <w:rPr>
          <w:rFonts w:ascii="Arial" w:hAnsi="Arial" w:cs="Arial"/>
        </w:rPr>
      </w:pPr>
      <w:r>
        <w:rPr>
          <w:rFonts w:ascii="Arial" w:hAnsi="Arial" w:cs="Arial"/>
        </w:rPr>
        <w:t>&lt;ESMA_QUESTION_CP_BRTS_9&gt;</w:t>
      </w:r>
    </w:p>
    <w:p w14:paraId="0D1630BE" w14:textId="3E308850" w:rsidR="0010762E" w:rsidRDefault="00CE6AD6" w:rsidP="0010762E">
      <w:pPr>
        <w:rPr>
          <w:rFonts w:ascii="Arial" w:hAnsi="Arial" w:cs="Arial"/>
        </w:rPr>
      </w:pPr>
      <w:permStart w:id="1927238694" w:edGrp="everyone"/>
      <w:r w:rsidRPr="00CE6AD6">
        <w:rPr>
          <w:rFonts w:ascii="Arial" w:hAnsi="Arial" w:cs="Arial"/>
        </w:rPr>
        <w:t>We agree with the criteria’s that Competent Authorities and benchmark administrators should take into consideration in order to assess if a critical benchmarks needs be ceased or transferred to a new administrator. Only on a basis of a valid assessment the critical benchmark should be ceased or transferred to a new administrator.</w:t>
      </w:r>
    </w:p>
    <w:permEnd w:id="1927238694"/>
    <w:p w14:paraId="2758B2C1" w14:textId="77777777" w:rsidR="0010762E" w:rsidRDefault="0010762E" w:rsidP="0010762E">
      <w:pPr>
        <w:rPr>
          <w:rFonts w:ascii="Arial" w:hAnsi="Arial" w:cs="Arial"/>
        </w:rPr>
      </w:pPr>
      <w:r>
        <w:rPr>
          <w:rFonts w:ascii="Arial" w:hAnsi="Arial" w:cs="Arial"/>
        </w:rPr>
        <w:t>&lt;ESMA_QUESTION_CP_BRTS_9&gt;</w:t>
      </w:r>
    </w:p>
    <w:p w14:paraId="10CE65C4" w14:textId="77777777" w:rsidR="0010762E" w:rsidRDefault="0010762E" w:rsidP="0010762E">
      <w:pPr>
        <w:rPr>
          <w:rFonts w:ascii="Arial" w:hAnsi="Arial" w:cs="Arial"/>
        </w:rPr>
      </w:pPr>
    </w:p>
    <w:p w14:paraId="5922C6E6" w14:textId="77777777"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14:paraId="26355653" w14:textId="77777777" w:rsidR="0010762E" w:rsidRDefault="0010762E" w:rsidP="0010762E">
      <w:pPr>
        <w:rPr>
          <w:rFonts w:ascii="Arial" w:hAnsi="Arial" w:cs="Arial"/>
        </w:rPr>
      </w:pPr>
      <w:r>
        <w:rPr>
          <w:rFonts w:ascii="Arial" w:hAnsi="Arial" w:cs="Arial"/>
        </w:rPr>
        <w:t>&lt;ESMA_QUESTION_CP_BRTS_10&gt;</w:t>
      </w:r>
    </w:p>
    <w:p w14:paraId="673D6FCA" w14:textId="604B5EA3" w:rsidR="0010762E" w:rsidRDefault="001A2AFE" w:rsidP="0010762E">
      <w:pPr>
        <w:rPr>
          <w:rFonts w:ascii="Arial" w:hAnsi="Arial" w:cs="Arial"/>
        </w:rPr>
      </w:pPr>
      <w:permStart w:id="706027679" w:edGrp="everyone"/>
      <w:r>
        <w:rPr>
          <w:rFonts w:ascii="Arial" w:hAnsi="Arial" w:cs="Arial"/>
        </w:rPr>
        <w:t>Please see our answer to q9.</w:t>
      </w:r>
    </w:p>
    <w:permEnd w:id="706027679"/>
    <w:p w14:paraId="3AF676B8" w14:textId="77777777" w:rsidR="0010762E" w:rsidRDefault="0010762E" w:rsidP="0010762E">
      <w:pPr>
        <w:rPr>
          <w:rFonts w:ascii="Arial" w:hAnsi="Arial" w:cs="Arial"/>
        </w:rPr>
      </w:pPr>
      <w:r>
        <w:rPr>
          <w:rFonts w:ascii="Arial" w:hAnsi="Arial" w:cs="Arial"/>
        </w:rPr>
        <w:t>&lt;ESMA_QUESTION_CP_BRTS_10&gt;</w:t>
      </w:r>
    </w:p>
    <w:p w14:paraId="1C353E9F" w14:textId="77777777" w:rsidR="0010762E" w:rsidRDefault="0010762E" w:rsidP="0010762E">
      <w:pPr>
        <w:rPr>
          <w:rFonts w:ascii="Arial" w:hAnsi="Arial" w:cs="Arial"/>
        </w:rPr>
      </w:pPr>
    </w:p>
    <w:p w14:paraId="41B02211" w14:textId="77777777" w:rsidR="0010762E" w:rsidRPr="00BD08D3" w:rsidRDefault="0010762E" w:rsidP="0010762E">
      <w:pPr>
        <w:pStyle w:val="Questionstyle"/>
        <w:numPr>
          <w:ilvl w:val="0"/>
          <w:numId w:val="9"/>
        </w:numPr>
        <w:spacing w:after="250" w:line="276" w:lineRule="auto"/>
      </w:pPr>
      <w:r w:rsidRPr="00B6264C">
        <w:lastRenderedPageBreak/>
        <w:t>: Do you agree with the criteria under which competent authorities may require changes to the compliance statement? Please specify</w:t>
      </w:r>
    </w:p>
    <w:p w14:paraId="1D17CAE2" w14:textId="77777777" w:rsidR="0010762E" w:rsidRDefault="0010762E" w:rsidP="0010762E">
      <w:pPr>
        <w:rPr>
          <w:rFonts w:ascii="Arial" w:hAnsi="Arial" w:cs="Arial"/>
        </w:rPr>
      </w:pPr>
      <w:r>
        <w:rPr>
          <w:rFonts w:ascii="Arial" w:hAnsi="Arial" w:cs="Arial"/>
        </w:rPr>
        <w:t>&lt;ESMA_QUESTION_CP_BRTS_11&gt;</w:t>
      </w:r>
    </w:p>
    <w:p w14:paraId="34CEF860" w14:textId="124FA4DE" w:rsidR="0010762E" w:rsidRDefault="001A2AFE" w:rsidP="0010762E">
      <w:pPr>
        <w:rPr>
          <w:rFonts w:ascii="Arial" w:hAnsi="Arial" w:cs="Arial"/>
        </w:rPr>
      </w:pPr>
      <w:permStart w:id="2079658631" w:edGrp="everyone"/>
      <w:r>
        <w:rPr>
          <w:rFonts w:ascii="Arial" w:hAnsi="Arial" w:cs="Arial"/>
        </w:rPr>
        <w:t>We have no comments.</w:t>
      </w:r>
      <w:bookmarkStart w:id="1" w:name="_GoBack"/>
      <w:bookmarkEnd w:id="1"/>
    </w:p>
    <w:permEnd w:id="2079658631"/>
    <w:p w14:paraId="031B3E2A" w14:textId="77777777" w:rsidR="0010762E" w:rsidRDefault="0010762E" w:rsidP="0010762E">
      <w:pPr>
        <w:rPr>
          <w:rFonts w:ascii="Arial" w:hAnsi="Arial" w:cs="Arial"/>
        </w:rPr>
      </w:pPr>
      <w:r>
        <w:rPr>
          <w:rFonts w:ascii="Arial" w:hAnsi="Arial" w:cs="Arial"/>
        </w:rPr>
        <w:t>&lt;ESMA_QUESTION_CP_BRTS_11&gt;</w:t>
      </w:r>
    </w:p>
    <w:p w14:paraId="472C8914" w14:textId="77777777" w:rsidR="0010762E" w:rsidRDefault="0010762E" w:rsidP="0010762E">
      <w:pPr>
        <w:rPr>
          <w:rFonts w:ascii="Arial" w:hAnsi="Arial" w:cs="Arial"/>
        </w:rPr>
      </w:pPr>
    </w:p>
    <w:p w14:paraId="1293AA79" w14:textId="77777777"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14:paraId="45FFA525" w14:textId="77777777" w:rsidR="0010762E" w:rsidRDefault="0010762E" w:rsidP="0010762E">
      <w:pPr>
        <w:rPr>
          <w:rFonts w:ascii="Arial" w:hAnsi="Arial" w:cs="Arial"/>
        </w:rPr>
      </w:pPr>
      <w:r>
        <w:rPr>
          <w:rFonts w:ascii="Arial" w:hAnsi="Arial" w:cs="Arial"/>
        </w:rPr>
        <w:t>&lt;ESMA_QUESTION_CP_BRTS_12&gt;</w:t>
      </w:r>
    </w:p>
    <w:p w14:paraId="7B6F5753" w14:textId="44C9F1D7" w:rsidR="0010762E" w:rsidRDefault="001A2AFE" w:rsidP="0010762E">
      <w:pPr>
        <w:rPr>
          <w:rFonts w:ascii="Arial" w:hAnsi="Arial" w:cs="Arial"/>
        </w:rPr>
      </w:pPr>
      <w:permStart w:id="1243561789" w:edGrp="everyone"/>
      <w:r>
        <w:rPr>
          <w:rFonts w:ascii="Arial" w:hAnsi="Arial" w:cs="Arial"/>
        </w:rPr>
        <w:t>We have no comments.</w:t>
      </w:r>
    </w:p>
    <w:permEnd w:id="1243561789"/>
    <w:p w14:paraId="79761804" w14:textId="77777777" w:rsidR="0010762E" w:rsidRDefault="0010762E" w:rsidP="0010762E">
      <w:pPr>
        <w:rPr>
          <w:rFonts w:ascii="Arial" w:hAnsi="Arial" w:cs="Arial"/>
        </w:rPr>
      </w:pPr>
      <w:r>
        <w:rPr>
          <w:rFonts w:ascii="Arial" w:hAnsi="Arial" w:cs="Arial"/>
        </w:rPr>
        <w:t>&lt;ESMA_QUESTION_CP_BRTS_12&gt;</w:t>
      </w: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5728" w14:textId="77777777" w:rsidR="004B6C3B" w:rsidRDefault="004B6C3B" w:rsidP="007E7997">
      <w:r>
        <w:separator/>
      </w:r>
    </w:p>
  </w:endnote>
  <w:endnote w:type="continuationSeparator" w:id="0">
    <w:p w14:paraId="4F04B608" w14:textId="77777777" w:rsidR="004B6C3B" w:rsidRDefault="004B6C3B" w:rsidP="007E7997">
      <w:r>
        <w:continuationSeparator/>
      </w:r>
    </w:p>
  </w:endnote>
  <w:endnote w:type="continuationNotice" w:id="1">
    <w:p w14:paraId="55AF20F4" w14:textId="77777777" w:rsidR="004B6C3B" w:rsidRDefault="004B6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02E8" w14:textId="77777777" w:rsidR="009570BC" w:rsidRDefault="009570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4F5F5341" w:rsidR="00E36813" w:rsidRPr="00514DFA" w:rsidRDefault="00564F5A" w:rsidP="00564F5A">
    <w:pPr>
      <w:pStyle w:val="Fuzeile"/>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w:t>
    </w:r>
    <w:r w:rsidR="0010762E">
      <w:rPr>
        <w:rFonts w:asciiTheme="majorHAnsi" w:hAnsiTheme="majorHAnsi"/>
        <w:color w:val="FFFFFF" w:themeColor="background1"/>
      </w:rPr>
      <w:t xml:space="preserve"> </w:t>
    </w:r>
    <w:r>
      <w:rPr>
        <w:rFonts w:asciiTheme="majorHAnsi" w:hAnsiTheme="majorHAnsi"/>
        <w:color w:val="FFFFFF" w:themeColor="background1"/>
      </w:rPr>
      <w:t>March</w:t>
    </w:r>
    <w:r w:rsidR="008F1DCF" w:rsidRPr="0010762E">
      <w:rPr>
        <w:rFonts w:asciiTheme="majorHAnsi" w:hAnsiTheme="majorHAnsi"/>
        <w:color w:val="FFFFFF" w:themeColor="background1"/>
      </w:rPr>
      <w:t xml:space="preserve"> 2020</w:t>
    </w:r>
    <w:r w:rsidR="008F1DCF">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Fuzeile"/>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3B542C72" w:rsidR="00E36813" w:rsidRDefault="00E36813" w:rsidP="008F1DCF">
        <w:pPr>
          <w:pStyle w:val="Fuzeile"/>
          <w:jc w:val="right"/>
        </w:pPr>
        <w:r>
          <w:fldChar w:fldCharType="begin"/>
        </w:r>
        <w:r>
          <w:instrText xml:space="preserve"> PAGE   \* MERGEFORMAT </w:instrText>
        </w:r>
        <w:r>
          <w:fldChar w:fldCharType="separate"/>
        </w:r>
        <w:r w:rsidR="00F36188">
          <w:rPr>
            <w:noProof/>
          </w:rPr>
          <w:t>4</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80FA" w14:textId="77777777" w:rsidR="004B6C3B" w:rsidRDefault="004B6C3B" w:rsidP="007E7997">
      <w:r>
        <w:separator/>
      </w:r>
    </w:p>
  </w:footnote>
  <w:footnote w:type="continuationSeparator" w:id="0">
    <w:p w14:paraId="5F4B9607" w14:textId="77777777" w:rsidR="004B6C3B" w:rsidRDefault="004B6C3B" w:rsidP="007E7997">
      <w:r>
        <w:continuationSeparator/>
      </w:r>
    </w:p>
  </w:footnote>
  <w:footnote w:type="continuationNotice" w:id="1">
    <w:p w14:paraId="0A99474F" w14:textId="77777777" w:rsidR="004B6C3B" w:rsidRDefault="004B6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ADB3" w14:textId="77777777" w:rsidR="009570BC" w:rsidRDefault="009570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Kopfzeile"/>
    </w:pPr>
  </w:p>
  <w:p w14:paraId="59FA3C9D" w14:textId="77777777" w:rsidR="00E36813" w:rsidRDefault="00E3681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Kopfzeil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6BE1" w14:textId="77777777" w:rsidR="008F1DCF" w:rsidRPr="003669AC" w:rsidRDefault="008F1DCF" w:rsidP="006C5A3D">
    <w:pPr>
      <w:pStyle w:val="Kopfzeile"/>
      <w:ind w:left="708"/>
      <w:jc w:val="right"/>
    </w:pPr>
  </w:p>
  <w:p w14:paraId="4E70851B" w14:textId="77777777" w:rsidR="008F1DCF" w:rsidRPr="003669AC" w:rsidRDefault="008F1DCF" w:rsidP="006C5A3D">
    <w:pPr>
      <w:pStyle w:val="Kopfzeile"/>
      <w:ind w:left="708"/>
      <w:jc w:val="right"/>
    </w:pPr>
  </w:p>
  <w:p w14:paraId="4DAF4C00" w14:textId="77777777" w:rsidR="008F1DCF" w:rsidRPr="008F1DCF" w:rsidRDefault="008F1DCF" w:rsidP="006C5A3D">
    <w:pPr>
      <w:pStyle w:val="Kopfzeile"/>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69D61D52" w:rsidR="008F1DCF" w:rsidRPr="008F1DCF" w:rsidRDefault="00F36188" w:rsidP="00AE4A5B">
          <w:pPr>
            <w:pStyle w:val="02Date"/>
            <w:rPr>
              <w:rFonts w:asciiTheme="majorHAnsi" w:hAnsiTheme="majorHAnsi" w:cstheme="majorHAnsi"/>
            </w:rPr>
          </w:pPr>
          <w:r>
            <w:rPr>
              <w:rFonts w:asciiTheme="majorHAnsi" w:hAnsiTheme="majorHAnsi" w:cstheme="majorHAnsi"/>
            </w:rPr>
            <w:t>9</w:t>
          </w:r>
          <w:r w:rsidR="00564F5A">
            <w:rPr>
              <w:rFonts w:asciiTheme="majorHAnsi" w:hAnsiTheme="majorHAnsi" w:cstheme="majorHAnsi"/>
            </w:rPr>
            <w:t xml:space="preserve"> March</w:t>
          </w:r>
          <w:r w:rsidR="0010762E">
            <w:rPr>
              <w:rFonts w:asciiTheme="majorHAnsi" w:hAnsiTheme="majorHAnsi" w:cstheme="majorHAnsi"/>
            </w:rPr>
            <w:t xml:space="preserve"> 2020</w:t>
          </w:r>
        </w:p>
        <w:p w14:paraId="77FCE60C" w14:textId="5BEB2329" w:rsidR="008F1DCF" w:rsidRPr="008F1DCF" w:rsidRDefault="00564F5A" w:rsidP="00564F5A">
          <w:pPr>
            <w:pStyle w:val="02Date"/>
            <w:rPr>
              <w:rFonts w:asciiTheme="majorHAnsi" w:hAnsiTheme="majorHAnsi" w:cstheme="majorHAnsi"/>
            </w:rPr>
          </w:pPr>
          <w:r w:rsidRPr="00564F5A">
            <w:rPr>
              <w:rFonts w:asciiTheme="majorHAnsi" w:hAnsiTheme="majorHAnsi" w:cstheme="majorHAnsi"/>
            </w:rPr>
            <w:t xml:space="preserve">ESMA70-156-2429  </w:t>
          </w:r>
          <w:r w:rsidR="008F1DCF" w:rsidRPr="008F1DCF">
            <w:rPr>
              <w:rFonts w:asciiTheme="majorHAnsi" w:hAnsiTheme="majorHAnsi" w:cstheme="majorHAnsi"/>
            </w:rPr>
            <w:t>-</w:t>
          </w:r>
        </w:p>
      </w:tc>
    </w:tr>
  </w:tbl>
  <w:p w14:paraId="242C7A76" w14:textId="77777777" w:rsidR="008F1DCF" w:rsidRDefault="008F1DCF" w:rsidP="006C5A3D">
    <w:pPr>
      <w:pStyle w:val="Kopfzeile"/>
      <w:ind w:left="6663"/>
      <w:rPr>
        <w:color w:val="FF0000"/>
        <w:sz w:val="20"/>
      </w:rPr>
    </w:pPr>
  </w:p>
  <w:p w14:paraId="5962D0E4" w14:textId="77777777" w:rsidR="008F1DCF" w:rsidRDefault="008F1DCF">
    <w:pPr>
      <w:pStyle w:val="Kopfzeile"/>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7A22" w14:textId="77777777" w:rsidR="008F1DCF" w:rsidRDefault="008F1DCF">
    <w:pPr>
      <w:pStyle w:val="Kopfzeile"/>
    </w:pPr>
  </w:p>
  <w:p w14:paraId="462F1DD4" w14:textId="77777777" w:rsidR="008F1DCF" w:rsidRDefault="008F1DCF">
    <w:pPr>
      <w:pStyle w:val="Kopfzeile"/>
    </w:pPr>
  </w:p>
  <w:p w14:paraId="18981FB1" w14:textId="77777777" w:rsidR="008F1DCF" w:rsidRDefault="008F1DCF">
    <w:pPr>
      <w:pStyle w:val="Kopfzeile"/>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Kopfzeile"/>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79D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proofState w:spelling="clean"/>
  <w:attachedTemplate r:id="rId1"/>
  <w:documentProtection w:edit="readOnly" w:enforcement="1" w:cryptProviderType="rsaAES" w:cryptAlgorithmClass="hash" w:cryptAlgorithmType="typeAny" w:cryptAlgorithmSid="14" w:cryptSpinCount="100000" w:hash="dKEpmO5ojvRrbnas8+vZm3cLI80opMrZ1SKh4CCRnFno/in661YN46heyBLHSu/f0pbc96IBLxVA6U915RGNxQ==" w:salt="2wbdAoQ2PpXyRoiX9SSqeA=="/>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1DB"/>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2AFE"/>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1F767F"/>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5AB2"/>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DD6"/>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65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B6C3B"/>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050D"/>
    <w:rsid w:val="007C1C28"/>
    <w:rsid w:val="007C2A2C"/>
    <w:rsid w:val="007C3577"/>
    <w:rsid w:val="007C5E08"/>
    <w:rsid w:val="007D0002"/>
    <w:rsid w:val="007D0E36"/>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555B0"/>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28C"/>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375A4"/>
    <w:rsid w:val="00B40D81"/>
    <w:rsid w:val="00B424F5"/>
    <w:rsid w:val="00B43167"/>
    <w:rsid w:val="00B435BE"/>
    <w:rsid w:val="00B43A9D"/>
    <w:rsid w:val="00B44727"/>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779B"/>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E6AD6"/>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0B5"/>
    <w:rsid w:val="00D6356C"/>
    <w:rsid w:val="00D64A32"/>
    <w:rsid w:val="00D6553A"/>
    <w:rsid w:val="00D657CA"/>
    <w:rsid w:val="00D73338"/>
    <w:rsid w:val="00D775F3"/>
    <w:rsid w:val="00D77868"/>
    <w:rsid w:val="00D77F25"/>
    <w:rsid w:val="00D84C2A"/>
    <w:rsid w:val="00D86D54"/>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62D"/>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purl.org/dc/elements/1.1/"/>
    <ds:schemaRef ds:uri="http://schemas.microsoft.com/office/2006/metadata/properties"/>
    <ds:schemaRef ds:uri="http://schemas.microsoft.com/sharepoint/v4"/>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0fbe147-bbda-4e53-b6b1-7e8bbff3fe19"/>
    <ds:schemaRef ds:uri="http://www.w3.org/XML/1998/namespace"/>
    <ds:schemaRef ds:uri="http://purl.org/dc/dcmityp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3856C772-E694-49C4-A13F-E7562F3A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11</Pages>
  <Words>2687</Words>
  <Characters>16931</Characters>
  <Application>Microsoft Office Word</Application>
  <DocSecurity>8</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Felix Ertl</cp:lastModifiedBy>
  <cp:revision>17</cp:revision>
  <cp:lastPrinted>2017-07-24T14:47:00Z</cp:lastPrinted>
  <dcterms:created xsi:type="dcterms:W3CDTF">2020-06-05T12:38:00Z</dcterms:created>
  <dcterms:modified xsi:type="dcterms:W3CDTF">2020-06-05T13:07:00Z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