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uzeile"/>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tc>
          <w:tcPr>
            <w:tcW w:w="5595" w:type="dxa"/>
            <w:shd w:val="clear" w:color="auto" w:fill="auto"/>
          </w:tcPr>
          <w:p w14:paraId="7A68491E" w14:textId="79A34E48" w:rsidR="00C2682A" w:rsidRPr="00AB6D88" w:rsidRDefault="00DB7126" w:rsidP="00F561EA">
            <w:pPr>
              <w:rPr>
                <w:rStyle w:val="Platzhaltertext"/>
                <w:rFonts w:cs="Arial"/>
              </w:rPr>
            </w:pPr>
            <w:sdt>
              <w:sdtPr>
                <w:rPr>
                  <w:rStyle w:val="Platzhaltertext"/>
                  <w:rFonts w:cs="Arial"/>
                </w:rPr>
                <w:id w:val="651570699"/>
                <w:text/>
              </w:sdtPr>
              <w:sdtEndPr>
                <w:rPr>
                  <w:rStyle w:val="Platzhaltertext"/>
                </w:rPr>
              </w:sdtEndPr>
              <w:sdtContent>
                <w:r w:rsidR="00F561EA">
                  <w:rPr>
                    <w:rStyle w:val="Platzhaltertext"/>
                    <w:rFonts w:cs="Arial"/>
                  </w:rPr>
                  <w:t>German Banking Industry Committee / Die Deutsche Kreditwirtschaft</w:t>
                </w:r>
              </w:sdtContent>
            </w:sdt>
            <w:r>
              <w:rPr>
                <w:rStyle w:val="Platzhaltertext"/>
                <w:rFonts w:cs="Arial"/>
              </w:rPr>
              <w:t xml:space="preserve"> (DK)</w:t>
            </w:r>
            <w:bookmarkStart w:id="3" w:name="_GoBack"/>
            <w:bookmarkEnd w:id="3"/>
          </w:p>
        </w:tc>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7777777" w:rsidR="00C2682A" w:rsidRPr="00AB6D88" w:rsidRDefault="00DB712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53B1358" w:rsidR="00C2682A" w:rsidRPr="00AB6D88" w:rsidRDefault="00F561EA" w:rsidP="00F561EA">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51F925DA" w14:textId="77777777" w:rsidR="005E66E7" w:rsidRPr="00FB3EF8" w:rsidRDefault="005E66E7" w:rsidP="005E66E7">
      <w:pPr>
        <w:rPr>
          <w:lang w:val="en-US"/>
        </w:rPr>
      </w:pPr>
      <w:permStart w:id="1955866996" w:edGrp="everyone"/>
      <w:r>
        <w:t>ESMA should rather consider to abolish the pre-trade transparency requirements altogether since neither real benefits in pre-trade transparency nor a market failure can be observed. The huge amount of data is not and will not – no matter how many changes are made – be of any use for the overwhelming majority of market participants. The sheer amount of data and its poor accessibility limits its usefulness to a great extent.</w:t>
      </w:r>
      <w:r w:rsidRPr="00F40DD3">
        <w:t xml:space="preserve"> </w:t>
      </w:r>
      <w:r>
        <w:t xml:space="preserve">An undifferentiated approach with the aim of an unconditional increase in pre-trade transparency would lead to negative reactions, in particular a widening of spreads in order to hedge risks. A partial drying up of market liquidity would also be a realistic scenario. </w:t>
      </w:r>
      <w:r w:rsidRPr="00F40DD3">
        <w:t xml:space="preserve">Should ESMA nevertheless wish to maintain the </w:t>
      </w:r>
      <w:r>
        <w:t>pre-trade transparency rules, simplifying the rules might be a sensible approach as long as negative consequences for market liquidity can be ruled out.</w:t>
      </w:r>
    </w:p>
    <w:permEnd w:id="1955866996"/>
    <w:p w14:paraId="4A4CF699" w14:textId="4070EB8A"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6C341F6F" w14:textId="77777777" w:rsidR="0069481E" w:rsidRDefault="0069481E" w:rsidP="0069481E">
      <w:permStart w:id="1066216518" w:edGrp="everyone"/>
      <w:r w:rsidRPr="000969DB">
        <w:t>W</w:t>
      </w:r>
      <w:r>
        <w:t>hile w</w:t>
      </w:r>
      <w:r w:rsidRPr="000969DB">
        <w:t>e generally see no need for adjustments</w:t>
      </w:r>
      <w:r>
        <w:t xml:space="preserve">, simplifying the </w:t>
      </w:r>
      <w:r w:rsidRPr="00B94ADB">
        <w:t>regime for pre-trade transparency waivers</w:t>
      </w:r>
      <w:r>
        <w:t xml:space="preserve"> might be helpful as long as detrimental consequences for market liquidity are avoided.</w:t>
      </w:r>
    </w:p>
    <w:p w14:paraId="26A6DDA9" w14:textId="77777777" w:rsidR="0069481E" w:rsidRDefault="0069481E" w:rsidP="0069481E"/>
    <w:p w14:paraId="6A926B71" w14:textId="77777777" w:rsidR="0069481E" w:rsidRDefault="0069481E" w:rsidP="0069481E">
      <w:r>
        <w:t>Generally, we would like to point out, that data, that can be obtained from the post-trade transparency provisions is sufficient for market data transparency issues if it were more user friendly. Currently, the sheer data volume is mainly used by very big market participants, like hedge funds or algo-trading entities. I</w:t>
      </w:r>
      <w:r w:rsidRPr="00DA3EED">
        <w:t>n order to increase the number of users, better structuring of the data would be helpful</w:t>
      </w:r>
      <w:r>
        <w:t xml:space="preserve">. </w:t>
      </w:r>
    </w:p>
    <w:permEnd w:id="1066216518"/>
    <w:p w14:paraId="108232FE" w14:textId="1FC8A65B"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t>
      </w:r>
      <w:r w:rsidRPr="007254DD">
        <w:lastRenderedPageBreak/>
        <w:t>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62E6A317" w14:textId="77777777" w:rsidR="0069481E" w:rsidRPr="005B0C3B" w:rsidRDefault="0069481E" w:rsidP="0069481E">
      <w:permStart w:id="473446270" w:edGrp="everyone"/>
      <w:r>
        <w:t xml:space="preserve">It is essential that transactions of a certain size are exempted from pre-trade transparency or rather quoting obligations, otherwise </w:t>
      </w:r>
      <w:r w:rsidRPr="00E851FD">
        <w:t xml:space="preserve">Article </w:t>
      </w:r>
      <w:r>
        <w:t>18 (10) MiFIR would become meaningless. Only i</w:t>
      </w:r>
      <w:r w:rsidRPr="00E851FD">
        <w:t xml:space="preserve">f this is guaranteed, </w:t>
      </w:r>
      <w:r w:rsidRPr="005B0C3B">
        <w:t>we are supportive of ESMA’s proposal to delete the pre-trade SSTI-waiver in order to simplify the pre-trade transparency regime</w:t>
      </w:r>
      <w:r>
        <w:t>. The c</w:t>
      </w:r>
      <w:r w:rsidRPr="005B0C3B">
        <w:t>ompensati</w:t>
      </w:r>
      <w:r>
        <w:t>on for</w:t>
      </w:r>
      <w:r w:rsidRPr="005B0C3B">
        <w:t xml:space="preserve"> this</w:t>
      </w:r>
      <w:r>
        <w:t xml:space="preserve"> measure</w:t>
      </w:r>
      <w:r w:rsidRPr="005B0C3B">
        <w:t xml:space="preserve"> </w:t>
      </w:r>
      <w:r>
        <w:t>in the form of</w:t>
      </w:r>
      <w:r w:rsidRPr="005B0C3B">
        <w:t xml:space="preserve"> lowering the pre-trade LIS-thresholds across all asset classes</w:t>
      </w:r>
      <w:r>
        <w:t xml:space="preserve"> </w:t>
      </w:r>
      <w:r w:rsidRPr="00292212">
        <w:t>must ensure that the same effect is achieved as by the waiver</w:t>
      </w:r>
      <w:r>
        <w:t xml:space="preserve">. </w:t>
      </w:r>
    </w:p>
    <w:p w14:paraId="450B8CB6" w14:textId="77777777" w:rsidR="0069481E" w:rsidRDefault="0069481E" w:rsidP="0069481E">
      <w:r w:rsidRPr="003B0C76">
        <w:t>In order to determine the concrete level required</w:t>
      </w:r>
      <w:r>
        <w:t xml:space="preserve"> for the thresholds</w:t>
      </w:r>
      <w:r w:rsidRPr="003B0C76">
        <w:t>, comparative model calculations must be carried out.</w:t>
      </w:r>
    </w:p>
    <w:permEnd w:id="473446270"/>
    <w:p w14:paraId="27C12B76" w14:textId="5213F68F"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7A4224E4" w14:textId="77777777" w:rsidR="0069481E" w:rsidRDefault="0069481E" w:rsidP="0069481E">
      <w:permStart w:id="1101743476" w:edGrp="everyone"/>
      <w:r>
        <w:t>Article 18 (10) MiFIR provides that systematic internalisers are not subject to the other requirements of that Article as far as transactions above the SSTI are concerned. The effect of this paragraph as well as Article 18 (6) MiFIR is essential to the SI regime and recognises that SI in non-equity instruments are key market participants acting at their own risk. Ultimately, these paragraphs reflect both buy-side and sell-side needs and provide for a balanced framework.</w:t>
      </w:r>
      <w:r w:rsidRPr="00657555">
        <w:t xml:space="preserve"> </w:t>
      </w:r>
      <w:r>
        <w:t>Deleting</w:t>
      </w:r>
      <w:r w:rsidRPr="006E3F8A">
        <w:t xml:space="preserve"> </w:t>
      </w:r>
      <w:r>
        <w:t>thresholds</w:t>
      </w:r>
      <w:r w:rsidRPr="006E3F8A">
        <w:t xml:space="preserve"> would in fact amount to an obligation to contract, with the consequence that SI</w:t>
      </w:r>
      <w:r>
        <w:t>s</w:t>
      </w:r>
      <w:r w:rsidRPr="006E3F8A">
        <w:t xml:space="preserve"> would have to apply unspecific pricing</w:t>
      </w:r>
      <w:r>
        <w:t xml:space="preserve"> methods since they </w:t>
      </w:r>
      <w:r w:rsidRPr="006E3F8A">
        <w:t xml:space="preserve">would </w:t>
      </w:r>
      <w:r>
        <w:t xml:space="preserve">then </w:t>
      </w:r>
      <w:r w:rsidRPr="006E3F8A">
        <w:t xml:space="preserve">have to take their risks into account in a non-specific way. </w:t>
      </w:r>
      <w:r>
        <w:t>T</w:t>
      </w:r>
      <w:r w:rsidRPr="006E3F8A">
        <w:t>his would lead to</w:t>
      </w:r>
      <w:r>
        <w:t xml:space="preserve"> an overall deterioration of their quotes through a widening of the spreads. When deciding about the way forward, it is imperative to avoid that any changes lead to negative reactions - including unintended ones - which could ultimately have a lasting negative impact on the liquidity of bond trading. </w:t>
      </w:r>
    </w:p>
    <w:p w14:paraId="568E42ED" w14:textId="77777777" w:rsidR="0069481E" w:rsidRDefault="0069481E" w:rsidP="0069481E"/>
    <w:p w14:paraId="2AAA60EE" w14:textId="77777777" w:rsidR="0069481E" w:rsidRDefault="0069481E" w:rsidP="0069481E">
      <w:r>
        <w:t>Adjustments of the requirements should also avoid extensive adjustments in the SIs’ systems as the expenditure involved might lead to unjustified results in terms of factual and cost</w:t>
      </w:r>
      <w:r w:rsidRPr="00EE699D">
        <w:t xml:space="preserve"> </w:t>
      </w:r>
      <w:r>
        <w:t>aspects.</w:t>
      </w:r>
    </w:p>
    <w:p w14:paraId="65555457" w14:textId="77777777" w:rsidR="0069481E" w:rsidRDefault="0069481E" w:rsidP="0069481E"/>
    <w:p w14:paraId="15916B32" w14:textId="77777777" w:rsidR="0069481E" w:rsidRDefault="0069481E" w:rsidP="0069481E">
      <w:r>
        <w:t>Against this background, we would generally prefer Option 1. However, if it were possible to design Option 2 in a way that combines both the intended simplification of the rules and maintaining the effects of Articles 18 (6) and 18 (10) MiFIR, Option 2 could also be acceptable. This means that in any case the</w:t>
      </w:r>
      <w:r w:rsidRPr="008804D6">
        <w:t xml:space="preserve"> required calibration of the</w:t>
      </w:r>
      <w:r>
        <w:t xml:space="preserve"> relevant</w:t>
      </w:r>
      <w:r w:rsidRPr="008804D6">
        <w:t xml:space="preserve"> LIS-threshold</w:t>
      </w:r>
      <w:r>
        <w:t>s</w:t>
      </w:r>
      <w:r w:rsidRPr="008804D6">
        <w:t xml:space="preserve"> in RTS 2 (level 2 change) </w:t>
      </w:r>
      <w:r>
        <w:t>would have to</w:t>
      </w:r>
      <w:r w:rsidRPr="008804D6">
        <w:t xml:space="preserve"> be carried out very carefully, taking into account the interests of all market participants</w:t>
      </w:r>
      <w:r>
        <w:t xml:space="preserve"> meaning that a reduction in the LIS must fully compensate for the negative effects of a removal of the SSTI.</w:t>
      </w:r>
    </w:p>
    <w:permEnd w:id="1101743476"/>
    <w:p w14:paraId="22440220" w14:textId="3E7A70B2" w:rsidR="002E1760" w:rsidRDefault="002E1760" w:rsidP="002E1760"/>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lastRenderedPageBreak/>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77CB84C3" w14:textId="77777777" w:rsidR="0069481E" w:rsidRPr="00FB3EF8" w:rsidRDefault="0069481E" w:rsidP="0069481E">
      <w:permStart w:id="1725855520" w:edGrp="everyone"/>
      <w:r w:rsidRPr="008804D6">
        <w:t xml:space="preserve">In order to avoid an extension of the rather complicated waiver regime and the associated additional bureaucracy, we </w:t>
      </w:r>
      <w:r>
        <w:t>prefer</w:t>
      </w:r>
      <w:r w:rsidRPr="008804D6">
        <w:t xml:space="preserve"> option 2.</w:t>
      </w:r>
    </w:p>
    <w:permEnd w:id="1725855520"/>
    <w:p w14:paraId="5E6AA5B5" w14:textId="366E86D2" w:rsidR="00227C1A" w:rsidRDefault="00227C1A" w:rsidP="00227C1A"/>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4D4E8BDD" w14:textId="77777777" w:rsidR="0069481E" w:rsidRDefault="0069481E" w:rsidP="0069481E">
      <w:pPr>
        <w:jc w:val="both"/>
      </w:pPr>
      <w:permStart w:id="203298670" w:edGrp="everyone"/>
      <w:r>
        <w:t>We disagree with ESMA’s observations. We strongly oppose, for reasons of principle, changes of the Level 1 text as proposed by ESMA. It is the original task of the European legislators to define the scope of the rules. This naturally includes defining the definitions, in this case the definition of a trading venue. It is not within ESMA's competence to independently establish definitions through the publication of Opinions. Such an approach would both weaken the legislative process as such and increase legal uncertainty for the norm addressees. This must be prevented.</w:t>
      </w:r>
    </w:p>
    <w:p w14:paraId="59588A9B" w14:textId="77777777" w:rsidR="0069481E" w:rsidRDefault="0069481E" w:rsidP="0069481E">
      <w:pPr>
        <w:jc w:val="both"/>
      </w:pPr>
    </w:p>
    <w:p w14:paraId="34CA36AC" w14:textId="77777777" w:rsidR="0069481E" w:rsidRDefault="0069481E" w:rsidP="0069481E">
      <w:pPr>
        <w:jc w:val="both"/>
      </w:pPr>
      <w:r w:rsidRPr="001C6B50">
        <w:t>Should ESMA be involved, then only in the form</w:t>
      </w:r>
      <w:r>
        <w:t xml:space="preserve"> of experience-based input to the legislative process. </w:t>
      </w:r>
    </w:p>
    <w:permEnd w:id="203298670"/>
    <w:p w14:paraId="7F3F849F" w14:textId="12C16698"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6912C471" w14:textId="77777777" w:rsidR="0069481E" w:rsidRDefault="0069481E" w:rsidP="0069481E">
      <w:permStart w:id="1747589383" w:edGrp="everyone"/>
      <w:r>
        <w:lastRenderedPageBreak/>
        <w:t>N</w:t>
      </w:r>
      <w:r w:rsidRPr="00EE699D">
        <w:t xml:space="preserve">o, we </w:t>
      </w:r>
      <w:r>
        <w:t xml:space="preserve">do not agree with ESMA’s </w:t>
      </w:r>
      <w:r w:rsidRPr="00EE699D">
        <w:t xml:space="preserve">proposal </w:t>
      </w:r>
      <w:r w:rsidRPr="007254DD">
        <w:t>to require SIs to make available data free of charge 15 minutes after publication</w:t>
      </w:r>
      <w:r w:rsidRPr="00EE699D">
        <w:t>. Article 18</w:t>
      </w:r>
      <w:r>
        <w:t xml:space="preserve"> MiFIR</w:t>
      </w:r>
      <w:r w:rsidRPr="00EE699D">
        <w:t xml:space="preserve"> specifies</w:t>
      </w:r>
      <w:r>
        <w:t>,</w:t>
      </w:r>
      <w:r w:rsidRPr="00EE699D">
        <w:t xml:space="preserve"> which quotes an SI must make available </w:t>
      </w:r>
      <w:r>
        <w:t xml:space="preserve">at which time </w:t>
      </w:r>
      <w:r w:rsidRPr="00EE699D">
        <w:t>and under what conditions. These provisions take due</w:t>
      </w:r>
      <w:r>
        <w:t xml:space="preserve"> into</w:t>
      </w:r>
      <w:r w:rsidRPr="00EE699D">
        <w:t xml:space="preserve"> account of the fact that SIs are bilateral business models rather than trading venues. In all considerations, it must always be borne in mind that SI trade at their own risk, while trading venues operate a multilateral platform without risk. SI and multilateral platforms must therefore not be lumped together. The impact on the business model must always be kept in mind. An undifferentiated requirement that SI quotes be made available free of charge within 15 minutes would completely call into question the concept provided for in Article 18, even though there is no market failure. It cannot be a decisive factor that ESMA did not have the desired access to data for its own evaluations; in this respect, appropriate alternatives would have to be considered without attacking the concept as such</w:t>
      </w:r>
      <w:r>
        <w:t>.</w:t>
      </w:r>
    </w:p>
    <w:p w14:paraId="1007030A" w14:textId="77777777" w:rsidR="0069481E" w:rsidRDefault="0069481E" w:rsidP="0069481E"/>
    <w:p w14:paraId="780C3DE4" w14:textId="77777777" w:rsidR="0069481E" w:rsidRDefault="0069481E" w:rsidP="0069481E">
      <w:r w:rsidRPr="003E07E2">
        <w:t xml:space="preserve">We </w:t>
      </w:r>
      <w:r>
        <w:t xml:space="preserve">also should keep in mind that </w:t>
      </w:r>
      <w:r w:rsidRPr="003E07E2">
        <w:t>shorten</w:t>
      </w:r>
      <w:r>
        <w:t>ing</w:t>
      </w:r>
      <w:r w:rsidRPr="003E07E2">
        <w:t xml:space="preserve"> the already rather tight timelines</w:t>
      </w:r>
      <w:r>
        <w:t xml:space="preserve"> </w:t>
      </w:r>
      <w:r w:rsidRPr="003E07E2">
        <w:t xml:space="preserve">would entail major efforts and costs for </w:t>
      </w:r>
      <w:r>
        <w:t xml:space="preserve">SIs. These </w:t>
      </w:r>
      <w:r w:rsidRPr="003E07E2">
        <w:t>are disproportionate to the benefits for market participants who already benefit from a relatively high standard of pre-trade transparency.</w:t>
      </w:r>
      <w:r>
        <w:t xml:space="preserve"> </w:t>
      </w:r>
    </w:p>
    <w:permEnd w:id="1747589383"/>
    <w:p w14:paraId="43D46422" w14:textId="4D3B7B81" w:rsidR="00A263DF" w:rsidRDefault="00A263DF" w:rsidP="00A263DF"/>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7A21EBB3" w14:textId="77777777" w:rsidR="0069481E" w:rsidRDefault="0069481E" w:rsidP="0069481E">
      <w:permStart w:id="1400726192" w:edGrp="everyone"/>
      <w:r>
        <w:t>We do not see any need for pre-trade transparency (please see our answer to Q2 for details). Therefore, any amendments (entailing costs for market participants) seem superfluous. The sheer amount of data and its poor accessibility limits its use to a great extent. However, if ESMA insists on the requirements to provide pre-trade transparency information,</w:t>
      </w:r>
      <w:r w:rsidRPr="00EE699D">
        <w:t xml:space="preserve"> it seems appropriate to follow </w:t>
      </w:r>
      <w:r>
        <w:t>existing</w:t>
      </w:r>
      <w:r w:rsidRPr="00EE699D">
        <w:t xml:space="preserve"> standardi</w:t>
      </w:r>
      <w:r>
        <w:t>s</w:t>
      </w:r>
      <w:r w:rsidRPr="00EE699D">
        <w:t>ation in the area of post-trade transparency data.</w:t>
      </w:r>
    </w:p>
    <w:permEnd w:id="1400726192"/>
    <w:p w14:paraId="1B5C745B" w14:textId="23AC4F65"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3C0EA962" w14:textId="77777777" w:rsidR="0069481E" w:rsidRDefault="0069481E" w:rsidP="0069481E">
      <w:permStart w:id="929114806" w:edGrp="everyone"/>
      <w:r>
        <w:t xml:space="preserve">No, we do not necessarily share ESMA's view on the level of post-trade transparency. The analysis ignores the fact that there are good reasons for deferrals in post-trade transparency, which are mainly due to the type of financial instruments traded and the type of trading - often bilateral at own </w:t>
      </w:r>
      <w:r>
        <w:lastRenderedPageBreak/>
        <w:t xml:space="preserve">risk. Many of these measures serve to keep markets liquid at an appropriate price level. </w:t>
      </w:r>
    </w:p>
    <w:p w14:paraId="1984D80A" w14:textId="77777777" w:rsidR="0069481E" w:rsidRDefault="0069481E" w:rsidP="0069481E"/>
    <w:p w14:paraId="1860BD65" w14:textId="77777777" w:rsidR="0069481E" w:rsidRDefault="0069481E" w:rsidP="0069481E">
      <w:r>
        <w:t>On the other hand, we understand ESMA's considerations regarding greater pan-European standardisation of the rules. It will be crucial though that pan-European harmonisation is carried out with a sense of proportion and differentiated according to asset classes.</w:t>
      </w:r>
    </w:p>
    <w:permEnd w:id="929114806"/>
    <w:p w14:paraId="7F574030" w14:textId="3C9E11CE"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682011E5" w14:textId="73FB3AC6" w:rsidR="0069481E" w:rsidRDefault="0069481E" w:rsidP="0069481E">
      <w:permStart w:id="675495160" w:edGrp="everyone"/>
      <w:r>
        <w:t xml:space="preserve">The appropriate level would be one that fully compensates for any negative effects of a removal of the SSTI. </w:t>
      </w:r>
      <w:r w:rsidRPr="003B0C76">
        <w:t>In order to determine the concrete level required</w:t>
      </w:r>
      <w:r>
        <w:t xml:space="preserve"> for the thresholds</w:t>
      </w:r>
      <w:r w:rsidRPr="003B0C76">
        <w:t>, comparative model calculations must be carried out.</w:t>
      </w:r>
      <w:r>
        <w:t xml:space="preserve"> For background information please see our answer to Q4.</w:t>
      </w:r>
    </w:p>
    <w:permEnd w:id="675495160"/>
    <w:p w14:paraId="77303C55" w14:textId="1F4B36E8"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72227DBC" w14:textId="77777777" w:rsidR="0069481E" w:rsidRDefault="0069481E" w:rsidP="0069481E">
      <w:permStart w:id="227761104" w:edGrp="everyone"/>
      <w:r>
        <w:t xml:space="preserve">We reject Options 1 to 3 proposed by ESMA, as all options fail to recognise the mechanisms of the market. None of the options is appropriate for motivating market participants to provide liquidity. Especially distressed markets show that liquidity becomes seriously scarce with or without market transparency. ESMA itself states in paragraph 160 that all three options are very likely to have a negative impact on the liquidity of traded financial instruments. As ESMA correctly mentions, liquidity providers would have to take appropriate measures to minimise their risks. These would result in a tightening of the market or deterioration of prices. These consequences would be expected not only in the case of illiquid financial instruments, but in general, since the sell-side must contain its risks in one way or another. </w:t>
      </w:r>
    </w:p>
    <w:p w14:paraId="303E846B" w14:textId="77777777" w:rsidR="0069481E" w:rsidRDefault="0069481E" w:rsidP="0069481E"/>
    <w:p w14:paraId="696ABEBB" w14:textId="77777777" w:rsidR="0069481E" w:rsidRDefault="0069481E" w:rsidP="0069481E">
      <w:r>
        <w:t xml:space="preserve">The reference to US rules is also incomprehensible. Instead of initially striving for more convergence in the EU, Option 2 in particular aims for - albeit only partial - convergence with the US. It remains unclear what advantages such an approach would have. Moreover, Option 2 is designed in such a </w:t>
      </w:r>
      <w:r>
        <w:lastRenderedPageBreak/>
        <w:t>way that the decisive part of the US rule - the indefinite masking of the details of block-size transactions - would not be adopted. This is inconsistent and incomprehensible.</w:t>
      </w:r>
    </w:p>
    <w:p w14:paraId="3F23FF2C" w14:textId="77777777" w:rsidR="0069481E" w:rsidRDefault="0069481E" w:rsidP="0069481E"/>
    <w:p w14:paraId="630122C2" w14:textId="77777777" w:rsidR="0069481E" w:rsidRDefault="0069481E" w:rsidP="0069481E">
      <w:r w:rsidRPr="00BC47C1">
        <w:t>For illiquid instruments</w:t>
      </w:r>
      <w:r>
        <w:t xml:space="preserve"> publication should not be mandatory at all.</w:t>
      </w:r>
      <w:r w:rsidRPr="00820EA9">
        <w:t xml:space="preserve"> </w:t>
      </w:r>
      <w:r>
        <w:t>This would ensure that the risk of illiquid instruments could still be digested / hedged by market participants.</w:t>
      </w:r>
    </w:p>
    <w:p w14:paraId="3D9F5C45" w14:textId="77777777" w:rsidR="0069481E" w:rsidRDefault="0069481E" w:rsidP="0069481E"/>
    <w:p w14:paraId="25A39D35" w14:textId="77777777" w:rsidR="0069481E" w:rsidRDefault="0069481E" w:rsidP="0069481E">
      <w:r>
        <w:t>All in all, it should be noted that transparency is not an end in itself, but must always be designed in such a way that it has a market-supporting effect. ESMA's considerations in Options 1 to 3 do not support this objective.</w:t>
      </w:r>
    </w:p>
    <w:permEnd w:id="227761104"/>
    <w:p w14:paraId="1B69D7E6" w14:textId="7C905D31" w:rsidR="00F469F8" w:rsidRDefault="00F469F8" w:rsidP="00F469F8"/>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4F051C9B" w14:textId="77777777" w:rsidR="0069481E" w:rsidRDefault="0069481E" w:rsidP="0069481E">
      <w:permStart w:id="308116658" w:edGrp="everyone"/>
      <w:r>
        <w:t xml:space="preserve">No, we do not agree with the options 1 to 3 proposed by ESMA with regard to the envisaged deferrals. All of ESMA’s proposed options </w:t>
      </w:r>
      <w:r w:rsidRPr="007808DF">
        <w:t xml:space="preserve">represent a very far-reaching proposal, especially since illiquid titles should also be included. It is a </w:t>
      </w:r>
      <w:r>
        <w:t>renunciation</w:t>
      </w:r>
      <w:r w:rsidRPr="007808DF">
        <w:t xml:space="preserve"> from the </w:t>
      </w:r>
      <w:r>
        <w:t>current</w:t>
      </w:r>
      <w:r w:rsidRPr="007808DF">
        <w:t xml:space="preserve"> approach without factual justification.</w:t>
      </w:r>
    </w:p>
    <w:p w14:paraId="12274DDD" w14:textId="77777777" w:rsidR="0069481E" w:rsidRDefault="0069481E" w:rsidP="0069481E"/>
    <w:p w14:paraId="08E2CBD0" w14:textId="77777777" w:rsidR="0069481E" w:rsidRDefault="0069481E" w:rsidP="0069481E">
      <w:r>
        <w:t>In principle, it should be noted that a blanket deferral period of two weeks does not take account of market mechanisms with regard to the various asset classes and their sub-groups. It is obvious that different financial instruments should be treated differently. For example, a distinction must be made between illiquid securities usually traded in smaller volumes and (highly) liquid securities with significantly larger trading volumes. ESMA's analysis correctly shows that the different existing time limits are used. A blanket requirement would lead to reactions in trading activity and, for example, cause narrow markets or higher spreads.</w:t>
      </w:r>
    </w:p>
    <w:p w14:paraId="7FB1AAB3" w14:textId="77777777" w:rsidR="0069481E" w:rsidRDefault="0069481E" w:rsidP="0069481E"/>
    <w:p w14:paraId="5DEE8172" w14:textId="77777777" w:rsidR="0069481E" w:rsidRDefault="0069481E" w:rsidP="0069481E">
      <w:r>
        <w:t xml:space="preserve">Finally, it should be noted that ESMA's analysis refers to a period of only two years. This period was not characterised by any particular market turbulence. However, the quality of regulation is particularly evident in times of crisis. </w:t>
      </w:r>
      <w:r w:rsidRPr="009E443D">
        <w:t xml:space="preserve">Especially in critical times, when liquid markets are particularly important, appropriate </w:t>
      </w:r>
      <w:r>
        <w:t>rules</w:t>
      </w:r>
      <w:r w:rsidRPr="009E443D">
        <w:t xml:space="preserve"> are necessary to avoid a worsening of the situation.</w:t>
      </w:r>
      <w:r>
        <w:t xml:space="preserve"> </w:t>
      </w:r>
    </w:p>
    <w:p w14:paraId="21E8EC53" w14:textId="77777777" w:rsidR="0069481E" w:rsidRDefault="0069481E" w:rsidP="0069481E"/>
    <w:p w14:paraId="7FBEF3EE" w14:textId="77777777" w:rsidR="0069481E" w:rsidRDefault="0069481E" w:rsidP="0069481E">
      <w:r>
        <w:t>See also answer to Q12.</w:t>
      </w:r>
    </w:p>
    <w:permEnd w:id="308116658"/>
    <w:p w14:paraId="536EE512" w14:textId="36381806" w:rsidR="00646C30" w:rsidRDefault="00646C30" w:rsidP="00646C30"/>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 xml:space="preserve">you agree with ESMA’s proposed way forward to issue further guidance and put a stronger focus on enforcement </w:t>
      </w:r>
      <w:r w:rsidR="004454CA" w:rsidRPr="004454CA">
        <w:lastRenderedPageBreak/>
        <w:t>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4603EC4D" w14:textId="77777777" w:rsidR="0069481E" w:rsidRDefault="0069481E" w:rsidP="0069481E">
      <w:permStart w:id="699085938" w:edGrp="everyone"/>
      <w:r>
        <w:t>We support ESMA's approach to put a stronger focus on enforcement to improve the quality of post-trade data. The rules can only be put to the test when they are actually observed. Otherwise, the possibility cannot be ruled out that the shortcomings identified by ESMA are not due to the quality of the rules but to a lack of compliance. It therefore appears to be a priority to focus on enforcement. If "further guidance" would be helpful in this context, we are open to this approach. We would like to stress once again that trading and the most diverse asset classes require a differentiated approach. The complexity of the subject cannot be resolved by simplified rules.</w:t>
      </w:r>
    </w:p>
    <w:p w14:paraId="1F8D1ED7" w14:textId="77777777" w:rsidR="0069481E" w:rsidRDefault="0069481E" w:rsidP="0069481E"/>
    <w:p w14:paraId="03E4E1EB" w14:textId="77777777" w:rsidR="0069481E" w:rsidRDefault="0069481E" w:rsidP="0069481E">
      <w:r>
        <w:t>Especially in critical times, when liquid markets are particularly important, appropriate rules are needed to avoid a worsening of the situation. Generally, ESMA should focus on the most liquid products among the non-equity instruments and broaden it from there.</w:t>
      </w:r>
    </w:p>
    <w:p w14:paraId="7EBBB69B" w14:textId="77777777" w:rsidR="0069481E" w:rsidRDefault="0069481E" w:rsidP="0069481E"/>
    <w:p w14:paraId="362D07CA" w14:textId="56B966FA" w:rsidR="0069481E" w:rsidRPr="0069481E" w:rsidRDefault="0069481E" w:rsidP="0069481E">
      <w:pPr>
        <w:rPr>
          <w:lang w:val="en-US"/>
        </w:rPr>
      </w:pPr>
      <w:r>
        <w:t>Furthermore, ESMA should keep in mind that what works in calm markets might not work in volatile markets. When markets deliver enough data (many market participants deliver many quotes), transparency is easy to be achieved and provided for many instruments. If markets dry up, transparency is reduced to the basic products. Therefore, it should be considered to design the transparency regime more flexible.</w:t>
      </w:r>
    </w:p>
    <w:permEnd w:id="699085938"/>
    <w:p w14:paraId="6A257108" w14:textId="2FC60475"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1ADDE4E" w14:textId="77777777" w:rsidR="0069481E" w:rsidRPr="0090497F" w:rsidRDefault="0069481E" w:rsidP="0069481E">
      <w:permStart w:id="1271415520" w:edGrp="everyone"/>
      <w:r w:rsidRPr="00FC6286">
        <w:rPr>
          <w:lang w:val="en-US"/>
        </w:rPr>
        <w:t xml:space="preserve">There is no need for the establishment of a CTP on the market, </w:t>
      </w:r>
      <w:r w:rsidRPr="00C65E03">
        <w:t>otherwise it would</w:t>
      </w:r>
      <w:r>
        <w:t xml:space="preserve"> </w:t>
      </w:r>
      <w:r w:rsidRPr="00C65E03">
        <w:t xml:space="preserve">already </w:t>
      </w:r>
      <w:r>
        <w:t>have</w:t>
      </w:r>
      <w:r w:rsidRPr="00C65E03">
        <w:t xml:space="preserve"> be</w:t>
      </w:r>
      <w:r>
        <w:t>en</w:t>
      </w:r>
      <w:r w:rsidRPr="00C65E03">
        <w:t xml:space="preserve"> established</w:t>
      </w:r>
      <w:r>
        <w:t xml:space="preserve">. </w:t>
      </w:r>
      <w:r w:rsidRPr="002438A1">
        <w:rPr>
          <w:lang w:val="en-US"/>
        </w:rPr>
        <w:t>Market participants would most likely be obliged to build up new interfaces (which would be cost intensive) for the sake of an access to data that is not needed in the market. Hence, any costs incurred would be too much and</w:t>
      </w:r>
      <w:r>
        <w:rPr>
          <w:lang w:val="en-US"/>
        </w:rPr>
        <w:t xml:space="preserve"> could</w:t>
      </w:r>
      <w:r w:rsidRPr="002438A1">
        <w:rPr>
          <w:lang w:val="en-US"/>
        </w:rPr>
        <w:t xml:space="preserve"> not be justified by any purpose whatsoever in the context of a CTP.</w:t>
      </w:r>
    </w:p>
    <w:permEnd w:id="1271415520"/>
    <w:p w14:paraId="0C11162E" w14:textId="2906D657" w:rsidR="00646C30" w:rsidRDefault="00646C30" w:rsidP="00646C30"/>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lastRenderedPageBreak/>
        <w:t>&lt;ESMA_QUESTION_CP</w:t>
      </w:r>
      <w:r w:rsidR="007254DD">
        <w:t>_MIFID_NQT</w:t>
      </w:r>
      <w:r w:rsidR="00F107EF">
        <w:t>_</w:t>
      </w:r>
      <w:r>
        <w:t>1</w:t>
      </w:r>
      <w:r w:rsidR="00101BF1">
        <w:t>6</w:t>
      </w:r>
      <w:r>
        <w:t>&gt;</w:t>
      </w:r>
    </w:p>
    <w:p w14:paraId="71684C56" w14:textId="77777777" w:rsidR="0069481E" w:rsidRPr="00FC6286" w:rsidRDefault="0069481E" w:rsidP="0069481E">
      <w:permStart w:id="2130212544" w:edGrp="everyone"/>
      <w:r w:rsidRPr="00FC6286">
        <w:t xml:space="preserve">We advocate retaining the same TOTV concept applicable to both transparency and transaction reporting. However, we should like to point out </w:t>
      </w:r>
      <w:r>
        <w:t>that while we are aware that MiFiD</w:t>
      </w:r>
      <w:r w:rsidRPr="00FC6286">
        <w:t xml:space="preserve"> II was created with the aim of increasing the level of transparency, unnecessary costs and expenses, for example for technical changes, should be avoided. Moreover, unnecessary risks should also be avoided. For example the same day FIRDS systematic internaliser (SI) reporting requirement inadvertently makes public the type of instrument/trade being traded by that SI, by displaying the Market Identifier Code (MIC) of the SI associated with an instrument as well as the country where the SI is located, in the publically available FIRDS database the next day. Having to publish ISINs to FIRDS with the SI’s MIC attached significantly expands transparency for illiquid ToTV instruments (e.g. complex Interest Rate Derivatives). By making public information which is not reported in the post trade reporting requirement, due to its careful calibration based on instrument liquidity status, it risks undermining the transparency regime.  The publication of this instrument activity data enables market participants to identify and observe the trading activity of other firms, and theoretically extends the obligations not just for traded deals but into the pre trade space as well.  The possible identification of an SI as a counterparty allows market participants to extrapolate certain information and can anticipate the hedging position of an SI, thereby inhibiting an SI to trade on normal market terms.  This in turn impacts the ability of the SI to maintain liquidity provision capability to its clients. The possibility to mask the SI MIC and the country when reporting instruments on a same day basis to FIRDs, in order to anonymise the data and provide for consistency with the transparenc</w:t>
      </w:r>
      <w:r>
        <w:t>y regime, should be introduced </w:t>
      </w:r>
      <w:r w:rsidRPr="00FC6286">
        <w:t>for SIs when reporting to FIRDs.</w:t>
      </w:r>
    </w:p>
    <w:permEnd w:id="2130212544"/>
    <w:p w14:paraId="7AAD2035" w14:textId="78C4BD04" w:rsidR="00646C30" w:rsidRDefault="00646C30" w:rsidP="00646C30"/>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FCB6471" w14:textId="77777777" w:rsidR="0069481E" w:rsidRDefault="0069481E" w:rsidP="0069481E">
      <w:permStart w:id="96027498" w:edGrp="everyone"/>
      <w:r w:rsidRPr="00C65E03">
        <w:t>Yes, we share the view that it is essential that there is a uniform interpretation of which financial instruments are "TOTV". No distinction should be made here between different purposes of application, as such an approach would cause insoluble practical problems. Only a</w:t>
      </w:r>
      <w:r>
        <w:t>n</w:t>
      </w:r>
      <w:r w:rsidRPr="00C65E03">
        <w:t xml:space="preserve"> uniform interpretation can be reflected in the </w:t>
      </w:r>
      <w:r>
        <w:t xml:space="preserve">investment firms’ </w:t>
      </w:r>
      <w:r w:rsidRPr="00C65E03">
        <w:t>system. Both transparency reports and transaction reports are standardi</w:t>
      </w:r>
      <w:r>
        <w:t>sed and</w:t>
      </w:r>
      <w:r w:rsidRPr="00C65E03">
        <w:t xml:space="preserve"> automated processes that</w:t>
      </w:r>
      <w:r>
        <w:t xml:space="preserve"> rely</w:t>
      </w:r>
      <w:r w:rsidRPr="00C65E03">
        <w:t xml:space="preserve"> on uniform specifications. </w:t>
      </w:r>
      <w:r>
        <w:t xml:space="preserve">Diverging interpretation of TOTV </w:t>
      </w:r>
      <w:r w:rsidRPr="00C65E03">
        <w:t>would lead to insoluble operational difficulties. We also</w:t>
      </w:r>
      <w:r>
        <w:t xml:space="preserve"> would like to</w:t>
      </w:r>
      <w:r w:rsidRPr="00C65E03">
        <w:t xml:space="preserve"> point out that divergent interpretations may also be a hindrance for supervisory purposes.</w:t>
      </w:r>
    </w:p>
    <w:permEnd w:id="96027498"/>
    <w:p w14:paraId="1CE157B4" w14:textId="034E9CB6" w:rsidR="00646C30" w:rsidRDefault="00646C30" w:rsidP="00646C30"/>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5407155C" w14:textId="77777777" w:rsidR="0069481E" w:rsidRDefault="0069481E" w:rsidP="0069481E">
      <w:permStart w:id="70923797" w:edGrp="everyone"/>
      <w:r>
        <w:lastRenderedPageBreak/>
        <w:t>We strongly recommend Option 1; O</w:t>
      </w:r>
      <w:r w:rsidRPr="00C65E03">
        <w:t xml:space="preserve">ptions 2 and 3 would raise a host of new questions and difficulties of interpretation. They would also create difficulties that cannot be solved from an operational point of view. Even the implementation of </w:t>
      </w:r>
      <w:r>
        <w:t>the current requirements, i.e. O</w:t>
      </w:r>
      <w:r w:rsidRPr="00C65E03">
        <w:t>ption 1, has already caused considerable implementation difficulties for transparency and reporting obligations. It is in the interest of all market participants and of</w:t>
      </w:r>
      <w:r>
        <w:t xml:space="preserve"> the NCAs and ESMA</w:t>
      </w:r>
      <w:r w:rsidRPr="00C65E03">
        <w:t xml:space="preserve"> to ensure stable conditions instead of imposing new, complex and insufficiently thought-out requirements. Already with a view to Option 2, the question arises as to which standards ESMA intends to specify, as post-trade information and transaction reporting are already highly standardised. We</w:t>
      </w:r>
      <w:r>
        <w:t xml:space="preserve"> also would like to</w:t>
      </w:r>
      <w:r w:rsidRPr="00C65E03">
        <w:t xml:space="preserve"> stress that it is always crucial that a "golden source" is required for the classification of transparency or reporting obligations. Without a clear link, insoluble operational problems arise. The daily publication of financial instruments subject to transparency/reporting by the relevant trading venues would require transparency/reporting parties to be able to process this data directly in their systems. This is utopian. Such an approach would overburden both the norm addressees and the supervisory authorities and would considerably reduce the quality of transparency and transaction data. This is neither in the interest of the market nor of supervis</w:t>
      </w:r>
      <w:r>
        <w:t>ory authorities</w:t>
      </w:r>
    </w:p>
    <w:p w14:paraId="2ECB410A" w14:textId="7C28C406" w:rsidR="0069481E" w:rsidRDefault="0069481E" w:rsidP="0069481E"/>
    <w:p w14:paraId="468AF593" w14:textId="77777777" w:rsidR="0069481E" w:rsidRDefault="0069481E" w:rsidP="0069481E">
      <w:r w:rsidRPr="0057046A">
        <w:t xml:space="preserve">Option 2 and Option 3 would, as ESMA itself notes, represent a completely new approach. This would require substantial legislative changes and a complete overhaul of the systems </w:t>
      </w:r>
      <w:r>
        <w:t xml:space="preserve">used </w:t>
      </w:r>
      <w:r w:rsidRPr="0057046A">
        <w:t xml:space="preserve">for transparency and reporting obligations </w:t>
      </w:r>
      <w:r>
        <w:t xml:space="preserve">concerning </w:t>
      </w:r>
      <w:r w:rsidRPr="0057046A">
        <w:t xml:space="preserve">OTC derivatives. Similar work would also be needed </w:t>
      </w:r>
      <w:r>
        <w:t>at the</w:t>
      </w:r>
      <w:r w:rsidRPr="0057046A">
        <w:t xml:space="preserve"> NCAs and ESMA. At the same time, a host of unresolved issues would arise. There is no evidence that such an approach would be in the market interest or would improve supervision. It should also be noted that the US regulation referred to (section 727 Dodd Frank Act, 17 CFR part 43) only refers to swaps. However, swaps are only a subset of OTC derivatives. ESMA's approach would therefore go significantly beyond the US approach.</w:t>
      </w:r>
    </w:p>
    <w:p w14:paraId="5BFBD32E" w14:textId="77777777" w:rsidR="0069481E" w:rsidRDefault="0069481E" w:rsidP="0069481E">
      <w:r>
        <w:t xml:space="preserve">Also in </w:t>
      </w:r>
      <w:r w:rsidRPr="004E68AE">
        <w:rPr>
          <w:lang w:val="en-US"/>
        </w:rPr>
        <w:t>light of the reporting requirements under EMIR for derivatives, we see no need to extend the TOTV concept for</w:t>
      </w:r>
      <w:r>
        <w:rPr>
          <w:lang w:val="en-US"/>
        </w:rPr>
        <w:t xml:space="preserve"> </w:t>
      </w:r>
      <w:r w:rsidRPr="004E68AE">
        <w:rPr>
          <w:lang w:val="en-US"/>
        </w:rPr>
        <w:t>the purpose of transaction reporting under MiFIR</w:t>
      </w:r>
    </w:p>
    <w:p w14:paraId="66E17030" w14:textId="77777777" w:rsidR="0069481E" w:rsidRDefault="0069481E" w:rsidP="0069481E"/>
    <w:p w14:paraId="7199D187" w14:textId="77777777" w:rsidR="0069481E" w:rsidRDefault="0069481E" w:rsidP="0069481E">
      <w:r w:rsidRPr="0057046A">
        <w:t xml:space="preserve">We would like to stress once </w:t>
      </w:r>
      <w:r>
        <w:t>again that we strongly support O</w:t>
      </w:r>
      <w:r w:rsidRPr="0057046A">
        <w:t>ption 1 because of the unmanageab</w:t>
      </w:r>
      <w:r>
        <w:t>le amount of difficulties that O</w:t>
      </w:r>
      <w:r w:rsidRPr="0057046A">
        <w:t>ptions 2 and 3 would create for all stakeholders.</w:t>
      </w:r>
    </w:p>
    <w:permEnd w:id="70923797"/>
    <w:p w14:paraId="2C8E07E5" w14:textId="519131F8"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7F259860" w14:textId="77777777" w:rsidR="0069481E" w:rsidRDefault="0069481E" w:rsidP="0069481E">
      <w:permStart w:id="1628391240" w:edGrp="everyone"/>
      <w:r w:rsidRPr="00C97838">
        <w:t>We would like to recall that the possibility of exempting financial instruments from the transparency obligations in the event of a significant loss of liquidity was created in the light of the sovereign debt crisis resulting from the financial crisis. There was concern that government bonds in particular could become illiquid in the short term without</w:t>
      </w:r>
      <w:r>
        <w:t xml:space="preserve"> being able to </w:t>
      </w:r>
      <w:r w:rsidRPr="00C97838">
        <w:t xml:space="preserve">immediately </w:t>
      </w:r>
      <w:r>
        <w:t>reflect</w:t>
      </w:r>
      <w:r w:rsidRPr="00C97838">
        <w:t xml:space="preserve"> this fact in liquidity calculations. </w:t>
      </w:r>
      <w:r>
        <w:t>Without this possibility, t</w:t>
      </w:r>
      <w:r w:rsidRPr="00C97838">
        <w:t>he transparency obligations would apply to originally liquid securities, although these would have to be classified as illiquid</w:t>
      </w:r>
      <w:r>
        <w:t xml:space="preserve"> by then</w:t>
      </w:r>
      <w:r w:rsidRPr="00C97838">
        <w:t xml:space="preserve">. The fact that no NCA has used this </w:t>
      </w:r>
      <w:r w:rsidRPr="00C97838">
        <w:lastRenderedPageBreak/>
        <w:t>possibility may be due to the fact that no such crisis situations have occurred so far. Whether this will continue to be the case in the future remains to be seen. In addition, it could be questioned whether an equivalent effect could be guaranteed by suspending trading (Art. 52 MiFID). The decision to suspend trading must be taken by the respective trading venue, whereas the liquidity classification would be made by the NCA. Against this background, we suggest retaining the possibility for temporarily suspending the transparency provisions, but applying them throughout the EU if the case arises.</w:t>
      </w:r>
    </w:p>
    <w:permEnd w:id="1628391240"/>
    <w:p w14:paraId="0CAC7740" w14:textId="558B03BC" w:rsidR="00646C30" w:rsidRDefault="00646C30" w:rsidP="00646C30"/>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15F83EFD" w14:textId="77777777" w:rsidR="0069481E" w:rsidRDefault="0069481E" w:rsidP="0069481E">
      <w:permStart w:id="951131482" w:edGrp="everyone"/>
      <w:r w:rsidRPr="00FB3EF8">
        <w:t>No, we don´t have any remarks considering the assessment of Article 28 of MiFIR</w:t>
      </w:r>
      <w:r>
        <w:t xml:space="preserve"> and agree with the assessment.</w:t>
      </w:r>
    </w:p>
    <w:permEnd w:id="951131482"/>
    <w:p w14:paraId="2BF6DC09" w14:textId="615528FF" w:rsidR="001129F9" w:rsidRDefault="001129F9" w:rsidP="001129F9"/>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2D16009C" w14:textId="77777777" w:rsidR="0069481E" w:rsidRDefault="0069481E" w:rsidP="003A4EB8">
      <w:pPr>
        <w:pStyle w:val="CPQuestions"/>
        <w:numPr>
          <w:ilvl w:val="0"/>
          <w:numId w:val="0"/>
        </w:numPr>
        <w:spacing w:before="0" w:after="0" w:line="240" w:lineRule="auto"/>
        <w:rPr>
          <w:rFonts w:eastAsia="Times New Roman" w:cs="Times New Roman"/>
          <w:b w:val="0"/>
          <w:sz w:val="20"/>
          <w:szCs w:val="24"/>
          <w:lang w:eastAsia="de-DE"/>
        </w:rPr>
      </w:pPr>
      <w:permStart w:id="37382354" w:edGrp="everyone"/>
      <w:r w:rsidRPr="00EA258B">
        <w:rPr>
          <w:rFonts w:eastAsia="Times New Roman" w:cs="Times New Roman"/>
          <w:b w:val="0"/>
          <w:sz w:val="20"/>
          <w:szCs w:val="24"/>
          <w:lang w:eastAsia="de-DE"/>
        </w:rPr>
        <w:t>No, we share the opinion that the current approach takes into account the criteria set out in Article 32 MiFIR and RTS 2 appropriately. There is no need to make use of the provision in Article 32(4) for asset classes currently not subject to the trading obligations</w:t>
      </w:r>
    </w:p>
    <w:permEnd w:id="37382354"/>
    <w:p w14:paraId="13C7FEA6" w14:textId="0A11958D" w:rsidR="00646C30" w:rsidRDefault="00646C30" w:rsidP="00646C30"/>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2E3E82BA" w14:textId="77777777" w:rsidR="003A4EB8" w:rsidRPr="00FB3EF8" w:rsidRDefault="003A4EB8" w:rsidP="003A4EB8">
      <w:pPr>
        <w:rPr>
          <w:lang w:val="en-US"/>
        </w:rPr>
      </w:pPr>
      <w:permStart w:id="71373738" w:edGrp="everyone"/>
      <w:r w:rsidRPr="00D23D26">
        <w:rPr>
          <w:lang w:val="en-US"/>
        </w:rPr>
        <w:t>Yes, we agree with the proposed approach</w:t>
      </w:r>
      <w:r>
        <w:rPr>
          <w:lang w:val="en-US"/>
        </w:rPr>
        <w:t>,</w:t>
      </w:r>
      <w:r w:rsidRPr="00D23D26">
        <w:rPr>
          <w:lang w:val="en-US"/>
        </w:rPr>
        <w:t xml:space="preserve"> because we also recognise the need for a swift suspension of the DTO in particularly </w:t>
      </w:r>
      <w:r>
        <w:rPr>
          <w:lang w:val="en-US"/>
        </w:rPr>
        <w:t xml:space="preserve">to </w:t>
      </w:r>
      <w:r w:rsidRPr="00D23D26">
        <w:rPr>
          <w:lang w:val="en-US"/>
        </w:rPr>
        <w:t>lean cases. However, it should be specified what is meant by “without undue delay”.</w:t>
      </w:r>
    </w:p>
    <w:permEnd w:id="71373738"/>
    <w:p w14:paraId="7F090863" w14:textId="57ECA0A8" w:rsidR="00646C30" w:rsidRDefault="00646C30" w:rsidP="00646C30"/>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28008155" w14:textId="77777777" w:rsidR="003A4EB8" w:rsidRDefault="003A4EB8" w:rsidP="003A4EB8">
      <w:permStart w:id="2102155623" w:edGrp="everyone"/>
      <w:r>
        <w:t>No further comments to the DTO.</w:t>
      </w:r>
    </w:p>
    <w:permEnd w:id="2102155623"/>
    <w:p w14:paraId="51834EC7" w14:textId="3E8DB56F" w:rsidR="00646C30" w:rsidRDefault="00646C30" w:rsidP="00646C30"/>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186619B5" w14:textId="77777777" w:rsidR="003A4EB8" w:rsidRDefault="003A4EB8" w:rsidP="003A4EB8">
      <w:permStart w:id="160242055" w:edGrp="everyone"/>
      <w:r w:rsidRPr="00FB3EF8">
        <w:t>We do not consider it ne</w:t>
      </w:r>
      <w:r>
        <w:t>cessary to change the register</w:t>
      </w:r>
    </w:p>
    <w:permEnd w:id="160242055"/>
    <w:p w14:paraId="34A9DFDE" w14:textId="06756097" w:rsidR="00646C30" w:rsidRDefault="00646C30" w:rsidP="00646C30"/>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071031DD" w14:textId="77777777" w:rsidR="003A4EB8" w:rsidRDefault="003A4EB8" w:rsidP="003A4EB8">
      <w:permStart w:id="203690501" w:edGrp="everyone"/>
      <w:r w:rsidRPr="00ED0380">
        <w:t>We agree that the current basis for liquidity calculations</w:t>
      </w:r>
      <w:r>
        <w:t xml:space="preserve"> is appropriate and</w:t>
      </w:r>
      <w:r w:rsidRPr="00ED0380">
        <w:t xml:space="preserve"> should </w:t>
      </w:r>
      <w:r>
        <w:t xml:space="preserve">therefore </w:t>
      </w:r>
      <w:r w:rsidRPr="00ED0380">
        <w:t>be maintained. The analysis confirms that certain liquidity patterns often occur in the life cycle of bonds. Any calculation method</w:t>
      </w:r>
      <w:r>
        <w:t>ology</w:t>
      </w:r>
      <w:r w:rsidRPr="00ED0380">
        <w:t xml:space="preserve"> should take this cyclical behaviour into account appropriately. It seems questionable whether a method</w:t>
      </w:r>
      <w:r>
        <w:t>ology</w:t>
      </w:r>
      <w:r w:rsidRPr="00ED0380">
        <w:t xml:space="preserve"> that would bring "more stability" to the calculation results could adequately take these bond </w:t>
      </w:r>
      <w:r>
        <w:t xml:space="preserve">life cycle </w:t>
      </w:r>
      <w:r w:rsidRPr="00ED0380">
        <w:t>characteristics into account. The current method should therefore be retained.</w:t>
      </w:r>
    </w:p>
    <w:permEnd w:id="203690501"/>
    <w:p w14:paraId="3D6B6F67" w14:textId="04AB2EDE" w:rsidR="00646C30" w:rsidRDefault="00646C30" w:rsidP="00646C30"/>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51020787" w14:textId="77777777" w:rsidR="003A4EB8" w:rsidRDefault="003A4EB8" w:rsidP="003A4EB8">
      <w:permStart w:id="1935441367" w:edGrp="everyone"/>
      <w:r>
        <w:t>I</w:t>
      </w:r>
      <w:r w:rsidRPr="0012585F">
        <w:t xml:space="preserve">n the interest of all market participants, it should be thoroughly analysed whether the approach proposed by ESMA </w:t>
      </w:r>
      <w:r>
        <w:t>might have</w:t>
      </w:r>
      <w:r w:rsidRPr="0012585F">
        <w:t xml:space="preserve"> a negative market impact since</w:t>
      </w:r>
      <w:r>
        <w:t xml:space="preserve"> the bond market is not particularly liquid. ESMA’s intention to have more bonds qualified as liquid seems to follow a political objective. However, if the assessment shows that </w:t>
      </w:r>
      <w:r w:rsidRPr="00ED0380">
        <w:t>mov</w:t>
      </w:r>
      <w:r>
        <w:t>ing</w:t>
      </w:r>
      <w:r w:rsidRPr="00ED0380">
        <w:t xml:space="preserve"> to </w:t>
      </w:r>
      <w:r>
        <w:t>stage</w:t>
      </w:r>
      <w:r w:rsidRPr="00ED0380">
        <w:t xml:space="preserve"> 2 </w:t>
      </w:r>
      <w:r w:rsidRPr="00B27E7B">
        <w:t>for the determination of the liquidity assessment</w:t>
      </w:r>
      <w:r>
        <w:t xml:space="preserve"> is harmless we would agree with the proposal.</w:t>
      </w:r>
      <w:r w:rsidRPr="00ED0380">
        <w:t xml:space="preserve"> With regard to the considerations made in the analysis on the possible extension of transparency by changing parameters, we would like to </w:t>
      </w:r>
      <w:r w:rsidRPr="00ED0380">
        <w:lastRenderedPageBreak/>
        <w:t>emphasise that high data quality is always of crucial importance. Only high-quality data can guarantee correct calculation results. It might be appropriate to rely on stricter enforcement in this respect.</w:t>
      </w:r>
    </w:p>
    <w:permEnd w:id="1935441367"/>
    <w:p w14:paraId="00430256" w14:textId="54A128B1" w:rsidR="00646C30" w:rsidRDefault="00646C30" w:rsidP="00646C30"/>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859BBF6" w14:textId="77777777" w:rsidR="003A4EB8" w:rsidRDefault="003A4EB8" w:rsidP="003A4EB8">
      <w:pPr>
        <w:pStyle w:val="CPQuestions"/>
        <w:numPr>
          <w:ilvl w:val="0"/>
          <w:numId w:val="0"/>
        </w:numPr>
        <w:spacing w:before="0" w:after="0" w:line="240" w:lineRule="auto"/>
      </w:pPr>
      <w:permStart w:id="1284132493" w:edGrp="everyone"/>
      <w:r w:rsidRPr="006560A9">
        <w:rPr>
          <w:rFonts w:eastAsia="Times New Roman" w:cs="Times New Roman"/>
          <w:b w:val="0"/>
          <w:sz w:val="20"/>
          <w:szCs w:val="24"/>
          <w:lang w:eastAsia="de-DE"/>
        </w:rPr>
        <w:t>We agree not to move to stage 2 for the determination of the pre-trade SSTI thresholds for all non-equity instruments</w:t>
      </w:r>
      <w:r>
        <w:t>.</w:t>
      </w:r>
    </w:p>
    <w:permEnd w:id="1284132493"/>
    <w:p w14:paraId="07059944" w14:textId="2C9E1922" w:rsidR="00646C30" w:rsidRDefault="00646C30" w:rsidP="00646C30"/>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4BD435AC" w14:textId="77777777" w:rsidR="003A4EB8" w:rsidRDefault="003A4EB8" w:rsidP="003A4EB8">
      <w:permStart w:id="1735202609" w:edGrp="everyone"/>
      <w:r>
        <w:t>It is</w:t>
      </w:r>
      <w:r w:rsidRPr="0012585F">
        <w:t xml:space="preserve"> in the interest of all market participants</w:t>
      </w:r>
      <w:r>
        <w:t xml:space="preserve"> to</w:t>
      </w:r>
      <w:r w:rsidRPr="0012585F">
        <w:t xml:space="preserve"> thoroughly analyse whether the approach proposed by ESMA </w:t>
      </w:r>
      <w:r>
        <w:t xml:space="preserve">might </w:t>
      </w:r>
      <w:r w:rsidRPr="0012585F">
        <w:t>have a negative market impact since</w:t>
      </w:r>
      <w:r>
        <w:t xml:space="preserve"> the bond market is not particularly liquid. If this assessment were positive,</w:t>
      </w:r>
      <w:r w:rsidRPr="00AD75F2">
        <w:t xml:space="preserve"> </w:t>
      </w:r>
      <w:r w:rsidRPr="00ED0380">
        <w:t>we</w:t>
      </w:r>
      <w:r>
        <w:t xml:space="preserve"> would</w:t>
      </w:r>
      <w:r w:rsidRPr="00ED0380">
        <w:t xml:space="preserve"> agree with the proposal to move to </w:t>
      </w:r>
      <w:r>
        <w:t>stage 2</w:t>
      </w:r>
      <w:r w:rsidRPr="00ED0380">
        <w:t xml:space="preserve"> when calculating the percentiles</w:t>
      </w:r>
    </w:p>
    <w:permEnd w:id="1735202609"/>
    <w:p w14:paraId="15305155" w14:textId="2CA99345" w:rsidR="00646C30" w:rsidRDefault="00646C30" w:rsidP="00646C30"/>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 xml:space="preserve">In relation to the segmentation criteria used for commodity derivatives: what is your view on the segmentation criteria currently used? Do you have suggestions to amend them? What is your view on ESMA’s proposals SC1 to </w:t>
      </w:r>
      <w:r w:rsidRPr="00B27E7B">
        <w:lastRenderedPageBreak/>
        <w:t>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19E2" w14:textId="77777777" w:rsidR="00047350" w:rsidRDefault="00047350">
      <w:r>
        <w:separator/>
      </w:r>
    </w:p>
    <w:p w14:paraId="36D5B02B" w14:textId="77777777" w:rsidR="00047350" w:rsidRDefault="00047350"/>
  </w:endnote>
  <w:endnote w:type="continuationSeparator" w:id="0">
    <w:p w14:paraId="6F308D14" w14:textId="77777777" w:rsidR="00047350" w:rsidRDefault="00047350">
      <w:r>
        <w:continuationSeparator/>
      </w:r>
    </w:p>
    <w:p w14:paraId="34A13672" w14:textId="77777777" w:rsidR="00047350" w:rsidRDefault="00047350"/>
  </w:endnote>
  <w:endnote w:type="continuationNotice" w:id="1">
    <w:p w14:paraId="0735500C" w14:textId="77777777" w:rsidR="00047350" w:rsidRDefault="0004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27FA6D65"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B7126">
            <w:rPr>
              <w:rFonts w:cs="Arial"/>
              <w:noProof/>
              <w:sz w:val="22"/>
              <w:szCs w:val="22"/>
            </w:rPr>
            <w:t>14</w:t>
          </w:r>
          <w:r w:rsidRPr="00616B9B">
            <w:rPr>
              <w:rFonts w:cs="Arial"/>
              <w:noProof/>
              <w:sz w:val="22"/>
              <w:szCs w:val="22"/>
            </w:rPr>
            <w:fldChar w:fldCharType="end"/>
          </w:r>
        </w:p>
      </w:tc>
    </w:tr>
  </w:tbl>
  <w:p w14:paraId="7306E326"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5FDD" w14:textId="77777777" w:rsidR="00047350" w:rsidRDefault="00047350">
      <w:r>
        <w:separator/>
      </w:r>
    </w:p>
    <w:p w14:paraId="17954807" w14:textId="77777777" w:rsidR="00047350" w:rsidRDefault="00047350"/>
  </w:footnote>
  <w:footnote w:type="continuationSeparator" w:id="0">
    <w:p w14:paraId="6B62BF90" w14:textId="77777777" w:rsidR="00047350" w:rsidRDefault="00047350">
      <w:r>
        <w:continuationSeparator/>
      </w:r>
    </w:p>
    <w:p w14:paraId="465BF8F0" w14:textId="77777777" w:rsidR="00047350" w:rsidRDefault="00047350"/>
  </w:footnote>
  <w:footnote w:type="continuationNotice" w:id="1">
    <w:p w14:paraId="6881F32D" w14:textId="77777777" w:rsidR="00047350" w:rsidRDefault="000473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F107EF" w:rsidRDefault="00F107EF">
    <w:pPr>
      <w:pStyle w:val="Kopfzeile"/>
    </w:pPr>
    <w:r>
      <w:rPr>
        <w:noProof/>
        <w:lang w:val="de-DE"/>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F107EF" w:rsidRDefault="00F107EF" w:rsidP="00013CCE">
    <w:pPr>
      <w:pStyle w:val="Kopfzeile"/>
      <w:jc w:val="right"/>
    </w:pPr>
    <w:r>
      <w:rPr>
        <w:noProof/>
        <w:lang w:val="de-DE"/>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fzeile"/>
      <w:rPr>
        <w:lang w:val="fr-FR"/>
      </w:rPr>
    </w:pPr>
  </w:p>
  <w:p w14:paraId="3F30C70B" w14:textId="77777777" w:rsidR="00F107EF" w:rsidRPr="002F4496" w:rsidRDefault="00F107EF" w:rsidP="000C06C9">
    <w:pPr>
      <w:pStyle w:val="Kopfzeile"/>
      <w:tabs>
        <w:tab w:val="clear" w:pos="4536"/>
        <w:tab w:val="clear" w:pos="9072"/>
        <w:tab w:val="left" w:pos="8227"/>
      </w:tabs>
      <w:rPr>
        <w:lang w:val="fr-FR"/>
      </w:rPr>
    </w:pPr>
  </w:p>
  <w:p w14:paraId="4D50BC39" w14:textId="77777777" w:rsidR="00F107EF" w:rsidRPr="002F4496" w:rsidRDefault="00F107EF" w:rsidP="00583885">
    <w:pPr>
      <w:pStyle w:val="Kopfzeile"/>
      <w:jc w:val="right"/>
      <w:rPr>
        <w:lang w:val="fr-FR"/>
      </w:rPr>
    </w:pPr>
  </w:p>
  <w:p w14:paraId="2D51BEA2" w14:textId="77777777" w:rsidR="00F107EF" w:rsidRPr="002F4496" w:rsidRDefault="00F107EF">
    <w:pPr>
      <w:pStyle w:val="Kopfzeile"/>
      <w:rPr>
        <w:lang w:val="fr-FR"/>
      </w:rPr>
    </w:pPr>
  </w:p>
  <w:p w14:paraId="340B2438" w14:textId="77777777" w:rsidR="00F107EF" w:rsidRPr="002F4496" w:rsidRDefault="00F107EF">
    <w:pPr>
      <w:pStyle w:val="Kopfzeile"/>
      <w:rPr>
        <w:lang w:val="fr-FR"/>
      </w:rPr>
    </w:pPr>
  </w:p>
  <w:p w14:paraId="2A794A3E" w14:textId="77777777" w:rsidR="00F107EF" w:rsidRPr="002F4496" w:rsidRDefault="00F107EF">
    <w:pPr>
      <w:pStyle w:val="Kopfzeile"/>
      <w:rPr>
        <w:lang w:val="fr-FR"/>
      </w:rPr>
    </w:pPr>
  </w:p>
  <w:p w14:paraId="0A21F475" w14:textId="77777777" w:rsidR="00F107EF" w:rsidRPr="002F4496" w:rsidRDefault="00F107EF">
    <w:pPr>
      <w:pStyle w:val="Kopfzeile"/>
      <w:rPr>
        <w:highlight w:val="yellow"/>
        <w:lang w:val="fr-FR"/>
      </w:rPr>
    </w:pPr>
  </w:p>
  <w:p w14:paraId="53ABEE5D" w14:textId="77777777" w:rsidR="00F107EF" w:rsidRDefault="00F107EF">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558"/>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3BB1"/>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4EB8"/>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6E7"/>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81E"/>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12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61EA"/>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sharepoint/v4"/>
    <ds:schemaRef ds:uri="20fbe147-bbda-4e53-b6b1-7e8bbff3fe19"/>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B262C322-4296-4395-9725-389885DDCD8D}">
  <ds:schemaRefs>
    <ds:schemaRef ds:uri="http://schemas.openxmlformats.org/officeDocument/2006/bibliography"/>
  </ds:schemaRefs>
</ds:datastoreItem>
</file>

<file path=customXml/itemProps6.xml><?xml version="1.0" encoding="utf-8"?>
<ds:datastoreItem xmlns:ds="http://schemas.openxmlformats.org/officeDocument/2006/customXml" ds:itemID="{868ADFC5-B48C-4867-84FD-852C8E29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F1421D02.dotm</Template>
  <TotalTime>0</TotalTime>
  <Pages>14</Pages>
  <Words>5009</Words>
  <Characters>28246</Characters>
  <Application>Microsoft Office Word</Application>
  <DocSecurity>8</DocSecurity>
  <Lines>235</Lines>
  <Paragraphs>66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33189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Scheele</cp:lastModifiedBy>
  <cp:revision>4</cp:revision>
  <cp:lastPrinted>2015-02-18T11:01:00Z</cp:lastPrinted>
  <dcterms:created xsi:type="dcterms:W3CDTF">2020-06-12T10:00:00Z</dcterms:created>
  <dcterms:modified xsi:type="dcterms:W3CDTF">2020-06-12T12:22:00Z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