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Fuzeile"/>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lastRenderedPageBreak/>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lastRenderedPageBreak/>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w:t>
      </w:r>
      <w:r w:rsidRPr="00EF0769">
        <w:rPr>
          <w:rFonts w:cs="Arial"/>
        </w:rPr>
        <w:lastRenderedPageBreak/>
        <w:t>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7A68491E" w14:textId="7A33AFFE" w:rsidR="00C2682A" w:rsidRPr="00AB6D88" w:rsidRDefault="00FC7952" w:rsidP="00FC7952">
                <w:pPr>
                  <w:rPr>
                    <w:rStyle w:val="Platzhaltertext"/>
                    <w:rFonts w:cs="Arial"/>
                  </w:rPr>
                </w:pPr>
                <w:proofErr w:type="spellStart"/>
                <w:r>
                  <w:rPr>
                    <w:rStyle w:val="Platzhaltertext"/>
                    <w:rFonts w:cs="Arial"/>
                  </w:rPr>
                  <w:t>Deutsches</w:t>
                </w:r>
                <w:proofErr w:type="spellEnd"/>
                <w:r>
                  <w:rPr>
                    <w:rStyle w:val="Platzhaltertext"/>
                    <w:rFonts w:cs="Arial"/>
                  </w:rPr>
                  <w:t xml:space="preserve"> </w:t>
                </w:r>
                <w:proofErr w:type="spellStart"/>
                <w:r>
                  <w:rPr>
                    <w:rStyle w:val="Platzhaltertext"/>
                    <w:rFonts w:cs="Arial"/>
                  </w:rPr>
                  <w:t>Aktieninstitut</w:t>
                </w:r>
                <w:proofErr w:type="spellEnd"/>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6F240F78" w:rsidR="00C2682A" w:rsidRPr="00AB6D88" w:rsidRDefault="00855FAF"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C7952">
                  <w:rPr>
                    <w:rFonts w:cs="Arial"/>
                  </w:rPr>
                  <w:t>Non-financial counterparty</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33167364" w:rsidR="00C2682A" w:rsidRPr="00AB6D88" w:rsidRDefault="00FC7952"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1EC5353D" w:rsidR="00C2682A" w:rsidRPr="00AB6D88" w:rsidRDefault="00FC7952"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6A22288E" w14:textId="0AE2C416" w:rsidR="00F87897" w:rsidRDefault="00FC7952" w:rsidP="00F87897">
      <w:permStart w:id="1454525006" w:edGrp="everyone"/>
      <w:proofErr w:type="spellStart"/>
      <w:r w:rsidRPr="00FC7952">
        <w:t>Deutsches</w:t>
      </w:r>
      <w:proofErr w:type="spellEnd"/>
      <w:r w:rsidRPr="00FC7952">
        <w:t xml:space="preserve"> </w:t>
      </w:r>
      <w:proofErr w:type="spellStart"/>
      <w:r w:rsidRPr="00FC7952">
        <w:t>Aktieninstitut</w:t>
      </w:r>
      <w:proofErr w:type="spellEnd"/>
      <w:r w:rsidRPr="00FC7952">
        <w:t xml:space="preserve"> (identification number: 38064081304-25) represents the entire German economy interested in the capital markets. The about 200 members of </w:t>
      </w:r>
      <w:proofErr w:type="spellStart"/>
      <w:r w:rsidRPr="00FC7952">
        <w:t>Deutsches</w:t>
      </w:r>
      <w:proofErr w:type="spellEnd"/>
      <w:r w:rsidRPr="00FC7952">
        <w:t xml:space="preserve"> </w:t>
      </w:r>
      <w:proofErr w:type="spellStart"/>
      <w:r w:rsidRPr="00FC7952">
        <w:t>Aktieninstitut</w:t>
      </w:r>
      <w:proofErr w:type="spellEnd"/>
      <w:r w:rsidRPr="00FC7952">
        <w:t xml:space="preserve"> are listed corporations, banks, stock exchanges, investors and other important market participants. </w:t>
      </w:r>
      <w:r w:rsidRPr="00FC7952">
        <w:rPr>
          <w:lang w:val="de-DE"/>
        </w:rPr>
        <w:t xml:space="preserve">Deutsches Aktieninstitut </w:t>
      </w:r>
      <w:proofErr w:type="spellStart"/>
      <w:r w:rsidRPr="00FC7952">
        <w:rPr>
          <w:lang w:val="de-DE"/>
        </w:rPr>
        <w:t>keeps</w:t>
      </w:r>
      <w:proofErr w:type="spellEnd"/>
      <w:r w:rsidRPr="00FC7952">
        <w:rPr>
          <w:lang w:val="de-DE"/>
        </w:rPr>
        <w:t xml:space="preserve"> </w:t>
      </w:r>
      <w:proofErr w:type="spellStart"/>
      <w:r w:rsidRPr="00FC7952">
        <w:rPr>
          <w:lang w:val="de-DE"/>
        </w:rPr>
        <w:t>offices</w:t>
      </w:r>
      <w:proofErr w:type="spellEnd"/>
      <w:r w:rsidRPr="00FC7952">
        <w:rPr>
          <w:lang w:val="de-DE"/>
        </w:rPr>
        <w:t xml:space="preserve"> in Frankfurt, </w:t>
      </w:r>
      <w:proofErr w:type="spellStart"/>
      <w:r w:rsidRPr="00FC7952">
        <w:rPr>
          <w:lang w:val="de-DE"/>
        </w:rPr>
        <w:t>Brussels</w:t>
      </w:r>
      <w:proofErr w:type="spellEnd"/>
      <w:r w:rsidRPr="00FC7952">
        <w:rPr>
          <w:lang w:val="de-DE"/>
        </w:rPr>
        <w:t xml:space="preserve"> </w:t>
      </w:r>
      <w:proofErr w:type="spellStart"/>
      <w:r w:rsidRPr="00FC7952">
        <w:rPr>
          <w:lang w:val="de-DE"/>
        </w:rPr>
        <w:t>and</w:t>
      </w:r>
      <w:proofErr w:type="spellEnd"/>
      <w:r w:rsidRPr="00FC7952">
        <w:rPr>
          <w:lang w:val="de-DE"/>
        </w:rPr>
        <w:t xml:space="preserve"> in Berlin. </w:t>
      </w:r>
      <w:r w:rsidRPr="00FC7952">
        <w:t>We followed the legislation process regarding MiFID II/</w:t>
      </w:r>
      <w:proofErr w:type="spellStart"/>
      <w:r w:rsidRPr="00FC7952">
        <w:t>MiFIR</w:t>
      </w:r>
      <w:proofErr w:type="spellEnd"/>
      <w:r w:rsidRPr="00FC7952">
        <w:t xml:space="preserve"> very closely, expressing the view of non-financial companies using derivatives in their risk management.</w:t>
      </w:r>
      <w:permEnd w:id="1454525006"/>
    </w:p>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4A4CF699" w14:textId="77777777" w:rsidR="00A8728B" w:rsidRDefault="00A8728B" w:rsidP="00A8728B">
      <w:permStart w:id="1955866996" w:edGrp="everyone"/>
      <w:r>
        <w:t>TYPE YOUR TEXT HERE</w:t>
      </w:r>
      <w:permEnd w:id="1955866996"/>
    </w:p>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108232FE" w14:textId="77777777" w:rsidR="00A8728B" w:rsidRDefault="00A8728B" w:rsidP="00A8728B">
      <w:permStart w:id="1066216518" w:edGrp="everyone"/>
      <w:r>
        <w:t>TYPE YOUR TEXT HERE</w:t>
      </w:r>
      <w:permEnd w:id="1066216518"/>
    </w:p>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lastRenderedPageBreak/>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27C12B76" w14:textId="77777777" w:rsidR="002E1760" w:rsidRDefault="002E1760" w:rsidP="002E1760">
      <w:permStart w:id="473446270" w:edGrp="everyone"/>
      <w:r>
        <w:t>TYPE YOUR TEXT HERE</w:t>
      </w:r>
      <w:permEnd w:id="473446270"/>
    </w:p>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t>&lt;ESMA_QUESTION_</w:t>
      </w:r>
      <w:r w:rsidR="00227C1A">
        <w:t>CP</w:t>
      </w:r>
      <w:r w:rsidR="007254DD">
        <w:t>_MIFID_NQT</w:t>
      </w:r>
      <w:r w:rsidR="00F107EF">
        <w:t>_</w:t>
      </w:r>
      <w:r>
        <w:t>4&gt;</w:t>
      </w:r>
    </w:p>
    <w:p w14:paraId="22440220" w14:textId="77777777" w:rsidR="002E1760" w:rsidRDefault="002E1760" w:rsidP="002E1760">
      <w:permStart w:id="1101743476" w:edGrp="everyone"/>
      <w:r>
        <w:t>TYPE YOUR TEXT HERE</w:t>
      </w:r>
      <w:permEnd w:id="1101743476"/>
    </w:p>
    <w:p w14:paraId="26125AF8" w14:textId="6B643FEF" w:rsidR="002E1760" w:rsidRDefault="002E1760" w:rsidP="002E1760">
      <w:r>
        <w:lastRenderedPageBreak/>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6939E3AA" w14:textId="0F1ED967" w:rsidR="00FC7952" w:rsidRPr="00FC7952" w:rsidRDefault="0052142E" w:rsidP="00FC7952">
      <w:permStart w:id="1725855520" w:edGrp="everyone"/>
      <w:r>
        <w:t>No, a</w:t>
      </w:r>
      <w:r w:rsidR="00FC7952" w:rsidRPr="00FC7952">
        <w:t xml:space="preserve">s the hedging exemption is of importance for non-financial companies not only using commodity derivatives, we would like to re-iterate its justification. Besides, it is worth to note that many OTC-derivatives, i.e. those instruments largely used for hedging purposes, </w:t>
      </w:r>
      <w:proofErr w:type="gramStart"/>
      <w:r w:rsidR="00FC7952" w:rsidRPr="00FC7952">
        <w:t>are not regarded</w:t>
      </w:r>
      <w:proofErr w:type="gramEnd"/>
      <w:r w:rsidR="00FC7952" w:rsidRPr="00FC7952">
        <w:t xml:space="preserve"> as equivalent to instruments traded on a trading venue (TOTV). As these instruments are not in the scope of the transparency requirements this might explain why almost only commodity derivatives benefit from the exemption so far. The introduction of a broader concept of TOTV as discussed by ESMA will change this situation (see 3.2.2.3 below). More instruments besides commodity derivatives will benefit from the exemption.</w:t>
      </w:r>
    </w:p>
    <w:p w14:paraId="6CDFD9F4" w14:textId="51FFACCA" w:rsidR="00FC7952" w:rsidRDefault="0052142E" w:rsidP="00FC7952">
      <w:r>
        <w:t>In general, t</w:t>
      </w:r>
      <w:r w:rsidR="00FC7952" w:rsidRPr="00FC7952">
        <w:t xml:space="preserve">he exemption </w:t>
      </w:r>
      <w:r>
        <w:t xml:space="preserve">is justified as it </w:t>
      </w:r>
      <w:r w:rsidR="00FC7952" w:rsidRPr="00FC7952">
        <w:t xml:space="preserve">acknowledges that OTC derivatives used by non-financial companies for hedging purposes – including contracts executed on MTFs or OTFs – are different from securities and in particular shares: These </w:t>
      </w:r>
      <w:r w:rsidR="00FC7952">
        <w:t xml:space="preserve">derivatives </w:t>
      </w:r>
      <w:r w:rsidR="00FC7952" w:rsidRPr="00FC7952">
        <w:t xml:space="preserve">are no fully fungible and standardized transactions and are requested individually </w:t>
      </w:r>
      <w:r w:rsidR="00FC7952" w:rsidRPr="00FC7952">
        <w:lastRenderedPageBreak/>
        <w:t xml:space="preserve">by customers when required. Like loan contracts, leasing contracts, saving account contracts etc. these derivative transactions are contracts bilaterally agreed between clients and banks. Trading of these individual derivatives in question on secondary markets effectively does never take place. </w:t>
      </w:r>
    </w:p>
    <w:p w14:paraId="32223C7F" w14:textId="77777777" w:rsidR="00FC7952" w:rsidRPr="00FC7952" w:rsidRDefault="00FC7952" w:rsidP="00FC7952"/>
    <w:p w14:paraId="62B966BE" w14:textId="1B15B99B" w:rsidR="00FC7952" w:rsidRDefault="0052142E" w:rsidP="00FC7952">
      <w:r>
        <w:t xml:space="preserve">These transactions do not involve any type of </w:t>
      </w:r>
      <w:r w:rsidR="00FC7952" w:rsidRPr="00FC7952">
        <w:t>investor involved who needs</w:t>
      </w:r>
      <w:r>
        <w:t xml:space="preserve"> special protection or who benefits from transparency</w:t>
      </w:r>
      <w:r w:rsidR="00FC7952" w:rsidRPr="00FC7952">
        <w:t>. On the contrary, especially for larger transactions or transactions referring to an illiquid underlying it is very likely that transparency distorts the price formation process to the detriment of the non-financial company</w:t>
      </w:r>
      <w:r>
        <w:t xml:space="preserve"> requesting the derivative</w:t>
      </w:r>
      <w:r w:rsidR="00FC7952" w:rsidRPr="00FC7952">
        <w:t xml:space="preserve">. If an order is split up into smaller </w:t>
      </w:r>
      <w:r>
        <w:t xml:space="preserve">parts </w:t>
      </w:r>
      <w:r w:rsidR="00FC7952" w:rsidRPr="00FC7952">
        <w:t xml:space="preserve">(which is a common practice for larger and/or illiquid transactions), orders executed at a later stage will become remarkably more expensive. The reason for this is that it is unlikely that various companies demand an identical transaction at the same time. The supply side can therefore conclude that the split orders </w:t>
      </w:r>
      <w:proofErr w:type="gramStart"/>
      <w:r>
        <w:t>are requested</w:t>
      </w:r>
      <w:proofErr w:type="gramEnd"/>
      <w:r>
        <w:t xml:space="preserve"> from the </w:t>
      </w:r>
      <w:r w:rsidR="00FC7952" w:rsidRPr="00FC7952">
        <w:t xml:space="preserve">same end-user, and can bet against him. As a result, prices will increase which makes risk management </w:t>
      </w:r>
      <w:r>
        <w:t xml:space="preserve">with the derivatives in question </w:t>
      </w:r>
      <w:r w:rsidR="00FC7952" w:rsidRPr="00FC7952">
        <w:t xml:space="preserve">more expensive. </w:t>
      </w:r>
    </w:p>
    <w:p w14:paraId="540ADF93" w14:textId="77777777" w:rsidR="00FC7952" w:rsidRPr="00FC7952" w:rsidRDefault="00FC7952" w:rsidP="00FC7952"/>
    <w:p w14:paraId="7DA75FA9" w14:textId="53BC1826" w:rsidR="00FC7952" w:rsidRDefault="00FC7952" w:rsidP="00FC7952">
      <w:r w:rsidRPr="00FC7952">
        <w:t xml:space="preserve">We therefore urge ESMA to leave the exemption as it is. For reasons of coherence, the exemption </w:t>
      </w:r>
      <w:proofErr w:type="gramStart"/>
      <w:r w:rsidRPr="00FC7952">
        <w:t>should also be inserted</w:t>
      </w:r>
      <w:proofErr w:type="gramEnd"/>
      <w:r w:rsidRPr="00FC7952">
        <w:t xml:space="preserve"> in Art. </w:t>
      </w:r>
      <w:proofErr w:type="gramStart"/>
      <w:r w:rsidRPr="00FC7952">
        <w:t>21</w:t>
      </w:r>
      <w:proofErr w:type="gramEnd"/>
      <w:r w:rsidRPr="00FC7952">
        <w:t xml:space="preserve"> </w:t>
      </w:r>
      <w:proofErr w:type="spellStart"/>
      <w:r w:rsidRPr="00FC7952">
        <w:t>MiFIR</w:t>
      </w:r>
      <w:proofErr w:type="spellEnd"/>
      <w:r w:rsidRPr="00FC7952">
        <w:t xml:space="preserve"> regarding the post-trade transparency for non-equity instruments.</w:t>
      </w:r>
    </w:p>
    <w:p w14:paraId="71F7516E" w14:textId="77777777" w:rsidR="00FC7952" w:rsidRPr="00FC7952" w:rsidRDefault="00FC7952" w:rsidP="00FC7952"/>
    <w:p w14:paraId="5E6AA5B5" w14:textId="1F9BBB47" w:rsidR="00227C1A" w:rsidRDefault="00FC7952" w:rsidP="00227C1A">
      <w:r w:rsidRPr="00FC7952">
        <w:lastRenderedPageBreak/>
        <w:t xml:space="preserve">If the legislator opts for the deletion of the exemption and instead inserts a negotiated trade waiver the particularities of derivatives used by non-financial companies described above </w:t>
      </w:r>
      <w:proofErr w:type="gramStart"/>
      <w:r w:rsidRPr="00FC7952">
        <w:t>must be adequately reflected</w:t>
      </w:r>
      <w:proofErr w:type="gramEnd"/>
      <w:r w:rsidRPr="00FC7952">
        <w:t>. In that case, the waiver should apply to all derivative transactions (Option 1) instead of a limitation for commodity derivatives, especially for the case of an extended scope of TOTV</w:t>
      </w:r>
      <w:r w:rsidR="00DE4480">
        <w:t>.</w:t>
      </w:r>
      <w:permEnd w:id="1725855520"/>
    </w:p>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7F3F849F" w14:textId="77777777" w:rsidR="0062022D" w:rsidRDefault="0062022D" w:rsidP="0062022D">
      <w:permStart w:id="203298670" w:edGrp="everyone"/>
      <w:r>
        <w:t>TYPE YOUR TEXT HERE</w:t>
      </w:r>
      <w:permEnd w:id="203298670"/>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lastRenderedPageBreak/>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4896476" w14:textId="77777777" w:rsidR="00A263DF" w:rsidRDefault="00A263DF" w:rsidP="00A263DF">
      <w:permStart w:id="795872801" w:edGrp="everyone"/>
      <w:r>
        <w:t>TYPE YOUR TEXT HERE</w:t>
      </w:r>
      <w:permEnd w:id="795872801"/>
    </w:p>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43D46422" w14:textId="77777777" w:rsidR="00A263DF" w:rsidRDefault="00A263DF" w:rsidP="00A263DF">
      <w:permStart w:id="1747589383" w:edGrp="everyone"/>
      <w:r>
        <w:t>TYPE YOUR TEXT HERE</w:t>
      </w:r>
      <w:permEnd w:id="1747589383"/>
    </w:p>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t xml:space="preserve">Would you see value in further standardising the pre-trade transparency information to increase the </w:t>
      </w:r>
      <w:r w:rsidRPr="007254DD">
        <w:lastRenderedPageBreak/>
        <w:t>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1B5C745B" w14:textId="77777777" w:rsidR="002E1760" w:rsidRDefault="002E1760" w:rsidP="002E1760">
      <w:permStart w:id="1400726192" w:edGrp="everyone"/>
      <w:r>
        <w:t>TYPE YOUR TEXT HERE</w:t>
      </w:r>
      <w:permEnd w:id="1400726192"/>
    </w:p>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t>&lt;ESMA_QUESTION_CP</w:t>
      </w:r>
      <w:r w:rsidR="007254DD">
        <w:t>_MIFID_NQT</w:t>
      </w:r>
      <w:r w:rsidR="00F107EF">
        <w:t>_</w:t>
      </w:r>
      <w:r>
        <w:t>10&gt;</w:t>
      </w:r>
    </w:p>
    <w:p w14:paraId="7F574030" w14:textId="77777777" w:rsidR="008418E3" w:rsidRDefault="008418E3" w:rsidP="008418E3">
      <w:permStart w:id="929114806" w:edGrp="everyone"/>
      <w:r>
        <w:t>TYPE YOUR TEXT HERE</w:t>
      </w:r>
      <w:permEnd w:id="929114806"/>
    </w:p>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lastRenderedPageBreak/>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77303C55" w14:textId="77777777" w:rsidR="00F469F8" w:rsidRDefault="00F469F8" w:rsidP="00F469F8">
      <w:permStart w:id="675495160" w:edGrp="everyone"/>
      <w:r>
        <w:t>TYPE YOUR TEXT HERE</w:t>
      </w:r>
      <w:permEnd w:id="675495160"/>
    </w:p>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1B69D7E6" w14:textId="77777777" w:rsidR="00F469F8" w:rsidRDefault="00F469F8" w:rsidP="00F469F8">
      <w:permStart w:id="227761104" w:edGrp="everyone"/>
      <w:r>
        <w:t>TYPE YOUR TEXT HERE</w:t>
      </w:r>
      <w:permEnd w:id="227761104"/>
    </w:p>
    <w:p w14:paraId="468C5AB6" w14:textId="5D33ECBD" w:rsidR="00F469F8" w:rsidRDefault="00F469F8" w:rsidP="00F469F8">
      <w:r>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 xml:space="preserve">Do you agree with the publication of the price and volume of all transactions after a certain period of </w:t>
      </w:r>
      <w:r w:rsidRPr="001129F9">
        <w:lastRenderedPageBreak/>
        <w:t>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536EE512" w14:textId="77777777" w:rsidR="00646C30" w:rsidRDefault="00646C30" w:rsidP="00646C30">
      <w:permStart w:id="308116658" w:edGrp="everyone"/>
      <w:r>
        <w:t>TYPE YOUR TEXT HERE</w:t>
      </w:r>
      <w:permEnd w:id="308116658"/>
    </w:p>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6A257108" w14:textId="77777777" w:rsidR="00646C30" w:rsidRDefault="00646C30" w:rsidP="00646C30">
      <w:permStart w:id="699085938" w:edGrp="everyone"/>
      <w:r>
        <w:t>TYPE YOUR TEXT HERE</w:t>
      </w:r>
      <w:permEnd w:id="699085938"/>
    </w:p>
    <w:p w14:paraId="396E3E9C" w14:textId="07F3E39D" w:rsidR="00646C30" w:rsidRDefault="00646C30" w:rsidP="00646C30">
      <w:r>
        <w:lastRenderedPageBreak/>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t>&lt;ESMA_QUESTION_CP</w:t>
      </w:r>
      <w:r w:rsidR="007254DD">
        <w:t>_MIFID_NQT</w:t>
      </w:r>
      <w:r w:rsidR="00F107EF">
        <w: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7AAD2035" w14:textId="467D62CA" w:rsidR="00646C30" w:rsidRDefault="00DE4480" w:rsidP="00646C30">
      <w:permStart w:id="2130212544" w:edGrp="everyone"/>
      <w:r w:rsidRPr="00DE4480">
        <w:t xml:space="preserve">Besides the “hedging-exemption” (see our answer to question Q5) TOTV ensures that only actively traded instruments are in the scope of the transparency regime. With regard to derivatives used by non-financial </w:t>
      </w:r>
      <w:proofErr w:type="gramStart"/>
      <w:r w:rsidRPr="00DE4480">
        <w:t>companies</w:t>
      </w:r>
      <w:proofErr w:type="gramEnd"/>
      <w:r w:rsidRPr="00DE4480">
        <w:t xml:space="preserve"> the existing TOTV is well-balanced. As stated above (see our answer to question 5) these instruments are </w:t>
      </w:r>
      <w:r w:rsidRPr="00DE4480">
        <w:lastRenderedPageBreak/>
        <w:t xml:space="preserve">bilaterally agreed between the company and the financial counterparty. They </w:t>
      </w:r>
      <w:proofErr w:type="gramStart"/>
      <w:r w:rsidRPr="00DE4480">
        <w:t>are not traded</w:t>
      </w:r>
      <w:proofErr w:type="gramEnd"/>
      <w:r w:rsidRPr="00DE4480">
        <w:t xml:space="preserve"> on secondary markets involving investors benefitting from the </w:t>
      </w:r>
      <w:r w:rsidR="00380BAA">
        <w:t xml:space="preserve">market </w:t>
      </w:r>
      <w:r w:rsidRPr="00DE4480">
        <w:t>transparency. Correctly, these instruments are not in the scope of the transparency requirements. We also think that the “same reference data details” (volume, maturity, ISIN etc.) are well calibrated and help to identify those instruments which are no</w:t>
      </w:r>
      <w:r w:rsidR="00380BAA">
        <w:t>t</w:t>
      </w:r>
      <w:r w:rsidRPr="00DE4480">
        <w:t xml:space="preserve"> equivalent to those traded on a trading venue. Lastly, we refer to the fact that all </w:t>
      </w:r>
      <w:r w:rsidR="00380BAA">
        <w:t>derivative</w:t>
      </w:r>
      <w:r w:rsidRPr="00DE4480">
        <w:t xml:space="preserve"> transactions, TOTV or not, are already being reported under EMIR so there is no detriment to market transparency in our view.</w:t>
      </w:r>
      <w:permEnd w:id="2130212544"/>
    </w:p>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1CE157B4" w14:textId="77777777" w:rsidR="00646C30" w:rsidRDefault="00646C30" w:rsidP="00646C30">
      <w:permStart w:id="96027498" w:edGrp="everyone"/>
      <w:r>
        <w:t>TYPE YOUR TEXT HERE</w:t>
      </w:r>
      <w:permEnd w:id="96027498"/>
    </w:p>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 xml:space="preserve">Which of the three options proposed, would you recommend (Option 1, Option 2 or Option 3)? In case </w:t>
      </w:r>
      <w:r w:rsidRPr="00B27E7B">
        <w:lastRenderedPageBreak/>
        <w:t>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29695292" w14:textId="7E6C8F65" w:rsidR="0071144E" w:rsidRDefault="0071144E" w:rsidP="0071144E">
      <w:permStart w:id="70923797" w:edGrp="everyone"/>
      <w:r>
        <w:t xml:space="preserve">We re-iterate our statement that pre- and post-trade transparency is only useful for instruments traded on secondary markets. This is not the case for hedging derivatives used by non-financial companies. Therefore, irrespective of the options proposed above it </w:t>
      </w:r>
      <w:proofErr w:type="gramStart"/>
      <w:r>
        <w:t>should be clarified</w:t>
      </w:r>
      <w:proofErr w:type="gramEnd"/>
      <w:r>
        <w:t xml:space="preserve"> that these instruments are out of the transparency scope. </w:t>
      </w:r>
    </w:p>
    <w:p w14:paraId="25C602CA" w14:textId="77777777" w:rsidR="0071144E" w:rsidRDefault="0071144E" w:rsidP="0071144E"/>
    <w:p w14:paraId="2C8E07E5" w14:textId="57E346B0" w:rsidR="00646C30" w:rsidRDefault="0071144E" w:rsidP="00646C30">
      <w:r>
        <w:t xml:space="preserve">For these instruments, as mentioned in our answer to Q16 we deem the current TOTV justified and </w:t>
      </w:r>
      <w:proofErr w:type="gramStart"/>
      <w:r>
        <w:t>well-calibrated</w:t>
      </w:r>
      <w:proofErr w:type="gramEnd"/>
      <w:r>
        <w:t xml:space="preserve">. </w:t>
      </w:r>
      <w:bookmarkStart w:id="3" w:name="_GoBack"/>
      <w:bookmarkEnd w:id="3"/>
      <w:r>
        <w:t xml:space="preserve">In this regard, there is no need for option 2 or option 3. Nevertheless, if ESMA </w:t>
      </w:r>
      <w:proofErr w:type="gramStart"/>
      <w:r>
        <w:t>comes to the conclusion</w:t>
      </w:r>
      <w:proofErr w:type="gramEnd"/>
      <w:r>
        <w:t xml:space="preserve"> that option 2 or option 3 should be introduced, equivalence criteria should properly reflect the specifics of hedging instruments used by non-financial companies.</w:t>
      </w:r>
      <w:permEnd w:id="70923797"/>
    </w:p>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t>&lt;ESMA_QUESTION_CP</w:t>
      </w:r>
      <w:r w:rsidR="007254DD">
        <w:t>_MIFID_NQT</w:t>
      </w:r>
      <w:r w:rsidR="00F107EF">
        <w:t>_</w:t>
      </w:r>
      <w:r>
        <w:t>1</w:t>
      </w:r>
      <w:r w:rsidR="00101BF1">
        <w:t>9</w:t>
      </w:r>
      <w:r>
        <w:t>&gt;</w:t>
      </w:r>
    </w:p>
    <w:p w14:paraId="0CAC7740" w14:textId="77777777" w:rsidR="00646C30" w:rsidRDefault="00646C30" w:rsidP="00646C30">
      <w:permStart w:id="1628391240" w:edGrp="everyone"/>
      <w:r>
        <w:lastRenderedPageBreak/>
        <w:t>TYPE YOUR TEXT HERE</w:t>
      </w:r>
      <w:permEnd w:id="1628391240"/>
    </w:p>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2BF6DC09" w14:textId="77777777" w:rsidR="001129F9" w:rsidRDefault="001129F9" w:rsidP="001129F9">
      <w:permStart w:id="951131482" w:edGrp="everyone"/>
      <w:r>
        <w:t>TYPE YOUR TEXT HERE</w:t>
      </w:r>
      <w:permEnd w:id="951131482"/>
    </w:p>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t>&lt;ESMA_QUESTION_CP</w:t>
      </w:r>
      <w:r w:rsidR="007254DD">
        <w:t>_MIFID_NQT</w:t>
      </w:r>
      <w:r w:rsidR="00F107EF">
        <w:t>_</w:t>
      </w:r>
      <w:r w:rsidR="00101BF1">
        <w:t>21</w:t>
      </w:r>
      <w:r>
        <w:t>&gt;</w:t>
      </w:r>
    </w:p>
    <w:p w14:paraId="13C7FEA6" w14:textId="77777777" w:rsidR="00646C30" w:rsidRDefault="00646C30" w:rsidP="00646C30">
      <w:permStart w:id="37382354" w:edGrp="everyone"/>
      <w:r>
        <w:t>TYPE YOUR TEXT HERE</w:t>
      </w:r>
      <w:permEnd w:id="37382354"/>
    </w:p>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7F090863" w14:textId="77777777" w:rsidR="00646C30" w:rsidRDefault="00646C30" w:rsidP="00646C30">
      <w:permStart w:id="71373738" w:edGrp="everyone"/>
      <w:r>
        <w:t>TYPE YOUR TEXT HERE</w:t>
      </w:r>
      <w:permEnd w:id="71373738"/>
    </w:p>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51834EC7" w14:textId="77777777" w:rsidR="00646C30" w:rsidRDefault="00646C30" w:rsidP="00646C30">
      <w:permStart w:id="2102155623" w:edGrp="everyone"/>
      <w:r>
        <w:t>TYPE YOUR TEXT HERE</w:t>
      </w:r>
      <w:permEnd w:id="2102155623"/>
    </w:p>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lastRenderedPageBreak/>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34A9DFDE" w14:textId="77777777" w:rsidR="00646C30" w:rsidRDefault="00646C30" w:rsidP="00646C30">
      <w:permStart w:id="160242055" w:edGrp="everyone"/>
      <w:r>
        <w:t>TYPE YOUR TEXT HERE</w:t>
      </w:r>
      <w:permEnd w:id="160242055"/>
    </w:p>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3D6B6F67" w14:textId="77777777" w:rsidR="00646C30" w:rsidRDefault="00646C30" w:rsidP="00646C30">
      <w:permStart w:id="203690501" w:edGrp="everyone"/>
      <w:r>
        <w:t>TYPE YOUR TEXT HERE</w:t>
      </w:r>
      <w:permEnd w:id="203690501"/>
    </w:p>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00430256" w14:textId="77777777" w:rsidR="00646C30" w:rsidRDefault="00646C30" w:rsidP="00646C30">
      <w:permStart w:id="1935441367" w:edGrp="everyone"/>
      <w:r>
        <w:lastRenderedPageBreak/>
        <w:t>TYPE YOUR TEXT HERE</w:t>
      </w:r>
      <w:permEnd w:id="1935441367"/>
    </w:p>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t>&lt;ESMA_QUESTION_CP</w:t>
      </w:r>
      <w:r w:rsidR="007254DD">
        <w:t>_MIFID_NQT</w:t>
      </w:r>
      <w:r w:rsidR="00F107EF">
        <w:t>_</w:t>
      </w:r>
      <w:r w:rsidR="00101BF1">
        <w:t>27</w:t>
      </w:r>
      <w:r>
        <w:t>&gt;</w:t>
      </w:r>
    </w:p>
    <w:p w14:paraId="07059944" w14:textId="77777777" w:rsidR="00646C30" w:rsidRDefault="00646C30" w:rsidP="00646C30">
      <w:permStart w:id="1284132493" w:edGrp="everyone"/>
      <w:r>
        <w:t>TYPE YOUR TEXT HERE</w:t>
      </w:r>
      <w:permEnd w:id="1284132493"/>
    </w:p>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6C439D4C" w:rsidR="00646C30" w:rsidRDefault="00646C30" w:rsidP="00646C30">
      <w:r>
        <w:lastRenderedPageBreak/>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0E557F14" w14:textId="77777777" w:rsidR="00646C30" w:rsidRDefault="00646C30" w:rsidP="00646C30">
      <w:permStart w:id="1113393043" w:edGrp="everyone"/>
      <w:r>
        <w:t>TYPE YOUR TEXT HERE</w:t>
      </w:r>
      <w:permEnd w:id="1113393043"/>
    </w:p>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lastRenderedPageBreak/>
        <w:t>&lt;ESMA_QUESTION_CP</w:t>
      </w:r>
      <w:r w:rsidR="007254DD">
        <w:t>_MIFID_NQT</w:t>
      </w:r>
      <w:r w:rsidR="00F107EF">
        <w:t>_</w:t>
      </w:r>
      <w:r w:rsidR="00101BF1">
        <w:t>30</w:t>
      </w:r>
      <w:r>
        <w:t>&gt;</w:t>
      </w:r>
    </w:p>
    <w:p w14:paraId="0FB3DBAF" w14:textId="77777777" w:rsidR="00646C30" w:rsidRDefault="00646C30" w:rsidP="00646C30">
      <w:permStart w:id="547110296" w:edGrp="everyone"/>
      <w:r>
        <w:t>TYPE YOUR TEXT HERE</w:t>
      </w:r>
      <w:permEnd w:id="547110296"/>
    </w:p>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593E91E6" w14:textId="77777777" w:rsidR="00B27E7B" w:rsidRDefault="00B27E7B" w:rsidP="00B27E7B">
      <w:permStart w:id="1615734835" w:edGrp="everyone"/>
      <w:r>
        <w:t>TYPE YOUR TEXT HERE</w:t>
      </w:r>
      <w:permEnd w:id="1615734835"/>
    </w:p>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819E2" w14:textId="77777777" w:rsidR="00047350" w:rsidRDefault="00047350">
      <w:r>
        <w:separator/>
      </w:r>
    </w:p>
    <w:p w14:paraId="36D5B02B" w14:textId="77777777" w:rsidR="00047350" w:rsidRDefault="00047350"/>
  </w:endnote>
  <w:endnote w:type="continuationSeparator" w:id="0">
    <w:p w14:paraId="6F308D14" w14:textId="77777777" w:rsidR="00047350" w:rsidRDefault="00047350">
      <w:r>
        <w:continuationSeparator/>
      </w:r>
    </w:p>
    <w:p w14:paraId="34A13672" w14:textId="77777777" w:rsidR="00047350" w:rsidRDefault="00047350"/>
  </w:endnote>
  <w:endnote w:type="continuationNotice" w:id="1">
    <w:p w14:paraId="0735500C" w14:textId="77777777" w:rsidR="00047350" w:rsidRDefault="00047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Lucida San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1A3690B5"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55FAF">
            <w:rPr>
              <w:rFonts w:cs="Arial"/>
              <w:noProof/>
              <w:sz w:val="22"/>
              <w:szCs w:val="22"/>
            </w:rPr>
            <w:t>11</w:t>
          </w:r>
          <w:r w:rsidRPr="00616B9B">
            <w:rPr>
              <w:rFonts w:cs="Arial"/>
              <w:noProof/>
              <w:sz w:val="22"/>
              <w:szCs w:val="22"/>
            </w:rPr>
            <w:fldChar w:fldCharType="end"/>
          </w:r>
        </w:p>
      </w:tc>
    </w:tr>
  </w:tbl>
  <w:p w14:paraId="7306E326" w14:textId="77777777" w:rsidR="00F107EF" w:rsidRDefault="00F10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5726" w14:textId="77777777" w:rsidR="00B61CD3" w:rsidRDefault="00B61CD3" w:rsidP="00B61CD3">
    <w:pPr>
      <w:pStyle w:val="Fuzeil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22F5" w14:textId="77777777" w:rsidR="00F107EF" w:rsidRDefault="00F107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75FDD" w14:textId="77777777" w:rsidR="00047350" w:rsidRDefault="00047350">
      <w:r>
        <w:separator/>
      </w:r>
    </w:p>
    <w:p w14:paraId="17954807" w14:textId="77777777" w:rsidR="00047350" w:rsidRDefault="00047350"/>
  </w:footnote>
  <w:footnote w:type="continuationSeparator" w:id="0">
    <w:p w14:paraId="6B62BF90" w14:textId="77777777" w:rsidR="00047350" w:rsidRDefault="00047350">
      <w:r>
        <w:continuationSeparator/>
      </w:r>
    </w:p>
    <w:p w14:paraId="465BF8F0" w14:textId="77777777" w:rsidR="00047350" w:rsidRDefault="00047350"/>
  </w:footnote>
  <w:footnote w:type="continuationNotice" w:id="1">
    <w:p w14:paraId="6881F32D" w14:textId="77777777" w:rsidR="00047350" w:rsidRDefault="000473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7985" w14:textId="77777777" w:rsidR="00F107EF" w:rsidRDefault="00F107EF">
    <w:pPr>
      <w:pStyle w:val="Kopfzeile"/>
    </w:pPr>
    <w:r>
      <w:rPr>
        <w:noProof/>
        <w:lang w:val="de-DE"/>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F96916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EEA6" w14:textId="77777777" w:rsidR="00F107EF" w:rsidRDefault="00F107EF" w:rsidP="00013CCE">
    <w:pPr>
      <w:pStyle w:val="Kopfzeile"/>
      <w:jc w:val="right"/>
    </w:pPr>
    <w:r>
      <w:rPr>
        <w:noProof/>
        <w:lang w:val="de-DE"/>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Kopfzeile"/>
      <w:rPr>
        <w:lang w:val="fr-FR"/>
      </w:rPr>
    </w:pPr>
  </w:p>
  <w:p w14:paraId="3F30C70B" w14:textId="77777777" w:rsidR="00F107EF" w:rsidRPr="002F4496" w:rsidRDefault="00F107EF" w:rsidP="000C06C9">
    <w:pPr>
      <w:pStyle w:val="Kopfzeile"/>
      <w:tabs>
        <w:tab w:val="clear" w:pos="4536"/>
        <w:tab w:val="clear" w:pos="9072"/>
        <w:tab w:val="left" w:pos="8227"/>
      </w:tabs>
      <w:rPr>
        <w:lang w:val="fr-FR"/>
      </w:rPr>
    </w:pPr>
  </w:p>
  <w:p w14:paraId="4D50BC39" w14:textId="77777777" w:rsidR="00F107EF" w:rsidRPr="002F4496" w:rsidRDefault="00F107EF" w:rsidP="00583885">
    <w:pPr>
      <w:pStyle w:val="Kopfzeile"/>
      <w:jc w:val="right"/>
      <w:rPr>
        <w:lang w:val="fr-FR"/>
      </w:rPr>
    </w:pPr>
  </w:p>
  <w:p w14:paraId="2D51BEA2" w14:textId="77777777" w:rsidR="00F107EF" w:rsidRPr="002F4496" w:rsidRDefault="00F107EF">
    <w:pPr>
      <w:pStyle w:val="Kopfzeile"/>
      <w:rPr>
        <w:lang w:val="fr-FR"/>
      </w:rPr>
    </w:pPr>
  </w:p>
  <w:p w14:paraId="340B2438" w14:textId="77777777" w:rsidR="00F107EF" w:rsidRPr="002F4496" w:rsidRDefault="00F107EF">
    <w:pPr>
      <w:pStyle w:val="Kopfzeile"/>
      <w:rPr>
        <w:lang w:val="fr-FR"/>
      </w:rPr>
    </w:pPr>
  </w:p>
  <w:p w14:paraId="2A794A3E" w14:textId="77777777" w:rsidR="00F107EF" w:rsidRPr="002F4496" w:rsidRDefault="00F107EF">
    <w:pPr>
      <w:pStyle w:val="Kopfzeile"/>
      <w:rPr>
        <w:lang w:val="fr-FR"/>
      </w:rPr>
    </w:pPr>
  </w:p>
  <w:p w14:paraId="0A21F475" w14:textId="77777777" w:rsidR="00F107EF" w:rsidRPr="002F4496" w:rsidRDefault="00F107EF">
    <w:pPr>
      <w:pStyle w:val="Kopfzeile"/>
      <w:rPr>
        <w:highlight w:val="yellow"/>
        <w:lang w:val="fr-FR"/>
      </w:rPr>
    </w:pPr>
  </w:p>
  <w:p w14:paraId="53ABEE5D" w14:textId="77777777" w:rsidR="00F107EF" w:rsidRDefault="00F107EF">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BE96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 w:numId="37">
    <w:abstractNumId w:val="18"/>
    <w:lvlOverride w:ilvl="0">
      <w:startOverride w:val="1"/>
    </w:lvlOverride>
  </w:num>
  <w:num w:numId="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BAA"/>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42E"/>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44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5FA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4480"/>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218"/>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C7952"/>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ESMA70-156-2410</_dlc_DocId>
    <_dlc_DocIdUrl xmlns="20fbe147-bbda-4e53-b6b1-7e8bbff3fe19">
      <Url>https://sherpa.esma.europa.eu/sites/MKT/SMK/_layouts/15/DocIdRedir.aspx?ID=ESMA70-156-2410</Url>
      <Description>ESMA70-156-2410</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sharepoint/v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
    <ds:schemaRef ds:uri="20fbe147-bbda-4e53-b6b1-7e8bbff3fe19"/>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22AF605-01C4-40AD-B445-309EDE877F09}">
  <ds:schemaRefs>
    <ds:schemaRef ds:uri="http://schemas.openxmlformats.org/officeDocument/2006/bibliography"/>
  </ds:schemaRefs>
</ds:datastoreItem>
</file>

<file path=customXml/itemProps6.xml><?xml version="1.0" encoding="utf-8"?>
<ds:datastoreItem xmlns:ds="http://schemas.openxmlformats.org/officeDocument/2006/customXml" ds:itemID="{07B539CE-89CD-4486-8DD3-A11EEE34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2495</Words>
  <Characters>15111</Characters>
  <Application>Microsoft Office Word</Application>
  <DocSecurity>8</DocSecurity>
  <Lines>125</Lines>
  <Paragraphs>35</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17571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Kuhn, Dr. Norbert</cp:lastModifiedBy>
  <cp:revision>4</cp:revision>
  <cp:lastPrinted>2015-02-18T11:01:00Z</cp:lastPrinted>
  <dcterms:created xsi:type="dcterms:W3CDTF">2020-06-08T12:56:00Z</dcterms:created>
  <dcterms:modified xsi:type="dcterms:W3CDTF">2020-06-09T14:10:00Z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