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Fuzeile"/>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lastRenderedPageBreak/>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14:paraId="7A68491E" w14:textId="49360CAA" w:rsidR="00C2682A" w:rsidRPr="00AB6D88" w:rsidRDefault="00021AF2" w:rsidP="00FA5524">
                <w:pPr>
                  <w:rPr>
                    <w:rStyle w:val="Platzhaltertext"/>
                    <w:rFonts w:cs="Arial"/>
                  </w:rPr>
                </w:pPr>
                <w:r>
                  <w:rPr>
                    <w:rStyle w:val="Platzhaltertext"/>
                    <w:rFonts w:cs="Arial"/>
                  </w:rPr>
                  <w:t xml:space="preserve">Raiffeisen </w:t>
                </w:r>
                <w:proofErr w:type="spellStart"/>
                <w:r>
                  <w:rPr>
                    <w:rStyle w:val="Platzhaltertext"/>
                    <w:rFonts w:cs="Arial"/>
                  </w:rPr>
                  <w:t>Centrobank</w:t>
                </w:r>
                <w:proofErr w:type="spellEnd"/>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795CB31B" w:rsidR="00C2682A" w:rsidRPr="00AB6D88" w:rsidRDefault="00D7276F"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21AF2">
                  <w:rPr>
                    <w:rFonts w:cs="Arial"/>
                  </w:rPr>
                  <w:t>Banking sector</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4DF7BACC" w:rsidR="00C2682A" w:rsidRPr="00AB6D88" w:rsidRDefault="00021AF2" w:rsidP="00FA5524">
                <w:pPr>
                  <w:rPr>
                    <w:rFonts w:cs="Arial"/>
                  </w:rPr>
                </w:pPr>
                <w:r>
                  <w:rPr>
                    <w:rFonts w:cs="Arial"/>
                  </w:rPr>
                  <w:t>Austria</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6A22288E" w14:textId="77777777" w:rsidR="00F87897" w:rsidRDefault="00F87897" w:rsidP="00F87897">
      <w:permStart w:id="1454525006" w:edGrp="everyone"/>
      <w:r>
        <w:t>TYPE YOUR TEXT HERE</w:t>
      </w:r>
      <w:permEnd w:id="1454525006"/>
    </w:p>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lastRenderedPageBreak/>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4A4CF699" w14:textId="094EA860" w:rsidR="00A8728B" w:rsidRDefault="00021AF2" w:rsidP="00A8728B">
      <w:permStart w:id="1955866996" w:edGrp="everyone"/>
      <w:proofErr w:type="spellStart"/>
      <w:r>
        <w:t>n.a.</w:t>
      </w:r>
      <w:permEnd w:id="1955866996"/>
      <w:proofErr w:type="spellEnd"/>
    </w:p>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108232FE" w14:textId="7F0B7EDE" w:rsidR="00A8728B" w:rsidRDefault="00021AF2" w:rsidP="00A8728B">
      <w:permStart w:id="1066216518" w:edGrp="everyone"/>
      <w:proofErr w:type="spellStart"/>
      <w:r>
        <w:t>n.a.</w:t>
      </w:r>
      <w:permEnd w:id="1066216518"/>
      <w:proofErr w:type="spellEnd"/>
    </w:p>
    <w:p w14:paraId="6DEAF756" w14:textId="7F38DFEA" w:rsidR="00A8728B" w:rsidRDefault="00A8728B" w:rsidP="00A8728B">
      <w:r>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27C12B76" w14:textId="5D00AABF" w:rsidR="002E1760" w:rsidRDefault="00021AF2" w:rsidP="002E1760">
      <w:permStart w:id="473446270" w:edGrp="everyone"/>
      <w:proofErr w:type="spellStart"/>
      <w:r>
        <w:t>n.a.</w:t>
      </w:r>
      <w:permEnd w:id="473446270"/>
      <w:proofErr w:type="spellEnd"/>
    </w:p>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t>&lt;ESMA_QUESTION_</w:t>
      </w:r>
      <w:r w:rsidR="00227C1A">
        <w:t>CP</w:t>
      </w:r>
      <w:r w:rsidR="007254DD">
        <w:t>_MIFID_NQT</w:t>
      </w:r>
      <w:r w:rsidR="00F107EF">
        <w:t>_</w:t>
      </w:r>
      <w:r>
        <w:t>4&gt;</w:t>
      </w:r>
    </w:p>
    <w:p w14:paraId="59624478" w14:textId="77777777" w:rsidR="00021AF2" w:rsidRDefault="00021AF2" w:rsidP="00021AF2">
      <w:pPr>
        <w:jc w:val="both"/>
        <w:rPr>
          <w:rFonts w:ascii="Calibri" w:hAnsi="Calibri"/>
          <w:szCs w:val="22"/>
          <w:lang w:val="en-US" w:eastAsia="de-AT"/>
        </w:rPr>
      </w:pPr>
      <w:permStart w:id="1101743476" w:edGrp="everyone"/>
      <w:r>
        <w:rPr>
          <w:lang w:val="en-US"/>
        </w:rPr>
        <w:t xml:space="preserve">We do not see a need to replace the SSTI for SI-quoting obligations as the implementation of new thresholds results in implementation costs. In case ESMA intends to introduce a new threshold, we are of the opinion that this should not result in an increase of the quoting obligation of SI. This applies </w:t>
      </w:r>
      <w:proofErr w:type="gramStart"/>
      <w:r>
        <w:rPr>
          <w:lang w:val="en-US"/>
        </w:rPr>
        <w:t>in particular to</w:t>
      </w:r>
      <w:proofErr w:type="gramEnd"/>
      <w:r>
        <w:rPr>
          <w:lang w:val="en-US"/>
        </w:rPr>
        <w:t xml:space="preserve"> non-equity instruments such as securitized derivatives which are deemed to be per-se liquid instruments under Commission Delegated Regulation (EU) 2017/583.</w:t>
      </w:r>
    </w:p>
    <w:permEnd w:id="1101743476"/>
    <w:p w14:paraId="22440220" w14:textId="2E7C754E" w:rsidR="002E1760" w:rsidRDefault="002E1760" w:rsidP="002E1760"/>
    <w:p w14:paraId="26125AF8" w14:textId="6B643FEF" w:rsidR="002E1760" w:rsidRDefault="002E1760" w:rsidP="002E1760">
      <w:r>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t>&lt;ESMA_QUESTION_CP</w:t>
      </w:r>
      <w:r w:rsidR="007254DD">
        <w:t>_MIFID_NQT</w:t>
      </w:r>
      <w:r w:rsidR="00F107EF">
        <w:t>_</w:t>
      </w:r>
      <w:r w:rsidR="0062022D">
        <w:t>5</w:t>
      </w:r>
      <w:r>
        <w:t>&gt;</w:t>
      </w:r>
    </w:p>
    <w:p w14:paraId="5E6AA5B5" w14:textId="57A59D7B" w:rsidR="00227C1A" w:rsidRDefault="00021AF2" w:rsidP="00227C1A">
      <w:permStart w:id="1725855520" w:edGrp="everyone"/>
      <w:proofErr w:type="spellStart"/>
      <w:r>
        <w:t>n.a.</w:t>
      </w:r>
      <w:permEnd w:id="1725855520"/>
      <w:proofErr w:type="spellEnd"/>
    </w:p>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7F3F849F" w14:textId="6EB6AA50" w:rsidR="0062022D" w:rsidRDefault="00021AF2" w:rsidP="0062022D">
      <w:permStart w:id="203298670" w:edGrp="everyone"/>
      <w:proofErr w:type="spellStart"/>
      <w:r>
        <w:t>n.a.</w:t>
      </w:r>
      <w:permEnd w:id="203298670"/>
      <w:proofErr w:type="spellEnd"/>
    </w:p>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14896476" w14:textId="28788B0F" w:rsidR="00A263DF" w:rsidRDefault="00021AF2" w:rsidP="00A263DF">
      <w:permStart w:id="795872801" w:edGrp="everyone"/>
      <w:proofErr w:type="spellStart"/>
      <w:r>
        <w:t>n.a.</w:t>
      </w:r>
      <w:permEnd w:id="795872801"/>
      <w:proofErr w:type="spellEnd"/>
    </w:p>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t>&lt;ESMA_QUESTION_CP</w:t>
      </w:r>
      <w:r w:rsidR="007254DD">
        <w:t>_MIFID_NQT</w:t>
      </w:r>
      <w:r w:rsidR="00F107EF">
        <w:t>_</w:t>
      </w:r>
      <w:r w:rsidR="00C228C1">
        <w:t>8</w:t>
      </w:r>
      <w:r>
        <w:t>&gt;</w:t>
      </w:r>
    </w:p>
    <w:p w14:paraId="1386AA60" w14:textId="77777777" w:rsidR="00021AF2" w:rsidRDefault="00021AF2" w:rsidP="00021AF2">
      <w:pPr>
        <w:jc w:val="both"/>
        <w:rPr>
          <w:rFonts w:ascii="Calibri" w:hAnsi="Calibri"/>
          <w:szCs w:val="22"/>
          <w:lang w:val="en-US" w:eastAsia="de-AT"/>
        </w:rPr>
      </w:pPr>
      <w:permStart w:id="1747589383" w:edGrp="everyone"/>
      <w:r>
        <w:rPr>
          <w:lang w:val="en-US"/>
        </w:rPr>
        <w:t xml:space="preserve">Yes. However, to ensure a level playing field with trading venues ESMA must also extend the Q&amp;A on MiFID II and </w:t>
      </w:r>
      <w:proofErr w:type="spellStart"/>
      <w:r>
        <w:rPr>
          <w:lang w:val="en-US"/>
        </w:rPr>
        <w:t>MiFIR</w:t>
      </w:r>
      <w:proofErr w:type="spellEnd"/>
      <w:r>
        <w:rPr>
          <w:lang w:val="en-US"/>
        </w:rPr>
        <w:t xml:space="preserve"> transparency topics (Q&amp;A 9 a)) to SIs to ensure that information already published free of charge must not be replicated for this purpose. As of today, many SIs are publishing quotes in real time free of charge and, therefore, these SIs should not be obliged to replicate such data for this purpose.</w:t>
      </w:r>
    </w:p>
    <w:permEnd w:id="1747589383"/>
    <w:p w14:paraId="43D46422" w14:textId="3F5739AC" w:rsidR="00A263DF" w:rsidRDefault="00A263DF" w:rsidP="00A263DF"/>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t>Would you see value in further standardising the pre-trade transparency information to increase the 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1B5C745B" w14:textId="2B7B1BA7" w:rsidR="002E1760" w:rsidRDefault="007D7029" w:rsidP="002E1760">
      <w:permStart w:id="1400726192" w:edGrp="everyone"/>
      <w:r>
        <w:rPr>
          <w:lang w:val="en-US"/>
        </w:rPr>
        <w:t xml:space="preserve">No, the current legal framework is sufficiently clear and provides appropriate standards for pre-trade transparency. However, we recommend replacing ESMA guidance extending the application of Art 13 Commission Delegated Regulation (EU) 2017/567 and Art 9 Commission Delegated Regulation (EU) 2017/587 to SIs in non-equity instruments as contained in the Q&amp;A on MiFID II and </w:t>
      </w:r>
      <w:proofErr w:type="spellStart"/>
      <w:r>
        <w:rPr>
          <w:lang w:val="en-US"/>
        </w:rPr>
        <w:t>MiFIR</w:t>
      </w:r>
      <w:proofErr w:type="spellEnd"/>
      <w:r>
        <w:rPr>
          <w:lang w:val="en-US"/>
        </w:rPr>
        <w:t xml:space="preserve"> transparency topics by a Level 1 or Level 2 regulation.</w:t>
      </w:r>
      <w:permEnd w:id="1400726192"/>
    </w:p>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lastRenderedPageBreak/>
        <w:t>&lt;ESMA_QUESTION_CP</w:t>
      </w:r>
      <w:r w:rsidR="007254DD">
        <w:t>_MIFID_NQT</w:t>
      </w:r>
      <w:r w:rsidR="00F107EF">
        <w:t>_</w:t>
      </w:r>
      <w:r>
        <w:t>10&gt;</w:t>
      </w:r>
    </w:p>
    <w:p w14:paraId="7F574030" w14:textId="131B905C" w:rsidR="008418E3" w:rsidRDefault="007D7029" w:rsidP="008418E3">
      <w:permStart w:id="929114806" w:edGrp="everyone"/>
      <w:proofErr w:type="spellStart"/>
      <w:r>
        <w:t>n.a.</w:t>
      </w:r>
      <w:permEnd w:id="929114806"/>
      <w:proofErr w:type="spellEnd"/>
    </w:p>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77303C55" w14:textId="2BBB5780" w:rsidR="00F469F8" w:rsidRDefault="007D7029" w:rsidP="00F469F8">
      <w:permStart w:id="675495160" w:edGrp="everyone"/>
      <w:proofErr w:type="spellStart"/>
      <w:r>
        <w:t>n.a.</w:t>
      </w:r>
      <w:permEnd w:id="675495160"/>
      <w:proofErr w:type="spellEnd"/>
    </w:p>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t>&lt;ESMA_QUESTION_CP</w:t>
      </w:r>
      <w:r w:rsidR="007254DD">
        <w:t>_MIFID_NQT</w:t>
      </w:r>
      <w:r w:rsidR="00F107EF">
        <w:t>_</w:t>
      </w:r>
      <w:r>
        <w:t>1</w:t>
      </w:r>
      <w:r w:rsidR="002868FC">
        <w:t>2</w:t>
      </w:r>
      <w:r>
        <w:t>&gt;</w:t>
      </w:r>
    </w:p>
    <w:p w14:paraId="1B69D7E6" w14:textId="633629AD" w:rsidR="00F469F8" w:rsidRDefault="007D7029" w:rsidP="00F469F8">
      <w:permStart w:id="227761104" w:edGrp="everyone"/>
      <w:proofErr w:type="spellStart"/>
      <w:r>
        <w:t>n.a.</w:t>
      </w:r>
      <w:permEnd w:id="227761104"/>
      <w:proofErr w:type="spellEnd"/>
    </w:p>
    <w:p w14:paraId="468C5AB6" w14:textId="5D33ECBD" w:rsidR="00F469F8" w:rsidRDefault="00F469F8" w:rsidP="00F469F8">
      <w:r>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536EE512" w14:textId="56F5C6B5" w:rsidR="00646C30" w:rsidRDefault="007D7029" w:rsidP="00646C30">
      <w:permStart w:id="308116658" w:edGrp="everyone"/>
      <w:proofErr w:type="spellStart"/>
      <w:r>
        <w:t>n.a.</w:t>
      </w:r>
      <w:permEnd w:id="308116658"/>
      <w:proofErr w:type="spellEnd"/>
    </w:p>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6A257108" w14:textId="3811CABE" w:rsidR="00646C30" w:rsidRDefault="007D7029" w:rsidP="00646C30">
      <w:permStart w:id="699085938" w:edGrp="everyone"/>
      <w:proofErr w:type="spellStart"/>
      <w:r>
        <w:t>n.a.</w:t>
      </w:r>
      <w:permEnd w:id="699085938"/>
      <w:proofErr w:type="spellEnd"/>
    </w:p>
    <w:p w14:paraId="396E3E9C" w14:textId="07F3E39D" w:rsidR="00646C30" w:rsidRDefault="00646C30" w:rsidP="00646C30">
      <w:r>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lastRenderedPageBreak/>
        <w:t>&lt;ESMA_QUESTION_CP</w:t>
      </w:r>
      <w:r w:rsidR="007254DD">
        <w:t>_MIFID_NQT</w:t>
      </w:r>
      <w:r w:rsidR="00F107EF">
        <w:t>_</w:t>
      </w:r>
      <w:r>
        <w:t>1</w:t>
      </w:r>
      <w:r w:rsidR="00101BF1">
        <w:t>5</w:t>
      </w:r>
      <w:r>
        <w:t>&gt;</w:t>
      </w:r>
    </w:p>
    <w:p w14:paraId="0C11162E" w14:textId="46A6E5D1" w:rsidR="00646C30" w:rsidRDefault="007D7029" w:rsidP="00646C30">
      <w:permStart w:id="1271415520" w:edGrp="everyone"/>
      <w:proofErr w:type="spellStart"/>
      <w:r>
        <w:t>n.a.</w:t>
      </w:r>
      <w:permEnd w:id="1271415520"/>
      <w:proofErr w:type="spellEnd"/>
    </w:p>
    <w:p w14:paraId="068CA4E0" w14:textId="23D13543" w:rsidR="00646C30" w:rsidRDefault="00646C30" w:rsidP="00646C30">
      <w:r>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t>&lt;ESMA_QUESTION_CP</w:t>
      </w:r>
      <w:r w:rsidR="007254DD">
        <w:t>_MIFID_NQT</w:t>
      </w:r>
      <w:r w:rsidR="00F107EF">
        <w:t>_</w:t>
      </w:r>
      <w:r>
        <w:t>1</w:t>
      </w:r>
      <w:r w:rsidR="00101BF1">
        <w:t>6</w:t>
      </w:r>
      <w:r>
        <w:t>&gt;</w:t>
      </w:r>
    </w:p>
    <w:p w14:paraId="7AAD2035" w14:textId="5CFD63EF" w:rsidR="00646C30" w:rsidRDefault="007D7029" w:rsidP="00646C30">
      <w:permStart w:id="2130212544" w:edGrp="everyone"/>
      <w:proofErr w:type="spellStart"/>
      <w:r>
        <w:t>n.a.</w:t>
      </w:r>
      <w:permEnd w:id="2130212544"/>
      <w:proofErr w:type="spellEnd"/>
    </w:p>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1CE157B4" w14:textId="25429453" w:rsidR="00646C30" w:rsidRDefault="007D7029" w:rsidP="00646C30">
      <w:permStart w:id="96027498" w:edGrp="everyone"/>
      <w:proofErr w:type="spellStart"/>
      <w:r>
        <w:t>n.a.</w:t>
      </w:r>
      <w:permEnd w:id="96027498"/>
      <w:proofErr w:type="spellEnd"/>
    </w:p>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Which of the three options proposed, would you recommend (Option 1, Option 2 or Option 3)? In case you recommend an alternative way forward, please explain</w:t>
      </w:r>
      <w:r w:rsidR="00C228C1">
        <w:t>.</w:t>
      </w:r>
    </w:p>
    <w:p w14:paraId="7856948E" w14:textId="20BB4D2A" w:rsidR="00646C30" w:rsidRDefault="00646C30" w:rsidP="00646C30">
      <w:r>
        <w:t>&lt;ESMA_QUESTION_CP</w:t>
      </w:r>
      <w:r w:rsidR="007254DD">
        <w:t>_MIFID_NQT</w:t>
      </w:r>
      <w:r w:rsidR="00F107EF">
        <w:t>_</w:t>
      </w:r>
      <w:r>
        <w:t>1</w:t>
      </w:r>
      <w:r w:rsidR="00101BF1">
        <w:t>8</w:t>
      </w:r>
      <w:r>
        <w:t>&gt;</w:t>
      </w:r>
    </w:p>
    <w:p w14:paraId="3C7F8257" w14:textId="77777777" w:rsidR="007D7029" w:rsidRDefault="007D7029" w:rsidP="007D7029">
      <w:pPr>
        <w:jc w:val="both"/>
        <w:rPr>
          <w:rFonts w:ascii="Calibri" w:hAnsi="Calibri"/>
          <w:szCs w:val="22"/>
          <w:lang w:val="en-US" w:eastAsia="de-AT"/>
        </w:rPr>
      </w:pPr>
      <w:permStart w:id="70923797" w:edGrp="everyone"/>
      <w:r>
        <w:rPr>
          <w:lang w:val="en-US"/>
        </w:rPr>
        <w:t xml:space="preserve">We recommend maintaining the current regulatory framework (Option 1) as the ESMA opinion on TOTV for OTC-derivatives provides legal certainty and we do not see a lack of transparency which would require regulatory intervention. </w:t>
      </w:r>
    </w:p>
    <w:p w14:paraId="09032C91" w14:textId="77777777" w:rsidR="00D7276F" w:rsidRDefault="00D7276F" w:rsidP="007D7029">
      <w:pPr>
        <w:jc w:val="both"/>
        <w:rPr>
          <w:lang w:val="en-US"/>
        </w:rPr>
      </w:pPr>
    </w:p>
    <w:p w14:paraId="02B81A74" w14:textId="007AFB31" w:rsidR="007D7029" w:rsidRDefault="007D7029" w:rsidP="007D7029">
      <w:pPr>
        <w:jc w:val="both"/>
        <w:rPr>
          <w:lang w:val="en-US"/>
        </w:rPr>
      </w:pPr>
      <w:bookmarkStart w:id="3" w:name="_GoBack"/>
      <w:bookmarkEnd w:id="3"/>
      <w:r>
        <w:rPr>
          <w:lang w:val="en-US"/>
        </w:rPr>
        <w:t>In our opinion, ESMA should not pursue the other two options. Option 2 increases the level of complexity for identifying reportable OTC derivatives and result in considerable implementation costs. Option 3 extends the scope of reportable OTC derivatives also to not standardized derivatives serving specific needs of the counterparties. As these not standardized derivatives usually do not share the features of TOTV derivatives and we do not see any benefit in applying post-trade reporting obligations to such instruments.</w:t>
      </w:r>
    </w:p>
    <w:permEnd w:id="70923797"/>
    <w:p w14:paraId="2C8E07E5" w14:textId="53502C3E" w:rsidR="00646C30" w:rsidRDefault="00646C30" w:rsidP="00646C30"/>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t>What is your view on the proposal to delete the possibility for temporarily suspending the transparency provisions? Please explain</w:t>
      </w:r>
      <w:r w:rsidR="00292E82">
        <w:t>.</w:t>
      </w:r>
    </w:p>
    <w:p w14:paraId="1FEAC5A1" w14:textId="1B880F8C" w:rsidR="00646C30" w:rsidRDefault="00646C30" w:rsidP="00646C30">
      <w:r>
        <w:t>&lt;ESMA_QUESTION_CP</w:t>
      </w:r>
      <w:r w:rsidR="007254DD">
        <w:t>_MIFID_NQT</w:t>
      </w:r>
      <w:r w:rsidR="00F107EF">
        <w:t>_</w:t>
      </w:r>
      <w:r>
        <w:t>1</w:t>
      </w:r>
      <w:r w:rsidR="00101BF1">
        <w:t>9</w:t>
      </w:r>
      <w:r>
        <w:t>&gt;</w:t>
      </w:r>
    </w:p>
    <w:p w14:paraId="0CAC7740" w14:textId="1BD41A82" w:rsidR="00646C30" w:rsidRDefault="007D7029" w:rsidP="00646C30">
      <w:permStart w:id="1628391240" w:edGrp="everyone"/>
      <w:proofErr w:type="spellStart"/>
      <w:r>
        <w:rPr>
          <w:lang w:val="en-US"/>
        </w:rPr>
        <w:t>n.a</w:t>
      </w:r>
      <w:r>
        <w:rPr>
          <w:lang w:val="en-US"/>
        </w:rPr>
        <w:t>.</w:t>
      </w:r>
      <w:permEnd w:id="1628391240"/>
      <w:proofErr w:type="spellEnd"/>
    </w:p>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t>&lt;ESMA_QUESTION_CP</w:t>
      </w:r>
      <w:r w:rsidR="007254DD">
        <w:t>_MIFID_NQT</w:t>
      </w:r>
      <w:r w:rsidR="00F107EF">
        <w:t>_</w:t>
      </w:r>
      <w:r w:rsidR="00101BF1">
        <w:t>20</w:t>
      </w:r>
      <w:r>
        <w:t>&gt;</w:t>
      </w:r>
    </w:p>
    <w:p w14:paraId="2BF6DC09" w14:textId="0EB8DA3D" w:rsidR="001129F9" w:rsidRDefault="007D7029" w:rsidP="001129F9">
      <w:permStart w:id="951131482" w:edGrp="everyone"/>
      <w:proofErr w:type="spellStart"/>
      <w:r>
        <w:t>n.a.</w:t>
      </w:r>
      <w:permEnd w:id="951131482"/>
      <w:proofErr w:type="spellEnd"/>
    </w:p>
    <w:p w14:paraId="12CBBA0F" w14:textId="66955629" w:rsidR="00646C30" w:rsidRDefault="00646C30" w:rsidP="00646C30">
      <w:r>
        <w:lastRenderedPageBreak/>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t>&lt;ESMA_QUESTION_CP</w:t>
      </w:r>
      <w:r w:rsidR="007254DD">
        <w:t>_MIFID_NQT</w:t>
      </w:r>
      <w:r w:rsidR="00F107EF">
        <w:t>_</w:t>
      </w:r>
      <w:r w:rsidR="00101BF1">
        <w:t>21</w:t>
      </w:r>
      <w:r>
        <w:t>&gt;</w:t>
      </w:r>
    </w:p>
    <w:p w14:paraId="13C7FEA6" w14:textId="25491A19" w:rsidR="00646C30" w:rsidRDefault="00D7276F" w:rsidP="00646C30">
      <w:permStart w:id="37382354" w:edGrp="everyone"/>
      <w:proofErr w:type="spellStart"/>
      <w:r>
        <w:t>n.a.</w:t>
      </w:r>
      <w:permEnd w:id="37382354"/>
      <w:proofErr w:type="spellEnd"/>
    </w:p>
    <w:p w14:paraId="7A80D189" w14:textId="4CE6CE8E" w:rsidR="00646C30" w:rsidRDefault="00646C30" w:rsidP="00646C30">
      <w:r>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7F090863" w14:textId="0BB115C4" w:rsidR="00646C30" w:rsidRDefault="00D7276F" w:rsidP="00646C30">
      <w:permStart w:id="71373738" w:edGrp="everyone"/>
      <w:proofErr w:type="spellStart"/>
      <w:r>
        <w:t>n.a.</w:t>
      </w:r>
      <w:permEnd w:id="71373738"/>
      <w:proofErr w:type="spellEnd"/>
    </w:p>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51834EC7" w14:textId="2E69F79F" w:rsidR="00646C30" w:rsidRDefault="00D7276F" w:rsidP="00646C30">
      <w:permStart w:id="2102155623" w:edGrp="everyone"/>
      <w:proofErr w:type="spellStart"/>
      <w:r>
        <w:t>n.a.</w:t>
      </w:r>
      <w:permEnd w:id="2102155623"/>
      <w:proofErr w:type="spellEnd"/>
    </w:p>
    <w:p w14:paraId="35720AF9" w14:textId="027E6B1A" w:rsidR="00646C30" w:rsidRDefault="00646C30" w:rsidP="00646C30">
      <w:r>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t>Do you have any views on the functioning of the register? Please explain</w:t>
      </w:r>
      <w:r w:rsidR="001138E8">
        <w:t>.</w:t>
      </w:r>
    </w:p>
    <w:p w14:paraId="5244CE44" w14:textId="03F4A256" w:rsidR="00646C30" w:rsidRDefault="00646C30" w:rsidP="00646C30">
      <w:r>
        <w:t>&lt;ESMA_QUESTION_CP</w:t>
      </w:r>
      <w:r w:rsidR="007254DD">
        <w:t>_MIFID_NQT</w:t>
      </w:r>
      <w:r w:rsidR="00F107EF">
        <w:t>_</w:t>
      </w:r>
      <w:r w:rsidR="00101BF1">
        <w:t>24</w:t>
      </w:r>
      <w:r>
        <w:t>&gt;</w:t>
      </w:r>
    </w:p>
    <w:p w14:paraId="34A9DFDE" w14:textId="7A533894" w:rsidR="00646C30" w:rsidRDefault="00D7276F" w:rsidP="00646C30">
      <w:permStart w:id="160242055" w:edGrp="everyone"/>
      <w:proofErr w:type="spellStart"/>
      <w:r>
        <w:t>n.a.</w:t>
      </w:r>
      <w:permEnd w:id="160242055"/>
      <w:proofErr w:type="spellEnd"/>
    </w:p>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3D6B6F67" w14:textId="3215B278" w:rsidR="00646C30" w:rsidRDefault="00D7276F" w:rsidP="00646C30">
      <w:permStart w:id="203690501" w:edGrp="everyone"/>
      <w:proofErr w:type="spellStart"/>
      <w:r>
        <w:t>n.a.</w:t>
      </w:r>
      <w:permEnd w:id="203690501"/>
      <w:proofErr w:type="spellEnd"/>
    </w:p>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lastRenderedPageBreak/>
        <w:t>&lt;ESMA_QUESTION_CP</w:t>
      </w:r>
      <w:r w:rsidR="007254DD">
        <w:t>_MIFID_NQT</w:t>
      </w:r>
      <w:r w:rsidR="00F107EF">
        <w:t>_</w:t>
      </w:r>
      <w:r w:rsidR="00101BF1">
        <w:t>26</w:t>
      </w:r>
      <w:r>
        <w:t>&gt;</w:t>
      </w:r>
    </w:p>
    <w:p w14:paraId="00430256" w14:textId="74F871F1" w:rsidR="00646C30" w:rsidRDefault="00D7276F" w:rsidP="00646C30">
      <w:permStart w:id="1935441367" w:edGrp="everyone"/>
      <w:proofErr w:type="spellStart"/>
      <w:r>
        <w:t>n.a.</w:t>
      </w:r>
      <w:permEnd w:id="1935441367"/>
      <w:proofErr w:type="spellEnd"/>
    </w:p>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t>&lt;ESMA_QUESTION_CP</w:t>
      </w:r>
      <w:r w:rsidR="007254DD">
        <w:t>_MIFID_NQT</w:t>
      </w:r>
      <w:r w:rsidR="00F107EF">
        <w:t>_</w:t>
      </w:r>
      <w:r w:rsidR="00101BF1">
        <w:t>27</w:t>
      </w:r>
      <w:r>
        <w:t>&gt;</w:t>
      </w:r>
    </w:p>
    <w:p w14:paraId="07059944" w14:textId="1BD44DF8" w:rsidR="00646C30" w:rsidRDefault="00D7276F" w:rsidP="00646C30">
      <w:permStart w:id="1284132493" w:edGrp="everyone"/>
      <w:proofErr w:type="spellStart"/>
      <w:r>
        <w:t>n.a.</w:t>
      </w:r>
      <w:permEnd w:id="1284132493"/>
      <w:proofErr w:type="spellEnd"/>
    </w:p>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15305155" w14:textId="79DBDDF5" w:rsidR="00646C30" w:rsidRDefault="00D7276F" w:rsidP="00646C30">
      <w:permStart w:id="1735202609" w:edGrp="everyone"/>
      <w:proofErr w:type="spellStart"/>
      <w:r>
        <w:t>n.a.</w:t>
      </w:r>
      <w:permEnd w:id="1735202609"/>
      <w:proofErr w:type="spellEnd"/>
    </w:p>
    <w:p w14:paraId="79ACDE07" w14:textId="6C439D4C" w:rsidR="00646C30" w:rsidRDefault="00646C30" w:rsidP="00646C30">
      <w:r>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0E557F14" w14:textId="45FD2517" w:rsidR="00646C30" w:rsidRDefault="00D7276F" w:rsidP="00646C30">
      <w:permStart w:id="1113393043" w:edGrp="everyone"/>
      <w:proofErr w:type="spellStart"/>
      <w:r>
        <w:t>n.a.</w:t>
      </w:r>
      <w:permEnd w:id="1113393043"/>
      <w:proofErr w:type="spellEnd"/>
    </w:p>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t>&lt;ESMA_QUESTION_CP</w:t>
      </w:r>
      <w:r w:rsidR="007254DD">
        <w:t>_MIFID_NQT</w:t>
      </w:r>
      <w:r w:rsidR="00F107EF">
        <w:t>_</w:t>
      </w:r>
      <w:r w:rsidR="00101BF1">
        <w:t>30</w:t>
      </w:r>
      <w:r>
        <w:t>&gt;</w:t>
      </w:r>
    </w:p>
    <w:p w14:paraId="0FB3DBAF" w14:textId="71469D8C" w:rsidR="00646C30" w:rsidRDefault="00D7276F" w:rsidP="00646C30">
      <w:permStart w:id="547110296" w:edGrp="everyone"/>
      <w:proofErr w:type="spellStart"/>
      <w:r>
        <w:t>n.a.</w:t>
      </w:r>
      <w:permEnd w:id="547110296"/>
      <w:proofErr w:type="spellEnd"/>
    </w:p>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 xml:space="preserve">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w:t>
      </w:r>
      <w:r w:rsidRPr="00B27E7B">
        <w:lastRenderedPageBreak/>
        <w:t>metric for the liquidity criteria)? Please justify your views and proposals with quantitative elements where available</w:t>
      </w:r>
      <w:r>
        <w:t>.</w:t>
      </w:r>
    </w:p>
    <w:p w14:paraId="06D29F86" w14:textId="06D8E075" w:rsidR="00B27E7B" w:rsidRDefault="00B27E7B" w:rsidP="00B27E7B">
      <w:r>
        <w:t>&lt;ESMA_QUESTION_CP_MIFID_NQT_31&gt;</w:t>
      </w:r>
    </w:p>
    <w:p w14:paraId="593E91E6" w14:textId="48BD9239" w:rsidR="00B27E7B" w:rsidRDefault="00D7276F" w:rsidP="00B27E7B">
      <w:permStart w:id="1615734835" w:edGrp="everyone"/>
      <w:proofErr w:type="spellStart"/>
      <w:r>
        <w:t>n.a.</w:t>
      </w:r>
      <w:permEnd w:id="1615734835"/>
      <w:proofErr w:type="spellEnd"/>
    </w:p>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819E2" w14:textId="77777777" w:rsidR="00047350" w:rsidRDefault="00047350">
      <w:r>
        <w:separator/>
      </w:r>
    </w:p>
    <w:p w14:paraId="36D5B02B" w14:textId="77777777" w:rsidR="00047350" w:rsidRDefault="00047350"/>
  </w:endnote>
  <w:endnote w:type="continuationSeparator" w:id="0">
    <w:p w14:paraId="6F308D14" w14:textId="77777777" w:rsidR="00047350" w:rsidRDefault="00047350">
      <w:r>
        <w:continuationSeparator/>
      </w:r>
    </w:p>
    <w:p w14:paraId="34A13672" w14:textId="77777777" w:rsidR="00047350" w:rsidRDefault="00047350"/>
  </w:endnote>
  <w:endnote w:type="continuationNotice" w:id="1">
    <w:p w14:paraId="0735500C" w14:textId="77777777" w:rsidR="00047350" w:rsidRDefault="00047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B61CD3" w:rsidRDefault="00B61CD3" w:rsidP="00B61CD3">
    <w:pPr>
      <w:pStyle w:val="Fuzeil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F107EF" w:rsidRDefault="00F107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75FDD" w14:textId="77777777" w:rsidR="00047350" w:rsidRDefault="00047350">
      <w:r>
        <w:separator/>
      </w:r>
    </w:p>
    <w:p w14:paraId="17954807" w14:textId="77777777" w:rsidR="00047350" w:rsidRDefault="00047350"/>
  </w:footnote>
  <w:footnote w:type="continuationSeparator" w:id="0">
    <w:p w14:paraId="6B62BF90" w14:textId="77777777" w:rsidR="00047350" w:rsidRDefault="00047350">
      <w:r>
        <w:continuationSeparator/>
      </w:r>
    </w:p>
    <w:p w14:paraId="465BF8F0" w14:textId="77777777" w:rsidR="00047350" w:rsidRDefault="00047350"/>
  </w:footnote>
  <w:footnote w:type="continuationNotice" w:id="1">
    <w:p w14:paraId="6881F32D" w14:textId="77777777" w:rsidR="00047350" w:rsidRDefault="00047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F107EF" w:rsidRDefault="00F107EF">
    <w:pPr>
      <w:pStyle w:val="Kopfzeile"/>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916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F107EF" w:rsidRDefault="00F107EF" w:rsidP="00013CCE">
    <w:pPr>
      <w:pStyle w:val="Kopfzeile"/>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Kopfzeile"/>
      <w:rPr>
        <w:lang w:val="fr-FR"/>
      </w:rPr>
    </w:pPr>
  </w:p>
  <w:p w14:paraId="3F30C70B" w14:textId="77777777" w:rsidR="00F107EF" w:rsidRPr="002F4496" w:rsidRDefault="00F107EF" w:rsidP="000C06C9">
    <w:pPr>
      <w:pStyle w:val="Kopfzeile"/>
      <w:tabs>
        <w:tab w:val="clear" w:pos="4536"/>
        <w:tab w:val="clear" w:pos="9072"/>
        <w:tab w:val="left" w:pos="8227"/>
      </w:tabs>
      <w:rPr>
        <w:lang w:val="fr-FR"/>
      </w:rPr>
    </w:pPr>
  </w:p>
  <w:p w14:paraId="4D50BC39" w14:textId="77777777" w:rsidR="00F107EF" w:rsidRPr="002F4496" w:rsidRDefault="00F107EF" w:rsidP="00583885">
    <w:pPr>
      <w:pStyle w:val="Kopfzeile"/>
      <w:jc w:val="right"/>
      <w:rPr>
        <w:lang w:val="fr-FR"/>
      </w:rPr>
    </w:pPr>
  </w:p>
  <w:p w14:paraId="2D51BEA2" w14:textId="77777777" w:rsidR="00F107EF" w:rsidRPr="002F4496" w:rsidRDefault="00F107EF">
    <w:pPr>
      <w:pStyle w:val="Kopfzeile"/>
      <w:rPr>
        <w:lang w:val="fr-FR"/>
      </w:rPr>
    </w:pPr>
  </w:p>
  <w:p w14:paraId="340B2438" w14:textId="77777777" w:rsidR="00F107EF" w:rsidRPr="002F4496" w:rsidRDefault="00F107EF">
    <w:pPr>
      <w:pStyle w:val="Kopfzeile"/>
      <w:rPr>
        <w:lang w:val="fr-FR"/>
      </w:rPr>
    </w:pPr>
  </w:p>
  <w:p w14:paraId="2A794A3E" w14:textId="77777777" w:rsidR="00F107EF" w:rsidRPr="002F4496" w:rsidRDefault="00F107EF">
    <w:pPr>
      <w:pStyle w:val="Kopfzeile"/>
      <w:rPr>
        <w:lang w:val="fr-FR"/>
      </w:rPr>
    </w:pPr>
  </w:p>
  <w:p w14:paraId="0A21F475" w14:textId="77777777" w:rsidR="00F107EF" w:rsidRPr="002F4496" w:rsidRDefault="00F107EF">
    <w:pPr>
      <w:pStyle w:val="Kopfzeile"/>
      <w:rPr>
        <w:highlight w:val="yellow"/>
        <w:lang w:val="fr-FR"/>
      </w:rPr>
    </w:pPr>
  </w:p>
  <w:p w14:paraId="53ABEE5D" w14:textId="77777777" w:rsidR="00F107EF" w:rsidRDefault="00F107EF">
    <w:pPr>
      <w:pStyle w:val="Kopfzeile"/>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E968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 w:numId="37">
    <w:abstractNumId w:val="18"/>
    <w:lvlOverride w:ilvl="0">
      <w:startOverride w:val="1"/>
    </w:lvlOverride>
  </w:num>
  <w:num w:numId="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AF2"/>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4C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F8F"/>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3F"/>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D7029"/>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7D"/>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332"/>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276F"/>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40">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25452697">
      <w:bodyDiv w:val="1"/>
      <w:marLeft w:val="0"/>
      <w:marRight w:val="0"/>
      <w:marTop w:val="0"/>
      <w:marBottom w:val="0"/>
      <w:divBdr>
        <w:top w:val="none" w:sz="0" w:space="0" w:color="auto"/>
        <w:left w:val="none" w:sz="0" w:space="0" w:color="auto"/>
        <w:bottom w:val="none" w:sz="0" w:space="0" w:color="auto"/>
        <w:right w:val="none" w:sz="0" w:space="0" w:color="auto"/>
      </w:divBdr>
    </w:div>
    <w:div w:id="26176676">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17142798">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42355640">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ESMA70-156-2410</_dlc_DocId>
    <_dlc_DocIdUrl xmlns="20fbe147-bbda-4e53-b6b1-7e8bbff3fe19">
      <Url>https://sherpa.esma.europa.eu/sites/MKT/SMK/_layouts/15/DocIdRedir.aspx?ID=ESMA70-156-2410</Url>
      <Description>ESMA70-156-2410</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7C169-B082-42D7-95A8-39DCDC7C43D3}">
  <ds:schemaRefs>
    <ds:schemaRef ds:uri="http://schemas.microsoft.com/sharepoint/v3"/>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20fbe147-bbda-4e53-b6b1-7e8bbff3fe19"/>
    <ds:schemaRef ds:uri="http://schemas.openxmlformats.org/package/2006/metadata/core-properties"/>
    <ds:schemaRef ds:uri="http://schemas.microsoft.com/sharepoint/v4"/>
    <ds:schemaRef ds:uri="http://www.w3.org/XML/1998/namespace"/>
  </ds:schemaRefs>
</ds:datastoreItem>
</file>

<file path=customXml/itemProps5.xml><?xml version="1.0" encoding="utf-8"?>
<ds:datastoreItem xmlns:ds="http://schemas.openxmlformats.org/officeDocument/2006/customXml" ds:itemID="{1B4CF570-24E4-4C16-93A5-81F0A15858FF}">
  <ds:schemaRefs>
    <ds:schemaRef ds:uri="http://schemas.openxmlformats.org/officeDocument/2006/bibliography"/>
  </ds:schemaRefs>
</ds:datastoreItem>
</file>

<file path=customXml/itemProps6.xml><?xml version="1.0" encoding="utf-8"?>
<ds:datastoreItem xmlns:ds="http://schemas.openxmlformats.org/officeDocument/2006/customXml" ds:itemID="{6AFD2492-D789-409C-9A56-099C48781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FC036481.dotm</Template>
  <TotalTime>0</TotalTime>
  <Pages>11</Pages>
  <Words>1988</Words>
  <Characters>12203</Characters>
  <Application>Microsoft Office Word</Application>
  <DocSecurity>8</DocSecurity>
  <Lines>101</Lines>
  <Paragraphs>28</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14163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Levicka Veronika</cp:lastModifiedBy>
  <cp:revision>5</cp:revision>
  <cp:lastPrinted>2015-02-18T11:01:00Z</cp:lastPrinted>
  <dcterms:created xsi:type="dcterms:W3CDTF">2020-04-14T15:32:00Z</dcterms:created>
  <dcterms:modified xsi:type="dcterms:W3CDTF">2020-04-14T15:41:00Z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