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Sidfot"/>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Rubri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shllartext"/>
              <w:rFonts w:cs="Arial"/>
            </w:rPr>
            <w:id w:val="651570699"/>
            <w:text/>
          </w:sdtPr>
          <w:sdtEndPr>
            <w:rPr>
              <w:rStyle w:val="Platshllartext"/>
            </w:rPr>
          </w:sdtEndPr>
          <w:sdtContent>
            <w:tc>
              <w:tcPr>
                <w:tcW w:w="5595" w:type="dxa"/>
                <w:shd w:val="clear" w:color="auto" w:fill="auto"/>
              </w:tcPr>
              <w:p w14:paraId="7A68491E" w14:textId="598F6DDF" w:rsidR="00C2682A" w:rsidRPr="00AB6D88" w:rsidRDefault="0097030E" w:rsidP="00FA5524">
                <w:pPr>
                  <w:rPr>
                    <w:rStyle w:val="Platshllartext"/>
                    <w:rFonts w:cs="Arial"/>
                  </w:rPr>
                </w:pPr>
                <w:r>
                  <w:rPr>
                    <w:rStyle w:val="Platshllartext"/>
                    <w:rFonts w:cs="Arial"/>
                  </w:rPr>
                  <w:t>Lannebo Fonder AB</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CDB6EC7" w:rsidR="00C2682A" w:rsidRPr="00AB6D88" w:rsidRDefault="00A8013B"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7030E">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562A0653" w:rsidR="00C2682A" w:rsidRPr="00AB6D88" w:rsidRDefault="0097030E"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281232E" w:rsidR="00C2682A" w:rsidRPr="00AB6D88" w:rsidRDefault="0097030E" w:rsidP="00FA5524">
                <w:pPr>
                  <w:rPr>
                    <w:rFonts w:cs="Arial"/>
                  </w:rPr>
                </w:pPr>
                <w:r>
                  <w:rPr>
                    <w:rFonts w:cs="Arial"/>
                  </w:rPr>
                  <w:t>Sweden</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Rubrik1"/>
        <w:numPr>
          <w:ilvl w:val="0"/>
          <w:numId w:val="0"/>
        </w:numPr>
        <w:ind w:left="431" w:hanging="431"/>
      </w:pPr>
      <w:r>
        <w:t>Introduction</w:t>
      </w:r>
    </w:p>
    <w:p w14:paraId="0A354328" w14:textId="77777777" w:rsidR="00F87897" w:rsidRPr="001D47A5" w:rsidRDefault="00F87897" w:rsidP="00F87897">
      <w:pPr>
        <w:rPr>
          <w:rStyle w:val="Starkbetoning"/>
        </w:rPr>
      </w:pPr>
      <w:r w:rsidRPr="001D47A5">
        <w:rPr>
          <w:rStyle w:val="Starkbetoning"/>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269E7078" w14:textId="1FC24C15" w:rsidR="00E9607F" w:rsidRDefault="00E9607F" w:rsidP="00E9607F">
      <w:pPr>
        <w:rPr>
          <w:lang w:val="en-US"/>
        </w:rPr>
      </w:pPr>
      <w:permStart w:id="1454525006" w:edGrp="everyone"/>
      <w:r>
        <w:rPr>
          <w:lang w:val="en-US"/>
        </w:rPr>
        <w:t>Lannebo Fonder AB (“Lannebo</w:t>
      </w:r>
      <w:r w:rsidR="00A649E4">
        <w:rPr>
          <w:lang w:val="en-US"/>
        </w:rPr>
        <w:t>”</w:t>
      </w:r>
      <w:r>
        <w:rPr>
          <w:lang w:val="en-US"/>
        </w:rPr>
        <w:t xml:space="preserve">) is one of Sweden’s largest independent asset management firms. Lannebo manages equity and corporate bond funds as well as balanced funds </w:t>
      </w:r>
      <w:r w:rsidR="0096584E">
        <w:rPr>
          <w:lang w:val="en-US"/>
        </w:rPr>
        <w:t xml:space="preserve">with </w:t>
      </w:r>
      <w:r w:rsidR="00AE55F0">
        <w:rPr>
          <w:lang w:val="en-US"/>
        </w:rPr>
        <w:t xml:space="preserve">a </w:t>
      </w:r>
      <w:proofErr w:type="gramStart"/>
      <w:r w:rsidR="00AE55F0">
        <w:rPr>
          <w:lang w:val="en-US"/>
        </w:rPr>
        <w:t xml:space="preserve">particular </w:t>
      </w:r>
      <w:r w:rsidR="0096584E">
        <w:rPr>
          <w:lang w:val="en-US"/>
        </w:rPr>
        <w:t>focus</w:t>
      </w:r>
      <w:proofErr w:type="gramEnd"/>
      <w:r>
        <w:rPr>
          <w:lang w:val="en-US"/>
        </w:rPr>
        <w:t xml:space="preserve"> on the Nordic </w:t>
      </w:r>
      <w:r w:rsidR="0096584E">
        <w:rPr>
          <w:lang w:val="en-US"/>
        </w:rPr>
        <w:t>markets</w:t>
      </w:r>
      <w:r>
        <w:rPr>
          <w:lang w:val="en-US"/>
        </w:rPr>
        <w:t xml:space="preserve">. </w:t>
      </w:r>
      <w:r w:rsidR="00A3265B">
        <w:rPr>
          <w:lang w:val="en-US"/>
        </w:rPr>
        <w:t xml:space="preserve">In total Lannebo </w:t>
      </w:r>
      <w:r w:rsidR="00090C1B">
        <w:rPr>
          <w:lang w:val="en-US"/>
        </w:rPr>
        <w:t>manages</w:t>
      </w:r>
      <w:r w:rsidR="00A3265B">
        <w:rPr>
          <w:lang w:val="en-US"/>
        </w:rPr>
        <w:t>19 UCITS and AIFs.</w:t>
      </w:r>
    </w:p>
    <w:p w14:paraId="274D6BCF" w14:textId="77777777" w:rsidR="00E9607F" w:rsidRDefault="00E9607F" w:rsidP="00E9607F">
      <w:pPr>
        <w:rPr>
          <w:lang w:val="en-US"/>
        </w:rPr>
      </w:pPr>
    </w:p>
    <w:p w14:paraId="602DB139" w14:textId="1A9C1B6F" w:rsidR="00E9607F" w:rsidRDefault="00E9607F" w:rsidP="00E9607F">
      <w:pPr>
        <w:rPr>
          <w:lang w:val="en-US"/>
        </w:rPr>
      </w:pPr>
      <w:r>
        <w:rPr>
          <w:lang w:val="en-US"/>
        </w:rPr>
        <w:t>Lannebo has</w:t>
      </w:r>
      <w:r w:rsidRPr="00DD567D">
        <w:rPr>
          <w:lang w:val="en-US"/>
        </w:rPr>
        <w:t xml:space="preserve"> for many years been a</w:t>
      </w:r>
      <w:r>
        <w:rPr>
          <w:lang w:val="en-US"/>
        </w:rPr>
        <w:t>n</w:t>
      </w:r>
      <w:r w:rsidRPr="00DD567D">
        <w:rPr>
          <w:lang w:val="en-US"/>
        </w:rPr>
        <w:t xml:space="preserve"> advocate for increased</w:t>
      </w:r>
      <w:r>
        <w:rPr>
          <w:lang w:val="en-US"/>
        </w:rPr>
        <w:t xml:space="preserve"> transparency in the corporate bond market. Lannebo thinks that increased transparency would lead to better functioning markets</w:t>
      </w:r>
      <w:r w:rsidR="0096584E">
        <w:rPr>
          <w:lang w:val="en-US"/>
        </w:rPr>
        <w:t xml:space="preserve"> which would</w:t>
      </w:r>
      <w:r>
        <w:rPr>
          <w:lang w:val="en-US"/>
        </w:rPr>
        <w:t xml:space="preserve"> benefit both investors and issuers</w:t>
      </w:r>
      <w:r w:rsidR="003E6B47">
        <w:rPr>
          <w:lang w:val="en-US"/>
        </w:rPr>
        <w:t xml:space="preserve">, </w:t>
      </w:r>
      <w:r>
        <w:rPr>
          <w:lang w:val="en-US"/>
        </w:rPr>
        <w:t>the real economy</w:t>
      </w:r>
      <w:r w:rsidR="008C33B5">
        <w:rPr>
          <w:lang w:val="en-US"/>
        </w:rPr>
        <w:t xml:space="preserve"> </w:t>
      </w:r>
      <w:proofErr w:type="gramStart"/>
      <w:r w:rsidR="008C33B5">
        <w:rPr>
          <w:lang w:val="en-US"/>
        </w:rPr>
        <w:t xml:space="preserve">and </w:t>
      </w:r>
      <w:r w:rsidR="00A3265B">
        <w:rPr>
          <w:lang w:val="en-US"/>
        </w:rPr>
        <w:t>also</w:t>
      </w:r>
      <w:proofErr w:type="gramEnd"/>
      <w:r w:rsidR="00A3265B">
        <w:rPr>
          <w:lang w:val="en-US"/>
        </w:rPr>
        <w:t xml:space="preserve"> </w:t>
      </w:r>
      <w:r w:rsidR="008C33B5">
        <w:rPr>
          <w:lang w:val="en-US"/>
        </w:rPr>
        <w:t>financial stability</w:t>
      </w:r>
      <w:r>
        <w:rPr>
          <w:lang w:val="en-US"/>
        </w:rPr>
        <w:t xml:space="preserve">. </w:t>
      </w:r>
    </w:p>
    <w:p w14:paraId="53F4CD6B" w14:textId="77777777" w:rsidR="00E9607F" w:rsidRDefault="00E9607F" w:rsidP="00E9607F">
      <w:pPr>
        <w:rPr>
          <w:lang w:val="en-US"/>
        </w:rPr>
      </w:pPr>
    </w:p>
    <w:p w14:paraId="7179696B" w14:textId="516CF57D" w:rsidR="00E9607F" w:rsidRDefault="00E9607F" w:rsidP="00E9607F">
      <w:pPr>
        <w:rPr>
          <w:lang w:val="en-US"/>
        </w:rPr>
      </w:pPr>
      <w:r w:rsidRPr="00C70657">
        <w:rPr>
          <w:lang w:val="en-US"/>
        </w:rPr>
        <w:t xml:space="preserve">The introduction of the MiFID </w:t>
      </w:r>
      <w:r w:rsidR="00A8013B">
        <w:rPr>
          <w:lang w:val="en-US"/>
        </w:rPr>
        <w:t>II</w:t>
      </w:r>
      <w:r>
        <w:rPr>
          <w:lang w:val="en-US"/>
        </w:rPr>
        <w:t>/</w:t>
      </w:r>
      <w:proofErr w:type="spellStart"/>
      <w:r>
        <w:rPr>
          <w:lang w:val="en-US"/>
        </w:rPr>
        <w:t>MiFIR</w:t>
      </w:r>
      <w:proofErr w:type="spellEnd"/>
      <w:r>
        <w:rPr>
          <w:lang w:val="en-US"/>
        </w:rPr>
        <w:t xml:space="preserve"> transparency regime has yet resulted in reduced transparency</w:t>
      </w:r>
      <w:r w:rsidR="00A3265B">
        <w:rPr>
          <w:lang w:val="en-US"/>
        </w:rPr>
        <w:t>, at least</w:t>
      </w:r>
      <w:r>
        <w:rPr>
          <w:lang w:val="en-US"/>
        </w:rPr>
        <w:t xml:space="preserve"> in the Swedish corporate bond market. </w:t>
      </w:r>
    </w:p>
    <w:p w14:paraId="59CE2F1F" w14:textId="77777777" w:rsidR="00E9607F" w:rsidRDefault="00E9607F" w:rsidP="00E9607F">
      <w:pPr>
        <w:rPr>
          <w:lang w:val="en-US"/>
        </w:rPr>
      </w:pPr>
    </w:p>
    <w:p w14:paraId="55F29ED6" w14:textId="5315151F" w:rsidR="00E9607F" w:rsidRDefault="00E9607F" w:rsidP="00E9607F">
      <w:pPr>
        <w:rPr>
          <w:lang w:val="en-US"/>
        </w:rPr>
      </w:pPr>
      <w:r>
        <w:rPr>
          <w:lang w:val="en-US"/>
        </w:rPr>
        <w:t xml:space="preserve">At the same time the Swedish corporate bond market has undergone a </w:t>
      </w:r>
      <w:r w:rsidR="0096584E">
        <w:rPr>
          <w:lang w:val="en-US"/>
        </w:rPr>
        <w:t xml:space="preserve">quite </w:t>
      </w:r>
      <w:r>
        <w:rPr>
          <w:lang w:val="en-US"/>
        </w:rPr>
        <w:t xml:space="preserve">significant growth, mainly </w:t>
      </w:r>
      <w:r w:rsidR="0096584E">
        <w:rPr>
          <w:lang w:val="en-US"/>
        </w:rPr>
        <w:t>driven</w:t>
      </w:r>
      <w:r>
        <w:rPr>
          <w:lang w:val="en-US"/>
        </w:rPr>
        <w:t xml:space="preserve"> by </w:t>
      </w:r>
      <w:r w:rsidRPr="00191C57">
        <w:rPr>
          <w:lang w:val="en-US"/>
        </w:rPr>
        <w:t xml:space="preserve">the </w:t>
      </w:r>
      <w:r>
        <w:rPr>
          <w:lang w:val="en-US"/>
        </w:rPr>
        <w:t xml:space="preserve">increased interest, among </w:t>
      </w:r>
      <w:r w:rsidR="00A3265B">
        <w:rPr>
          <w:lang w:val="en-US"/>
        </w:rPr>
        <w:t>both professional and retail clients</w:t>
      </w:r>
      <w:r>
        <w:rPr>
          <w:lang w:val="en-US"/>
        </w:rPr>
        <w:t xml:space="preserve">, for corporate bond funds. Corporate bonds have </w:t>
      </w:r>
      <w:r w:rsidR="00C0141C">
        <w:rPr>
          <w:lang w:val="en-US"/>
        </w:rPr>
        <w:t>as a result of this</w:t>
      </w:r>
      <w:r>
        <w:rPr>
          <w:lang w:val="en-US"/>
        </w:rPr>
        <w:t xml:space="preserve"> become a more important source of funding for Swedish companies. This development </w:t>
      </w:r>
      <w:r w:rsidRPr="007E5073">
        <w:rPr>
          <w:lang w:val="en-US"/>
        </w:rPr>
        <w:t>emphasize</w:t>
      </w:r>
      <w:r>
        <w:rPr>
          <w:lang w:val="en-US"/>
        </w:rPr>
        <w:t>s</w:t>
      </w:r>
      <w:r w:rsidRPr="007E5073">
        <w:rPr>
          <w:lang w:val="en-US"/>
        </w:rPr>
        <w:t xml:space="preserve"> the importance</w:t>
      </w:r>
      <w:r>
        <w:rPr>
          <w:lang w:val="en-US"/>
        </w:rPr>
        <w:t xml:space="preserve"> for both investors and issuers and the real economy</w:t>
      </w:r>
      <w:r w:rsidR="007801FF">
        <w:rPr>
          <w:lang w:val="en-US"/>
        </w:rPr>
        <w:t>,</w:t>
      </w:r>
      <w:r>
        <w:rPr>
          <w:lang w:val="en-US"/>
        </w:rPr>
        <w:t xml:space="preserve"> </w:t>
      </w:r>
      <w:r w:rsidR="00666B5C">
        <w:rPr>
          <w:lang w:val="en-US"/>
        </w:rPr>
        <w:t xml:space="preserve">and from a financial stability </w:t>
      </w:r>
      <w:r w:rsidR="003E6B47">
        <w:rPr>
          <w:lang w:val="en-US"/>
        </w:rPr>
        <w:t>standpoint</w:t>
      </w:r>
      <w:r w:rsidR="007801FF">
        <w:rPr>
          <w:lang w:val="en-US"/>
        </w:rPr>
        <w:t>,</w:t>
      </w:r>
      <w:r w:rsidR="00666B5C">
        <w:rPr>
          <w:lang w:val="en-US"/>
        </w:rPr>
        <w:t xml:space="preserve"> </w:t>
      </w:r>
      <w:r>
        <w:rPr>
          <w:lang w:val="en-US"/>
        </w:rPr>
        <w:t>that the corporate bond market is well functioning and underscores</w:t>
      </w:r>
      <w:r w:rsidR="00C0141C">
        <w:rPr>
          <w:lang w:val="en-US"/>
        </w:rPr>
        <w:t>,</w:t>
      </w:r>
      <w:r>
        <w:rPr>
          <w:lang w:val="en-US"/>
        </w:rPr>
        <w:t xml:space="preserve"> in our opinion</w:t>
      </w:r>
      <w:r w:rsidR="00C0141C">
        <w:rPr>
          <w:lang w:val="en-US"/>
        </w:rPr>
        <w:t>,</w:t>
      </w:r>
      <w:r>
        <w:rPr>
          <w:lang w:val="en-US"/>
        </w:rPr>
        <w:t xml:space="preserve"> the need for increased, not reduced, transparency. </w:t>
      </w:r>
    </w:p>
    <w:p w14:paraId="57C46B21" w14:textId="77777777" w:rsidR="00E9607F" w:rsidRDefault="00E9607F" w:rsidP="00E9607F">
      <w:pPr>
        <w:rPr>
          <w:lang w:val="en-US"/>
        </w:rPr>
      </w:pPr>
    </w:p>
    <w:p w14:paraId="254EC6B4" w14:textId="1E03F168" w:rsidR="00E9607F" w:rsidRDefault="00E9607F" w:rsidP="00E9607F">
      <w:pPr>
        <w:rPr>
          <w:lang w:val="en-US"/>
        </w:rPr>
      </w:pPr>
      <w:r>
        <w:rPr>
          <w:lang w:val="en-US"/>
        </w:rPr>
        <w:t>Furthermore, the corona crisis has in Sweden put the spotlight on liquidity risk management requirements and rules on valuation of fund assets</w:t>
      </w:r>
      <w:r w:rsidRPr="00EE0593">
        <w:rPr>
          <w:lang w:val="en-US"/>
        </w:rPr>
        <w:t xml:space="preserve"> </w:t>
      </w:r>
      <w:r>
        <w:rPr>
          <w:lang w:val="en-US"/>
        </w:rPr>
        <w:t>for UCITS. The Swedish corporate bond market came under significant pressure during February and March</w:t>
      </w:r>
      <w:r w:rsidR="0096584E">
        <w:rPr>
          <w:lang w:val="en-US"/>
        </w:rPr>
        <w:t xml:space="preserve"> </w:t>
      </w:r>
      <w:r w:rsidR="00C0141C">
        <w:rPr>
          <w:lang w:val="en-US"/>
        </w:rPr>
        <w:t>this year</w:t>
      </w:r>
      <w:r>
        <w:rPr>
          <w:lang w:val="en-US"/>
        </w:rPr>
        <w:t>. The liquidity in the market fell sharply which then resulted in the general assessment from Swedish management companies, managing corporate bond funds, that a proper and correct valuation of corporate bonds was not possible to ensure</w:t>
      </w:r>
      <w:r w:rsidR="0096584E">
        <w:rPr>
          <w:lang w:val="en-US"/>
        </w:rPr>
        <w:t xml:space="preserve">, </w:t>
      </w:r>
      <w:r w:rsidR="00090C1B">
        <w:rPr>
          <w:lang w:val="en-US"/>
        </w:rPr>
        <w:t xml:space="preserve">and </w:t>
      </w:r>
      <w:r>
        <w:rPr>
          <w:lang w:val="en-US"/>
        </w:rPr>
        <w:t xml:space="preserve">subsequently requiring management companies to suspend trading in </w:t>
      </w:r>
      <w:r w:rsidR="00C0141C">
        <w:rPr>
          <w:lang w:val="en-US"/>
        </w:rPr>
        <w:t xml:space="preserve">several </w:t>
      </w:r>
      <w:r>
        <w:rPr>
          <w:lang w:val="en-US"/>
        </w:rPr>
        <w:t>corporate bond funds in order to ensure equal treatment of unit holders. Lannebo firmly believes that the lack of transparency, especially concerning post-trade data, amplified these problems.</w:t>
      </w:r>
      <w:r w:rsidR="0096584E">
        <w:rPr>
          <w:lang w:val="en-US"/>
        </w:rPr>
        <w:t xml:space="preserve"> </w:t>
      </w:r>
      <w:proofErr w:type="gramStart"/>
      <w:r w:rsidR="0096584E">
        <w:rPr>
          <w:lang w:val="en-US"/>
        </w:rPr>
        <w:t>Thus</w:t>
      </w:r>
      <w:proofErr w:type="gramEnd"/>
      <w:r w:rsidR="0096584E">
        <w:rPr>
          <w:lang w:val="en-US"/>
        </w:rPr>
        <w:t xml:space="preserve"> there are obvious investor protection aspects to consider when deciding on the design of a revised transparency regime for corporate bonds. </w:t>
      </w:r>
    </w:p>
    <w:p w14:paraId="5A29A894" w14:textId="77777777" w:rsidR="00E9607F" w:rsidRDefault="00E9607F" w:rsidP="00E9607F">
      <w:pPr>
        <w:pStyle w:val="Default"/>
        <w:rPr>
          <w:lang w:val="en-US"/>
        </w:rPr>
      </w:pPr>
    </w:p>
    <w:p w14:paraId="6A22288E" w14:textId="2A8E2D3F" w:rsidR="00F87897" w:rsidRDefault="00E9607F" w:rsidP="00F87897">
      <w:pPr>
        <w:rPr>
          <w:lang w:val="en-US"/>
        </w:rPr>
      </w:pPr>
      <w:r>
        <w:rPr>
          <w:lang w:val="en-US"/>
        </w:rPr>
        <w:t>Consequently, both recent events and the long-term market developments clearly indicate that the current transparency regime applicable for corporate bonds needs reform in order to promote an increased level of transparency and ensure well-functioning markets.</w:t>
      </w:r>
    </w:p>
    <w:p w14:paraId="2B6A98F0" w14:textId="3379FADE" w:rsidR="00F87897" w:rsidRDefault="00F87897" w:rsidP="00F87897">
      <w:pPr>
        <w:rPr>
          <w:lang w:val="en-US"/>
        </w:rPr>
      </w:pPr>
    </w:p>
    <w:p w14:paraId="779A1DB8" w14:textId="469B7D60" w:rsidR="00F87897" w:rsidRDefault="00803371" w:rsidP="00F87897">
      <w:r>
        <w:rPr>
          <w:lang w:val="en-US"/>
        </w:rPr>
        <w:t xml:space="preserve">Lannebo therefore </w:t>
      </w:r>
      <w:r w:rsidRPr="00ED5777">
        <w:rPr>
          <w:b/>
          <w:bCs/>
          <w:lang w:val="en-US"/>
        </w:rPr>
        <w:t>supports</w:t>
      </w:r>
      <w:r>
        <w:rPr>
          <w:lang w:val="en-US"/>
        </w:rPr>
        <w:t xml:space="preserve"> ESMA’s intention to s</w:t>
      </w:r>
      <w:r w:rsidRPr="00803371">
        <w:rPr>
          <w:lang w:val="en-US"/>
        </w:rPr>
        <w:t>implify the structure of the transparency regime</w:t>
      </w:r>
      <w:r>
        <w:rPr>
          <w:lang w:val="en-US"/>
        </w:rPr>
        <w:t xml:space="preserve"> </w:t>
      </w:r>
      <w:r w:rsidR="002D6D3A">
        <w:rPr>
          <w:lang w:val="en-US"/>
        </w:rPr>
        <w:t xml:space="preserve">for non-equity financial instrument </w:t>
      </w:r>
      <w:r>
        <w:rPr>
          <w:lang w:val="en-US"/>
        </w:rPr>
        <w:t>and</w:t>
      </w:r>
      <w:r w:rsidRPr="00803371">
        <w:rPr>
          <w:lang w:val="en-US"/>
        </w:rPr>
        <w:t xml:space="preserve"> to improve the overall transparency available to market participants</w:t>
      </w:r>
      <w:r>
        <w:rPr>
          <w:lang w:val="en-US"/>
        </w:rPr>
        <w:t>.</w:t>
      </w:r>
      <w:r w:rsidR="00C607C7">
        <w:rPr>
          <w:lang w:val="en-US"/>
        </w:rPr>
        <w:t xml:space="preserve"> </w:t>
      </w:r>
      <w:proofErr w:type="gramStart"/>
      <w:r w:rsidR="00C607C7" w:rsidRPr="00C607C7">
        <w:rPr>
          <w:lang w:val="en-US"/>
        </w:rPr>
        <w:t xml:space="preserve">In particular, </w:t>
      </w:r>
      <w:r w:rsidR="00C607C7">
        <w:rPr>
          <w:lang w:val="en-US"/>
        </w:rPr>
        <w:t>Lannebo</w:t>
      </w:r>
      <w:proofErr w:type="gramEnd"/>
      <w:r w:rsidR="00C607C7" w:rsidRPr="00C607C7">
        <w:rPr>
          <w:lang w:val="en-US"/>
        </w:rPr>
        <w:t xml:space="preserve"> </w:t>
      </w:r>
      <w:r w:rsidR="00C607C7">
        <w:rPr>
          <w:lang w:val="en-US"/>
        </w:rPr>
        <w:t>supports</w:t>
      </w:r>
      <w:r w:rsidR="00C607C7" w:rsidRPr="00C607C7">
        <w:rPr>
          <w:lang w:val="en-US"/>
        </w:rPr>
        <w:t xml:space="preserve"> </w:t>
      </w:r>
      <w:r w:rsidR="00C607C7">
        <w:rPr>
          <w:lang w:val="en-US"/>
        </w:rPr>
        <w:t xml:space="preserve">the intention to increase post-trade transparency </w:t>
      </w:r>
      <w:r w:rsidR="00565582">
        <w:rPr>
          <w:lang w:val="en-US"/>
        </w:rPr>
        <w:t xml:space="preserve">regarding corporate bonds </w:t>
      </w:r>
      <w:r w:rsidR="00C607C7">
        <w:rPr>
          <w:lang w:val="en-US"/>
        </w:rPr>
        <w:t xml:space="preserve">and </w:t>
      </w:r>
      <w:r w:rsidR="003B651C">
        <w:rPr>
          <w:lang w:val="en-US"/>
        </w:rPr>
        <w:t xml:space="preserve">the </w:t>
      </w:r>
      <w:r w:rsidR="003B323D">
        <w:rPr>
          <w:lang w:val="en-US"/>
        </w:rPr>
        <w:t xml:space="preserve">availability and </w:t>
      </w:r>
      <w:r w:rsidR="00C607C7">
        <w:rPr>
          <w:lang w:val="en-US"/>
        </w:rPr>
        <w:t>quality of such data.</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5316B206" w14:textId="77777777" w:rsidR="00F70AA5" w:rsidRDefault="008664D7" w:rsidP="00A8728B">
      <w:permStart w:id="1955866996" w:edGrp="everyone"/>
      <w:r>
        <w:t xml:space="preserve">Lannebo is mainly concerned about the lack of transparency in the corporate bond market. </w:t>
      </w:r>
    </w:p>
    <w:p w14:paraId="442A261C" w14:textId="1231BAA6" w:rsidR="00F70AA5" w:rsidRDefault="00F70AA5" w:rsidP="00A8728B"/>
    <w:p w14:paraId="18D2252F" w14:textId="1F794AF4" w:rsidR="00F70AA5" w:rsidRDefault="00F70AA5" w:rsidP="00A8728B">
      <w:r>
        <w:t xml:space="preserve">Even before the introduction of the MiFID </w:t>
      </w:r>
      <w:r w:rsidR="00A8013B">
        <w:t>II</w:t>
      </w:r>
      <w:bookmarkStart w:id="3" w:name="_GoBack"/>
      <w:bookmarkEnd w:id="3"/>
      <w:r>
        <w:t>/</w:t>
      </w:r>
      <w:proofErr w:type="spellStart"/>
      <w:r>
        <w:t>MiFIR</w:t>
      </w:r>
      <w:proofErr w:type="spellEnd"/>
      <w:r>
        <w:t xml:space="preserve"> transparency regime there was limited pre-trade transparency in the corporate bond market. </w:t>
      </w:r>
    </w:p>
    <w:p w14:paraId="77CD187F" w14:textId="77777777" w:rsidR="00F70AA5" w:rsidRDefault="00F70AA5" w:rsidP="00A8728B"/>
    <w:p w14:paraId="04B38200" w14:textId="4AFBBD71" w:rsidR="00A8728B" w:rsidRDefault="00090C1B" w:rsidP="00A8728B">
      <w:proofErr w:type="gramStart"/>
      <w:r>
        <w:t>However</w:t>
      </w:r>
      <w:proofErr w:type="gramEnd"/>
      <w:r>
        <w:t xml:space="preserve"> </w:t>
      </w:r>
      <w:r w:rsidR="008664D7">
        <w:t xml:space="preserve">Lannebo believes that increased transparency </w:t>
      </w:r>
      <w:r>
        <w:t>can</w:t>
      </w:r>
      <w:r w:rsidR="008664D7">
        <w:t xml:space="preserve"> lead to </w:t>
      </w:r>
      <w:r w:rsidR="004848F6">
        <w:t xml:space="preserve">a </w:t>
      </w:r>
      <w:r w:rsidR="008664D7">
        <w:t xml:space="preserve">better functioning, and more stable, </w:t>
      </w:r>
      <w:r w:rsidR="00E84A57">
        <w:t xml:space="preserve">corporate bond </w:t>
      </w:r>
      <w:r w:rsidR="008664D7">
        <w:t>market</w:t>
      </w:r>
      <w:r w:rsidR="00C45EBF">
        <w:t>.</w:t>
      </w:r>
      <w:r w:rsidR="00E07AC3">
        <w:t xml:space="preserve"> Increased pre-trade transparency </w:t>
      </w:r>
      <w:r>
        <w:t>could</w:t>
      </w:r>
      <w:r w:rsidR="00E07AC3">
        <w:t xml:space="preserve"> </w:t>
      </w:r>
      <w:r w:rsidR="00E07AC3" w:rsidRPr="00E07AC3">
        <w:t xml:space="preserve">contribute to </w:t>
      </w:r>
      <w:r w:rsidR="00E07AC3">
        <w:t xml:space="preserve">a </w:t>
      </w:r>
      <w:r w:rsidR="00E07AC3" w:rsidRPr="00E07AC3">
        <w:t>more efficient price formation</w:t>
      </w:r>
      <w:r w:rsidR="00E07AC3">
        <w:t xml:space="preserve">, which recent events during the corona crisis </w:t>
      </w:r>
      <w:r w:rsidR="00AF2C54">
        <w:t xml:space="preserve">clearly </w:t>
      </w:r>
      <w:r w:rsidR="00E07AC3">
        <w:t xml:space="preserve">indicate </w:t>
      </w:r>
      <w:r w:rsidR="00E84A57">
        <w:t xml:space="preserve">might be </w:t>
      </w:r>
      <w:r>
        <w:t>desirable</w:t>
      </w:r>
      <w:r w:rsidR="00E07AC3">
        <w:t>.</w:t>
      </w:r>
    </w:p>
    <w:p w14:paraId="1D8B2839" w14:textId="77777777" w:rsidR="00E07AC3" w:rsidRDefault="00E07AC3" w:rsidP="00A8728B">
      <w:pPr>
        <w:rPr>
          <w:lang w:val="en-US"/>
        </w:rPr>
      </w:pPr>
    </w:p>
    <w:p w14:paraId="05592898" w14:textId="63D12BD7" w:rsidR="00A8728B" w:rsidRDefault="004848F6" w:rsidP="00A8728B">
      <w:r>
        <w:t>Furthermore, i</w:t>
      </w:r>
      <w:r w:rsidR="00E07AC3">
        <w:t xml:space="preserve">ncreased pre-trade transparency </w:t>
      </w:r>
      <w:r w:rsidR="00E84A57">
        <w:t xml:space="preserve">in the corporate bond market </w:t>
      </w:r>
      <w:r w:rsidR="00E07AC3">
        <w:t xml:space="preserve">would </w:t>
      </w:r>
      <w:r w:rsidR="00E84A57">
        <w:t>also facilitate better</w:t>
      </w:r>
      <w:r w:rsidR="00E07AC3">
        <w:t xml:space="preserve"> </w:t>
      </w:r>
      <w:r w:rsidR="00E84A57">
        <w:t xml:space="preserve">compliance with requirements on </w:t>
      </w:r>
      <w:r w:rsidR="00D276D9">
        <w:t xml:space="preserve">inter alia </w:t>
      </w:r>
      <w:r w:rsidR="00E84A57">
        <w:t>best execution</w:t>
      </w:r>
      <w:r w:rsidR="004C03B9">
        <w:t xml:space="preserve"> </w:t>
      </w:r>
      <w:r w:rsidR="00E84A57">
        <w:t>and risk management for UCITS/AIFs.</w:t>
      </w:r>
    </w:p>
    <w:p w14:paraId="1BE8F25B" w14:textId="52A655BD" w:rsidR="00A8728B" w:rsidRDefault="00A8728B" w:rsidP="00A8728B"/>
    <w:p w14:paraId="523414D7" w14:textId="0FD5FA78" w:rsidR="00A8728B" w:rsidRDefault="004C03B9" w:rsidP="00A8728B">
      <w:r>
        <w:t>But</w:t>
      </w:r>
      <w:r w:rsidR="001C271A">
        <w:t>, since pre-trade transparency under the current regime</w:t>
      </w:r>
      <w:r w:rsidR="00DF1573">
        <w:t>,</w:t>
      </w:r>
      <w:r w:rsidR="001C271A">
        <w:t xml:space="preserve"> </w:t>
      </w:r>
      <w:proofErr w:type="gramStart"/>
      <w:r w:rsidR="001C271A">
        <w:t>and also</w:t>
      </w:r>
      <w:proofErr w:type="gramEnd"/>
      <w:r w:rsidR="001C271A">
        <w:t xml:space="preserve"> previously</w:t>
      </w:r>
      <w:r w:rsidR="00DF1573">
        <w:t>,</w:t>
      </w:r>
      <w:r w:rsidR="001C271A">
        <w:t xml:space="preserve"> has been very limited it is difficult to assess the consequences of deleting specific waivers and/or introducing new.</w:t>
      </w:r>
      <w:r>
        <w:t xml:space="preserve"> It would of course be unfortunate if liquidity declined a</w:t>
      </w:r>
      <w:r w:rsidR="00ED1AF2">
        <w:t xml:space="preserve">s a result of </w:t>
      </w:r>
      <w:r w:rsidR="00957027">
        <w:t>a</w:t>
      </w:r>
      <w:r w:rsidR="00ED1AF2">
        <w:t xml:space="preserve"> revised regime.</w:t>
      </w:r>
      <w:permEnd w:id="1955866996"/>
    </w:p>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108232FE" w14:textId="4E657EE1" w:rsidR="00A8728B" w:rsidRDefault="008C4C3E" w:rsidP="00A8728B">
      <w:permStart w:id="1066216518" w:edGrp="everyone"/>
      <w:r>
        <w:t>Lannebo thinks that ESMA’s approach seems reasonable. Clearly the current regime needs simplification.</w:t>
      </w:r>
      <w:r w:rsidR="003F2994">
        <w:t xml:space="preserve"> </w:t>
      </w:r>
      <w:r w:rsidR="001C271A">
        <w:t>As mentioned above</w:t>
      </w:r>
      <w:r>
        <w:t xml:space="preserve">, pre-trade transparency </w:t>
      </w:r>
      <w:r w:rsidR="00000631">
        <w:t>under the current regime</w:t>
      </w:r>
      <w:r>
        <w:t xml:space="preserve"> </w:t>
      </w:r>
      <w:proofErr w:type="gramStart"/>
      <w:r>
        <w:t xml:space="preserve">and </w:t>
      </w:r>
      <w:r w:rsidR="003F2994">
        <w:t>also</w:t>
      </w:r>
      <w:proofErr w:type="gramEnd"/>
      <w:r w:rsidR="003F2994">
        <w:t xml:space="preserve"> </w:t>
      </w:r>
      <w:r>
        <w:t xml:space="preserve">previously </w:t>
      </w:r>
      <w:r w:rsidR="00000631">
        <w:t>has</w:t>
      </w:r>
      <w:r>
        <w:t xml:space="preserve"> </w:t>
      </w:r>
      <w:r w:rsidR="00000631">
        <w:t xml:space="preserve">been </w:t>
      </w:r>
      <w:r>
        <w:t>very limited</w:t>
      </w:r>
      <w:r w:rsidR="00A22181">
        <w:t>.</w:t>
      </w:r>
      <w:r>
        <w:t xml:space="preserve"> </w:t>
      </w:r>
      <w:r w:rsidR="00A22181">
        <w:t>I</w:t>
      </w:r>
      <w:r>
        <w:t xml:space="preserve">t is </w:t>
      </w:r>
      <w:r w:rsidR="00A22181">
        <w:t xml:space="preserve">therefore </w:t>
      </w:r>
      <w:r w:rsidR="00000631">
        <w:t>difficult</w:t>
      </w:r>
      <w:r>
        <w:t xml:space="preserve"> to assess the consequences</w:t>
      </w:r>
      <w:r w:rsidR="00000631">
        <w:t xml:space="preserve"> of deleting specific waivers</w:t>
      </w:r>
      <w:r w:rsidR="00FB15A7">
        <w:t xml:space="preserve"> and/or introducing new</w:t>
      </w:r>
      <w:r w:rsidR="00000631">
        <w:t xml:space="preserve">. </w:t>
      </w:r>
      <w:r w:rsidR="00A22181">
        <w:t>C</w:t>
      </w:r>
      <w:r w:rsidR="00000631" w:rsidRPr="00000631">
        <w:t xml:space="preserve">hanges </w:t>
      </w:r>
      <w:r w:rsidR="00FB15A7">
        <w:t xml:space="preserve">to the current regime </w:t>
      </w:r>
      <w:r w:rsidR="00000631" w:rsidRPr="00000631">
        <w:t>may need to be made gradually</w:t>
      </w:r>
      <w:r w:rsidR="00000631">
        <w:t xml:space="preserve"> and ESMA should pay close attention on market effects</w:t>
      </w:r>
      <w:r w:rsidR="00865D67">
        <w:t xml:space="preserve"> of each change</w:t>
      </w:r>
      <w:r w:rsidR="00000631" w:rsidRPr="00000631">
        <w:t>.</w:t>
      </w:r>
      <w:r>
        <w:t xml:space="preserve"> </w:t>
      </w:r>
      <w:permEnd w:id="1066216518"/>
    </w:p>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27C12B76" w14:textId="67CE5225" w:rsidR="002E1760" w:rsidRDefault="00AF2C54" w:rsidP="002E1760">
      <w:permStart w:id="473446270" w:edGrp="everyone"/>
      <w:r>
        <w:t>As we understand ESMA’s analysis</w:t>
      </w:r>
      <w:r w:rsidR="00CD0B5F">
        <w:t>,</w:t>
      </w:r>
      <w:r>
        <w:t xml:space="preserve"> the SSTI-waiver is mainly used </w:t>
      </w:r>
      <w:r w:rsidR="00695791">
        <w:t>when</w:t>
      </w:r>
      <w:r>
        <w:t xml:space="preserve"> trad</w:t>
      </w:r>
      <w:r w:rsidR="00695791">
        <w:t>ing</w:t>
      </w:r>
      <w:r>
        <w:t xml:space="preserve"> sovereign bonds (see CP, page 34). Given</w:t>
      </w:r>
      <w:r w:rsidRPr="00AF2C54">
        <w:t xml:space="preserve"> this, we do not </w:t>
      </w:r>
      <w:r w:rsidR="00CD0B5F">
        <w:t xml:space="preserve">quite </w:t>
      </w:r>
      <w:r w:rsidRPr="00AF2C54">
        <w:t>understand the logic of lowering</w:t>
      </w:r>
      <w:r>
        <w:t xml:space="preserve"> </w:t>
      </w:r>
      <w:r w:rsidR="00CD0B5F">
        <w:t>the</w:t>
      </w:r>
      <w:r>
        <w:t xml:space="preserve"> threshold</w:t>
      </w:r>
      <w:r w:rsidR="00CD0B5F">
        <w:t>s</w:t>
      </w:r>
      <w:r>
        <w:t xml:space="preserve"> across all asset classes. </w:t>
      </w:r>
      <w:permEnd w:id="473446270"/>
    </w:p>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lastRenderedPageBreak/>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77777777" w:rsidR="002E1760" w:rsidRDefault="002E1760" w:rsidP="002E1760">
      <w:permStart w:id="1101743476" w:edGrp="everyone"/>
      <w:r>
        <w:t>TYPE YOUR TEXT HERE</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5E6AA5B5" w14:textId="77777777" w:rsidR="00227C1A" w:rsidRDefault="00227C1A" w:rsidP="00227C1A">
      <w:permStart w:id="1725855520" w:edGrp="everyone"/>
      <w:r>
        <w:t>TYPE YOUR TEXT HERE</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7F3F849F" w14:textId="77777777" w:rsidR="0062022D" w:rsidRDefault="0062022D" w:rsidP="0062022D">
      <w:permStart w:id="203298670" w:edGrp="everyone"/>
      <w:r>
        <w:t>TYPE YOUR TEXT HERE</w:t>
      </w:r>
      <w:permEnd w:id="203298670"/>
    </w:p>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14896476" w14:textId="77777777" w:rsidR="00A263DF" w:rsidRDefault="00A263DF" w:rsidP="00A263DF">
      <w:permStart w:id="795872801" w:edGrp="everyone"/>
      <w:r>
        <w:t>TYPE YOUR TEXT HERE</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43D46422" w14:textId="77777777" w:rsidR="00A263DF" w:rsidRDefault="00A263DF" w:rsidP="00A263DF">
      <w:permStart w:id="1747589383" w:edGrp="everyone"/>
      <w:r>
        <w:t>TYPE YOUR TEXT HERE</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1B5C745B" w14:textId="77777777" w:rsidR="002E1760" w:rsidRDefault="002E1760" w:rsidP="002E1760">
      <w:permStart w:id="1400726192" w:edGrp="everyone"/>
      <w:r>
        <w:t>TYPE YOUR TEXT HERE</w:t>
      </w:r>
      <w:permEnd w:id="1400726192"/>
    </w:p>
    <w:p w14:paraId="44E897E8" w14:textId="7F1EDFFB" w:rsidR="002E1760" w:rsidRDefault="002E1760" w:rsidP="002E1760">
      <w:r>
        <w:lastRenderedPageBreak/>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7345407B" w14:textId="77777777" w:rsidR="003428DF" w:rsidRDefault="00A642D3" w:rsidP="008418E3">
      <w:permStart w:id="929114806" w:edGrp="everyone"/>
      <w:r>
        <w:t xml:space="preserve">Yes, we agree with ESMA’s assessment. </w:t>
      </w:r>
    </w:p>
    <w:p w14:paraId="01874C79" w14:textId="77777777" w:rsidR="003428DF" w:rsidRDefault="003428DF" w:rsidP="008418E3"/>
    <w:p w14:paraId="7F574030" w14:textId="76759E5D" w:rsidR="008418E3" w:rsidRDefault="00A642D3" w:rsidP="008418E3">
      <w:r>
        <w:t xml:space="preserve">The CP </w:t>
      </w:r>
      <w:r w:rsidRPr="00A642D3">
        <w:t>refer</w:t>
      </w:r>
      <w:r>
        <w:t>s</w:t>
      </w:r>
      <w:r w:rsidRPr="00A642D3">
        <w:t xml:space="preserve"> to </w:t>
      </w:r>
      <w:r>
        <w:t xml:space="preserve">and </w:t>
      </w:r>
      <w:proofErr w:type="gramStart"/>
      <w:r>
        <w:t>takes into account</w:t>
      </w:r>
      <w:proofErr w:type="gramEnd"/>
      <w:r>
        <w:t xml:space="preserve"> </w:t>
      </w:r>
      <w:r w:rsidRPr="00A642D3">
        <w:t xml:space="preserve">the study </w:t>
      </w:r>
      <w:r w:rsidR="00CE46BB">
        <w:t xml:space="preserve">from 2019 </w:t>
      </w:r>
      <w:r w:rsidRPr="00A642D3">
        <w:t xml:space="preserve">done </w:t>
      </w:r>
      <w:r>
        <w:t>by the Swedish FSA regarding the impact of the MiFID II/</w:t>
      </w:r>
      <w:proofErr w:type="spellStart"/>
      <w:r>
        <w:t>MiFIR</w:t>
      </w:r>
      <w:proofErr w:type="spellEnd"/>
      <w:r>
        <w:t xml:space="preserve"> transparency</w:t>
      </w:r>
      <w:r w:rsidR="00AF089F">
        <w:t xml:space="preserve"> to the Swedish bond market</w:t>
      </w:r>
      <w:r w:rsidR="008F4B50">
        <w:t xml:space="preserve"> in which we participated</w:t>
      </w:r>
      <w:r>
        <w:t xml:space="preserve">. We believe that the Swedish study </w:t>
      </w:r>
      <w:r w:rsidRPr="00A642D3">
        <w:t xml:space="preserve">describes </w:t>
      </w:r>
      <w:r w:rsidR="008F4B50">
        <w:t xml:space="preserve">the </w:t>
      </w:r>
      <w:r w:rsidRPr="00A642D3">
        <w:t xml:space="preserve">situation </w:t>
      </w:r>
      <w:r w:rsidR="008F4B50">
        <w:t xml:space="preserve">in Sweden </w:t>
      </w:r>
      <w:r w:rsidR="008F7F4D">
        <w:t>in a fair way</w:t>
      </w:r>
      <w:r w:rsidRPr="00A642D3">
        <w:t>.</w:t>
      </w:r>
    </w:p>
    <w:p w14:paraId="7AF5ECA8" w14:textId="791CD5D4" w:rsidR="008418E3" w:rsidRDefault="008418E3" w:rsidP="008418E3"/>
    <w:p w14:paraId="62440EEA" w14:textId="33CA0D0A" w:rsidR="008418E3" w:rsidRDefault="001E6943" w:rsidP="008418E3">
      <w:r>
        <w:t>Furthermore</w:t>
      </w:r>
      <w:r w:rsidR="003428DF">
        <w:t>,</w:t>
      </w:r>
      <w:r>
        <w:t xml:space="preserve"> we find </w:t>
      </w:r>
      <w:r w:rsidR="003428DF">
        <w:t xml:space="preserve">it </w:t>
      </w:r>
      <w:r>
        <w:t xml:space="preserve">unfortunate that the current regime opens for divergent applications across member states. </w:t>
      </w:r>
      <w:r w:rsidR="003428DF">
        <w:t>Hence, we agree with ESMA that a revised regime should seek to ensure a harmonised application across jurisdictions.</w:t>
      </w:r>
      <w:r w:rsidR="008F7F4D">
        <w:t xml:space="preserve"> There is otherwise a</w:t>
      </w:r>
      <w:r w:rsidR="00CE46BB">
        <w:t xml:space="preserve"> </w:t>
      </w:r>
      <w:r w:rsidR="008F7F4D">
        <w:t xml:space="preserve">risk that no improved transparency will be achieved and that institutions benefitting from low level of transparency </w:t>
      </w:r>
      <w:r w:rsidR="00FF5A45">
        <w:t xml:space="preserve">will </w:t>
      </w:r>
      <w:r w:rsidR="00CE46BB">
        <w:t xml:space="preserve">try to </w:t>
      </w:r>
      <w:r w:rsidR="00123779">
        <w:t>push trading to low transparency jurisdictions.</w:t>
      </w:r>
      <w:r w:rsidR="003428DF">
        <w:t xml:space="preserve"> </w:t>
      </w:r>
      <w:permEnd w:id="929114806"/>
    </w:p>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77303C55" w14:textId="7109D3DE" w:rsidR="00F469F8" w:rsidRDefault="002559CB" w:rsidP="00F469F8">
      <w:permStart w:id="675495160" w:edGrp="everyone"/>
      <w:r>
        <w:t>Very few Swedish corporate bonds are deemed liquid</w:t>
      </w:r>
      <w:r w:rsidR="00810F1D">
        <w:t xml:space="preserve"> according to </w:t>
      </w:r>
      <w:proofErr w:type="spellStart"/>
      <w:r w:rsidR="00810F1D">
        <w:t>MiFIR</w:t>
      </w:r>
      <w:proofErr w:type="spellEnd"/>
      <w:r w:rsidR="00882E4F">
        <w:t xml:space="preserve"> (cf. the 2019 study from the Swedish FSA)</w:t>
      </w:r>
      <w:r>
        <w:t xml:space="preserve">. Deleting the SSTI waiver </w:t>
      </w:r>
      <w:r w:rsidR="00585F05">
        <w:t>would</w:t>
      </w:r>
      <w:r>
        <w:t xml:space="preserve"> </w:t>
      </w:r>
      <w:r w:rsidR="000B7B06">
        <w:t xml:space="preserve">therefore </w:t>
      </w:r>
      <w:r w:rsidR="00585F05">
        <w:t>in itself have limited impact on the level of transparency.</w:t>
      </w:r>
      <w:permEnd w:id="675495160"/>
    </w:p>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7F5AA776" w14:textId="7699243C" w:rsidR="001E52FA" w:rsidRDefault="003F0D5D" w:rsidP="00F469F8">
      <w:permStart w:id="227761104" w:edGrp="everyone"/>
      <w:r>
        <w:t xml:space="preserve">We support Option </w:t>
      </w:r>
      <w:r w:rsidR="001E52FA">
        <w:t>2</w:t>
      </w:r>
      <w:r>
        <w:t>.</w:t>
      </w:r>
      <w:r w:rsidR="001E52FA">
        <w:t xml:space="preserve"> </w:t>
      </w:r>
    </w:p>
    <w:p w14:paraId="6C0FFE4A" w14:textId="77777777" w:rsidR="001E52FA" w:rsidRDefault="001E52FA" w:rsidP="00F469F8"/>
    <w:p w14:paraId="456A9553" w14:textId="77777777" w:rsidR="00B53FDB" w:rsidRDefault="001E52FA" w:rsidP="00F469F8">
      <w:r>
        <w:t xml:space="preserve">Option 1 has the drawback that illiquid instruments, which includes </w:t>
      </w:r>
      <w:proofErr w:type="gramStart"/>
      <w:r>
        <w:t>the vast majority of</w:t>
      </w:r>
      <w:proofErr w:type="gramEnd"/>
      <w:r>
        <w:t xml:space="preserve"> instruments in the Swedish corporate bond market, </w:t>
      </w:r>
      <w:r w:rsidRPr="001E52FA">
        <w:t xml:space="preserve">still </w:t>
      </w:r>
      <w:r>
        <w:t xml:space="preserve">would </w:t>
      </w:r>
      <w:r w:rsidRPr="001E52FA">
        <w:t xml:space="preserve">not be subject to </w:t>
      </w:r>
      <w:r>
        <w:t xml:space="preserve">full </w:t>
      </w:r>
      <w:r w:rsidRPr="001E52FA">
        <w:t>transparency</w:t>
      </w:r>
      <w:r w:rsidR="0000370A">
        <w:t xml:space="preserve"> requirements</w:t>
      </w:r>
      <w:r>
        <w:t>. Option 3 is in turn more complicated</w:t>
      </w:r>
      <w:r w:rsidR="00B53FDB">
        <w:t>,</w:t>
      </w:r>
      <w:r>
        <w:t xml:space="preserve"> since it introduces a new “Above Extra-LIS”-waiver</w:t>
      </w:r>
      <w:r w:rsidR="00B53FDB">
        <w:t>,</w:t>
      </w:r>
      <w:r>
        <w:t xml:space="preserve"> than option 2. </w:t>
      </w:r>
    </w:p>
    <w:p w14:paraId="10BFFA40" w14:textId="77777777" w:rsidR="00B53FDB" w:rsidRDefault="00B53FDB" w:rsidP="00F469F8"/>
    <w:p w14:paraId="1B69D7E6" w14:textId="7E0B26DF" w:rsidR="00F469F8" w:rsidRDefault="001E52FA" w:rsidP="00F469F8">
      <w:r>
        <w:t xml:space="preserve">Lannebo thinks that the new regime should be as simple and straight forward as possible. </w:t>
      </w:r>
      <w:proofErr w:type="gramStart"/>
      <w:r>
        <w:t>Hence</w:t>
      </w:r>
      <w:proofErr w:type="gramEnd"/>
      <w:r>
        <w:t xml:space="preserve"> we support option 2. We </w:t>
      </w:r>
      <w:r w:rsidR="00AA6B94">
        <w:t xml:space="preserve">find </w:t>
      </w:r>
      <w:r w:rsidR="00AF000B">
        <w:t xml:space="preserve">that </w:t>
      </w:r>
      <w:r w:rsidR="00AA6B94">
        <w:t xml:space="preserve">ESMA’s proposal on volume masking </w:t>
      </w:r>
      <w:r>
        <w:t xml:space="preserve">for LIS-transactions </w:t>
      </w:r>
      <w:r w:rsidR="00AF000B">
        <w:t>strikes a good bal</w:t>
      </w:r>
      <w:r w:rsidR="00AF000B">
        <w:lastRenderedPageBreak/>
        <w:t>ance between transparency enhancement and</w:t>
      </w:r>
      <w:r w:rsidR="00AA6B94">
        <w:t xml:space="preserve"> </w:t>
      </w:r>
      <w:r w:rsidR="00AF000B">
        <w:t xml:space="preserve">maintaining </w:t>
      </w:r>
      <w:proofErr w:type="gramStart"/>
      <w:r w:rsidR="00AA6B94">
        <w:t>sufficient</w:t>
      </w:r>
      <w:proofErr w:type="gramEnd"/>
      <w:r w:rsidR="00AA6B94">
        <w:t xml:space="preserve"> protection</w:t>
      </w:r>
      <w:r w:rsidR="00AF000B">
        <w:t xml:space="preserve"> for liquidity providers</w:t>
      </w:r>
      <w:r w:rsidR="00AA6B94">
        <w:t xml:space="preserve">. </w:t>
      </w:r>
      <w:r w:rsidR="006923F5">
        <w:t>Furthermo</w:t>
      </w:r>
      <w:r w:rsidR="009220EC">
        <w:t>r</w:t>
      </w:r>
      <w:r w:rsidR="006923F5">
        <w:t>e</w:t>
      </w:r>
      <w:r w:rsidR="0093481A">
        <w:t>,</w:t>
      </w:r>
      <w:r w:rsidR="006923F5">
        <w:t xml:space="preserve"> we believe that the </w:t>
      </w:r>
      <w:r w:rsidR="009220EC">
        <w:t xml:space="preserve">market will adapt to the new </w:t>
      </w:r>
      <w:r w:rsidR="00DD307F">
        <w:t>transparency</w:t>
      </w:r>
      <w:r w:rsidR="009220EC">
        <w:t xml:space="preserve"> regime. We therefore do not think that the risk for reduced liquidity should be exaggerated. </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536EE512" w14:textId="587625B7" w:rsidR="00646C30" w:rsidRDefault="003F0D5D" w:rsidP="00646C30">
      <w:permStart w:id="308116658" w:edGrp="everyone"/>
      <w:r>
        <w:t>We support Option</w:t>
      </w:r>
      <w:r w:rsidR="009054A8">
        <w:t xml:space="preserve"> </w:t>
      </w:r>
      <w:r w:rsidR="0000370A">
        <w:t>2</w:t>
      </w:r>
      <w:r w:rsidR="009054A8">
        <w:t>. We believe that the new regime should be as simple and straight forward as possible.</w:t>
      </w:r>
      <w:r w:rsidR="0000370A">
        <w:t xml:space="preserve"> </w:t>
      </w:r>
      <w:r w:rsidR="008040D1">
        <w:t>We think that the emergence of a CTP would be facilitated by a introducing the most uniform option</w:t>
      </w:r>
      <w:r w:rsidR="00CA26F0">
        <w:t xml:space="preserve">. </w:t>
      </w:r>
      <w:r w:rsidR="008040D1">
        <w:t xml:space="preserve">Hence option 2 would probably be the best option from that perspective. </w:t>
      </w:r>
      <w:r w:rsidR="009D02DD">
        <w:t>Please see also our answer on Q12 above.</w:t>
      </w:r>
      <w:r>
        <w:t xml:space="preserve"> </w:t>
      </w:r>
      <w:permEnd w:id="308116658"/>
    </w:p>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118C8548" w14:textId="77777777" w:rsidR="001E7FBB" w:rsidRDefault="003F0D5D" w:rsidP="000856A0">
      <w:permStart w:id="699085938" w:edGrp="everyone"/>
      <w:r>
        <w:t>Yes, we agree with ESMA’s proposal.</w:t>
      </w:r>
      <w:r w:rsidR="00073A17">
        <w:t xml:space="preserve"> </w:t>
      </w:r>
      <w:r w:rsidR="000856A0">
        <w:t xml:space="preserve">Today post-trade data is </w:t>
      </w:r>
      <w:r w:rsidR="001E7FBB">
        <w:t xml:space="preserve">rare and sometimes costly. </w:t>
      </w:r>
    </w:p>
    <w:p w14:paraId="2EB87A6C" w14:textId="77777777" w:rsidR="001E7FBB" w:rsidRDefault="001E7FBB" w:rsidP="000856A0"/>
    <w:p w14:paraId="33FEB2C8" w14:textId="263336BD" w:rsidR="00895085" w:rsidRDefault="001E7FBB" w:rsidP="000856A0">
      <w:r>
        <w:t xml:space="preserve">Post-trade data is </w:t>
      </w:r>
      <w:r w:rsidR="00C8770F">
        <w:t xml:space="preserve">based on our experiences </w:t>
      </w:r>
      <w:r w:rsidR="000856A0">
        <w:t xml:space="preserve">difficult to find, and the quality of the data is </w:t>
      </w:r>
      <w:r>
        <w:t xml:space="preserve">also </w:t>
      </w:r>
      <w:r w:rsidR="000856A0">
        <w:t xml:space="preserve">hard to assess. </w:t>
      </w:r>
      <w:r w:rsidR="000856A0" w:rsidRPr="000856A0">
        <w:t xml:space="preserve">It </w:t>
      </w:r>
      <w:r>
        <w:t>is</w:t>
      </w:r>
      <w:r w:rsidR="000856A0" w:rsidRPr="000856A0">
        <w:t xml:space="preserve"> </w:t>
      </w:r>
      <w:r>
        <w:t xml:space="preserve">therefore </w:t>
      </w:r>
      <w:r w:rsidR="000856A0" w:rsidRPr="000856A0">
        <w:t>problematic and associated with great uncertainty</w:t>
      </w:r>
      <w:r w:rsidR="000856A0">
        <w:t xml:space="preserve"> to let the data form the basis for important </w:t>
      </w:r>
      <w:r w:rsidR="000A60C1">
        <w:t>business decisions</w:t>
      </w:r>
      <w:r w:rsidR="000856A0">
        <w:t xml:space="preserve"> such as investment</w:t>
      </w:r>
      <w:r w:rsidR="000A60C1">
        <w:t xml:space="preserve">s </w:t>
      </w:r>
      <w:r w:rsidR="000856A0">
        <w:t xml:space="preserve">or </w:t>
      </w:r>
      <w:r w:rsidR="000A60C1">
        <w:t>the design of investment limits</w:t>
      </w:r>
      <w:r w:rsidR="000856A0">
        <w:t xml:space="preserve">. </w:t>
      </w:r>
      <w:r w:rsidR="00E876CE">
        <w:t xml:space="preserve">There is clearly a need for improvement. </w:t>
      </w:r>
    </w:p>
    <w:p w14:paraId="7FFBABA8" w14:textId="777E35A3" w:rsidR="00895085" w:rsidRDefault="00895085" w:rsidP="00646C30"/>
    <w:p w14:paraId="6A257108" w14:textId="3845217F" w:rsidR="00646C30" w:rsidRDefault="00073A17" w:rsidP="00646C30">
      <w:r>
        <w:t xml:space="preserve">Furthermore, we believe that ESMA should consider </w:t>
      </w:r>
      <w:r w:rsidRPr="00073A17">
        <w:t xml:space="preserve">whether </w:t>
      </w:r>
      <w:r>
        <w:t xml:space="preserve">the </w:t>
      </w:r>
      <w:r w:rsidRPr="00073A17">
        <w:t xml:space="preserve">supervision </w:t>
      </w:r>
      <w:r>
        <w:t xml:space="preserve">regarding this issue </w:t>
      </w:r>
      <w:r w:rsidRPr="00073A17">
        <w:t>should take place at EU</w:t>
      </w:r>
      <w:r>
        <w:t xml:space="preserve">, rather than </w:t>
      </w:r>
      <w:r w:rsidR="005B5B4E">
        <w:t xml:space="preserve">at the </w:t>
      </w:r>
      <w:r w:rsidR="00895085">
        <w:t>member state</w:t>
      </w:r>
      <w:r>
        <w:t>,</w:t>
      </w:r>
      <w:r w:rsidRPr="00073A17">
        <w:t xml:space="preserve"> level</w:t>
      </w:r>
      <w:r>
        <w:t xml:space="preserve">. </w:t>
      </w:r>
      <w:permEnd w:id="699085938"/>
    </w:p>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0FF210F8" w14:textId="77777777" w:rsidR="007C12C6" w:rsidRDefault="00073A17" w:rsidP="00646C30">
      <w:permStart w:id="1271415520" w:edGrp="everyone"/>
      <w:r>
        <w:t>One</w:t>
      </w:r>
      <w:r w:rsidRPr="00073A17">
        <w:t xml:space="preserve"> option would be to impose an obligation on </w:t>
      </w:r>
      <w:r>
        <w:t>m</w:t>
      </w:r>
      <w:r w:rsidRPr="00073A17">
        <w:t xml:space="preserve">ember </w:t>
      </w:r>
      <w:r>
        <w:t>s</w:t>
      </w:r>
      <w:r w:rsidRPr="00073A17">
        <w:t xml:space="preserve">tates </w:t>
      </w:r>
      <w:r w:rsidR="00D657E0">
        <w:t xml:space="preserve">or ESMA </w:t>
      </w:r>
      <w:r w:rsidRPr="00073A17">
        <w:t>to procure the service.</w:t>
      </w:r>
      <w:r w:rsidR="00B804D5">
        <w:t xml:space="preserve"> </w:t>
      </w:r>
    </w:p>
    <w:p w14:paraId="0E1A89A5" w14:textId="77777777" w:rsidR="007C12C6" w:rsidRDefault="007C12C6" w:rsidP="00646C30"/>
    <w:p w14:paraId="0C11162E" w14:textId="5481AEC4" w:rsidR="00646C30" w:rsidRDefault="002E31DA" w:rsidP="00646C30">
      <w:r>
        <w:t>Additionally</w:t>
      </w:r>
      <w:r w:rsidR="00B804D5">
        <w:t xml:space="preserve">, trading venues and APAs should be obliged to submit transaction data to </w:t>
      </w:r>
      <w:r w:rsidR="006D0328">
        <w:t>the</w:t>
      </w:r>
      <w:r w:rsidR="00B804D5">
        <w:t xml:space="preserve"> CTP</w:t>
      </w:r>
      <w:r w:rsidR="008343DA">
        <w:t xml:space="preserve">s </w:t>
      </w:r>
      <w:r w:rsidR="00B804D5">
        <w:t xml:space="preserve">for consolidation. </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lastRenderedPageBreak/>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7AAD2035" w14:textId="77777777" w:rsidR="00646C30" w:rsidRDefault="00646C30" w:rsidP="00646C30">
      <w:permStart w:id="2130212544" w:edGrp="everyone"/>
      <w:r>
        <w:t>TYPE YOUR TEXT HERE</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CE157B4" w14:textId="77777777" w:rsidR="00646C30" w:rsidRDefault="00646C30" w:rsidP="00646C30">
      <w:permStart w:id="96027498" w:edGrp="everyone"/>
      <w:r>
        <w:t>TYPE YOUR TEXT HERE</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77777777" w:rsidR="00646C30" w:rsidRDefault="00646C30" w:rsidP="00646C30">
      <w:permStart w:id="70923797" w:edGrp="everyone"/>
      <w:r>
        <w:t>TYPE YOUR TEXT HERE</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77777777" w:rsidR="001129F9" w:rsidRDefault="001129F9" w:rsidP="001129F9">
      <w:permStart w:id="951131482" w:edGrp="everyone"/>
      <w:r>
        <w:t>TYPE YOUR TEXT HERE</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77777777" w:rsidR="00646C30" w:rsidRDefault="00646C30" w:rsidP="00646C30">
      <w:permStart w:id="37382354" w:edGrp="everyone"/>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lastRenderedPageBreak/>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77777777" w:rsidR="00646C30" w:rsidRDefault="00646C30" w:rsidP="00646C30">
      <w:permStart w:id="71373738" w:edGrp="everyone"/>
      <w:r>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77777777" w:rsidR="00646C30" w:rsidRDefault="00646C30" w:rsidP="00646C30">
      <w:permStart w:id="2102155623" w:edGrp="everyone"/>
      <w:r>
        <w:t>TYPE YOUR TEXT HERE</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3D6B6F67" w14:textId="77777777" w:rsidR="00646C30" w:rsidRDefault="00646C30" w:rsidP="00646C30">
      <w:permStart w:id="203690501" w:edGrp="everyone"/>
      <w:r>
        <w:t>TYPE YOUR TEXT HERE</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77777777" w:rsidR="00646C30" w:rsidRDefault="00646C30" w:rsidP="00646C30">
      <w:permStart w:id="1935441367" w:edGrp="everyone"/>
      <w:r>
        <w:t>TYPE YOUR TEXT HERE</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lastRenderedPageBreak/>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AE43C" w14:textId="77777777" w:rsidR="001675A9" w:rsidRDefault="001675A9">
      <w:r>
        <w:separator/>
      </w:r>
    </w:p>
    <w:p w14:paraId="7C72AB09" w14:textId="77777777" w:rsidR="001675A9" w:rsidRDefault="001675A9"/>
  </w:endnote>
  <w:endnote w:type="continuationSeparator" w:id="0">
    <w:p w14:paraId="0370D01B" w14:textId="77777777" w:rsidR="001675A9" w:rsidRDefault="001675A9">
      <w:r>
        <w:continuationSeparator/>
      </w:r>
    </w:p>
    <w:p w14:paraId="19EC4878" w14:textId="77777777" w:rsidR="001675A9" w:rsidRDefault="001675A9"/>
  </w:endnote>
  <w:endnote w:type="continuationNotice" w:id="1">
    <w:p w14:paraId="08570E25" w14:textId="77777777" w:rsidR="001675A9" w:rsidRDefault="0016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C03B9" w:rsidRPr="00616B9B" w14:paraId="313FAE1A" w14:textId="77777777" w:rsidTr="00315E96">
      <w:trPr>
        <w:trHeight w:val="284"/>
      </w:trPr>
      <w:tc>
        <w:tcPr>
          <w:tcW w:w="8460" w:type="dxa"/>
        </w:tcPr>
        <w:p w14:paraId="0BEF8BC6" w14:textId="77777777" w:rsidR="004C03B9" w:rsidRPr="00315E96" w:rsidRDefault="004C03B9" w:rsidP="00315E96">
          <w:pPr>
            <w:pStyle w:val="00Footer"/>
            <w:rPr>
              <w:lang w:val="fr-FR"/>
            </w:rPr>
          </w:pPr>
        </w:p>
      </w:tc>
      <w:tc>
        <w:tcPr>
          <w:tcW w:w="952" w:type="dxa"/>
        </w:tcPr>
        <w:p w14:paraId="7FD1DE07" w14:textId="77777777" w:rsidR="004C03B9" w:rsidRPr="00616B9B" w:rsidRDefault="004C03B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4C03B9" w:rsidRDefault="004C03B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4C03B9" w:rsidRDefault="004C03B9" w:rsidP="00B61CD3">
    <w:pPr>
      <w:pStyle w:val="Sidfot"/>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4C03B9" w:rsidRDefault="004C03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5DDA2" w14:textId="77777777" w:rsidR="001675A9" w:rsidRDefault="001675A9">
      <w:r>
        <w:separator/>
      </w:r>
    </w:p>
    <w:p w14:paraId="63846D49" w14:textId="77777777" w:rsidR="001675A9" w:rsidRDefault="001675A9"/>
  </w:footnote>
  <w:footnote w:type="continuationSeparator" w:id="0">
    <w:p w14:paraId="38161099" w14:textId="77777777" w:rsidR="001675A9" w:rsidRDefault="001675A9">
      <w:r>
        <w:continuationSeparator/>
      </w:r>
    </w:p>
    <w:p w14:paraId="41879DCA" w14:textId="77777777" w:rsidR="001675A9" w:rsidRDefault="001675A9"/>
  </w:footnote>
  <w:footnote w:type="continuationNotice" w:id="1">
    <w:p w14:paraId="170A5561" w14:textId="77777777" w:rsidR="001675A9" w:rsidRDefault="00167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4C03B9" w:rsidRDefault="004C03B9">
    <w:pPr>
      <w:pStyle w:val="Sidhuvud"/>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6BF4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4C03B9" w:rsidRDefault="004C03B9" w:rsidP="00013CCE">
    <w:pPr>
      <w:pStyle w:val="Sidhuvud"/>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4C03B9" w:rsidRDefault="004C03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C03B9" w:rsidRPr="002F4496" w14:paraId="60C7474C" w14:textId="77777777" w:rsidTr="000C06C9">
      <w:trPr>
        <w:trHeight w:val="284"/>
      </w:trPr>
      <w:tc>
        <w:tcPr>
          <w:tcW w:w="8460" w:type="dxa"/>
        </w:tcPr>
        <w:p w14:paraId="54B7E7F0" w14:textId="77777777" w:rsidR="004C03B9" w:rsidRPr="000C3B6D" w:rsidRDefault="004C03B9" w:rsidP="000C06C9">
          <w:pPr>
            <w:pStyle w:val="00Footer"/>
            <w:rPr>
              <w:lang w:val="fr-FR"/>
            </w:rPr>
          </w:pPr>
        </w:p>
      </w:tc>
      <w:tc>
        <w:tcPr>
          <w:tcW w:w="952" w:type="dxa"/>
        </w:tcPr>
        <w:p w14:paraId="2E49D042" w14:textId="77777777" w:rsidR="004C03B9" w:rsidRPr="00146B34" w:rsidRDefault="004C03B9" w:rsidP="000C06C9">
          <w:pPr>
            <w:pStyle w:val="00aPagenumber"/>
            <w:rPr>
              <w:lang w:val="fr-FR"/>
            </w:rPr>
          </w:pPr>
        </w:p>
      </w:tc>
    </w:tr>
  </w:tbl>
  <w:p w14:paraId="580707D9" w14:textId="77777777" w:rsidR="004C03B9" w:rsidRPr="00DB46C3" w:rsidRDefault="004C03B9">
    <w:pPr>
      <w:rPr>
        <w:lang w:val="fr-FR"/>
      </w:rPr>
    </w:pPr>
  </w:p>
  <w:p w14:paraId="20C4F67C" w14:textId="77777777" w:rsidR="004C03B9" w:rsidRPr="002F4496" w:rsidRDefault="004C03B9">
    <w:pPr>
      <w:pStyle w:val="Sidhuvud"/>
      <w:rPr>
        <w:lang w:val="fr-FR"/>
      </w:rPr>
    </w:pPr>
  </w:p>
  <w:p w14:paraId="3F30C70B" w14:textId="77777777" w:rsidR="004C03B9" w:rsidRPr="002F4496" w:rsidRDefault="004C03B9" w:rsidP="000C06C9">
    <w:pPr>
      <w:pStyle w:val="Sidhuvud"/>
      <w:tabs>
        <w:tab w:val="clear" w:pos="4536"/>
        <w:tab w:val="clear" w:pos="9072"/>
        <w:tab w:val="left" w:pos="8227"/>
      </w:tabs>
      <w:rPr>
        <w:lang w:val="fr-FR"/>
      </w:rPr>
    </w:pPr>
  </w:p>
  <w:p w14:paraId="4D50BC39" w14:textId="77777777" w:rsidR="004C03B9" w:rsidRPr="002F4496" w:rsidRDefault="004C03B9" w:rsidP="00583885">
    <w:pPr>
      <w:pStyle w:val="Sidhuvud"/>
      <w:jc w:val="right"/>
      <w:rPr>
        <w:lang w:val="fr-FR"/>
      </w:rPr>
    </w:pPr>
  </w:p>
  <w:p w14:paraId="2D51BEA2" w14:textId="77777777" w:rsidR="004C03B9" w:rsidRPr="002F4496" w:rsidRDefault="004C03B9">
    <w:pPr>
      <w:pStyle w:val="Sidhuvud"/>
      <w:rPr>
        <w:lang w:val="fr-FR"/>
      </w:rPr>
    </w:pPr>
  </w:p>
  <w:p w14:paraId="340B2438" w14:textId="77777777" w:rsidR="004C03B9" w:rsidRPr="002F4496" w:rsidRDefault="004C03B9">
    <w:pPr>
      <w:pStyle w:val="Sidhuvud"/>
      <w:rPr>
        <w:lang w:val="fr-FR"/>
      </w:rPr>
    </w:pPr>
  </w:p>
  <w:p w14:paraId="2A794A3E" w14:textId="77777777" w:rsidR="004C03B9" w:rsidRPr="002F4496" w:rsidRDefault="004C03B9">
    <w:pPr>
      <w:pStyle w:val="Sidhuvud"/>
      <w:rPr>
        <w:lang w:val="fr-FR"/>
      </w:rPr>
    </w:pPr>
  </w:p>
  <w:p w14:paraId="0A21F475" w14:textId="77777777" w:rsidR="004C03B9" w:rsidRPr="002F4496" w:rsidRDefault="004C03B9">
    <w:pPr>
      <w:pStyle w:val="Sidhuvud"/>
      <w:rPr>
        <w:highlight w:val="yellow"/>
        <w:lang w:val="fr-FR"/>
      </w:rPr>
    </w:pPr>
  </w:p>
  <w:p w14:paraId="53ABEE5D" w14:textId="77777777" w:rsidR="004C03B9" w:rsidRDefault="004C03B9">
    <w:pPr>
      <w:pStyle w:val="Sidhuvud"/>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353A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31"/>
    <w:rsid w:val="000006AD"/>
    <w:rsid w:val="00001490"/>
    <w:rsid w:val="00002232"/>
    <w:rsid w:val="00002491"/>
    <w:rsid w:val="0000370A"/>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69EA"/>
    <w:rsid w:val="0006723C"/>
    <w:rsid w:val="00070376"/>
    <w:rsid w:val="00070630"/>
    <w:rsid w:val="00070974"/>
    <w:rsid w:val="00071EAD"/>
    <w:rsid w:val="00071F4E"/>
    <w:rsid w:val="00072271"/>
    <w:rsid w:val="00072B54"/>
    <w:rsid w:val="00073A17"/>
    <w:rsid w:val="0007463D"/>
    <w:rsid w:val="00074979"/>
    <w:rsid w:val="000749F0"/>
    <w:rsid w:val="0007609D"/>
    <w:rsid w:val="00077C67"/>
    <w:rsid w:val="00080976"/>
    <w:rsid w:val="00081CEB"/>
    <w:rsid w:val="00081E60"/>
    <w:rsid w:val="00082D8E"/>
    <w:rsid w:val="00082E31"/>
    <w:rsid w:val="00083AA3"/>
    <w:rsid w:val="000856A0"/>
    <w:rsid w:val="00085947"/>
    <w:rsid w:val="000868FE"/>
    <w:rsid w:val="000878D1"/>
    <w:rsid w:val="00090C1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60C1"/>
    <w:rsid w:val="000A7314"/>
    <w:rsid w:val="000A7B53"/>
    <w:rsid w:val="000A7B64"/>
    <w:rsid w:val="000B275C"/>
    <w:rsid w:val="000B2C3D"/>
    <w:rsid w:val="000B55C0"/>
    <w:rsid w:val="000B5DF2"/>
    <w:rsid w:val="000B7B06"/>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3F26"/>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779"/>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BDE"/>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675A9"/>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271A"/>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52FA"/>
    <w:rsid w:val="001E66EC"/>
    <w:rsid w:val="001E68C5"/>
    <w:rsid w:val="001E6943"/>
    <w:rsid w:val="001E7FBB"/>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CB"/>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48A7"/>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D3A"/>
    <w:rsid w:val="002D6E1A"/>
    <w:rsid w:val="002E036D"/>
    <w:rsid w:val="002E1517"/>
    <w:rsid w:val="002E1760"/>
    <w:rsid w:val="002E1B22"/>
    <w:rsid w:val="002E31DA"/>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56DD"/>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28DF"/>
    <w:rsid w:val="00344496"/>
    <w:rsid w:val="00345968"/>
    <w:rsid w:val="00347667"/>
    <w:rsid w:val="003507E2"/>
    <w:rsid w:val="0035118A"/>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23D"/>
    <w:rsid w:val="003B381A"/>
    <w:rsid w:val="003B4976"/>
    <w:rsid w:val="003B4B3F"/>
    <w:rsid w:val="003B6258"/>
    <w:rsid w:val="003B651C"/>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6B47"/>
    <w:rsid w:val="003E79B0"/>
    <w:rsid w:val="003F0403"/>
    <w:rsid w:val="003F0D5D"/>
    <w:rsid w:val="003F1094"/>
    <w:rsid w:val="003F29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78"/>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48F6"/>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F8F"/>
    <w:rsid w:val="004B71C7"/>
    <w:rsid w:val="004C03AA"/>
    <w:rsid w:val="004C03B9"/>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E8C"/>
    <w:rsid w:val="0054672D"/>
    <w:rsid w:val="00550F4E"/>
    <w:rsid w:val="00551E98"/>
    <w:rsid w:val="005532B5"/>
    <w:rsid w:val="00554A05"/>
    <w:rsid w:val="00555849"/>
    <w:rsid w:val="005559A8"/>
    <w:rsid w:val="00556680"/>
    <w:rsid w:val="00557048"/>
    <w:rsid w:val="00557FB5"/>
    <w:rsid w:val="00561AED"/>
    <w:rsid w:val="005648A8"/>
    <w:rsid w:val="00564DE3"/>
    <w:rsid w:val="00564E44"/>
    <w:rsid w:val="00565582"/>
    <w:rsid w:val="00566C6A"/>
    <w:rsid w:val="00566CE5"/>
    <w:rsid w:val="00566D36"/>
    <w:rsid w:val="00573569"/>
    <w:rsid w:val="00573871"/>
    <w:rsid w:val="0057389E"/>
    <w:rsid w:val="005765C0"/>
    <w:rsid w:val="005778DE"/>
    <w:rsid w:val="00580B3F"/>
    <w:rsid w:val="005825F2"/>
    <w:rsid w:val="00583885"/>
    <w:rsid w:val="00585F0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5B4E"/>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4FE"/>
    <w:rsid w:val="005C663C"/>
    <w:rsid w:val="005D0750"/>
    <w:rsid w:val="005D1023"/>
    <w:rsid w:val="005D148F"/>
    <w:rsid w:val="005D15FD"/>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B5C"/>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3F5"/>
    <w:rsid w:val="00694B73"/>
    <w:rsid w:val="00694DF2"/>
    <w:rsid w:val="00695791"/>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328"/>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77BEC"/>
    <w:rsid w:val="007801FF"/>
    <w:rsid w:val="007805B9"/>
    <w:rsid w:val="00780C3A"/>
    <w:rsid w:val="007834A1"/>
    <w:rsid w:val="00791EB4"/>
    <w:rsid w:val="007928F1"/>
    <w:rsid w:val="0079357D"/>
    <w:rsid w:val="007937CC"/>
    <w:rsid w:val="00793A31"/>
    <w:rsid w:val="0079485D"/>
    <w:rsid w:val="00794979"/>
    <w:rsid w:val="007956B7"/>
    <w:rsid w:val="00795F1A"/>
    <w:rsid w:val="0079649D"/>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2C6"/>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371"/>
    <w:rsid w:val="00803480"/>
    <w:rsid w:val="0080359C"/>
    <w:rsid w:val="008037AE"/>
    <w:rsid w:val="008040D1"/>
    <w:rsid w:val="008043F4"/>
    <w:rsid w:val="00804BB4"/>
    <w:rsid w:val="00805D9F"/>
    <w:rsid w:val="00807A4D"/>
    <w:rsid w:val="00807F30"/>
    <w:rsid w:val="008103DC"/>
    <w:rsid w:val="00810F1D"/>
    <w:rsid w:val="0081119F"/>
    <w:rsid w:val="0081134D"/>
    <w:rsid w:val="00811EDA"/>
    <w:rsid w:val="00812403"/>
    <w:rsid w:val="00812957"/>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3DA"/>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44F"/>
    <w:rsid w:val="008575EB"/>
    <w:rsid w:val="00862DDD"/>
    <w:rsid w:val="0086326D"/>
    <w:rsid w:val="00863CC1"/>
    <w:rsid w:val="00865B01"/>
    <w:rsid w:val="00865D67"/>
    <w:rsid w:val="008664D7"/>
    <w:rsid w:val="00866D7A"/>
    <w:rsid w:val="00866EE3"/>
    <w:rsid w:val="00871F04"/>
    <w:rsid w:val="008746C1"/>
    <w:rsid w:val="00880224"/>
    <w:rsid w:val="0088244C"/>
    <w:rsid w:val="00882E4F"/>
    <w:rsid w:val="00883367"/>
    <w:rsid w:val="00884C47"/>
    <w:rsid w:val="00885E6F"/>
    <w:rsid w:val="008861AC"/>
    <w:rsid w:val="008868E4"/>
    <w:rsid w:val="00886A60"/>
    <w:rsid w:val="0088759B"/>
    <w:rsid w:val="008909B4"/>
    <w:rsid w:val="008922E8"/>
    <w:rsid w:val="00893916"/>
    <w:rsid w:val="0089442C"/>
    <w:rsid w:val="00895085"/>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3B5"/>
    <w:rsid w:val="008C3863"/>
    <w:rsid w:val="008C3B6B"/>
    <w:rsid w:val="008C4BDC"/>
    <w:rsid w:val="008C4C3E"/>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0EB"/>
    <w:rsid w:val="008F4B2C"/>
    <w:rsid w:val="008F4B50"/>
    <w:rsid w:val="008F4C08"/>
    <w:rsid w:val="008F6851"/>
    <w:rsid w:val="008F7BC4"/>
    <w:rsid w:val="008F7F4D"/>
    <w:rsid w:val="009003B8"/>
    <w:rsid w:val="00900E7A"/>
    <w:rsid w:val="00903E11"/>
    <w:rsid w:val="00903EBE"/>
    <w:rsid w:val="009041DE"/>
    <w:rsid w:val="009054A8"/>
    <w:rsid w:val="00905D59"/>
    <w:rsid w:val="009062CA"/>
    <w:rsid w:val="00907631"/>
    <w:rsid w:val="00907776"/>
    <w:rsid w:val="00907865"/>
    <w:rsid w:val="00913401"/>
    <w:rsid w:val="00913567"/>
    <w:rsid w:val="009137B6"/>
    <w:rsid w:val="00915EBA"/>
    <w:rsid w:val="00917093"/>
    <w:rsid w:val="0092030E"/>
    <w:rsid w:val="009217B1"/>
    <w:rsid w:val="00921A42"/>
    <w:rsid w:val="009220EC"/>
    <w:rsid w:val="009223BB"/>
    <w:rsid w:val="00922491"/>
    <w:rsid w:val="00923BCF"/>
    <w:rsid w:val="00925AEC"/>
    <w:rsid w:val="0092751A"/>
    <w:rsid w:val="009305C4"/>
    <w:rsid w:val="00931FAF"/>
    <w:rsid w:val="00932478"/>
    <w:rsid w:val="0093481A"/>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027"/>
    <w:rsid w:val="0095745E"/>
    <w:rsid w:val="00957CE0"/>
    <w:rsid w:val="0096002E"/>
    <w:rsid w:val="0096039E"/>
    <w:rsid w:val="00962CEF"/>
    <w:rsid w:val="00963766"/>
    <w:rsid w:val="00963FDF"/>
    <w:rsid w:val="00964C32"/>
    <w:rsid w:val="0096528F"/>
    <w:rsid w:val="009653F2"/>
    <w:rsid w:val="0096584E"/>
    <w:rsid w:val="009661DF"/>
    <w:rsid w:val="009667BD"/>
    <w:rsid w:val="00967CE2"/>
    <w:rsid w:val="0097030E"/>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0"/>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2DD"/>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2181"/>
    <w:rsid w:val="00A24269"/>
    <w:rsid w:val="00A243E4"/>
    <w:rsid w:val="00A25392"/>
    <w:rsid w:val="00A25ED4"/>
    <w:rsid w:val="00A263DF"/>
    <w:rsid w:val="00A26C5C"/>
    <w:rsid w:val="00A3026E"/>
    <w:rsid w:val="00A30BDE"/>
    <w:rsid w:val="00A3131C"/>
    <w:rsid w:val="00A31F14"/>
    <w:rsid w:val="00A324DC"/>
    <w:rsid w:val="00A3265B"/>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0B61"/>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42D3"/>
    <w:rsid w:val="00A649E4"/>
    <w:rsid w:val="00A65805"/>
    <w:rsid w:val="00A66BEE"/>
    <w:rsid w:val="00A671C9"/>
    <w:rsid w:val="00A67DFD"/>
    <w:rsid w:val="00A74F9F"/>
    <w:rsid w:val="00A750B3"/>
    <w:rsid w:val="00A75559"/>
    <w:rsid w:val="00A7623D"/>
    <w:rsid w:val="00A8013B"/>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A6B94"/>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55F0"/>
    <w:rsid w:val="00AE627C"/>
    <w:rsid w:val="00AE62B0"/>
    <w:rsid w:val="00AE68A2"/>
    <w:rsid w:val="00AF000B"/>
    <w:rsid w:val="00AF0029"/>
    <w:rsid w:val="00AF0354"/>
    <w:rsid w:val="00AF089F"/>
    <w:rsid w:val="00AF1236"/>
    <w:rsid w:val="00AF2C54"/>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3FDB"/>
    <w:rsid w:val="00B546C3"/>
    <w:rsid w:val="00B54BD9"/>
    <w:rsid w:val="00B5503C"/>
    <w:rsid w:val="00B55123"/>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4D5"/>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141C"/>
    <w:rsid w:val="00C025B9"/>
    <w:rsid w:val="00C044B4"/>
    <w:rsid w:val="00C05105"/>
    <w:rsid w:val="00C05A5D"/>
    <w:rsid w:val="00C0654A"/>
    <w:rsid w:val="00C06DE3"/>
    <w:rsid w:val="00C06F97"/>
    <w:rsid w:val="00C102DE"/>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5EBF"/>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07C7"/>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8770F"/>
    <w:rsid w:val="00C909C6"/>
    <w:rsid w:val="00C923B7"/>
    <w:rsid w:val="00C94D4C"/>
    <w:rsid w:val="00C96C1E"/>
    <w:rsid w:val="00C96CA4"/>
    <w:rsid w:val="00CA012C"/>
    <w:rsid w:val="00CA0AA6"/>
    <w:rsid w:val="00CA26F0"/>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0B5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46BB"/>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276D9"/>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57E0"/>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07F"/>
    <w:rsid w:val="00DD33DC"/>
    <w:rsid w:val="00DD3BB0"/>
    <w:rsid w:val="00DD61F5"/>
    <w:rsid w:val="00DD7418"/>
    <w:rsid w:val="00DE4A74"/>
    <w:rsid w:val="00DE64A6"/>
    <w:rsid w:val="00DE66EB"/>
    <w:rsid w:val="00DE7035"/>
    <w:rsid w:val="00DF12E3"/>
    <w:rsid w:val="00DF1573"/>
    <w:rsid w:val="00DF2A20"/>
    <w:rsid w:val="00DF3F1D"/>
    <w:rsid w:val="00DF595C"/>
    <w:rsid w:val="00DF7EA7"/>
    <w:rsid w:val="00E04548"/>
    <w:rsid w:val="00E0484E"/>
    <w:rsid w:val="00E063F8"/>
    <w:rsid w:val="00E07AC3"/>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A57"/>
    <w:rsid w:val="00E8713B"/>
    <w:rsid w:val="00E876CE"/>
    <w:rsid w:val="00E90774"/>
    <w:rsid w:val="00E90C61"/>
    <w:rsid w:val="00E92A82"/>
    <w:rsid w:val="00E92AA8"/>
    <w:rsid w:val="00E9344E"/>
    <w:rsid w:val="00E93E39"/>
    <w:rsid w:val="00E94391"/>
    <w:rsid w:val="00E9607F"/>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1AF2"/>
    <w:rsid w:val="00ED2167"/>
    <w:rsid w:val="00ED351E"/>
    <w:rsid w:val="00ED4B27"/>
    <w:rsid w:val="00ED543C"/>
    <w:rsid w:val="00ED5777"/>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0AA5"/>
    <w:rsid w:val="00F71AC2"/>
    <w:rsid w:val="00F7288E"/>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15A7"/>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5A45"/>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646C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qForma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Paragraphe de liste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1940">
      <w:bodyDiv w:val="1"/>
      <w:marLeft w:val="0"/>
      <w:marRight w:val="0"/>
      <w:marTop w:val="0"/>
      <w:marBottom w:val="0"/>
      <w:divBdr>
        <w:top w:val="none" w:sz="0" w:space="0" w:color="auto"/>
        <w:left w:val="none" w:sz="0" w:space="0" w:color="auto"/>
        <w:bottom w:val="none" w:sz="0" w:space="0" w:color="auto"/>
        <w:right w:val="none" w:sz="0" w:space="0" w:color="auto"/>
      </w:divBdr>
      <w:divsChild>
        <w:div w:id="1048142348">
          <w:marLeft w:val="0"/>
          <w:marRight w:val="0"/>
          <w:marTop w:val="0"/>
          <w:marBottom w:val="0"/>
          <w:divBdr>
            <w:top w:val="none" w:sz="0" w:space="0" w:color="auto"/>
            <w:left w:val="none" w:sz="0" w:space="0" w:color="auto"/>
            <w:bottom w:val="none" w:sz="0" w:space="0" w:color="auto"/>
            <w:right w:val="none" w:sz="0" w:space="0" w:color="auto"/>
          </w:divBdr>
          <w:divsChild>
            <w:div w:id="1111165344">
              <w:marLeft w:val="0"/>
              <w:marRight w:val="0"/>
              <w:marTop w:val="0"/>
              <w:marBottom w:val="0"/>
              <w:divBdr>
                <w:top w:val="none" w:sz="0" w:space="0" w:color="auto"/>
                <w:left w:val="none" w:sz="0" w:space="0" w:color="auto"/>
                <w:bottom w:val="none" w:sz="0" w:space="0" w:color="auto"/>
                <w:right w:val="none" w:sz="0" w:space="0" w:color="auto"/>
              </w:divBdr>
              <w:divsChild>
                <w:div w:id="1012148542">
                  <w:marLeft w:val="0"/>
                  <w:marRight w:val="0"/>
                  <w:marTop w:val="0"/>
                  <w:marBottom w:val="0"/>
                  <w:divBdr>
                    <w:top w:val="none" w:sz="0" w:space="0" w:color="auto"/>
                    <w:left w:val="none" w:sz="0" w:space="0" w:color="auto"/>
                    <w:bottom w:val="none" w:sz="0" w:space="0" w:color="auto"/>
                    <w:right w:val="none" w:sz="0" w:space="0" w:color="auto"/>
                  </w:divBdr>
                  <w:divsChild>
                    <w:div w:id="16714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07432469">
      <w:bodyDiv w:val="1"/>
      <w:marLeft w:val="0"/>
      <w:marRight w:val="0"/>
      <w:marTop w:val="0"/>
      <w:marBottom w:val="0"/>
      <w:divBdr>
        <w:top w:val="none" w:sz="0" w:space="0" w:color="auto"/>
        <w:left w:val="none" w:sz="0" w:space="0" w:color="auto"/>
        <w:bottom w:val="none" w:sz="0" w:space="0" w:color="auto"/>
        <w:right w:val="none" w:sz="0" w:space="0" w:color="auto"/>
      </w:divBdr>
      <w:divsChild>
        <w:div w:id="169175941">
          <w:marLeft w:val="0"/>
          <w:marRight w:val="0"/>
          <w:marTop w:val="0"/>
          <w:marBottom w:val="0"/>
          <w:divBdr>
            <w:top w:val="none" w:sz="0" w:space="0" w:color="auto"/>
            <w:left w:val="none" w:sz="0" w:space="0" w:color="auto"/>
            <w:bottom w:val="none" w:sz="0" w:space="0" w:color="auto"/>
            <w:right w:val="none" w:sz="0" w:space="0" w:color="auto"/>
          </w:divBdr>
          <w:divsChild>
            <w:div w:id="1692341196">
              <w:marLeft w:val="0"/>
              <w:marRight w:val="0"/>
              <w:marTop w:val="0"/>
              <w:marBottom w:val="0"/>
              <w:divBdr>
                <w:top w:val="none" w:sz="0" w:space="0" w:color="auto"/>
                <w:left w:val="none" w:sz="0" w:space="0" w:color="auto"/>
                <w:bottom w:val="none" w:sz="0" w:space="0" w:color="auto"/>
                <w:right w:val="none" w:sz="0" w:space="0" w:color="auto"/>
              </w:divBdr>
              <w:divsChild>
                <w:div w:id="240412468">
                  <w:marLeft w:val="0"/>
                  <w:marRight w:val="0"/>
                  <w:marTop w:val="0"/>
                  <w:marBottom w:val="0"/>
                  <w:divBdr>
                    <w:top w:val="none" w:sz="0" w:space="0" w:color="auto"/>
                    <w:left w:val="none" w:sz="0" w:space="0" w:color="auto"/>
                    <w:bottom w:val="none" w:sz="0" w:space="0" w:color="auto"/>
                    <w:right w:val="none" w:sz="0" w:space="0" w:color="auto"/>
                  </w:divBdr>
                  <w:divsChild>
                    <w:div w:id="1638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24893752">
      <w:bodyDiv w:val="1"/>
      <w:marLeft w:val="0"/>
      <w:marRight w:val="0"/>
      <w:marTop w:val="0"/>
      <w:marBottom w:val="0"/>
      <w:divBdr>
        <w:top w:val="none" w:sz="0" w:space="0" w:color="auto"/>
        <w:left w:val="none" w:sz="0" w:space="0" w:color="auto"/>
        <w:bottom w:val="none" w:sz="0" w:space="0" w:color="auto"/>
        <w:right w:val="none" w:sz="0" w:space="0" w:color="auto"/>
      </w:divBdr>
      <w:divsChild>
        <w:div w:id="683557746">
          <w:marLeft w:val="0"/>
          <w:marRight w:val="0"/>
          <w:marTop w:val="0"/>
          <w:marBottom w:val="0"/>
          <w:divBdr>
            <w:top w:val="none" w:sz="0" w:space="0" w:color="auto"/>
            <w:left w:val="none" w:sz="0" w:space="0" w:color="auto"/>
            <w:bottom w:val="none" w:sz="0" w:space="0" w:color="auto"/>
            <w:right w:val="none" w:sz="0" w:space="0" w:color="auto"/>
          </w:divBdr>
          <w:divsChild>
            <w:div w:id="794106122">
              <w:marLeft w:val="0"/>
              <w:marRight w:val="0"/>
              <w:marTop w:val="0"/>
              <w:marBottom w:val="0"/>
              <w:divBdr>
                <w:top w:val="none" w:sz="0" w:space="0" w:color="auto"/>
                <w:left w:val="none" w:sz="0" w:space="0" w:color="auto"/>
                <w:bottom w:val="none" w:sz="0" w:space="0" w:color="auto"/>
                <w:right w:val="none" w:sz="0" w:space="0" w:color="auto"/>
              </w:divBdr>
              <w:divsChild>
                <w:div w:id="687173684">
                  <w:marLeft w:val="0"/>
                  <w:marRight w:val="0"/>
                  <w:marTop w:val="0"/>
                  <w:marBottom w:val="0"/>
                  <w:divBdr>
                    <w:top w:val="none" w:sz="0" w:space="0" w:color="auto"/>
                    <w:left w:val="none" w:sz="0" w:space="0" w:color="auto"/>
                    <w:bottom w:val="none" w:sz="0" w:space="0" w:color="auto"/>
                    <w:right w:val="none" w:sz="0" w:space="0" w:color="auto"/>
                  </w:divBdr>
                  <w:divsChild>
                    <w:div w:id="146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88909848">
      <w:bodyDiv w:val="1"/>
      <w:marLeft w:val="0"/>
      <w:marRight w:val="0"/>
      <w:marTop w:val="0"/>
      <w:marBottom w:val="0"/>
      <w:divBdr>
        <w:top w:val="none" w:sz="0" w:space="0" w:color="auto"/>
        <w:left w:val="none" w:sz="0" w:space="0" w:color="auto"/>
        <w:bottom w:val="none" w:sz="0" w:space="0" w:color="auto"/>
        <w:right w:val="none" w:sz="0" w:space="0" w:color="auto"/>
      </w:divBdr>
      <w:divsChild>
        <w:div w:id="1393189892">
          <w:marLeft w:val="0"/>
          <w:marRight w:val="0"/>
          <w:marTop w:val="0"/>
          <w:marBottom w:val="0"/>
          <w:divBdr>
            <w:top w:val="none" w:sz="0" w:space="0" w:color="auto"/>
            <w:left w:val="none" w:sz="0" w:space="0" w:color="auto"/>
            <w:bottom w:val="none" w:sz="0" w:space="0" w:color="auto"/>
            <w:right w:val="none" w:sz="0" w:space="0" w:color="auto"/>
          </w:divBdr>
          <w:divsChild>
            <w:div w:id="882593056">
              <w:marLeft w:val="0"/>
              <w:marRight w:val="0"/>
              <w:marTop w:val="0"/>
              <w:marBottom w:val="0"/>
              <w:divBdr>
                <w:top w:val="none" w:sz="0" w:space="0" w:color="auto"/>
                <w:left w:val="none" w:sz="0" w:space="0" w:color="auto"/>
                <w:bottom w:val="none" w:sz="0" w:space="0" w:color="auto"/>
                <w:right w:val="none" w:sz="0" w:space="0" w:color="auto"/>
              </w:divBdr>
              <w:divsChild>
                <w:div w:id="296298670">
                  <w:marLeft w:val="0"/>
                  <w:marRight w:val="0"/>
                  <w:marTop w:val="0"/>
                  <w:marBottom w:val="0"/>
                  <w:divBdr>
                    <w:top w:val="none" w:sz="0" w:space="0" w:color="auto"/>
                    <w:left w:val="none" w:sz="0" w:space="0" w:color="auto"/>
                    <w:bottom w:val="none" w:sz="0" w:space="0" w:color="auto"/>
                    <w:right w:val="none" w:sz="0" w:space="0" w:color="auto"/>
                  </w:divBdr>
                  <w:divsChild>
                    <w:div w:id="14482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598103314">
      <w:bodyDiv w:val="1"/>
      <w:marLeft w:val="0"/>
      <w:marRight w:val="0"/>
      <w:marTop w:val="0"/>
      <w:marBottom w:val="0"/>
      <w:divBdr>
        <w:top w:val="none" w:sz="0" w:space="0" w:color="auto"/>
        <w:left w:val="none" w:sz="0" w:space="0" w:color="auto"/>
        <w:bottom w:val="none" w:sz="0" w:space="0" w:color="auto"/>
        <w:right w:val="none" w:sz="0" w:space="0" w:color="auto"/>
      </w:divBdr>
    </w:div>
    <w:div w:id="619845994">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75291038">
      <w:bodyDiv w:val="1"/>
      <w:marLeft w:val="0"/>
      <w:marRight w:val="0"/>
      <w:marTop w:val="0"/>
      <w:marBottom w:val="0"/>
      <w:divBdr>
        <w:top w:val="none" w:sz="0" w:space="0" w:color="auto"/>
        <w:left w:val="none" w:sz="0" w:space="0" w:color="auto"/>
        <w:bottom w:val="none" w:sz="0" w:space="0" w:color="auto"/>
        <w:right w:val="none" w:sz="0" w:space="0" w:color="auto"/>
      </w:divBdr>
      <w:divsChild>
        <w:div w:id="95518446">
          <w:marLeft w:val="0"/>
          <w:marRight w:val="0"/>
          <w:marTop w:val="0"/>
          <w:marBottom w:val="0"/>
          <w:divBdr>
            <w:top w:val="none" w:sz="0" w:space="0" w:color="auto"/>
            <w:left w:val="none" w:sz="0" w:space="0" w:color="auto"/>
            <w:bottom w:val="none" w:sz="0" w:space="0" w:color="auto"/>
            <w:right w:val="none" w:sz="0" w:space="0" w:color="auto"/>
          </w:divBdr>
        </w:div>
        <w:div w:id="780876004">
          <w:marLeft w:val="0"/>
          <w:marRight w:val="0"/>
          <w:marTop w:val="0"/>
          <w:marBottom w:val="0"/>
          <w:divBdr>
            <w:top w:val="none" w:sz="0" w:space="0" w:color="auto"/>
            <w:left w:val="none" w:sz="0" w:space="0" w:color="auto"/>
            <w:bottom w:val="none" w:sz="0" w:space="0" w:color="auto"/>
            <w:right w:val="none" w:sz="0" w:space="0" w:color="auto"/>
          </w:divBdr>
          <w:divsChild>
            <w:div w:id="2134640121">
              <w:marLeft w:val="0"/>
              <w:marRight w:val="0"/>
              <w:marTop w:val="0"/>
              <w:marBottom w:val="0"/>
              <w:divBdr>
                <w:top w:val="none" w:sz="0" w:space="0" w:color="auto"/>
                <w:left w:val="none" w:sz="0" w:space="0" w:color="auto"/>
                <w:bottom w:val="none" w:sz="0" w:space="0" w:color="auto"/>
                <w:right w:val="none" w:sz="0" w:space="0" w:color="auto"/>
              </w:divBdr>
              <w:divsChild>
                <w:div w:id="1817800595">
                  <w:marLeft w:val="0"/>
                  <w:marRight w:val="0"/>
                  <w:marTop w:val="0"/>
                  <w:marBottom w:val="0"/>
                  <w:divBdr>
                    <w:top w:val="none" w:sz="0" w:space="0" w:color="auto"/>
                    <w:left w:val="none" w:sz="0" w:space="0" w:color="auto"/>
                    <w:bottom w:val="none" w:sz="0" w:space="0" w:color="auto"/>
                    <w:right w:val="none" w:sz="0" w:space="0" w:color="auto"/>
                  </w:divBdr>
                  <w:divsChild>
                    <w:div w:id="2160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09983">
      <w:bodyDiv w:val="1"/>
      <w:marLeft w:val="0"/>
      <w:marRight w:val="0"/>
      <w:marTop w:val="0"/>
      <w:marBottom w:val="0"/>
      <w:divBdr>
        <w:top w:val="none" w:sz="0" w:space="0" w:color="auto"/>
        <w:left w:val="none" w:sz="0" w:space="0" w:color="auto"/>
        <w:bottom w:val="none" w:sz="0" w:space="0" w:color="auto"/>
        <w:right w:val="none" w:sz="0" w:space="0" w:color="auto"/>
      </w:divBdr>
      <w:divsChild>
        <w:div w:id="2116173836">
          <w:marLeft w:val="0"/>
          <w:marRight w:val="0"/>
          <w:marTop w:val="0"/>
          <w:marBottom w:val="0"/>
          <w:divBdr>
            <w:top w:val="none" w:sz="0" w:space="0" w:color="auto"/>
            <w:left w:val="none" w:sz="0" w:space="0" w:color="auto"/>
            <w:bottom w:val="none" w:sz="0" w:space="0" w:color="auto"/>
            <w:right w:val="none" w:sz="0" w:space="0" w:color="auto"/>
          </w:divBdr>
          <w:divsChild>
            <w:div w:id="458962224">
              <w:marLeft w:val="0"/>
              <w:marRight w:val="0"/>
              <w:marTop w:val="0"/>
              <w:marBottom w:val="0"/>
              <w:divBdr>
                <w:top w:val="none" w:sz="0" w:space="0" w:color="auto"/>
                <w:left w:val="none" w:sz="0" w:space="0" w:color="auto"/>
                <w:bottom w:val="none" w:sz="0" w:space="0" w:color="auto"/>
                <w:right w:val="none" w:sz="0" w:space="0" w:color="auto"/>
              </w:divBdr>
              <w:divsChild>
                <w:div w:id="270091666">
                  <w:marLeft w:val="0"/>
                  <w:marRight w:val="0"/>
                  <w:marTop w:val="0"/>
                  <w:marBottom w:val="0"/>
                  <w:divBdr>
                    <w:top w:val="none" w:sz="0" w:space="0" w:color="auto"/>
                    <w:left w:val="none" w:sz="0" w:space="0" w:color="auto"/>
                    <w:bottom w:val="none" w:sz="0" w:space="0" w:color="auto"/>
                    <w:right w:val="none" w:sz="0" w:space="0" w:color="auto"/>
                  </w:divBdr>
                  <w:divsChild>
                    <w:div w:id="17699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74468795">
      <w:bodyDiv w:val="1"/>
      <w:marLeft w:val="0"/>
      <w:marRight w:val="0"/>
      <w:marTop w:val="0"/>
      <w:marBottom w:val="0"/>
      <w:divBdr>
        <w:top w:val="none" w:sz="0" w:space="0" w:color="auto"/>
        <w:left w:val="none" w:sz="0" w:space="0" w:color="auto"/>
        <w:bottom w:val="none" w:sz="0" w:space="0" w:color="auto"/>
        <w:right w:val="none" w:sz="0" w:space="0" w:color="auto"/>
      </w:divBdr>
    </w:div>
    <w:div w:id="963148476">
      <w:bodyDiv w:val="1"/>
      <w:marLeft w:val="0"/>
      <w:marRight w:val="0"/>
      <w:marTop w:val="0"/>
      <w:marBottom w:val="0"/>
      <w:divBdr>
        <w:top w:val="none" w:sz="0" w:space="0" w:color="auto"/>
        <w:left w:val="none" w:sz="0" w:space="0" w:color="auto"/>
        <w:bottom w:val="none" w:sz="0" w:space="0" w:color="auto"/>
        <w:right w:val="none" w:sz="0" w:space="0" w:color="auto"/>
      </w:divBdr>
      <w:divsChild>
        <w:div w:id="58678920">
          <w:marLeft w:val="0"/>
          <w:marRight w:val="0"/>
          <w:marTop w:val="0"/>
          <w:marBottom w:val="0"/>
          <w:divBdr>
            <w:top w:val="none" w:sz="0" w:space="0" w:color="auto"/>
            <w:left w:val="none" w:sz="0" w:space="0" w:color="auto"/>
            <w:bottom w:val="none" w:sz="0" w:space="0" w:color="auto"/>
            <w:right w:val="none" w:sz="0" w:space="0" w:color="auto"/>
          </w:divBdr>
          <w:divsChild>
            <w:div w:id="682123351">
              <w:marLeft w:val="0"/>
              <w:marRight w:val="0"/>
              <w:marTop w:val="0"/>
              <w:marBottom w:val="0"/>
              <w:divBdr>
                <w:top w:val="none" w:sz="0" w:space="0" w:color="auto"/>
                <w:left w:val="none" w:sz="0" w:space="0" w:color="auto"/>
                <w:bottom w:val="none" w:sz="0" w:space="0" w:color="auto"/>
                <w:right w:val="none" w:sz="0" w:space="0" w:color="auto"/>
              </w:divBdr>
              <w:divsChild>
                <w:div w:id="538710682">
                  <w:marLeft w:val="0"/>
                  <w:marRight w:val="0"/>
                  <w:marTop w:val="0"/>
                  <w:marBottom w:val="0"/>
                  <w:divBdr>
                    <w:top w:val="none" w:sz="0" w:space="0" w:color="auto"/>
                    <w:left w:val="none" w:sz="0" w:space="0" w:color="auto"/>
                    <w:bottom w:val="none" w:sz="0" w:space="0" w:color="auto"/>
                    <w:right w:val="none" w:sz="0" w:space="0" w:color="auto"/>
                  </w:divBdr>
                  <w:divsChild>
                    <w:div w:id="18810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29832688">
      <w:bodyDiv w:val="1"/>
      <w:marLeft w:val="0"/>
      <w:marRight w:val="0"/>
      <w:marTop w:val="0"/>
      <w:marBottom w:val="0"/>
      <w:divBdr>
        <w:top w:val="none" w:sz="0" w:space="0" w:color="auto"/>
        <w:left w:val="none" w:sz="0" w:space="0" w:color="auto"/>
        <w:bottom w:val="none" w:sz="0" w:space="0" w:color="auto"/>
        <w:right w:val="none" w:sz="0" w:space="0" w:color="auto"/>
      </w:divBdr>
      <w:divsChild>
        <w:div w:id="83302711">
          <w:marLeft w:val="0"/>
          <w:marRight w:val="0"/>
          <w:marTop w:val="0"/>
          <w:marBottom w:val="0"/>
          <w:divBdr>
            <w:top w:val="none" w:sz="0" w:space="0" w:color="auto"/>
            <w:left w:val="none" w:sz="0" w:space="0" w:color="auto"/>
            <w:bottom w:val="none" w:sz="0" w:space="0" w:color="auto"/>
            <w:right w:val="none" w:sz="0" w:space="0" w:color="auto"/>
          </w:divBdr>
          <w:divsChild>
            <w:div w:id="1262910566">
              <w:marLeft w:val="0"/>
              <w:marRight w:val="0"/>
              <w:marTop w:val="0"/>
              <w:marBottom w:val="0"/>
              <w:divBdr>
                <w:top w:val="none" w:sz="0" w:space="0" w:color="auto"/>
                <w:left w:val="none" w:sz="0" w:space="0" w:color="auto"/>
                <w:bottom w:val="none" w:sz="0" w:space="0" w:color="auto"/>
                <w:right w:val="none" w:sz="0" w:space="0" w:color="auto"/>
              </w:divBdr>
              <w:divsChild>
                <w:div w:id="1058823066">
                  <w:marLeft w:val="0"/>
                  <w:marRight w:val="0"/>
                  <w:marTop w:val="0"/>
                  <w:marBottom w:val="0"/>
                  <w:divBdr>
                    <w:top w:val="none" w:sz="0" w:space="0" w:color="auto"/>
                    <w:left w:val="none" w:sz="0" w:space="0" w:color="auto"/>
                    <w:bottom w:val="none" w:sz="0" w:space="0" w:color="auto"/>
                    <w:right w:val="none" w:sz="0" w:space="0" w:color="auto"/>
                  </w:divBdr>
                  <w:divsChild>
                    <w:div w:id="13502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52529040">
      <w:bodyDiv w:val="1"/>
      <w:marLeft w:val="0"/>
      <w:marRight w:val="0"/>
      <w:marTop w:val="0"/>
      <w:marBottom w:val="0"/>
      <w:divBdr>
        <w:top w:val="none" w:sz="0" w:space="0" w:color="auto"/>
        <w:left w:val="none" w:sz="0" w:space="0" w:color="auto"/>
        <w:bottom w:val="none" w:sz="0" w:space="0" w:color="auto"/>
        <w:right w:val="none" w:sz="0" w:space="0" w:color="auto"/>
      </w:divBdr>
      <w:divsChild>
        <w:div w:id="1483035597">
          <w:marLeft w:val="0"/>
          <w:marRight w:val="0"/>
          <w:marTop w:val="0"/>
          <w:marBottom w:val="0"/>
          <w:divBdr>
            <w:top w:val="none" w:sz="0" w:space="0" w:color="auto"/>
            <w:left w:val="none" w:sz="0" w:space="0" w:color="auto"/>
            <w:bottom w:val="none" w:sz="0" w:space="0" w:color="auto"/>
            <w:right w:val="none" w:sz="0" w:space="0" w:color="auto"/>
          </w:divBdr>
          <w:divsChild>
            <w:div w:id="222838874">
              <w:marLeft w:val="0"/>
              <w:marRight w:val="0"/>
              <w:marTop w:val="0"/>
              <w:marBottom w:val="0"/>
              <w:divBdr>
                <w:top w:val="none" w:sz="0" w:space="0" w:color="auto"/>
                <w:left w:val="none" w:sz="0" w:space="0" w:color="auto"/>
                <w:bottom w:val="none" w:sz="0" w:space="0" w:color="auto"/>
                <w:right w:val="none" w:sz="0" w:space="0" w:color="auto"/>
              </w:divBdr>
              <w:divsChild>
                <w:div w:id="2029987272">
                  <w:marLeft w:val="0"/>
                  <w:marRight w:val="0"/>
                  <w:marTop w:val="0"/>
                  <w:marBottom w:val="0"/>
                  <w:divBdr>
                    <w:top w:val="none" w:sz="0" w:space="0" w:color="auto"/>
                    <w:left w:val="none" w:sz="0" w:space="0" w:color="auto"/>
                    <w:bottom w:val="none" w:sz="0" w:space="0" w:color="auto"/>
                    <w:right w:val="none" w:sz="0" w:space="0" w:color="auto"/>
                  </w:divBdr>
                  <w:divsChild>
                    <w:div w:id="4202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openxmlformats.org/package/2006/metadata/core-properties"/>
    <ds:schemaRef ds:uri="http://purl.org/dc/terms/"/>
    <ds:schemaRef ds:uri="http://purl.org/dc/dcmitype/"/>
    <ds:schemaRef ds:uri="http://schemas.microsoft.com/sharepoint/v4"/>
    <ds:schemaRef ds:uri="http://schemas.microsoft.com/office/2006/documentManagement/types"/>
    <ds:schemaRef ds:uri="http://schemas.microsoft.com/office/2006/metadata/properties"/>
    <ds:schemaRef ds:uri="http://purl.org/dc/elements/1.1/"/>
    <ds:schemaRef ds:uri="http://schemas.microsoft.com/office/infopath/2007/PartnerControls"/>
    <ds:schemaRef ds:uri="20fbe147-bbda-4e53-b6b1-7e8bbff3fe1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1DE7C7-8161-4E9C-9E36-1A112B65E12F}">
  <ds:schemaRefs>
    <ds:schemaRef ds:uri="http://schemas.openxmlformats.org/officeDocument/2006/bibliography"/>
  </ds:schemaRefs>
</ds:datastoreItem>
</file>

<file path=customXml/itemProps6.xml><?xml version="1.0" encoding="utf-8"?>
<ds:datastoreItem xmlns:ds="http://schemas.openxmlformats.org/officeDocument/2006/customXml" ds:itemID="{C756513F-0565-427E-91E3-1F9E0151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2839</Words>
  <Characters>16935</Characters>
  <Application>Microsoft Office Word</Application>
  <DocSecurity>8</DocSecurity>
  <Lines>141</Lines>
  <Paragraphs>39</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19735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Sebastian Åberg</cp:lastModifiedBy>
  <cp:revision>3</cp:revision>
  <cp:lastPrinted>2020-05-08T13:14:00Z</cp:lastPrinted>
  <dcterms:created xsi:type="dcterms:W3CDTF">2020-05-15T08:07:00Z</dcterms:created>
  <dcterms:modified xsi:type="dcterms:W3CDTF">2020-05-15T08:08:00Z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