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theme="minorHAnsi"/>
        </w:rPr>
        <w:id w:val="-973058580"/>
        <w:docPartObj>
          <w:docPartGallery w:val="Cover Pages"/>
          <w:docPartUnique/>
        </w:docPartObj>
      </w:sdtPr>
      <w:sdtContent>
        <w:p w:rsidR="00AF2EF7" w:rsidRPr="00B8572C" w:rsidRDefault="00AF2EF7" w:rsidP="00AF2EF7">
          <w:pPr>
            <w:spacing w:line="276" w:lineRule="auto"/>
            <w:rPr>
              <w:rFonts w:asciiTheme="minorHAnsi" w:hAnsiTheme="minorHAnsi" w:cstheme="minorHAnsi"/>
              <w:color w:val="FF0000"/>
            </w:rPr>
          </w:pPr>
        </w:p>
        <w:p w:rsidR="00AF2EF7" w:rsidRPr="00B8572C" w:rsidRDefault="00AF2EF7" w:rsidP="00AF2EF7">
          <w:pPr>
            <w:spacing w:after="120" w:line="276" w:lineRule="auto"/>
            <w:rPr>
              <w:rFonts w:asciiTheme="minorHAnsi" w:hAnsiTheme="minorHAnsi" w:cstheme="minorHAnsi"/>
            </w:rPr>
          </w:pPr>
        </w:p>
        <w:p w:rsidR="00AF2EF7" w:rsidRPr="00B8572C" w:rsidRDefault="00AF2EF7" w:rsidP="00AF2EF7">
          <w:pPr>
            <w:spacing w:line="276" w:lineRule="auto"/>
            <w:rPr>
              <w:rFonts w:asciiTheme="minorHAnsi" w:hAnsiTheme="minorHAnsi" w:cstheme="minorHAnsi"/>
            </w:rPr>
          </w:pPr>
        </w:p>
        <w:p w:rsidR="00AF2EF7" w:rsidRPr="00B8572C" w:rsidRDefault="00AF2EF7" w:rsidP="00AF2EF7">
          <w:pPr>
            <w:spacing w:line="276" w:lineRule="auto"/>
            <w:rPr>
              <w:rFonts w:asciiTheme="minorHAnsi" w:hAnsiTheme="minorHAnsi" w:cstheme="minorHAnsi"/>
            </w:rPr>
          </w:pPr>
        </w:p>
        <w:p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tblPr>
          <w:tblGrid>
            <w:gridCol w:w="10490"/>
          </w:tblGrid>
          <w:tr w:rsidR="00AF2EF7" w:rsidRPr="00B8572C" w:rsidTr="00D13661">
            <w:trPr>
              <w:trHeight w:hRule="exact" w:val="1492"/>
            </w:trPr>
            <w:tc>
              <w:tcPr>
                <w:tcW w:w="10490" w:type="dxa"/>
                <w:vAlign w:val="bottom"/>
              </w:tcPr>
              <w:p w:rsidR="00AF2EF7" w:rsidRPr="00B8572C" w:rsidRDefault="00C1698A" w:rsidP="00D13661">
                <w:pPr>
                  <w:pStyle w:val="Tytu"/>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rsidTr="00D13661">
            <w:trPr>
              <w:trHeight w:hRule="exact" w:val="747"/>
            </w:trPr>
            <w:tc>
              <w:tcPr>
                <w:tcW w:w="10490" w:type="dxa"/>
                <w:tcMar>
                  <w:top w:w="142" w:type="dxa"/>
                </w:tcMar>
              </w:tcPr>
              <w:p w:rsidR="0010762E" w:rsidRDefault="00F36188" w:rsidP="0010762E">
                <w:pPr>
                  <w:pStyle w:val="Podtytu"/>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rsidR="00363639" w:rsidRDefault="00363639" w:rsidP="00363639">
                <w:pPr>
                  <w:pStyle w:val="Podtytu"/>
                  <w:rPr>
                    <w:rFonts w:cs="Arial"/>
                  </w:rPr>
                </w:pPr>
              </w:p>
              <w:p w:rsidR="00AB6157" w:rsidRPr="00B8572C" w:rsidRDefault="00AB6157" w:rsidP="00AB6157">
                <w:pPr>
                  <w:pStyle w:val="Nagwek2"/>
                  <w:numPr>
                    <w:ilvl w:val="0"/>
                    <w:numId w:val="0"/>
                  </w:numPr>
                  <w:ind w:left="576" w:hanging="576"/>
                </w:pPr>
              </w:p>
            </w:tc>
          </w:tr>
        </w:tbl>
        <w:p w:rsidR="00AF2EF7" w:rsidRPr="00B8572C" w:rsidRDefault="00AF2EF7" w:rsidP="00AF2EF7">
          <w:pPr>
            <w:spacing w:line="276" w:lineRule="auto"/>
            <w:rPr>
              <w:rFonts w:asciiTheme="minorHAnsi" w:hAnsiTheme="minorHAnsi" w:cstheme="minorHAnsi"/>
            </w:rPr>
          </w:pPr>
        </w:p>
        <w:p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rsidR="00C85C8B" w:rsidRPr="00C85C8B" w:rsidRDefault="00C85C8B" w:rsidP="00E7297E">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rsidR="00AF2EF7" w:rsidRPr="00B8572C" w:rsidRDefault="00AF2EF7" w:rsidP="00AF2EF7">
      <w:pPr>
        <w:spacing w:after="120" w:line="276" w:lineRule="auto"/>
        <w:rPr>
          <w:rFonts w:asciiTheme="minorHAnsi" w:hAnsiTheme="minorHAnsi" w:cstheme="minorHAnsi"/>
        </w:rPr>
      </w:pPr>
    </w:p>
    <w:p w:rsidR="00C85C8B" w:rsidRDefault="00C85C8B" w:rsidP="00C1698A">
      <w:pPr>
        <w:spacing w:line="276" w:lineRule="auto"/>
        <w:rPr>
          <w:rFonts w:asciiTheme="minorHAnsi" w:hAnsiTheme="minorHAnsi" w:cstheme="minorHAnsi"/>
          <w:b/>
          <w:sz w:val="28"/>
          <w:szCs w:val="28"/>
        </w:rPr>
      </w:pPr>
      <w:bookmarkStart w:id="1" w:name="_Toc515564428"/>
    </w:p>
    <w:p w:rsidR="00C85C8B" w:rsidRDefault="00C85C8B" w:rsidP="00C1698A">
      <w:pPr>
        <w:spacing w:line="276" w:lineRule="auto"/>
        <w:rPr>
          <w:rFonts w:asciiTheme="minorHAnsi" w:hAnsiTheme="minorHAnsi" w:cstheme="minorHAnsi"/>
          <w:b/>
          <w:sz w:val="28"/>
          <w:szCs w:val="28"/>
        </w:rPr>
      </w:pPr>
    </w:p>
    <w:p w:rsidR="00C85C8B" w:rsidRDefault="00C85C8B" w:rsidP="00C1698A">
      <w:pPr>
        <w:spacing w:line="276" w:lineRule="auto"/>
        <w:rPr>
          <w:rFonts w:asciiTheme="minorHAnsi" w:hAnsiTheme="minorHAnsi" w:cstheme="minorHAnsi"/>
          <w:b/>
          <w:sz w:val="28"/>
          <w:szCs w:val="28"/>
        </w:rPr>
      </w:pPr>
    </w:p>
    <w:p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C85C8B" w:rsidRPr="00C85C8B" w:rsidTr="00B76FB7">
        <w:tc>
          <w:tcPr>
            <w:tcW w:w="3929" w:type="dxa"/>
            <w:shd w:val="clear" w:color="auto" w:fill="auto"/>
          </w:tcPr>
          <w:p w:rsidR="00C85C8B" w:rsidRPr="00C85C8B" w:rsidRDefault="00C85C8B" w:rsidP="00C85C8B">
            <w:pPr>
              <w:rPr>
                <w:rFonts w:ascii="Arial" w:hAnsi="Arial" w:cs="Arial"/>
                <w:sz w:val="22"/>
                <w:lang w:eastAsia="de-DE"/>
              </w:rPr>
            </w:pPr>
            <w:permStart w:id="0" w:edGrp="everyone" w:colFirst="1" w:colLast="1"/>
            <w:r w:rsidRPr="00C85C8B">
              <w:rPr>
                <w:rFonts w:ascii="Arial" w:hAnsi="Arial" w:cs="Arial"/>
                <w:sz w:val="22"/>
                <w:lang w:eastAsia="de-DE"/>
              </w:rPr>
              <w:t>Name of the company / organisation</w:t>
            </w:r>
          </w:p>
        </w:tc>
        <w:sdt>
          <w:sdtPr>
            <w:rPr>
              <w:rFonts w:ascii="Arial" w:hAnsi="Arial" w:cs="Arial"/>
              <w:sz w:val="20"/>
              <w:lang w:eastAsia="de-DE"/>
            </w:rPr>
            <w:id w:val="-1905066999"/>
            <w:text/>
          </w:sdtPr>
          <w:sdtContent>
            <w:tc>
              <w:tcPr>
                <w:tcW w:w="5595" w:type="dxa"/>
                <w:shd w:val="clear" w:color="auto" w:fill="auto"/>
              </w:tcPr>
              <w:p w:rsidR="00C85C8B" w:rsidRPr="00C85C8B" w:rsidRDefault="00055C16" w:rsidP="00055C16">
                <w:pPr>
                  <w:rPr>
                    <w:rFonts w:ascii="Arial" w:hAnsi="Arial" w:cs="Arial"/>
                    <w:color w:val="808080"/>
                    <w:sz w:val="20"/>
                    <w:lang w:eastAsia="de-DE"/>
                  </w:rPr>
                </w:pPr>
                <w:r w:rsidRPr="00055C16">
                  <w:rPr>
                    <w:rFonts w:ascii="Arial" w:hAnsi="Arial" w:cs="Arial"/>
                    <w:sz w:val="20"/>
                    <w:lang w:eastAsia="de-DE"/>
                  </w:rPr>
                  <w:t>European Financial Congress</w:t>
                </w:r>
              </w:p>
            </w:tc>
          </w:sdtContent>
        </w:sdt>
      </w:tr>
      <w:tr w:rsidR="00C85C8B" w:rsidRPr="00C85C8B" w:rsidTr="00B76FB7">
        <w:tc>
          <w:tcPr>
            <w:tcW w:w="3929" w:type="dxa"/>
            <w:shd w:val="clear" w:color="auto" w:fill="auto"/>
          </w:tcPr>
          <w:p w:rsidR="00C85C8B" w:rsidRPr="00C85C8B" w:rsidRDefault="00C85C8B" w:rsidP="00C85C8B">
            <w:pPr>
              <w:rPr>
                <w:rFonts w:ascii="Arial" w:hAnsi="Arial" w:cs="Arial"/>
                <w:sz w:val="22"/>
                <w:lang w:eastAsia="de-DE"/>
              </w:rPr>
            </w:pPr>
            <w:permStart w:id="1" w:edGrp="everyone" w:colFirst="1" w:colLast="1"/>
            <w:permEnd w:id="0"/>
            <w:r w:rsidRPr="00C85C8B">
              <w:rPr>
                <w:rFonts w:ascii="Arial" w:hAnsi="Arial" w:cs="Arial"/>
                <w:sz w:val="22"/>
                <w:lang w:eastAsia="de-DE"/>
              </w:rPr>
              <w:t>Activity</w:t>
            </w:r>
          </w:p>
        </w:tc>
        <w:tc>
          <w:tcPr>
            <w:tcW w:w="5595" w:type="dxa"/>
            <w:shd w:val="clear" w:color="auto" w:fill="auto"/>
          </w:tcPr>
          <w:p w:rsidR="00C85C8B" w:rsidRPr="00C85C8B" w:rsidRDefault="00C67CE0"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55C16">
                  <w:rPr>
                    <w:rFonts w:ascii="Arial" w:hAnsi="Arial" w:cs="Arial"/>
                    <w:sz w:val="20"/>
                    <w:lang w:eastAsia="de-DE"/>
                  </w:rPr>
                  <w:t>Banking sector</w:t>
                </w:r>
              </w:sdtContent>
            </w:sdt>
          </w:p>
        </w:tc>
      </w:tr>
      <w:tr w:rsidR="00C85C8B" w:rsidRPr="00C85C8B" w:rsidTr="00B76FB7">
        <w:tc>
          <w:tcPr>
            <w:tcW w:w="3929" w:type="dxa"/>
            <w:shd w:val="clear" w:color="auto" w:fill="auto"/>
          </w:tcPr>
          <w:p w:rsidR="00C85C8B" w:rsidRPr="00C85C8B" w:rsidRDefault="00C85C8B" w:rsidP="00C85C8B">
            <w:pPr>
              <w:rPr>
                <w:rFonts w:ascii="Arial" w:hAnsi="Arial" w:cs="Arial"/>
                <w:sz w:val="22"/>
                <w:lang w:eastAsia="de-DE"/>
              </w:rPr>
            </w:pPr>
            <w:permStart w:id="2" w:edGrp="everyone" w:colFirst="1" w:colLast="1"/>
            <w:permEnd w:id="1"/>
            <w:r w:rsidRPr="00C85C8B">
              <w:rPr>
                <w:rFonts w:ascii="Arial" w:hAnsi="Arial" w:cs="Arial"/>
                <w:sz w:val="22"/>
                <w:lang w:eastAsia="de-DE"/>
              </w:rPr>
              <w:t>Are you representing an association?</w:t>
            </w:r>
          </w:p>
        </w:tc>
        <w:sdt>
          <w:sdtPr>
            <w:rPr>
              <w:rFonts w:ascii="Arial" w:hAnsi="Arial" w:cs="Arial"/>
              <w:sz w:val="20"/>
              <w:lang w:eastAsia="de-DE"/>
            </w:rPr>
            <w:id w:val="-242871467"/>
          </w:sdtPr>
          <w:sdtContent>
            <w:tc>
              <w:tcPr>
                <w:tcW w:w="5595" w:type="dxa"/>
                <w:shd w:val="clear" w:color="auto" w:fill="auto"/>
              </w:tcPr>
              <w:p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rsidTr="00B76FB7">
        <w:tc>
          <w:tcPr>
            <w:tcW w:w="3929" w:type="dxa"/>
            <w:shd w:val="clear" w:color="auto" w:fill="auto"/>
          </w:tcPr>
          <w:p w:rsidR="00C85C8B" w:rsidRPr="00C85C8B" w:rsidRDefault="00C85C8B" w:rsidP="00C85C8B">
            <w:pPr>
              <w:rPr>
                <w:rFonts w:ascii="Arial" w:hAnsi="Arial" w:cs="Arial"/>
                <w:sz w:val="22"/>
                <w:lang w:eastAsia="de-DE"/>
              </w:rPr>
            </w:pPr>
            <w:permStart w:id="3" w:edGrp="everyone" w:colFirst="1" w:colLast="1"/>
            <w:permEnd w:id="2"/>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C85C8B" w:rsidRPr="00C85C8B" w:rsidRDefault="00055C16" w:rsidP="00C85C8B">
                <w:pPr>
                  <w:rPr>
                    <w:rFonts w:ascii="Arial" w:hAnsi="Arial" w:cs="Arial"/>
                    <w:sz w:val="20"/>
                    <w:lang w:eastAsia="de-DE"/>
                  </w:rPr>
                </w:pPr>
                <w:r>
                  <w:rPr>
                    <w:rFonts w:ascii="Arial" w:hAnsi="Arial" w:cs="Arial"/>
                    <w:sz w:val="20"/>
                    <w:lang w:eastAsia="de-DE"/>
                  </w:rPr>
                  <w:t>Poland</w:t>
                </w:r>
              </w:p>
            </w:tc>
          </w:sdtContent>
        </w:sdt>
      </w:tr>
      <w:permEnd w:id="3"/>
    </w:tbl>
    <w:p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rsidR="00C85C8B" w:rsidRPr="00C85C8B" w:rsidRDefault="00C85C8B" w:rsidP="00C85C8B">
      <w:pPr>
        <w:spacing w:after="250" w:line="276" w:lineRule="auto"/>
        <w:jc w:val="both"/>
        <w:rPr>
          <w:rFonts w:ascii="Arial" w:eastAsiaTheme="minorEastAsia" w:hAnsi="Arial" w:cs="Arial"/>
          <w:sz w:val="22"/>
          <w:szCs w:val="20"/>
          <w:lang w:eastAsia="en-US"/>
        </w:rPr>
      </w:pPr>
      <w:permStart w:id="4" w:edGrp="everyone"/>
      <w:r w:rsidRPr="00C85C8B">
        <w:rPr>
          <w:rFonts w:ascii="Arial" w:eastAsiaTheme="minorEastAsia" w:hAnsi="Arial" w:cs="Arial"/>
          <w:sz w:val="22"/>
          <w:szCs w:val="20"/>
          <w:lang w:eastAsia="en-US"/>
        </w:rPr>
        <w:t>TYPE YOUR TEXT HERE</w:t>
      </w:r>
    </w:p>
    <w:permEnd w:id="4"/>
    <w:p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rsidR="00C85C8B" w:rsidRDefault="00C85C8B" w:rsidP="00C1698A">
      <w:pPr>
        <w:spacing w:line="276" w:lineRule="auto"/>
        <w:rPr>
          <w:rFonts w:asciiTheme="minorHAnsi" w:hAnsiTheme="minorHAnsi" w:cstheme="minorHAnsi"/>
          <w:b/>
          <w:sz w:val="28"/>
          <w:szCs w:val="28"/>
        </w:rPr>
      </w:pPr>
    </w:p>
    <w:p w:rsidR="00C85C8B" w:rsidRDefault="00C85C8B" w:rsidP="00C1698A">
      <w:pPr>
        <w:spacing w:line="276" w:lineRule="auto"/>
        <w:rPr>
          <w:rFonts w:asciiTheme="minorHAnsi" w:hAnsiTheme="minorHAnsi" w:cstheme="minorHAnsi"/>
          <w:b/>
          <w:sz w:val="28"/>
          <w:szCs w:val="28"/>
        </w:rPr>
      </w:pPr>
    </w:p>
    <w:p w:rsidR="00C85C8B" w:rsidRDefault="00C85C8B" w:rsidP="00C1698A">
      <w:pPr>
        <w:spacing w:line="276" w:lineRule="auto"/>
        <w:rPr>
          <w:rFonts w:asciiTheme="minorHAnsi" w:hAnsiTheme="minorHAnsi" w:cstheme="minorHAnsi"/>
          <w:b/>
          <w:sz w:val="28"/>
          <w:szCs w:val="28"/>
        </w:rPr>
      </w:pPr>
    </w:p>
    <w:p w:rsidR="00C85C8B" w:rsidRDefault="00C85C8B" w:rsidP="00C1698A">
      <w:pPr>
        <w:spacing w:line="276" w:lineRule="auto"/>
        <w:rPr>
          <w:rFonts w:asciiTheme="minorHAnsi" w:hAnsiTheme="minorHAnsi" w:cstheme="minorHAnsi"/>
          <w:b/>
          <w:sz w:val="28"/>
          <w:szCs w:val="28"/>
        </w:rPr>
      </w:pPr>
    </w:p>
    <w:p w:rsidR="00C85C8B" w:rsidRDefault="00C85C8B" w:rsidP="00C1698A">
      <w:pPr>
        <w:spacing w:line="276" w:lineRule="auto"/>
        <w:rPr>
          <w:rFonts w:asciiTheme="minorHAnsi" w:hAnsiTheme="minorHAnsi" w:cstheme="minorHAnsi"/>
          <w:b/>
          <w:sz w:val="28"/>
          <w:szCs w:val="28"/>
        </w:rPr>
      </w:pPr>
    </w:p>
    <w:p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rsidR="0010762E" w:rsidRDefault="0010762E" w:rsidP="00C1698A">
      <w:pPr>
        <w:spacing w:line="276" w:lineRule="auto"/>
        <w:rPr>
          <w:rFonts w:asciiTheme="minorHAnsi" w:hAnsiTheme="minorHAnsi" w:cstheme="minorHAnsi"/>
          <w:b/>
          <w:sz w:val="28"/>
          <w:szCs w:val="28"/>
        </w:rPr>
      </w:pPr>
    </w:p>
    <w:p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rsidR="0010762E" w:rsidRDefault="0010762E" w:rsidP="0010762E">
      <w:pPr>
        <w:rPr>
          <w:rFonts w:ascii="Arial" w:hAnsi="Arial" w:cs="Arial"/>
        </w:rPr>
      </w:pPr>
      <w:r>
        <w:rPr>
          <w:rFonts w:ascii="Arial" w:hAnsi="Arial" w:cs="Arial"/>
        </w:rPr>
        <w:t>&lt;ESMA_QUESTION_CP_BRTS_1&gt;</w:t>
      </w:r>
    </w:p>
    <w:p w:rsidR="00055C16" w:rsidRPr="00452674" w:rsidRDefault="00055C16" w:rsidP="00055C16">
      <w:pPr>
        <w:pStyle w:val="NormalnyWeb"/>
        <w:spacing w:line="276" w:lineRule="auto"/>
        <w:jc w:val="both"/>
        <w:rPr>
          <w:rFonts w:ascii="PT Sans" w:hAnsi="PT Sans"/>
        </w:rPr>
      </w:pPr>
      <w:permStart w:id="5" w:edGrp="everyone"/>
      <w:r w:rsidRPr="00452674">
        <w:rPr>
          <w:rFonts w:ascii="PT Sans" w:hAnsi="PT Sans"/>
        </w:rPr>
        <w:t xml:space="preserve">Yes, the direction of changes proposed by ESMA is right. Most significantly, we agree with the application of the principle of adequacy and proportionality that will result in higher requirements being imposed on the administrators of critical benchmarks. </w:t>
      </w:r>
    </w:p>
    <w:p w:rsidR="00055C16" w:rsidRPr="00452674" w:rsidRDefault="00055C16" w:rsidP="00055C16">
      <w:pPr>
        <w:pStyle w:val="NormalnyWeb"/>
        <w:spacing w:line="276" w:lineRule="auto"/>
        <w:jc w:val="both"/>
        <w:rPr>
          <w:rFonts w:ascii="PT Sans" w:hAnsi="PT Sans"/>
        </w:rPr>
      </w:pPr>
      <w:r w:rsidRPr="00452674">
        <w:rPr>
          <w:rFonts w:ascii="PT Sans" w:hAnsi="PT Sans"/>
        </w:rPr>
        <w:t>At the same time, we are of the view that the principle of adequacy and proportionality should also apply to administrators of interest rate benchmarks. In the consultation paper, ESMA points out that “the future provisions on “robust governance arrangements” should not jeopardise the operation of smaller administrators with limited resources”. Furthermore, the interest rate benchmarks must not be non-significant; therefore, even when an administrator provides a benchmark that is of limited significance but it is an interest rate benchmark, the administrator may bear an excessive administrative burden. It is particularly divergent from the principle of proportionality, when a benchmark is created automatically only and does not include expert judgment. Consequently, we believe that the principle of adequacy and proportionality should also account for the benchmark methodology as it may determine the risk level and it may require a special approach from the administrator. In case of benchmarks determined on the basis of transaction data, the principles applying to benchmarks based on data from regulated markets should also be applied to interest rate benchmarks. The current requirements in regard to interest rate benchmarks make it generally impossible to create new benchmarks (which is visible on the market).</w:t>
      </w:r>
    </w:p>
    <w:permEnd w:id="5"/>
    <w:p w:rsidR="0010762E" w:rsidRDefault="0010762E" w:rsidP="0010762E">
      <w:pPr>
        <w:rPr>
          <w:rFonts w:ascii="Arial" w:hAnsi="Arial" w:cs="Arial"/>
        </w:rPr>
      </w:pPr>
      <w:r>
        <w:rPr>
          <w:rFonts w:ascii="Arial" w:hAnsi="Arial" w:cs="Arial"/>
        </w:rPr>
        <w:t>&lt;ESMA_QUESTION_CP_BRTS_1&gt;</w:t>
      </w:r>
    </w:p>
    <w:p w:rsidR="0010762E" w:rsidRDefault="0010762E" w:rsidP="0010762E">
      <w:pPr>
        <w:rPr>
          <w:rFonts w:ascii="Arial" w:hAnsi="Arial" w:cs="Arial"/>
        </w:rPr>
      </w:pPr>
    </w:p>
    <w:p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rsidR="0010762E" w:rsidRDefault="0010762E" w:rsidP="0010762E">
      <w:pPr>
        <w:rPr>
          <w:rFonts w:ascii="Arial" w:hAnsi="Arial" w:cs="Arial"/>
        </w:rPr>
      </w:pPr>
      <w:r>
        <w:rPr>
          <w:rFonts w:ascii="Arial" w:hAnsi="Arial" w:cs="Arial"/>
        </w:rPr>
        <w:t>&lt;ESMA_QUESTION_CP_BRTS_2&gt;</w:t>
      </w:r>
    </w:p>
    <w:p w:rsidR="00055C16" w:rsidRPr="00452674" w:rsidRDefault="00055C16" w:rsidP="00055C16">
      <w:pPr>
        <w:shd w:val="clear" w:color="auto" w:fill="FFFFFF"/>
        <w:spacing w:after="80" w:line="276" w:lineRule="auto"/>
        <w:jc w:val="both"/>
        <w:outlineLvl w:val="0"/>
        <w:rPr>
          <w:rFonts w:ascii="PT Sans" w:hAnsi="PT Sans"/>
        </w:rPr>
      </w:pPr>
      <w:permStart w:id="6" w:edGrp="everyone"/>
      <w:r w:rsidRPr="00452674">
        <w:rPr>
          <w:rFonts w:ascii="PT Sans" w:hAnsi="PT Sans"/>
        </w:rPr>
        <w:t xml:space="preserve">We believe that the establishment of a remuneration framework should be optional for the administrators, provided the establishment of such rules is an element of managing conflicts of interest. In our opinion, a remuneration framework is not the only solution that may be applied in order to avoid a conflict of interest, as per </w:t>
      </w:r>
      <w:r w:rsidRPr="00736BAB">
        <w:rPr>
          <w:rFonts w:ascii="PT Sans" w:hAnsi="PT Sans"/>
        </w:rPr>
        <w:t>Article 4 point 5</w:t>
      </w:r>
      <w:r w:rsidRPr="00452674">
        <w:rPr>
          <w:rFonts w:ascii="PT Sans" w:hAnsi="PT Sans"/>
        </w:rPr>
        <w:t xml:space="preserve"> of BMR. In this context, we request that administrators are able to adopt other solutions, depending on the scale and specific nature of their business. Such a solution would enable the application of the principle of adequacy and proportionality. </w:t>
      </w:r>
    </w:p>
    <w:permEnd w:id="6"/>
    <w:p w:rsidR="0010762E" w:rsidRDefault="0010762E" w:rsidP="0010762E">
      <w:pPr>
        <w:rPr>
          <w:rFonts w:ascii="Arial" w:hAnsi="Arial" w:cs="Arial"/>
        </w:rPr>
      </w:pPr>
      <w:r>
        <w:rPr>
          <w:rFonts w:ascii="Arial" w:hAnsi="Arial" w:cs="Arial"/>
        </w:rPr>
        <w:lastRenderedPageBreak/>
        <w:t>&lt;ESMA_QUESTION_CP_BRTS_2&gt;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rsidR="0010762E" w:rsidRDefault="0010762E" w:rsidP="0010762E">
      <w:pPr>
        <w:rPr>
          <w:rFonts w:ascii="Arial" w:hAnsi="Arial" w:cs="Arial"/>
        </w:rPr>
      </w:pPr>
      <w:r>
        <w:rPr>
          <w:rFonts w:ascii="Arial" w:hAnsi="Arial" w:cs="Arial"/>
        </w:rPr>
        <w:t>&lt;ESMA_QUESTION_CP_BRTS_3&gt;</w:t>
      </w:r>
    </w:p>
    <w:p w:rsidR="00055C16" w:rsidRPr="00452674" w:rsidRDefault="00055C16" w:rsidP="00055C16">
      <w:pPr>
        <w:shd w:val="clear" w:color="auto" w:fill="FFFFFF"/>
        <w:spacing w:after="80" w:line="276" w:lineRule="auto"/>
        <w:jc w:val="both"/>
        <w:outlineLvl w:val="0"/>
        <w:rPr>
          <w:rFonts w:ascii="PT Sans" w:hAnsi="PT Sans"/>
        </w:rPr>
      </w:pPr>
      <w:permStart w:id="7" w:edGrp="everyone"/>
      <w:r w:rsidRPr="00452674">
        <w:rPr>
          <w:rFonts w:ascii="PT Sans" w:hAnsi="PT Sans"/>
        </w:rPr>
        <w:t xml:space="preserve">Yes, we are of the view that the requirements towards administrators should be the same, regardless of their organisational form. There are no premises for the adoption of different requirements and standards towards natural persons. Such an approach equalises the responsibility on the administrator and it allows for mitigating the risk of regulatory arbitrage. An entity that applies a </w:t>
      </w:r>
      <w:r w:rsidRPr="00736BAB">
        <w:rPr>
          <w:rFonts w:ascii="PT Sans" w:hAnsi="PT Sans"/>
        </w:rPr>
        <w:t>benchmark</w:t>
      </w:r>
      <w:r w:rsidRPr="00452674">
        <w:rPr>
          <w:rFonts w:ascii="PT Sans" w:hAnsi="PT Sans"/>
        </w:rPr>
        <w:t xml:space="preserve"> should have certainty as to the administrator’s transparency, regardless of its organisational form. If different provisions are applied to legal persons and natural persons, it may be concluded that certain benchmark types may be more or less risky. Consequently, rather than the legal form, you should use the nature of the benchmark, including its complexity and materiality, as the criterion determining the application of different requirements. Such an approach would be in alignment with the proportionality principle.</w:t>
      </w:r>
    </w:p>
    <w:permEnd w:id="7"/>
    <w:p w:rsidR="0010762E" w:rsidRDefault="0010762E" w:rsidP="0010762E">
      <w:pPr>
        <w:rPr>
          <w:rFonts w:ascii="Arial" w:hAnsi="Arial" w:cs="Arial"/>
        </w:rPr>
      </w:pPr>
      <w:r>
        <w:rPr>
          <w:rFonts w:ascii="Arial" w:hAnsi="Arial" w:cs="Arial"/>
        </w:rPr>
        <w:t>&lt;ESMA_QUESTION_CP_BRTS_3&gt;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rsidR="0010762E" w:rsidRDefault="0010762E" w:rsidP="0010762E">
      <w:pPr>
        <w:rPr>
          <w:rFonts w:ascii="Arial" w:hAnsi="Arial" w:cs="Arial"/>
        </w:rPr>
      </w:pPr>
      <w:r>
        <w:rPr>
          <w:rFonts w:ascii="Arial" w:hAnsi="Arial" w:cs="Arial"/>
        </w:rPr>
        <w:t>&lt;ESMA_QUESTION_CP_BRTS_4&gt;</w:t>
      </w:r>
    </w:p>
    <w:p w:rsidR="00055C16" w:rsidRPr="00452674" w:rsidRDefault="00055C16" w:rsidP="00055C16">
      <w:pPr>
        <w:shd w:val="clear" w:color="auto" w:fill="FFFFFF"/>
        <w:spacing w:after="80" w:line="276" w:lineRule="auto"/>
        <w:jc w:val="both"/>
        <w:outlineLvl w:val="0"/>
        <w:rPr>
          <w:rFonts w:ascii="PT Sans" w:hAnsi="PT Sans"/>
        </w:rPr>
      </w:pPr>
      <w:permStart w:id="8" w:edGrp="everyone"/>
      <w:r w:rsidRPr="00452674">
        <w:rPr>
          <w:rFonts w:ascii="PT Sans" w:hAnsi="PT Sans"/>
        </w:rPr>
        <w:t xml:space="preserve">We think that the </w:t>
      </w:r>
      <w:r>
        <w:rPr>
          <w:rFonts w:ascii="PT Sans" w:hAnsi="PT Sans"/>
        </w:rPr>
        <w:t>consultation paper h</w:t>
      </w:r>
      <w:r w:rsidRPr="00452674">
        <w:rPr>
          <w:rFonts w:ascii="PT Sans" w:hAnsi="PT Sans"/>
        </w:rPr>
        <w:t>as all features that a methodology should have to be in compliance with the BMR requirements. The principles clearly specify the priority in terms of transaction data on the underlying market, the circumstances under which transaction data from related markets are used and discretion may be exercised.</w:t>
      </w:r>
    </w:p>
    <w:permEnd w:id="8"/>
    <w:p w:rsidR="0010762E" w:rsidRDefault="0010762E" w:rsidP="0010762E">
      <w:pPr>
        <w:rPr>
          <w:rFonts w:ascii="Arial" w:hAnsi="Arial" w:cs="Arial"/>
        </w:rPr>
      </w:pPr>
      <w:r>
        <w:rPr>
          <w:rFonts w:ascii="Arial" w:hAnsi="Arial" w:cs="Arial"/>
        </w:rPr>
        <w:t>&lt;ESMA_QUESTION_CP_BRTS_4&gt;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rsidR="0010762E" w:rsidRDefault="0010762E" w:rsidP="0010762E">
      <w:pPr>
        <w:rPr>
          <w:rFonts w:ascii="Arial" w:hAnsi="Arial" w:cs="Arial"/>
        </w:rPr>
      </w:pPr>
      <w:r>
        <w:rPr>
          <w:rFonts w:ascii="Arial" w:hAnsi="Arial" w:cs="Arial"/>
        </w:rPr>
        <w:t>&lt;ESMA_QUESTION_CP_BRTS_5&gt;</w:t>
      </w:r>
    </w:p>
    <w:p w:rsidR="00055C16" w:rsidRPr="00452674" w:rsidRDefault="00055C16" w:rsidP="00055C16">
      <w:pPr>
        <w:shd w:val="clear" w:color="auto" w:fill="FFFFFF"/>
        <w:spacing w:after="80" w:line="276" w:lineRule="auto"/>
        <w:jc w:val="both"/>
        <w:outlineLvl w:val="0"/>
        <w:rPr>
          <w:rFonts w:ascii="PT Sans" w:hAnsi="PT Sans"/>
        </w:rPr>
      </w:pPr>
      <w:permStart w:id="9" w:edGrp="everyone"/>
      <w:r w:rsidRPr="00452674">
        <w:rPr>
          <w:rFonts w:ascii="PT Sans" w:hAnsi="PT Sans"/>
        </w:rPr>
        <w:t>No, we do not think that it is necessary to add any additional requirements in that regard. All requirements needed to ensure that the methodology is traceable and verifiable have been defined in the consultation paper in an exhaustive manner. However, should additional requirements appear, we believe that they should depend on the benchmark’s nature.</w:t>
      </w:r>
    </w:p>
    <w:permEnd w:id="9"/>
    <w:p w:rsidR="0010762E" w:rsidRDefault="0010762E" w:rsidP="0010762E">
      <w:pPr>
        <w:rPr>
          <w:rFonts w:ascii="Arial" w:hAnsi="Arial" w:cs="Arial"/>
        </w:rPr>
      </w:pPr>
      <w:r>
        <w:rPr>
          <w:rFonts w:ascii="Arial" w:hAnsi="Arial" w:cs="Arial"/>
        </w:rPr>
        <w:t>&lt;ESMA_QUESTION_CP_BRTS_5&gt;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rsidR="0010762E" w:rsidRDefault="0010762E" w:rsidP="0010762E">
      <w:pPr>
        <w:rPr>
          <w:rFonts w:ascii="Arial" w:hAnsi="Arial" w:cs="Arial"/>
        </w:rPr>
      </w:pPr>
      <w:r>
        <w:rPr>
          <w:rFonts w:ascii="Arial" w:hAnsi="Arial" w:cs="Arial"/>
        </w:rPr>
        <w:lastRenderedPageBreak/>
        <w:t>&lt;ESMA_QUESTION_CP_BRTS_6&gt;</w:t>
      </w:r>
    </w:p>
    <w:p w:rsidR="00055C16" w:rsidRPr="00452674" w:rsidRDefault="00055C16" w:rsidP="00055C16">
      <w:pPr>
        <w:pStyle w:val="NormalnyWeb"/>
        <w:spacing w:line="276" w:lineRule="auto"/>
        <w:jc w:val="both"/>
        <w:rPr>
          <w:rFonts w:ascii="PT Sans" w:hAnsi="PT Sans"/>
        </w:rPr>
      </w:pPr>
      <w:permStart w:id="10" w:edGrp="everyone"/>
      <w:r w:rsidRPr="00452674">
        <w:rPr>
          <w:rFonts w:ascii="PT Sans" w:hAnsi="PT Sans"/>
        </w:rPr>
        <w:t xml:space="preserve">Where back-testing is not the right validation method, the Regulation should permit other methods that may be applied to check that the operation is correct. In our opinion, back-testing is not appropriate for benchmarks that are based on transactions only and that are determined in a fully automated manner. </w:t>
      </w:r>
    </w:p>
    <w:permEnd w:id="10"/>
    <w:p w:rsidR="0010762E" w:rsidRDefault="0010762E" w:rsidP="0010762E">
      <w:pPr>
        <w:rPr>
          <w:rFonts w:ascii="Arial" w:hAnsi="Arial" w:cs="Arial"/>
        </w:rPr>
      </w:pPr>
      <w:r>
        <w:rPr>
          <w:rFonts w:ascii="Arial" w:hAnsi="Arial" w:cs="Arial"/>
        </w:rPr>
        <w:t>&lt;ESMA_QUESTION_CP_BRTS_6&gt;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t>: Do you agree with the requirements set out above? Do you have any additional suggestions? Please specify.</w:t>
      </w:r>
    </w:p>
    <w:p w:rsidR="0010762E" w:rsidRDefault="0010762E" w:rsidP="0010762E">
      <w:pPr>
        <w:rPr>
          <w:rFonts w:ascii="Arial" w:hAnsi="Arial" w:cs="Arial"/>
        </w:rPr>
      </w:pPr>
      <w:r>
        <w:rPr>
          <w:rFonts w:ascii="Arial" w:hAnsi="Arial" w:cs="Arial"/>
        </w:rPr>
        <w:t>&lt;ESMA_QUESTION_CP_BRTS_7&gt;</w:t>
      </w:r>
    </w:p>
    <w:p w:rsidR="00055C16" w:rsidRPr="00452674" w:rsidRDefault="00055C16" w:rsidP="00055C16">
      <w:pPr>
        <w:shd w:val="clear" w:color="auto" w:fill="FFFFFF"/>
        <w:spacing w:after="80" w:line="276" w:lineRule="auto"/>
        <w:jc w:val="both"/>
        <w:outlineLvl w:val="0"/>
        <w:rPr>
          <w:rFonts w:ascii="PT Sans" w:hAnsi="PT Sans"/>
        </w:rPr>
      </w:pPr>
      <w:permStart w:id="11" w:edGrp="everyone"/>
      <w:r w:rsidRPr="00452674">
        <w:rPr>
          <w:rFonts w:ascii="PT Sans" w:hAnsi="PT Sans"/>
        </w:rPr>
        <w:t>We believe that the requirements in that respect should be aligned with the nature and complexity of the benchmark. Since there is no possibility of assigning the non-significant benchmark status to the interest rate benchmark, it may mean an excessive burden for the local benchmarks based on interest rate for which the data are generat</w:t>
      </w:r>
      <w:r>
        <w:rPr>
          <w:rFonts w:ascii="PT Sans" w:hAnsi="PT Sans"/>
        </w:rPr>
        <w:t>ed in a fully automated manner.</w:t>
      </w:r>
    </w:p>
    <w:permEnd w:id="11"/>
    <w:p w:rsidR="0010762E" w:rsidRDefault="0010762E" w:rsidP="0010762E">
      <w:pPr>
        <w:rPr>
          <w:rFonts w:ascii="Arial" w:hAnsi="Arial" w:cs="Arial"/>
        </w:rPr>
      </w:pPr>
      <w:r>
        <w:rPr>
          <w:rFonts w:ascii="Arial" w:hAnsi="Arial" w:cs="Arial"/>
        </w:rPr>
        <w:t>&lt;ESMA_QUESTION_CP_BRTS_7&gt;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rsidR="0010762E" w:rsidRDefault="0010762E" w:rsidP="0010762E">
      <w:pPr>
        <w:rPr>
          <w:rFonts w:ascii="Arial" w:hAnsi="Arial" w:cs="Arial"/>
        </w:rPr>
      </w:pPr>
      <w:r>
        <w:rPr>
          <w:rFonts w:ascii="Arial" w:hAnsi="Arial" w:cs="Arial"/>
        </w:rPr>
        <w:t>&lt;ESMA_QUESTION_CP_BRTS_8&gt;</w:t>
      </w:r>
    </w:p>
    <w:p w:rsidR="00055C16" w:rsidRPr="00452674" w:rsidRDefault="00055C16" w:rsidP="00055C16">
      <w:pPr>
        <w:shd w:val="clear" w:color="auto" w:fill="FFFFFF"/>
        <w:spacing w:after="80" w:line="276" w:lineRule="auto"/>
        <w:jc w:val="both"/>
        <w:outlineLvl w:val="0"/>
        <w:rPr>
          <w:rFonts w:ascii="PT Sans" w:hAnsi="PT Sans"/>
        </w:rPr>
      </w:pPr>
      <w:permStart w:id="12" w:edGrp="everyone"/>
      <w:r w:rsidRPr="00452674">
        <w:rPr>
          <w:rFonts w:ascii="PT Sans" w:hAnsi="PT Sans"/>
        </w:rPr>
        <w:t xml:space="preserve">While we believe that the automated system should be the preferred one for all benchmarks, we agree that the system should be required only if it appears adequate according to the nature, scale and complexity of the benchmark. Critical benchmarks should be examined with special care which may only rely on automated systems. Automated surveillance systems should not be mandatory for non-significant benchmarks. In case of those benchmarks, administrators should have the right to opt out of those solutions. We also believe that in certain instances it may be reasonable to recommend that administrators combine automated surveillance with non-automated surveillance. It applies to a situation where transaction data are accompanied by expert judgment, e.g. in the case of the cascade methodology. </w:t>
      </w:r>
    </w:p>
    <w:permEnd w:id="12"/>
    <w:p w:rsidR="0010762E" w:rsidRDefault="0010762E" w:rsidP="0010762E">
      <w:pPr>
        <w:rPr>
          <w:rFonts w:ascii="Arial" w:hAnsi="Arial" w:cs="Arial"/>
        </w:rPr>
      </w:pPr>
      <w:r>
        <w:rPr>
          <w:rFonts w:ascii="Arial" w:hAnsi="Arial" w:cs="Arial"/>
        </w:rPr>
        <w:t>&lt;ESMA_QUESTION_CP_BRTS_8&gt;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rsidR="0010762E" w:rsidRDefault="0010762E" w:rsidP="0010762E">
      <w:pPr>
        <w:rPr>
          <w:rFonts w:ascii="Arial" w:hAnsi="Arial" w:cs="Arial"/>
        </w:rPr>
      </w:pPr>
      <w:r>
        <w:rPr>
          <w:rFonts w:ascii="Arial" w:hAnsi="Arial" w:cs="Arial"/>
        </w:rPr>
        <w:t>&lt;ESMA_QUESTION_CP_BRTS_9&gt;</w:t>
      </w:r>
    </w:p>
    <w:p w:rsidR="00055C16" w:rsidRPr="00452674" w:rsidRDefault="00055C16" w:rsidP="00055C16">
      <w:pPr>
        <w:shd w:val="clear" w:color="auto" w:fill="FFFFFF"/>
        <w:spacing w:line="276" w:lineRule="auto"/>
        <w:jc w:val="both"/>
        <w:outlineLvl w:val="0"/>
        <w:rPr>
          <w:rFonts w:ascii="PT Sans" w:hAnsi="PT Sans"/>
        </w:rPr>
      </w:pPr>
      <w:permStart w:id="13" w:edGrp="everyone"/>
      <w:r w:rsidRPr="00452674">
        <w:rPr>
          <w:rFonts w:ascii="PT Sans" w:hAnsi="PT Sans"/>
        </w:rPr>
        <w:lastRenderedPageBreak/>
        <w:t xml:space="preserve">In general, we agree with the criteria presented in relation to the transition of the provision of the critical benchmark to a new administrator. We also believe, however, that benchmark methodology continuity should be emphasised while transitioning the critical benchmark to a new administrator. We also believe that the criteria should clearly specify the requirement for the transfer of historical data gathered by the present administrator. Moreover, in order to ensure the same level of safety and operation method, the criteria should also account for the technology aspect. Most significantly, they should account for the new administrator’s ability to gather and process all historical data in the appropriate manner and for the transfer of the processing/ calculation models (where appropriate) from the current administrator. Furthermore, the criteria should also account for the requirement to test the correct operation of any technologies required for the new administrator to serve the function. </w:t>
      </w:r>
    </w:p>
    <w:permEnd w:id="13"/>
    <w:p w:rsidR="0010762E" w:rsidRDefault="0010762E" w:rsidP="0010762E">
      <w:pPr>
        <w:rPr>
          <w:rFonts w:ascii="Arial" w:hAnsi="Arial" w:cs="Arial"/>
        </w:rPr>
      </w:pPr>
      <w:r>
        <w:rPr>
          <w:rFonts w:ascii="Arial" w:hAnsi="Arial" w:cs="Arial"/>
        </w:rPr>
        <w:t>&lt;ESMA_QUESTION_CP_BRTS_9&gt;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rsidR="0010762E" w:rsidRDefault="0010762E" w:rsidP="0010762E">
      <w:pPr>
        <w:rPr>
          <w:rFonts w:ascii="Arial" w:hAnsi="Arial" w:cs="Arial"/>
        </w:rPr>
      </w:pPr>
      <w:r>
        <w:rPr>
          <w:rFonts w:ascii="Arial" w:hAnsi="Arial" w:cs="Arial"/>
        </w:rPr>
        <w:t>&lt;ESMA_QUESTION_CP_BRTS_10&gt;</w:t>
      </w:r>
    </w:p>
    <w:p w:rsidR="00055C16" w:rsidRPr="00452674" w:rsidRDefault="00055C16" w:rsidP="00055C16">
      <w:pPr>
        <w:shd w:val="clear" w:color="auto" w:fill="FFFFFF"/>
        <w:spacing w:line="276" w:lineRule="auto"/>
        <w:jc w:val="both"/>
        <w:outlineLvl w:val="0"/>
        <w:rPr>
          <w:rFonts w:ascii="PT Sans" w:hAnsi="PT Sans"/>
        </w:rPr>
      </w:pPr>
      <w:permStart w:id="14" w:edGrp="everyone"/>
      <w:r w:rsidRPr="00452674">
        <w:rPr>
          <w:rFonts w:ascii="PT Sans" w:hAnsi="PT Sans"/>
        </w:rPr>
        <w:t xml:space="preserve">In general, the conditions referred to in the consultation paper describe the cessation of the provision of a critical benchmark in an exhaustive manner. We believe, however, that in case of critical benchmarks, where the </w:t>
      </w:r>
      <w:r w:rsidRPr="00736BAB">
        <w:rPr>
          <w:rFonts w:ascii="PT Sans" w:hAnsi="PT Sans"/>
        </w:rPr>
        <w:t>dynamics of the</w:t>
      </w:r>
      <w:r w:rsidRPr="00452674">
        <w:rPr>
          <w:rFonts w:ascii="PT Sans" w:hAnsi="PT Sans"/>
        </w:rPr>
        <w:t xml:space="preserve"> economic reality indicated that the underlying market was about to become inactive, in order to ensure macroeconomic stability, and especially to continue the service of the existing portfolio of loans based on the benchmark, it would be preferred to reinforce the critical benchmark with transaction data from related markets. </w:t>
      </w:r>
    </w:p>
    <w:p w:rsidR="00055C16" w:rsidRPr="00452674" w:rsidRDefault="00055C16" w:rsidP="00055C16">
      <w:pPr>
        <w:shd w:val="clear" w:color="auto" w:fill="FFFFFF"/>
        <w:spacing w:line="276" w:lineRule="auto"/>
        <w:jc w:val="both"/>
        <w:outlineLvl w:val="0"/>
        <w:rPr>
          <w:rFonts w:ascii="PT Sans" w:hAnsi="PT Sans"/>
        </w:rPr>
      </w:pPr>
      <w:r w:rsidRPr="00452674">
        <w:rPr>
          <w:rFonts w:ascii="PT Sans" w:hAnsi="PT Sans"/>
        </w:rPr>
        <w:t xml:space="preserve">Furthermore, we also believe it is necessary to indicate all crucial elements </w:t>
      </w:r>
      <w:r w:rsidRPr="00736BAB">
        <w:rPr>
          <w:rFonts w:ascii="PT Sans" w:hAnsi="PT Sans"/>
        </w:rPr>
        <w:t>that a clause ought to contain should a benchmark no longer be provided.</w:t>
      </w:r>
      <w:r w:rsidRPr="00452674">
        <w:rPr>
          <w:rFonts w:ascii="PT Sans" w:hAnsi="PT Sans"/>
        </w:rPr>
        <w:t xml:space="preserve"> Such an approach would also provide an additional opportunity to solve the issue of fallback clauses that the market participants have been tackling for several years now.</w:t>
      </w:r>
    </w:p>
    <w:permEnd w:id="14"/>
    <w:p w:rsidR="0010762E" w:rsidRDefault="0010762E" w:rsidP="0010762E">
      <w:pPr>
        <w:rPr>
          <w:rFonts w:ascii="Arial" w:hAnsi="Arial" w:cs="Arial"/>
        </w:rPr>
      </w:pPr>
      <w:r>
        <w:rPr>
          <w:rFonts w:ascii="Arial" w:hAnsi="Arial" w:cs="Arial"/>
        </w:rPr>
        <w:t>&lt;ESMA_QUESTION_CP_BRTS_10&gt;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rsidR="0010762E" w:rsidRDefault="0010762E" w:rsidP="0010762E">
      <w:pPr>
        <w:rPr>
          <w:rFonts w:ascii="Arial" w:hAnsi="Arial" w:cs="Arial"/>
        </w:rPr>
      </w:pPr>
      <w:r>
        <w:rPr>
          <w:rFonts w:ascii="Arial" w:hAnsi="Arial" w:cs="Arial"/>
        </w:rPr>
        <w:t>&lt;ESMA_QUESTION_CP_BRTS_11&gt;</w:t>
      </w:r>
    </w:p>
    <w:p w:rsidR="00055C16" w:rsidRPr="00452674" w:rsidRDefault="00055C16" w:rsidP="00055C16">
      <w:pPr>
        <w:pStyle w:val="NormalnyWeb"/>
        <w:spacing w:line="276" w:lineRule="auto"/>
        <w:jc w:val="both"/>
        <w:rPr>
          <w:rFonts w:ascii="PT Sans" w:hAnsi="PT Sans"/>
        </w:rPr>
      </w:pPr>
      <w:permStart w:id="15" w:edGrp="everyone"/>
      <w:r w:rsidRPr="00452674">
        <w:rPr>
          <w:rFonts w:ascii="PT Sans" w:hAnsi="PT Sans"/>
        </w:rPr>
        <w:t>Yes, we agree with the criteria under which competent authorities may require changes to the compliance statement. At the same time, we wish to emphasise that competent authorities should be empowered to decide on the exemption from certain requirements relating to conflict of interest and the description of organisational structure.</w:t>
      </w:r>
    </w:p>
    <w:permEnd w:id="15"/>
    <w:p w:rsidR="0010762E" w:rsidRDefault="0010762E" w:rsidP="0010762E">
      <w:pPr>
        <w:rPr>
          <w:rFonts w:ascii="Arial" w:hAnsi="Arial" w:cs="Arial"/>
        </w:rPr>
      </w:pPr>
      <w:r>
        <w:rPr>
          <w:rFonts w:ascii="Arial" w:hAnsi="Arial" w:cs="Arial"/>
        </w:rPr>
        <w:lastRenderedPageBreak/>
        <w:t>&lt;ESMA_QUESTION_CP_BRTS_11&gt;</w:t>
      </w:r>
    </w:p>
    <w:p w:rsidR="0010762E" w:rsidRDefault="0010762E" w:rsidP="0010762E">
      <w:pPr>
        <w:rPr>
          <w:rFonts w:ascii="Arial" w:hAnsi="Arial" w:cs="Arial"/>
        </w:rPr>
      </w:pPr>
    </w:p>
    <w:p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rsidR="0010762E" w:rsidRDefault="0010762E" w:rsidP="0010762E">
      <w:pPr>
        <w:rPr>
          <w:rFonts w:ascii="Arial" w:hAnsi="Arial" w:cs="Arial"/>
        </w:rPr>
      </w:pPr>
      <w:r>
        <w:rPr>
          <w:rFonts w:ascii="Arial" w:hAnsi="Arial" w:cs="Arial"/>
        </w:rPr>
        <w:t>&lt;ESMA_QUESTION_CP_BRTS_12&gt;</w:t>
      </w:r>
    </w:p>
    <w:p w:rsidR="00055C16" w:rsidRPr="00452674" w:rsidRDefault="00055C16" w:rsidP="00055C16">
      <w:pPr>
        <w:shd w:val="clear" w:color="auto" w:fill="FFFFFF"/>
        <w:spacing w:after="80" w:line="276" w:lineRule="auto"/>
        <w:jc w:val="both"/>
        <w:outlineLvl w:val="0"/>
        <w:rPr>
          <w:rFonts w:ascii="PT Sans" w:hAnsi="PT Sans"/>
        </w:rPr>
      </w:pPr>
      <w:permStart w:id="16" w:edGrp="everyone"/>
      <w:r w:rsidRPr="00452674">
        <w:rPr>
          <w:rFonts w:ascii="PT Sans" w:hAnsi="PT Sans"/>
        </w:rPr>
        <w:t>Yes, we think that the criteria under which competent authorities may require changes to the control framework requirements are sufficient. Competent authorities should be empowered to decide on the exemption from certain requirements relating to input data, public consultations and comparative data in case of a material change.</w:t>
      </w:r>
    </w:p>
    <w:p w:rsidR="00055C16" w:rsidRPr="00452674" w:rsidRDefault="00055C16" w:rsidP="00055C16">
      <w:pPr>
        <w:shd w:val="clear" w:color="auto" w:fill="FFFFFF"/>
        <w:spacing w:after="80" w:line="276" w:lineRule="auto"/>
        <w:jc w:val="both"/>
        <w:outlineLvl w:val="0"/>
        <w:rPr>
          <w:rFonts w:ascii="PT Sans" w:hAnsi="PT Sans"/>
        </w:rPr>
      </w:pPr>
      <w:r w:rsidRPr="00452674">
        <w:rPr>
          <w:rFonts w:ascii="PT Sans" w:hAnsi="PT Sans"/>
        </w:rPr>
        <w:t xml:space="preserve">We are also of the view that the possibility of expanding the said criteria should be considered during the BMR review, while considering the market practice and the regulatory policy in that respect to date. </w:t>
      </w:r>
    </w:p>
    <w:permEnd w:id="16"/>
    <w:p w:rsidR="0010762E" w:rsidRDefault="0010762E" w:rsidP="0010762E">
      <w:pPr>
        <w:rPr>
          <w:rFonts w:ascii="Arial" w:hAnsi="Arial" w:cs="Arial"/>
        </w:rPr>
      </w:pPr>
      <w:r>
        <w:rPr>
          <w:rFonts w:ascii="Arial" w:hAnsi="Arial" w:cs="Arial"/>
        </w:rPr>
        <w:t>&lt;ESMA_QUESTION_CP_BRTS_12&gt;</w:t>
      </w:r>
    </w:p>
    <w:p w:rsidR="0010762E" w:rsidRDefault="0010762E" w:rsidP="0010762E">
      <w:pPr>
        <w:rPr>
          <w:rFonts w:ascii="Arial" w:hAnsi="Arial" w:cs="Arial"/>
        </w:rPr>
      </w:pPr>
    </w:p>
    <w:p w:rsidR="0010762E" w:rsidRPr="007B52B2" w:rsidRDefault="0010762E" w:rsidP="0010762E">
      <w:pPr>
        <w:rPr>
          <w:rFonts w:ascii="Arial" w:hAnsi="Arial" w:cs="Arial"/>
        </w:rPr>
      </w:pPr>
    </w:p>
    <w:bookmarkEnd w:id="1"/>
    <w:p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55E" w:rsidRDefault="00E9455E" w:rsidP="007E7997">
      <w:r>
        <w:separator/>
      </w:r>
    </w:p>
  </w:endnote>
  <w:endnote w:type="continuationSeparator" w:id="0">
    <w:p w:rsidR="00E9455E" w:rsidRDefault="00E9455E" w:rsidP="007E7997">
      <w:r>
        <w:continuationSeparator/>
      </w:r>
    </w:p>
  </w:endnote>
  <w:endnote w:type="continuationNotice" w:id="1">
    <w:p w:rsidR="00E9455E" w:rsidRDefault="00E9455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BC" w:rsidRDefault="009570B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752671"/>
      <w:docPartObj>
        <w:docPartGallery w:val="Page Numbers (Bottom of Page)"/>
        <w:docPartUnique/>
      </w:docPartObj>
    </w:sdtPr>
    <w:sdtEndPr>
      <w:rPr>
        <w:noProof/>
      </w:rPr>
    </w:sdtEndPr>
    <w:sdtContent>
      <w:p w:rsidR="00E36813" w:rsidRDefault="00C67CE0">
        <w:pPr>
          <w:pStyle w:val="Stopka"/>
          <w:jc w:val="center"/>
        </w:pPr>
        <w:r>
          <w:fldChar w:fldCharType="begin"/>
        </w:r>
        <w:r w:rsidR="00E36813">
          <w:instrText xml:space="preserve"> PAGE   \* MERGEFORMAT </w:instrText>
        </w:r>
        <w:r>
          <w:fldChar w:fldCharType="separate"/>
        </w:r>
        <w:r w:rsidR="00C85C8B">
          <w:rPr>
            <w:noProof/>
          </w:rPr>
          <w:t>3</w:t>
        </w:r>
        <w:r>
          <w:rPr>
            <w:noProof/>
          </w:rPr>
          <w:fldChar w:fldCharType="end"/>
        </w:r>
      </w:p>
    </w:sdtContent>
  </w:sdt>
  <w:p w:rsidR="00E36813" w:rsidRDefault="00E3681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Pr="00514DFA" w:rsidRDefault="00564F5A" w:rsidP="00564F5A">
    <w:pPr>
      <w:pStyle w:val="Stopka"/>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cstheme="majorHAnsi"/>
      </w:rPr>
      <w:id w:val="616098339"/>
      <w:docPartObj>
        <w:docPartGallery w:val="Page Numbers (Bottom of Page)"/>
        <w:docPartUnique/>
      </w:docPartObj>
    </w:sdtPr>
    <w:sdtEndPr>
      <w:rPr>
        <w:noProof/>
      </w:rPr>
    </w:sdtEndPr>
    <w:sdtContent>
      <w:p w:rsidR="008F1DCF" w:rsidRPr="008F1DCF" w:rsidRDefault="008F1DCF" w:rsidP="008F1DCF">
        <w:pPr>
          <w:pStyle w:val="Stopka"/>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ipercze"/>
              <w:rFonts w:asciiTheme="majorHAnsi" w:hAnsiTheme="majorHAnsi" w:cstheme="majorHAnsi"/>
              <w:sz w:val="16"/>
              <w:szCs w:val="16"/>
              <w:lang w:val="es-ES_tradnl"/>
            </w:rPr>
            <w:t>www.esma.europa.eu</w:t>
          </w:r>
        </w:hyperlink>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752247"/>
      <w:docPartObj>
        <w:docPartGallery w:val="Page Numbers (Bottom of Page)"/>
        <w:docPartUnique/>
      </w:docPartObj>
    </w:sdtPr>
    <w:sdtEndPr>
      <w:rPr>
        <w:noProof/>
      </w:rPr>
    </w:sdtEndPr>
    <w:sdtContent>
      <w:p w:rsidR="00E36813" w:rsidRDefault="00C67CE0" w:rsidP="008F1DCF">
        <w:pPr>
          <w:pStyle w:val="Stopka"/>
          <w:jc w:val="right"/>
        </w:pPr>
        <w:r>
          <w:fldChar w:fldCharType="begin"/>
        </w:r>
        <w:r w:rsidR="00E36813">
          <w:instrText xml:space="preserve"> PAGE   \* MERGEFORMAT </w:instrText>
        </w:r>
        <w:r>
          <w:fldChar w:fldCharType="separate"/>
        </w:r>
        <w:r w:rsidR="00055C16">
          <w:rPr>
            <w:noProof/>
          </w:rPr>
          <w:t>9</w:t>
        </w:r>
        <w:r>
          <w:rPr>
            <w:noProof/>
          </w:rPr>
          <w:fldChar w:fldCharType="end"/>
        </w:r>
      </w:p>
    </w:sdtContent>
  </w:sdt>
  <w:p w:rsidR="00E36813" w:rsidRDefault="00E36813" w:rsidP="00FB24ED">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55E" w:rsidRDefault="00E9455E" w:rsidP="007E7997">
      <w:r>
        <w:separator/>
      </w:r>
    </w:p>
  </w:footnote>
  <w:footnote w:type="continuationSeparator" w:id="0">
    <w:p w:rsidR="00E9455E" w:rsidRDefault="00E9455E" w:rsidP="007E7997">
      <w:r>
        <w:continuationSeparator/>
      </w:r>
    </w:p>
  </w:footnote>
  <w:footnote w:type="continuationNotice" w:id="1">
    <w:p w:rsidR="00E9455E" w:rsidRDefault="00E945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BC" w:rsidRDefault="009570B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E36813">
    <w:pPr>
      <w:pStyle w:val="Nagwek"/>
    </w:pPr>
  </w:p>
  <w:p w:rsidR="00E36813" w:rsidRDefault="00E3681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E36813">
    <w:pPr>
      <w:pStyle w:val="Nagwek"/>
    </w:pPr>
    <w:r>
      <w:rPr>
        <w:noProof/>
        <w:lang w:val="pl-PL" w:eastAsia="zh-CN"/>
      </w:rPr>
      <w:drawing>
        <wp:anchor distT="0" distB="0" distL="114300" distR="114300" simplePos="0" relativeHeight="251658752"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r>
      <w:rPr>
        <w:noProof/>
        <w:lang w:val="pl-PL" w:eastAsia="zh-CN"/>
      </w:rPr>
      <w:drawing>
        <wp:anchor distT="0" distB="0" distL="114300" distR="114300" simplePos="0" relativeHeight="251657728" behindDoc="1" locked="0" layoutInCell="1" allowOverlap="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CF" w:rsidRPr="003669AC" w:rsidRDefault="008F1DCF" w:rsidP="006C5A3D">
    <w:pPr>
      <w:pStyle w:val="Nagwek"/>
      <w:ind w:left="708"/>
      <w:jc w:val="right"/>
    </w:pPr>
  </w:p>
  <w:p w:rsidR="008F1DCF" w:rsidRPr="003669AC" w:rsidRDefault="008F1DCF" w:rsidP="006C5A3D">
    <w:pPr>
      <w:pStyle w:val="Nagwek"/>
      <w:ind w:left="708"/>
      <w:jc w:val="right"/>
    </w:pPr>
  </w:p>
  <w:p w:rsidR="008F1DCF" w:rsidRPr="008F1DCF" w:rsidRDefault="008F1DCF" w:rsidP="006C5A3D">
    <w:pPr>
      <w:pStyle w:val="Nagwek"/>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tblPr>
    <w:tblGrid>
      <w:gridCol w:w="2377"/>
    </w:tblGrid>
    <w:tr w:rsidR="008F1DCF" w:rsidRPr="008F1DCF" w:rsidTr="00AE4A5B">
      <w:trPr>
        <w:trHeight w:hRule="exact" w:val="589"/>
      </w:trPr>
      <w:tc>
        <w:tcPr>
          <w:tcW w:w="2377" w:type="dxa"/>
        </w:tcPr>
        <w:p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bookmarkStart w:id="0" w:name="_GoBack"/>
          <w:bookmarkEnd w:id="0"/>
        </w:p>
      </w:tc>
    </w:tr>
  </w:tbl>
  <w:p w:rsidR="008F1DCF" w:rsidRDefault="008F1DCF" w:rsidP="006C5A3D">
    <w:pPr>
      <w:pStyle w:val="Nagwek"/>
      <w:ind w:left="6663"/>
      <w:rPr>
        <w:color w:val="FF0000"/>
        <w:sz w:val="20"/>
      </w:rPr>
    </w:pPr>
  </w:p>
  <w:p w:rsidR="008F1DCF" w:rsidRDefault="008F1DCF">
    <w:pPr>
      <w:pStyle w:val="Nagwek"/>
    </w:pPr>
    <w:r>
      <w:rPr>
        <w:noProof/>
        <w:lang w:val="pl-PL" w:eastAsia="zh-CN"/>
      </w:rPr>
      <w:drawing>
        <wp:anchor distT="0" distB="0" distL="114300" distR="114300" simplePos="0" relativeHeight="251660800" behindDoc="0" locked="0" layoutInCell="1" allowOverlap="1">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CF" w:rsidRDefault="008F1DCF">
    <w:pPr>
      <w:pStyle w:val="Nagwek"/>
    </w:pPr>
  </w:p>
  <w:p w:rsidR="008F1DCF" w:rsidRDefault="008F1DCF">
    <w:pPr>
      <w:pStyle w:val="Nagwek"/>
    </w:pPr>
  </w:p>
  <w:p w:rsidR="008F1DCF" w:rsidRDefault="008F1DCF">
    <w:pPr>
      <w:pStyle w:val="Nagwek"/>
    </w:pPr>
    <w:r>
      <w:rPr>
        <w:noProof/>
        <w:lang w:val="pl-PL" w:eastAsia="zh-CN"/>
      </w:rPr>
      <w:drawing>
        <wp:anchor distT="0" distB="0" distL="114300" distR="114300" simplePos="0" relativeHeight="251661824"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13" w:rsidRDefault="00C67CE0" w:rsidP="00B50534">
    <w:pPr>
      <w:pStyle w:val="Nagwek"/>
      <w:jc w:val="right"/>
      <w:rPr>
        <w:b/>
        <w:color w:val="FF0000"/>
      </w:rPr>
    </w:pPr>
    <w:r w:rsidRPr="00C67CE0">
      <w:rPr>
        <w:rFonts w:ascii="Arial" w:hAnsi="Arial" w:cs="Arial"/>
        <w:noProof/>
      </w:rPr>
      <w:pict>
        <v:line id="Line 16" o:spid="_x0000_s14337" style="position:absolute;left:0;text-align:left;z-index:251656704;visibility:visible;mso-position-horizontal-relative:page;mso-position-vertical-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w:r>
  </w:p>
  <w:p w:rsidR="00E36813" w:rsidRPr="00D13661" w:rsidRDefault="00E36813" w:rsidP="00B50534">
    <w:pPr>
      <w:pStyle w:val="Nagwek"/>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pl-PL" w:eastAsia="zh-CN"/>
      </w:rPr>
      <w:drawing>
        <wp:anchor distT="0" distB="0" distL="114300" distR="114300" simplePos="0" relativeHeight="251655680" behindDoc="0" locked="0" layoutInCell="1" allowOverlap="1">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r w:rsidRPr="00D13661">
      <w:rPr>
        <w:rFonts w:asciiTheme="minorHAnsi" w:hAnsiTheme="minorHAnsi" w:cstheme="minorHAnsi"/>
        <w:color w:val="2F5496" w:themeColor="accent5" w:themeShade="BF"/>
        <w:sz w:val="20"/>
      </w:rPr>
      <w:t>ESMA REGULAR USE</w:t>
    </w:r>
  </w:p>
  <w:p w:rsidR="00E36813" w:rsidRPr="00C3170E" w:rsidRDefault="00E36813" w:rsidP="00B50534">
    <w:pPr>
      <w:pStyle w:val="Nagwek"/>
      <w:jc w:val="right"/>
      <w:rPr>
        <w:color w:val="2F5496" w:themeColor="accent5" w:themeShade="BF"/>
        <w:sz w:val="20"/>
      </w:rPr>
    </w:pPr>
  </w:p>
  <w:p w:rsidR="00E36813" w:rsidRPr="00B50534" w:rsidRDefault="00E36813" w:rsidP="00B50534">
    <w:pPr>
      <w:pStyle w:val="Nagwek"/>
      <w:jc w:val="right"/>
      <w:rPr>
        <w:b/>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attachedTemplate r:id="rId1"/>
  <w:documentProtection w:edit="readOnly" w:enforcement="1" w:cryptProviderType="rsaAES" w:cryptAlgorithmClass="hash" w:cryptAlgorithmType="typeAny" w:cryptAlgorithmSid="14" w:cryptSpinCount="100000" w:hash="dKEpmO5ojvRrbnas8+vZm3cLI80opMrZ1SKh4CCRnFno/in661YN46heyBLHSu/f0pbc96IBLxVA&#10;6U915RGNxQ==" w:salt="2wbdAoQ2PpXyRoiX9SSqeA=="/>
  <w:defaultTabStop w:val="708"/>
  <w:hyphenationZone w:val="425"/>
  <w:characterSpacingControl w:val="doNotCompress"/>
  <w:hdrShapeDefaults>
    <o:shapedefaults v:ext="edit" spidmax="17410"/>
    <o:shapelayout v:ext="edit">
      <o:idmap v:ext="edit" data="14"/>
    </o:shapelayout>
  </w:hdrShapeDefaults>
  <w:footnotePr>
    <w:footnote w:id="-1"/>
    <w:footnote w:id="0"/>
    <w:footnote w:id="1"/>
  </w:footnotePr>
  <w:endnotePr>
    <w:endnote w:id="-1"/>
    <w:endnote w:id="0"/>
    <w:endnote w:id="1"/>
  </w:endnotePr>
  <w:compat>
    <w:useFELayout/>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55C16"/>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11D7"/>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30B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553"/>
    <w:rsid w:val="004B5E92"/>
    <w:rsid w:val="004B6C3B"/>
    <w:rsid w:val="004C0A30"/>
    <w:rsid w:val="004C357C"/>
    <w:rsid w:val="004C3D18"/>
    <w:rsid w:val="004C615B"/>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6424"/>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7CE0"/>
    <w:rsid w:val="00C709F9"/>
    <w:rsid w:val="00C73A70"/>
    <w:rsid w:val="00C76054"/>
    <w:rsid w:val="00C779A2"/>
    <w:rsid w:val="00C80546"/>
    <w:rsid w:val="00C83CAD"/>
    <w:rsid w:val="00C8419E"/>
    <w:rsid w:val="00C851D7"/>
    <w:rsid w:val="00C85C8B"/>
    <w:rsid w:val="00C867AD"/>
    <w:rsid w:val="00C87F9F"/>
    <w:rsid w:val="00C9531B"/>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455E"/>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off"/>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rsid w:val="007E7997"/>
    <w:pPr>
      <w:tabs>
        <w:tab w:val="center" w:pos="4536"/>
        <w:tab w:val="right" w:pos="9072"/>
      </w:tabs>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omylnaczcionkaakapitu"/>
    <w:link w:val="Questionstyle"/>
    <w:rsid w:val="00F77851"/>
    <w:rPr>
      <w:rFonts w:eastAsia="Times New Roman" w:cstheme="minorHAnsi"/>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Standardowy"/>
    <w:next w:val="Tabela-Siatka"/>
    <w:uiPriority w:val="59"/>
    <w:rsid w:val="003E1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Standardowy"/>
    <w:next w:val="Tabela-Siatka"/>
    <w:uiPriority w:val="39"/>
    <w:rsid w:val="008A2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5E40E-1105-4633-811B-78CDB65B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7</TotalTime>
  <Pages>9</Pages>
  <Words>1957</Words>
  <Characters>11744</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Alina.Dragomir@esma.europa.eu</dc:creator>
  <cp:lastModifiedBy>Rafał Broniewski</cp:lastModifiedBy>
  <cp:revision>3</cp:revision>
  <cp:lastPrinted>2017-07-24T14:47:00Z</cp:lastPrinted>
  <dcterms:created xsi:type="dcterms:W3CDTF">2020-05-26T14:47:00Z</dcterms:created>
  <dcterms:modified xsi:type="dcterms:W3CDTF">2020-05-30T09:10:00Z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