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33175339" w:rsidR="00C2682A" w:rsidRPr="00AB6D88" w:rsidRDefault="00F07B5B" w:rsidP="00FA5524">
                <w:pPr>
                  <w:rPr>
                    <w:rStyle w:val="PlaceholderText"/>
                    <w:rFonts w:cs="Arial"/>
                  </w:rPr>
                </w:pPr>
                <w:r>
                  <w:rPr>
                    <w:rStyle w:val="PlaceholderText"/>
                    <w:rFonts w:cs="Arial"/>
                  </w:rPr>
                  <w:t>ING Group N.V.</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2E8615BD" w:rsidR="00C2682A" w:rsidRPr="00AB6D88" w:rsidRDefault="00F07B5B"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Banking sector</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1E036FDE" w:rsidR="00C2682A" w:rsidRPr="00AB6D88" w:rsidRDefault="00F07B5B"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570706BF" w:rsidR="00C2682A" w:rsidRPr="00AB6D88" w:rsidRDefault="00F07B5B" w:rsidP="00FA5524">
                <w:pPr>
                  <w:rPr>
                    <w:rFonts w:cs="Arial"/>
                  </w:rPr>
                </w:pPr>
                <w:r>
                  <w:rPr>
                    <w:rFonts w:cs="Arial"/>
                  </w:rPr>
                  <w:t>Netherlands</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6A22288E" w14:textId="7D025A66" w:rsidR="00F87897" w:rsidRDefault="00F07B5B" w:rsidP="00F87897">
      <w:permStart w:id="1454525006" w:edGrp="everyone"/>
      <w:r w:rsidRPr="00F07B5B">
        <w:rPr>
          <w:lang w:val="en-US"/>
        </w:rPr>
        <w:t>ING Group N.V. (</w:t>
      </w:r>
      <w:r w:rsidRPr="00F07B5B">
        <w:rPr>
          <w:b/>
          <w:lang w:val="en-US"/>
        </w:rPr>
        <w:t>ING</w:t>
      </w:r>
      <w:r w:rsidRPr="00F07B5B">
        <w:rPr>
          <w:lang w:val="en-US"/>
        </w:rPr>
        <w:t>) welcome</w:t>
      </w:r>
      <w:r>
        <w:rPr>
          <w:lang w:val="en-US"/>
        </w:rPr>
        <w:t>s the opportunity to respond to the consultation on the transparency regime for equity and equity-like instruments, the DVC and the trading obligation for shares. As ING executes its trades in equity and equity-like instruments through brokers on trading venues, ING have chosen to limit its response to the questions on the trading obligation for shares.</w:t>
      </w:r>
      <w:permEnd w:id="1454525006"/>
    </w:p>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4A4CF699" w14:textId="77777777" w:rsidR="00A8728B" w:rsidRDefault="00A8728B" w:rsidP="00A8728B">
      <w:permStart w:id="1955866996" w:edGrp="everyone"/>
      <w:r>
        <w:t>TYPE YOUR TEXT HERE</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108232FE" w14:textId="77777777" w:rsidR="00A8728B" w:rsidRDefault="00A8728B" w:rsidP="00A8728B">
      <w:permStart w:id="1066216518" w:edGrp="everyone"/>
      <w:r>
        <w:t>TYPE YOUR TEXT HERE</w:t>
      </w:r>
      <w:permEnd w:id="1066216518"/>
    </w:p>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27C12B76" w14:textId="77777777" w:rsidR="002E1760" w:rsidRDefault="002E1760" w:rsidP="002E1760">
      <w:permStart w:id="473446270" w:edGrp="everyone"/>
      <w:r>
        <w:t>TYPE YOUR TEXT HERE</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77777777" w:rsidR="002E1760" w:rsidRDefault="002E1760" w:rsidP="002E1760">
      <w:permStart w:id="1101743476" w:edGrp="everyone"/>
      <w:r>
        <w:t>TYPE YOUR TEXT HERE</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77777777" w:rsidR="00227C1A" w:rsidRDefault="00227C1A" w:rsidP="00227C1A">
      <w:permStart w:id="1725855520" w:edGrp="everyone"/>
      <w:r>
        <w:t>TYPE YOUR TEXT HERE</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lastRenderedPageBreak/>
        <w:t>&lt;ESMA_QUESTION_CP</w:t>
      </w:r>
      <w:r w:rsidR="00F107EF">
        <w:t>_M</w:t>
      </w:r>
      <w:r w:rsidR="00945BCF">
        <w:t>I</w:t>
      </w:r>
      <w:r w:rsidR="00F107EF">
        <w:t>FID_EQT_</w:t>
      </w:r>
      <w:r w:rsidR="00A263DF">
        <w:t>6</w:t>
      </w:r>
      <w:r>
        <w:t>&gt;</w:t>
      </w:r>
    </w:p>
    <w:p w14:paraId="7F3F849F" w14:textId="77777777" w:rsidR="0062022D" w:rsidRDefault="0062022D" w:rsidP="0062022D">
      <w:permStart w:id="203298670" w:edGrp="everyone"/>
      <w:r>
        <w:t>TYPE YOUR TEXT HERE</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14896476" w14:textId="77777777" w:rsidR="00A263DF" w:rsidRDefault="00A263DF" w:rsidP="00A263DF">
      <w:permStart w:id="795872801" w:edGrp="everyone"/>
      <w:r>
        <w:t>TYPE YOUR TEXT HERE</w:t>
      </w:r>
      <w:permEnd w:id="795872801"/>
    </w:p>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43D46422" w14:textId="77777777" w:rsidR="00A263DF" w:rsidRDefault="00A263DF" w:rsidP="00A263DF">
      <w:permStart w:id="1747589383" w:edGrp="everyone"/>
      <w:r>
        <w:t>TYPE YOUR TEXT HERE</w:t>
      </w:r>
      <w:permEnd w:id="1747589383"/>
    </w:p>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77777777" w:rsidR="002E1760" w:rsidRDefault="002E1760" w:rsidP="002E1760">
      <w:permStart w:id="1400726192" w:edGrp="everyone"/>
      <w:r>
        <w:t>TYPE YOUR TEXT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77777777" w:rsidR="008418E3" w:rsidRDefault="008418E3" w:rsidP="008418E3">
      <w:permStart w:id="929114806" w:edGrp="everyone"/>
      <w:r>
        <w:t>TYPE YOUR TEXT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77303C55" w14:textId="77777777" w:rsidR="00F469F8" w:rsidRDefault="00F469F8" w:rsidP="00F469F8">
      <w:permStart w:id="675495160" w:edGrp="everyone"/>
      <w:r>
        <w:t>TYPE YOUR TEXT HERE</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lastRenderedPageBreak/>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1B69D7E6" w14:textId="77777777" w:rsidR="00F469F8" w:rsidRDefault="00F469F8" w:rsidP="00F469F8">
      <w:permStart w:id="227761104" w:edGrp="everyone"/>
      <w:r>
        <w:t>TYPE YOUR TEXT HERE</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536EE512" w14:textId="77777777" w:rsidR="00646C30" w:rsidRDefault="00646C30" w:rsidP="00646C30">
      <w:permStart w:id="308116658" w:edGrp="everyone"/>
      <w:r>
        <w:t>TYPE YOUR TEXT HERE</w:t>
      </w:r>
      <w:permEnd w:id="308116658"/>
    </w:p>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6A257108" w14:textId="77777777" w:rsidR="00646C30" w:rsidRDefault="00646C30" w:rsidP="00646C30">
      <w:permStart w:id="699085938" w:edGrp="everyone"/>
      <w:r>
        <w:t>TYPE YOUR TEXT HERE</w:t>
      </w:r>
      <w:permEnd w:id="699085938"/>
    </w:p>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7AAD2035" w14:textId="77777777" w:rsidR="00646C30" w:rsidRDefault="00646C30" w:rsidP="00646C30">
      <w:permStart w:id="2130212544" w:edGrp="everyone"/>
      <w:r>
        <w:t>TYPE YOUR TEXT HERE</w:t>
      </w:r>
      <w:permEnd w:id="2130212544"/>
    </w:p>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1CE157B4" w14:textId="77777777" w:rsidR="00646C30" w:rsidRDefault="00646C30" w:rsidP="00646C30">
      <w:permStart w:id="96027498" w:edGrp="everyone"/>
      <w:r>
        <w:t>TYPE YOUR TEXT HERE</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lastRenderedPageBreak/>
        <w:t>&lt;ESMA_QUESTION_CP</w:t>
      </w:r>
      <w:r w:rsidR="00F107EF">
        <w:t>_M</w:t>
      </w:r>
      <w:r w:rsidR="00945BCF">
        <w:t>I</w:t>
      </w:r>
      <w:r w:rsidR="00F107EF">
        <w:t>FID_EQT_</w:t>
      </w:r>
      <w:r>
        <w:t>1</w:t>
      </w:r>
      <w:r w:rsidR="00101BF1">
        <w:t>8</w:t>
      </w:r>
      <w:r>
        <w:t>&gt;</w:t>
      </w:r>
    </w:p>
    <w:p w14:paraId="2C8E07E5" w14:textId="77777777" w:rsidR="00646C30" w:rsidRDefault="00646C30" w:rsidP="00646C30">
      <w:permStart w:id="70923797" w:edGrp="everyone"/>
      <w:r>
        <w:t>TYPE YOUR TEXT HERE</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19" w:history="1">
        <w:r w:rsidRPr="00D7232C">
          <w:rPr>
            <w:rStyle w:val="Hyperlink"/>
          </w:rPr>
          <w:t>survey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77777777" w:rsidR="00646C30" w:rsidRDefault="00646C30" w:rsidP="00646C30">
      <w:permStart w:id="37382354" w:edGrp="everyone"/>
      <w:r>
        <w:t>TYPE YOUR TEXT HERE</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77777777" w:rsidR="00646C30" w:rsidRDefault="00646C30" w:rsidP="00646C30">
      <w:permStart w:id="71373738" w:edGrp="everyone"/>
      <w:r>
        <w:t>TYPE YOUR TEXT HERE</w:t>
      </w:r>
      <w:permEnd w:id="71373738"/>
    </w:p>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77777777" w:rsidR="00646C30" w:rsidRDefault="00646C30" w:rsidP="00646C30">
      <w:permStart w:id="2102155623" w:edGrp="everyone"/>
      <w:r>
        <w:t>TYPE YOUR TEXT HERE</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4A9DFDE" w14:textId="77777777" w:rsidR="00646C30" w:rsidRDefault="00646C30" w:rsidP="00646C30">
      <w:permStart w:id="160242055" w:edGrp="everyone"/>
      <w:r>
        <w:t>TYPE YOUR TEXT HERE</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lastRenderedPageBreak/>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D6B6F67" w14:textId="77777777" w:rsidR="00646C30" w:rsidRDefault="00646C30" w:rsidP="00646C30">
      <w:permStart w:id="203690501" w:edGrp="everyone"/>
      <w:r>
        <w:t>TYPE YOUR TEXT HERE</w:t>
      </w:r>
      <w:permEnd w:id="203690501"/>
    </w:p>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00430256" w14:textId="77777777" w:rsidR="00646C30" w:rsidRDefault="00646C30" w:rsidP="00646C30">
      <w:permStart w:id="1935441367" w:edGrp="everyone"/>
      <w:r>
        <w:t>TYPE YOUR TEXT HERE</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77777777" w:rsidR="00646C30" w:rsidRDefault="00646C30" w:rsidP="00646C30">
      <w:permStart w:id="1284132493" w:edGrp="everyone"/>
      <w:r>
        <w:t>TYPE YOUR TEXT HERE</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0E557F14" w14:textId="77777777" w:rsidR="00646C30" w:rsidRDefault="00646C30" w:rsidP="00646C30">
      <w:permStart w:id="1113393043" w:edGrp="everyone"/>
      <w:r>
        <w:t>TYPE YOUR TEXT HERE</w:t>
      </w:r>
      <w:permEnd w:id="1113393043"/>
    </w:p>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purpose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0FB3DBAF" w14:textId="77777777" w:rsidR="00646C30" w:rsidRDefault="00646C30" w:rsidP="00646C30">
      <w:permStart w:id="547110296" w:edGrp="everyone"/>
      <w:r>
        <w:t>TYPE YOUR TEXT HERE</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lastRenderedPageBreak/>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558F2237" w14:textId="77777777" w:rsidR="00F07B5B" w:rsidRDefault="00F07B5B" w:rsidP="00F07B5B">
      <w:pPr>
        <w:cnfStyle w:val="001000100000" w:firstRow="0" w:lastRow="0" w:firstColumn="1" w:lastColumn="0" w:oddVBand="0" w:evenVBand="0" w:oddHBand="1" w:evenHBand="0" w:firstRowFirstColumn="0" w:firstRowLastColumn="0" w:lastRowFirstColumn="0" w:lastRowLastColumn="0"/>
        <w:rPr>
          <w:bCs/>
          <w:lang w:val="en-US"/>
        </w:rPr>
      </w:pPr>
      <w:permStart w:id="1765943254" w:edGrp="everyone"/>
      <w:r>
        <w:rPr>
          <w:lang w:val="en-US"/>
        </w:rPr>
        <w:t>ING agrees to ESMA’s proposal to reduce the scope of the share trading obligation to exclude third-country shares as the main pool of liquidity of these shares is often on a trading venue outside the EU. Furthermore the EU share trading obligation with regard to third-country shares could potentially conflict with local share trading obligations in third countries.</w:t>
      </w:r>
    </w:p>
    <w:p w14:paraId="6F207FC1" w14:textId="77777777" w:rsidR="00F07B5B" w:rsidRDefault="00F07B5B" w:rsidP="00F07B5B">
      <w:pPr>
        <w:cnfStyle w:val="001000100000" w:firstRow="0" w:lastRow="0" w:firstColumn="1" w:lastColumn="0" w:oddVBand="0" w:evenVBand="0" w:oddHBand="1" w:evenHBand="0" w:firstRowFirstColumn="0" w:firstRowLastColumn="0" w:lastRowFirstColumn="0" w:lastRowLastColumn="0"/>
        <w:rPr>
          <w:bCs/>
          <w:lang w:val="en-US"/>
        </w:rPr>
      </w:pPr>
    </w:p>
    <w:p w14:paraId="4CD1FEE8" w14:textId="77777777" w:rsidR="00F07B5B" w:rsidRPr="00600CB3" w:rsidRDefault="00F07B5B" w:rsidP="00F07B5B">
      <w:pPr>
        <w:cnfStyle w:val="001000100000" w:firstRow="0" w:lastRow="0" w:firstColumn="1" w:lastColumn="0" w:oddVBand="0" w:evenVBand="0" w:oddHBand="1" w:evenHBand="0" w:firstRowFirstColumn="0" w:firstRowLastColumn="0" w:lastRowFirstColumn="0" w:lastRowLastColumn="0"/>
        <w:rPr>
          <w:b/>
          <w:lang w:val="en-US"/>
        </w:rPr>
      </w:pPr>
      <w:r>
        <w:rPr>
          <w:lang w:val="en-US"/>
        </w:rPr>
        <w:t>ING appreciates the difficulty in identifying which shares qualify as third-country shares and therefore are not within scope of the EU share trading obligation. ING concurs with ESMA’s view that this should be the shares for which the main pool of liquidity is outside the EU, which as a rule of thumb can be determined based on the ISINs of the shares in combination with an examination of whether the issuer has sought to have these shares admitted to trading on an EU trading venue. Where both the ISIN and the absence of a request to have the shares admitted to trading on an EU trading venue by the issuer have been determined, these shares could be qualified as third-country shares that are not within scope of the EU share trading obligation.</w:t>
      </w:r>
    </w:p>
    <w:permEnd w:id="1765943254"/>
    <w:p w14:paraId="4E9EEEEE" w14:textId="38DEC743" w:rsidR="00646C30" w:rsidRDefault="00646C30" w:rsidP="00646C30"/>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04F437BE" w14:textId="5F6D4543" w:rsidR="00646C30" w:rsidRDefault="00F07B5B" w:rsidP="00646C30">
      <w:permStart w:id="1881367284" w:edGrp="everyone"/>
      <w:r w:rsidRPr="002D2E89">
        <w:rPr>
          <w:lang w:val="en-US"/>
        </w:rPr>
        <w:t>ING is in favor</w:t>
      </w:r>
      <w:r>
        <w:rPr>
          <w:lang w:val="en-US"/>
        </w:rPr>
        <w:t xml:space="preserve"> of remaining SIs as eligible execution venues for the purpose of the share trading obligation in line with the current legal mandate (both liquid and illiquid instruments as long as the instruments are TOTV).</w:t>
      </w:r>
      <w:permEnd w:id="1881367284"/>
    </w:p>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2E0C5410" w14:textId="0F818FF5" w:rsidR="00646C30" w:rsidRDefault="00F07B5B" w:rsidP="00646C30">
      <w:permStart w:id="1956398093" w:edGrp="everyone"/>
      <w:r>
        <w:rPr>
          <w:lang w:val="en-US"/>
        </w:rPr>
        <w:t>ING understands that limiting the scope of the share trading obligation justifies a further limitation of the scope of the exemptions as well, but is of the view that there should be an exemption possibility for non-systematic, ad-hoc, irregular and infrequent share trading. ING would welcome further clarification to which extent this exemption is available to investment firms.</w:t>
      </w:r>
      <w:permEnd w:id="1956398093"/>
    </w:p>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lastRenderedPageBreak/>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05B9DC98" w:rsidR="00646C30" w:rsidRDefault="00F07B5B" w:rsidP="00646C30">
      <w:permStart w:id="856773751" w:edGrp="everyone"/>
      <w:r>
        <w:rPr>
          <w:lang w:val="en-US"/>
        </w:rPr>
        <w:t>ING supports the proposal to</w:t>
      </w:r>
      <w:r>
        <w:rPr>
          <w:b/>
          <w:lang w:val="en-US"/>
        </w:rPr>
        <w:t xml:space="preserve"> </w:t>
      </w:r>
      <w:r>
        <w:rPr>
          <w:lang w:val="en-US"/>
        </w:rPr>
        <w:t>enable to make use of exemptions for transactions that do not contribute to the price discovery process, regardless of whether they are carried out between eligible and/or professional counterparties, or retail counterparties.</w:t>
      </w:r>
      <w:bookmarkStart w:id="3" w:name="_GoBack"/>
      <w:bookmarkEnd w:id="3"/>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16CC0EF6" w14:textId="77777777" w:rsidR="00646C30" w:rsidRDefault="00646C30" w:rsidP="00646C30">
      <w:permStart w:id="2089697884" w:edGrp="everyone"/>
      <w:r>
        <w:t>TYPE YOUR TEXT HERE</w:t>
      </w:r>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82AF8" w14:textId="77777777" w:rsidR="00605748" w:rsidRDefault="00605748">
      <w:r>
        <w:separator/>
      </w:r>
    </w:p>
    <w:p w14:paraId="7FA5209D" w14:textId="77777777" w:rsidR="00605748" w:rsidRDefault="00605748"/>
  </w:endnote>
  <w:endnote w:type="continuationSeparator" w:id="0">
    <w:p w14:paraId="7CE133E6" w14:textId="77777777" w:rsidR="00605748" w:rsidRDefault="00605748">
      <w:r>
        <w:continuationSeparator/>
      </w:r>
    </w:p>
    <w:p w14:paraId="6690EAF9" w14:textId="77777777" w:rsidR="00605748" w:rsidRDefault="00605748"/>
  </w:endnote>
  <w:endnote w:type="continuationNotice" w:id="1">
    <w:p w14:paraId="378379C0" w14:textId="77777777" w:rsidR="00605748" w:rsidRDefault="00605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1DA70" w14:textId="77777777" w:rsidR="00605748" w:rsidRDefault="00605748">
      <w:r>
        <w:separator/>
      </w:r>
    </w:p>
    <w:p w14:paraId="1445AE77" w14:textId="77777777" w:rsidR="00605748" w:rsidRDefault="00605748"/>
  </w:footnote>
  <w:footnote w:type="continuationSeparator" w:id="0">
    <w:p w14:paraId="5042D269" w14:textId="77777777" w:rsidR="00605748" w:rsidRDefault="00605748">
      <w:r>
        <w:continuationSeparator/>
      </w:r>
    </w:p>
    <w:p w14:paraId="2E8EF56A" w14:textId="77777777" w:rsidR="00605748" w:rsidRDefault="00605748"/>
  </w:footnote>
  <w:footnote w:type="continuationNotice" w:id="1">
    <w:p w14:paraId="79EA1583" w14:textId="77777777" w:rsidR="00605748" w:rsidRDefault="00605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CF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B4AE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07B5B"/>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forms.office.com/Pages/ResponsePage.aspx?id=aPIG5OdKgEyJlAJJPaAMA8MbwIo5IbFHiXG6oH-BVkdUNjJUNktLOU1BSVZYUUFEQVUwSVZHSzdZTC4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2A1ACFE8-0BDC-4EFD-8B39-62CE6145FC8E}">
  <ds:schemaRefs>
    <ds:schemaRef ds:uri="http://schemas.openxmlformats.org/officeDocument/2006/bibliography"/>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7C169-B082-42D7-95A8-39DCDC7C43D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4"/>
    <ds:schemaRef ds:uri="http://schemas.microsoft.com/sharepoint/v3"/>
    <ds:schemaRef ds:uri="20fbe147-bbda-4e53-b6b1-7e8bbff3fe19"/>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2B7D5D34-83F4-4B2B-9E78-B2E034C6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2130</Words>
  <Characters>12970</Characters>
  <Application>Microsoft Office Word</Application>
  <DocSecurity>8</DocSecurity>
  <Lines>108</Lines>
  <Paragraphs>30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15070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Ancery, A. (Alain)</cp:lastModifiedBy>
  <cp:revision>2</cp:revision>
  <cp:lastPrinted>2015-02-18T11:01:00Z</cp:lastPrinted>
  <dcterms:created xsi:type="dcterms:W3CDTF">2020-03-17T09:05:00Z</dcterms:created>
  <dcterms:modified xsi:type="dcterms:W3CDTF">2020-03-17T09:05:00Z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