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rsidR="00AF2EF7" w:rsidRPr="00B8572C" w:rsidRDefault="00AF2EF7" w:rsidP="00AF2EF7">
          <w:pPr>
            <w:spacing w:line="276" w:lineRule="auto"/>
            <w:rPr>
              <w:rFonts w:asciiTheme="minorHAnsi" w:hAnsiTheme="minorHAnsi" w:cstheme="minorHAnsi"/>
              <w:color w:val="FF0000"/>
            </w:rPr>
          </w:pPr>
        </w:p>
        <w:p w:rsidR="00AF2EF7" w:rsidRPr="00B8572C" w:rsidRDefault="00AF2EF7" w:rsidP="00AF2EF7">
          <w:pPr>
            <w:spacing w:after="120"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rsidTr="00D13661">
            <w:trPr>
              <w:trHeight w:hRule="exact" w:val="1492"/>
            </w:trPr>
            <w:tc>
              <w:tcPr>
                <w:tcW w:w="10490" w:type="dxa"/>
                <w:vAlign w:val="bottom"/>
              </w:tcPr>
              <w:p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rsidTr="00D13661">
            <w:trPr>
              <w:trHeight w:hRule="exact" w:val="747"/>
            </w:trPr>
            <w:tc>
              <w:tcPr>
                <w:tcW w:w="10490" w:type="dxa"/>
                <w:tcMar>
                  <w:top w:w="142" w:type="dxa"/>
                </w:tcMar>
              </w:tcPr>
              <w:p w:rsidR="00363639" w:rsidRDefault="008F1DCF" w:rsidP="00363639">
                <w:pPr>
                  <w:pStyle w:val="Untertitel"/>
                  <w:rPr>
                    <w:rFonts w:cs="Arial"/>
                  </w:rPr>
                </w:pPr>
                <w:r>
                  <w:rPr>
                    <w:rFonts w:cs="Arial"/>
                  </w:rPr>
                  <w:t>MiFIR report on Systematic Internalisers in non-equity instruments</w:t>
                </w:r>
              </w:p>
              <w:p w:rsidR="00AB6157" w:rsidRPr="00B8572C" w:rsidRDefault="00AB6157" w:rsidP="00AB6157">
                <w:pPr>
                  <w:pStyle w:val="berschrift2"/>
                  <w:numPr>
                    <w:ilvl w:val="0"/>
                    <w:numId w:val="0"/>
                  </w:numPr>
                  <w:ind w:left="576" w:hanging="576"/>
                </w:pPr>
              </w:p>
            </w:tc>
          </w:tr>
        </w:tbl>
        <w:p w:rsidR="00AF2EF7" w:rsidRPr="00B8572C" w:rsidRDefault="00AF2EF7" w:rsidP="00AF2EF7">
          <w:pPr>
            <w:spacing w:line="276" w:lineRule="auto"/>
            <w:rPr>
              <w:rFonts w:asciiTheme="minorHAnsi" w:hAnsiTheme="minorHAnsi" w:cstheme="minorHAnsi"/>
            </w:rPr>
          </w:pPr>
        </w:p>
        <w:p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8F1DCF">
            <w:rPr>
              <w:rFonts w:asciiTheme="minorHAnsi" w:eastAsiaTheme="minorEastAsia" w:hAnsiTheme="minorHAnsi" w:cstheme="minorBidi"/>
              <w:b/>
              <w:sz w:val="22"/>
              <w:szCs w:val="20"/>
              <w:lang w:eastAsia="en-US"/>
            </w:rPr>
            <w:t>18 March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FC589E">
            <w:rPr>
              <w:rFonts w:eastAsiaTheme="minorEastAsia" w:cstheme="minorBidi"/>
              <w:szCs w:val="20"/>
              <w:lang w:eastAsia="en-US"/>
            </w:rPr>
            <w:t>SINE</w:t>
          </w:r>
          <w:r w:rsidRPr="00C85C8B">
            <w:rPr>
              <w:rFonts w:eastAsiaTheme="minorEastAsia" w:cstheme="minorBidi"/>
              <w:szCs w:val="20"/>
              <w:lang w:eastAsia="en-US"/>
            </w:rPr>
            <w:t>_1&gt;. Your response to each question has to be framed by the two tags corresponding to the question.</w:t>
          </w:r>
        </w:p>
        <w:p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FC589E">
            <w:rPr>
              <w:rFonts w:eastAsiaTheme="minorEastAsia" w:cstheme="minorBidi"/>
              <w:szCs w:val="20"/>
              <w:lang w:eastAsia="en-US"/>
            </w:rPr>
            <w:t>SINE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FC589E">
            <w:rPr>
              <w:rFonts w:eastAsiaTheme="minorEastAsia" w:cstheme="minorBidi"/>
              <w:szCs w:val="20"/>
              <w:lang w:eastAsia="en-US"/>
            </w:rPr>
            <w:t>SINE</w:t>
          </w:r>
          <w:r w:rsidRPr="00C85C8B">
            <w:rPr>
              <w:rFonts w:eastAsiaTheme="minorEastAsia" w:cstheme="minorBidi"/>
              <w:szCs w:val="20"/>
              <w:lang w:eastAsia="en-US"/>
            </w:rPr>
            <w:t>_ABCD_RESPONSEFORM.</w:t>
          </w:r>
        </w:p>
        <w:p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rsidR="00C85C8B" w:rsidRDefault="00C85C8B" w:rsidP="00AF2EF7">
          <w:pPr>
            <w:spacing w:after="250" w:line="276" w:lineRule="auto"/>
            <w:jc w:val="both"/>
            <w:rPr>
              <w:rFonts w:asciiTheme="minorHAnsi" w:eastAsiaTheme="minorEastAsia" w:hAnsiTheme="minorHAnsi" w:cstheme="minorBidi"/>
              <w:sz w:val="22"/>
              <w:szCs w:val="20"/>
              <w:lang w:eastAsia="en-US"/>
            </w:rPr>
          </w:pPr>
        </w:p>
        <w:p w:rsidR="00A02199" w:rsidRDefault="00A02199" w:rsidP="00AF2EF7">
          <w:pPr>
            <w:spacing w:after="250" w:line="276" w:lineRule="auto"/>
            <w:jc w:val="both"/>
            <w:rPr>
              <w:rFonts w:asciiTheme="minorHAnsi" w:eastAsiaTheme="minorEastAsia" w:hAnsiTheme="minorHAnsi" w:cstheme="minorBidi"/>
              <w:sz w:val="22"/>
              <w:szCs w:val="20"/>
              <w:lang w:eastAsia="en-US"/>
            </w:rPr>
          </w:pPr>
        </w:p>
        <w:p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pPr>
      <w:r w:rsidRPr="008F1DCF">
        <w:rPr>
          <w:rFonts w:asciiTheme="minorHAnsi" w:eastAsiaTheme="minorEastAsia" w:hAnsiTheme="minorHAnsi" w:cstheme="minorBidi"/>
          <w:sz w:val="22"/>
          <w:szCs w:val="20"/>
          <w:lang w:eastAsia="en-US"/>
        </w:rPr>
        <w:t>This paper is of interest mainly to systematic internalisers active in non-equity instruments as well as clients of such systematic internalisers, and any associations representing their interest.</w:t>
      </w:r>
    </w:p>
    <w:p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sectPr w:rsidR="008F1DCF"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rsidR="00AF2EF7" w:rsidRPr="00B8572C" w:rsidRDefault="00AF2EF7" w:rsidP="00AF2EF7">
      <w:pPr>
        <w:spacing w:after="120" w:line="276" w:lineRule="auto"/>
        <w:rPr>
          <w:rFonts w:asciiTheme="minorHAnsi" w:hAnsiTheme="minorHAnsi" w:cstheme="minorHAnsi"/>
        </w:rPr>
      </w:pPr>
    </w:p>
    <w:p w:rsidR="00C85C8B" w:rsidRDefault="00C85C8B" w:rsidP="00C1698A">
      <w:pPr>
        <w:spacing w:line="276" w:lineRule="auto"/>
        <w:rPr>
          <w:rFonts w:asciiTheme="minorHAnsi" w:hAnsiTheme="minorHAnsi" w:cstheme="minorHAnsi"/>
          <w:b/>
          <w:sz w:val="28"/>
          <w:szCs w:val="28"/>
        </w:rPr>
      </w:pPr>
      <w:bookmarkStart w:id="0" w:name="_Toc515564428"/>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858399857"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val="de-DE" w:eastAsia="de-DE"/>
            </w:rPr>
            <w:id w:val="-1905066999"/>
            <w:text/>
          </w:sdtPr>
          <w:sdtEndPr/>
          <w:sdtContent>
            <w:tc>
              <w:tcPr>
                <w:tcW w:w="5595" w:type="dxa"/>
                <w:shd w:val="clear" w:color="auto" w:fill="auto"/>
              </w:tcPr>
              <w:p w:rsidR="00C85C8B" w:rsidRPr="005B496F" w:rsidRDefault="005B496F" w:rsidP="005B496F">
                <w:pPr>
                  <w:rPr>
                    <w:rFonts w:ascii="Arial" w:hAnsi="Arial" w:cs="Arial"/>
                    <w:color w:val="808080"/>
                    <w:sz w:val="20"/>
                    <w:lang w:val="de-DE" w:eastAsia="de-DE"/>
                  </w:rPr>
                </w:pPr>
                <w:r w:rsidRPr="005B496F">
                  <w:rPr>
                    <w:rFonts w:ascii="Arial" w:hAnsi="Arial" w:cs="Arial"/>
                    <w:color w:val="808080"/>
                    <w:sz w:val="20"/>
                    <w:lang w:val="de-DE" w:eastAsia="de-DE"/>
                  </w:rPr>
                  <w:t>Deutscher Derivate Verband (DDV) – German Derivatives Association</w:t>
                </w:r>
              </w:p>
            </w:tc>
          </w:sdtContent>
        </w:sdt>
      </w:tr>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947420429" w:edGrp="everyone" w:colFirst="1" w:colLast="1"/>
            <w:permEnd w:id="858399857"/>
            <w:r w:rsidRPr="00C85C8B">
              <w:rPr>
                <w:rFonts w:ascii="Arial" w:hAnsi="Arial" w:cs="Arial"/>
                <w:sz w:val="22"/>
                <w:lang w:eastAsia="de-DE"/>
              </w:rPr>
              <w:t>Activity</w:t>
            </w:r>
          </w:p>
        </w:tc>
        <w:tc>
          <w:tcPr>
            <w:tcW w:w="5595" w:type="dxa"/>
            <w:shd w:val="clear" w:color="auto" w:fill="auto"/>
          </w:tcPr>
          <w:p w:rsidR="00C85C8B" w:rsidRPr="00C85C8B" w:rsidRDefault="004F0EE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B496F">
                  <w:rPr>
                    <w:rFonts w:ascii="Arial" w:hAnsi="Arial" w:cs="Arial"/>
                    <w:sz w:val="20"/>
                    <w:lang w:eastAsia="de-DE"/>
                  </w:rPr>
                  <w:t>Banking sector</w:t>
                </w:r>
              </w:sdtContent>
            </w:sdt>
          </w:p>
        </w:tc>
      </w:tr>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462496817" w:edGrp="everyone" w:colFirst="1" w:colLast="1"/>
            <w:permEnd w:id="947420429"/>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rsidR="00C85C8B" w:rsidRPr="00C85C8B" w:rsidRDefault="005B496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rsidTr="00B76FB7">
        <w:tc>
          <w:tcPr>
            <w:tcW w:w="3929" w:type="dxa"/>
            <w:shd w:val="clear" w:color="auto" w:fill="auto"/>
          </w:tcPr>
          <w:p w:rsidR="00C85C8B" w:rsidRPr="00C85C8B" w:rsidRDefault="00C85C8B" w:rsidP="00C85C8B">
            <w:pPr>
              <w:rPr>
                <w:rFonts w:ascii="Arial" w:hAnsi="Arial" w:cs="Arial"/>
                <w:sz w:val="22"/>
                <w:lang w:eastAsia="de-DE"/>
              </w:rPr>
            </w:pPr>
            <w:permStart w:id="948519167" w:edGrp="everyone" w:colFirst="1" w:colLast="1"/>
            <w:permEnd w:id="462496817"/>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C85C8B" w:rsidRPr="00C85C8B" w:rsidRDefault="005B496F" w:rsidP="00C85C8B">
                <w:pPr>
                  <w:rPr>
                    <w:rFonts w:ascii="Arial" w:hAnsi="Arial" w:cs="Arial"/>
                    <w:sz w:val="20"/>
                    <w:lang w:eastAsia="de-DE"/>
                  </w:rPr>
                </w:pPr>
                <w:r>
                  <w:rPr>
                    <w:rFonts w:ascii="Arial" w:hAnsi="Arial" w:cs="Arial"/>
                    <w:sz w:val="20"/>
                    <w:lang w:eastAsia="de-DE"/>
                  </w:rPr>
                  <w:t>Germany</w:t>
                </w:r>
              </w:p>
            </w:tc>
          </w:sdtContent>
        </w:sdt>
      </w:tr>
      <w:permEnd w:id="948519167"/>
    </w:tbl>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theme="minorBidi"/>
          <w:sz w:val="22"/>
          <w:szCs w:val="20"/>
          <w:lang w:eastAsia="en-US"/>
        </w:rPr>
        <w:t>SINE</w:t>
      </w:r>
      <w:r w:rsidRPr="00C85C8B">
        <w:rPr>
          <w:rFonts w:asciiTheme="minorHAnsi" w:eastAsiaTheme="minorEastAsia" w:hAnsiTheme="minorHAnsi" w:cstheme="minorBidi"/>
          <w:sz w:val="22"/>
          <w:szCs w:val="20"/>
          <w:lang w:eastAsia="en-US"/>
        </w:rPr>
        <w:t>_1&gt;</w:t>
      </w:r>
    </w:p>
    <w:p w:rsidR="005C2C31" w:rsidRPr="0088436B" w:rsidRDefault="005C2C31" w:rsidP="005C2C31">
      <w:pPr>
        <w:spacing w:after="200" w:line="360" w:lineRule="auto"/>
        <w:jc w:val="both"/>
        <w:rPr>
          <w:rFonts w:asciiTheme="majorHAnsi" w:eastAsia="Calibri" w:hAnsiTheme="majorHAnsi" w:cstheme="majorHAnsi"/>
          <w:sz w:val="22"/>
          <w:szCs w:val="22"/>
          <w:lang w:val="en-US" w:eastAsia="en-US"/>
        </w:rPr>
      </w:pPr>
      <w:permStart w:id="695079253" w:edGrp="everyone"/>
      <w:r w:rsidRPr="0088436B">
        <w:rPr>
          <w:rFonts w:asciiTheme="majorHAnsi" w:eastAsia="Calibri" w:hAnsiTheme="majorHAnsi" w:cstheme="majorHAnsi"/>
          <w:sz w:val="22"/>
          <w:szCs w:val="22"/>
          <w:lang w:val="en-US" w:eastAsia="en-US"/>
        </w:rPr>
        <w:t>The Deutscher Derivate Verband (DDV), the German Derivatives Association, we</w:t>
      </w:r>
      <w:r w:rsidR="00DE04CC">
        <w:rPr>
          <w:rFonts w:asciiTheme="majorHAnsi" w:eastAsia="Calibri" w:hAnsiTheme="majorHAnsi" w:cstheme="majorHAnsi"/>
          <w:sz w:val="22"/>
          <w:szCs w:val="22"/>
          <w:lang w:val="en-US" w:eastAsia="en-US"/>
        </w:rPr>
        <w:t>lcomes the opportunity to reply</w:t>
      </w:r>
      <w:r w:rsidRPr="0088436B">
        <w:rPr>
          <w:rFonts w:asciiTheme="majorHAnsi" w:eastAsia="Calibri" w:hAnsiTheme="majorHAnsi" w:cstheme="majorHAnsi"/>
          <w:sz w:val="22"/>
          <w:szCs w:val="22"/>
          <w:lang w:val="en-US" w:eastAsia="en-US"/>
        </w:rPr>
        <w:t xml:space="preserve"> to ESMA’s consultation paper on systematic internalisers ("</w:t>
      </w:r>
      <w:r w:rsidRPr="0088436B">
        <w:rPr>
          <w:rFonts w:asciiTheme="majorHAnsi" w:eastAsia="Calibri" w:hAnsiTheme="majorHAnsi" w:cstheme="majorHAnsi"/>
          <w:b/>
          <w:sz w:val="22"/>
          <w:szCs w:val="22"/>
          <w:lang w:val="en-US" w:eastAsia="en-US"/>
        </w:rPr>
        <w:t>SI</w:t>
      </w:r>
      <w:r w:rsidR="00DE04CC">
        <w:rPr>
          <w:rFonts w:asciiTheme="majorHAnsi" w:eastAsia="Calibri" w:hAnsiTheme="majorHAnsi" w:cstheme="majorHAnsi"/>
          <w:b/>
          <w:sz w:val="22"/>
          <w:szCs w:val="22"/>
          <w:lang w:val="en-US" w:eastAsia="en-US"/>
        </w:rPr>
        <w:t>s</w:t>
      </w:r>
      <w:r w:rsidRPr="0088436B">
        <w:rPr>
          <w:rFonts w:asciiTheme="majorHAnsi" w:eastAsia="Calibri" w:hAnsiTheme="majorHAnsi" w:cstheme="majorHAnsi"/>
          <w:sz w:val="22"/>
          <w:szCs w:val="22"/>
          <w:lang w:val="en-US" w:eastAsia="en-US"/>
        </w:rPr>
        <w:t>") in non-equity instruments as of 3 February 2020 (ESMA70-156-1757) ("</w:t>
      </w:r>
      <w:r w:rsidRPr="0088436B">
        <w:rPr>
          <w:rFonts w:asciiTheme="majorHAnsi" w:eastAsia="Calibri" w:hAnsiTheme="majorHAnsi" w:cstheme="majorHAnsi"/>
          <w:b/>
          <w:sz w:val="22"/>
          <w:szCs w:val="22"/>
          <w:lang w:val="en-US" w:eastAsia="en-US"/>
        </w:rPr>
        <w:t>Consultation Paper</w:t>
      </w:r>
      <w:r w:rsidRPr="0088436B">
        <w:rPr>
          <w:rFonts w:asciiTheme="majorHAnsi" w:eastAsia="Calibri" w:hAnsiTheme="majorHAnsi" w:cstheme="majorHAnsi"/>
          <w:sz w:val="22"/>
          <w:szCs w:val="22"/>
          <w:lang w:val="en-US" w:eastAsia="en-US"/>
        </w:rPr>
        <w:t>" or "</w:t>
      </w:r>
      <w:r w:rsidRPr="0088436B">
        <w:rPr>
          <w:rFonts w:asciiTheme="majorHAnsi" w:eastAsia="Calibri" w:hAnsiTheme="majorHAnsi" w:cstheme="majorHAnsi"/>
          <w:b/>
          <w:sz w:val="22"/>
          <w:szCs w:val="22"/>
          <w:lang w:val="en-US" w:eastAsia="en-US"/>
        </w:rPr>
        <w:t>CP</w:t>
      </w:r>
      <w:r w:rsidRPr="0088436B">
        <w:rPr>
          <w:rFonts w:asciiTheme="majorHAnsi" w:eastAsia="Calibri" w:hAnsiTheme="majorHAnsi" w:cstheme="majorHAnsi"/>
          <w:sz w:val="22"/>
          <w:szCs w:val="22"/>
          <w:lang w:val="en-US" w:eastAsia="en-US"/>
        </w:rPr>
        <w:t xml:space="preserve">"). </w:t>
      </w:r>
    </w:p>
    <w:p w:rsidR="005C2C31" w:rsidRPr="0088436B" w:rsidRDefault="0088436B" w:rsidP="005C2C31">
      <w:pPr>
        <w:spacing w:after="200" w:line="360" w:lineRule="auto"/>
        <w:jc w:val="both"/>
        <w:rPr>
          <w:rFonts w:asciiTheme="majorHAnsi" w:eastAsia="Calibri" w:hAnsiTheme="majorHAnsi" w:cstheme="majorHAnsi"/>
          <w:sz w:val="22"/>
          <w:szCs w:val="22"/>
          <w:lang w:val="en-US" w:eastAsia="en-US"/>
        </w:rPr>
      </w:pPr>
      <w:r>
        <w:rPr>
          <w:rFonts w:asciiTheme="majorHAnsi" w:eastAsia="Calibri" w:hAnsiTheme="majorHAnsi" w:cstheme="majorHAnsi"/>
          <w:sz w:val="22"/>
          <w:szCs w:val="22"/>
          <w:lang w:val="en-US" w:eastAsia="en-US"/>
        </w:rPr>
        <w:t>The DDV</w:t>
      </w:r>
      <w:r w:rsidR="005C2C31" w:rsidRPr="0088436B">
        <w:rPr>
          <w:rFonts w:asciiTheme="majorHAnsi" w:eastAsia="Calibri" w:hAnsiTheme="majorHAnsi" w:cstheme="majorHAnsi"/>
          <w:sz w:val="22"/>
          <w:szCs w:val="22"/>
          <w:lang w:val="en-US" w:eastAsia="en-US"/>
        </w:rPr>
        <w:t xml:space="preserve"> is the industry representative body for the 16 leading issuers of structured products</w:t>
      </w:r>
      <w:r w:rsidR="007D54E7">
        <w:rPr>
          <w:rFonts w:asciiTheme="majorHAnsi" w:eastAsia="Calibri" w:hAnsiTheme="majorHAnsi" w:cstheme="majorHAnsi"/>
          <w:sz w:val="22"/>
          <w:szCs w:val="22"/>
          <w:lang w:val="en-US" w:eastAsia="en-US"/>
        </w:rPr>
        <w:t>,</w:t>
      </w:r>
      <w:r w:rsidR="005C2C31" w:rsidRPr="0088436B">
        <w:rPr>
          <w:rFonts w:asciiTheme="majorHAnsi" w:eastAsia="Calibri" w:hAnsiTheme="majorHAnsi" w:cstheme="majorHAnsi"/>
          <w:sz w:val="22"/>
          <w:szCs w:val="22"/>
          <w:lang w:val="en-US" w:eastAsia="en-US"/>
        </w:rPr>
        <w:t xml:space="preserve"> in Germany. DDV’s members are among</w:t>
      </w:r>
      <w:r w:rsidR="00237A4F">
        <w:rPr>
          <w:rFonts w:asciiTheme="majorHAnsi" w:eastAsia="Calibri" w:hAnsiTheme="majorHAnsi" w:cstheme="majorHAnsi"/>
          <w:sz w:val="22"/>
          <w:szCs w:val="22"/>
          <w:lang w:val="en-US" w:eastAsia="en-US"/>
        </w:rPr>
        <w:t>st</w:t>
      </w:r>
      <w:r w:rsidR="005C2C31" w:rsidRPr="0088436B">
        <w:rPr>
          <w:rFonts w:asciiTheme="majorHAnsi" w:eastAsia="Calibri" w:hAnsiTheme="majorHAnsi" w:cstheme="majorHAnsi"/>
          <w:sz w:val="22"/>
          <w:szCs w:val="22"/>
          <w:lang w:val="en-US" w:eastAsia="en-US"/>
        </w:rPr>
        <w:t xml:space="preserve"> the most</w:t>
      </w:r>
      <w:r>
        <w:rPr>
          <w:rFonts w:asciiTheme="majorHAnsi" w:eastAsia="Calibri" w:hAnsiTheme="majorHAnsi" w:cstheme="majorHAnsi"/>
          <w:sz w:val="22"/>
          <w:szCs w:val="22"/>
          <w:lang w:val="en-US" w:eastAsia="en-US"/>
        </w:rPr>
        <w:t xml:space="preserve"> important structured products</w:t>
      </w:r>
      <w:r w:rsidR="005C2C31" w:rsidRPr="0088436B">
        <w:rPr>
          <w:rFonts w:asciiTheme="majorHAnsi" w:eastAsia="Calibri" w:hAnsiTheme="majorHAnsi" w:cstheme="majorHAnsi"/>
          <w:sz w:val="22"/>
          <w:szCs w:val="22"/>
          <w:lang w:val="en-US" w:eastAsia="en-US"/>
        </w:rPr>
        <w:t xml:space="preserve"> issuers in Germany, representing more than 90 percent of the total market. DDV’s aim is to improve the general political and regulatory conditions for structured</w:t>
      </w:r>
      <w:r w:rsidR="005C2C31" w:rsidRPr="0077779F">
        <w:rPr>
          <w:rFonts w:eastAsia="Calibri"/>
          <w:sz w:val="22"/>
          <w:szCs w:val="22"/>
          <w:lang w:val="en-US" w:eastAsia="en-US"/>
        </w:rPr>
        <w:t xml:space="preserve"> </w:t>
      </w:r>
      <w:r w:rsidR="005C2C31" w:rsidRPr="0088436B">
        <w:rPr>
          <w:rFonts w:asciiTheme="majorHAnsi" w:eastAsia="Calibri" w:hAnsiTheme="majorHAnsi" w:cstheme="majorHAnsi"/>
          <w:sz w:val="22"/>
          <w:szCs w:val="22"/>
          <w:lang w:val="en-US" w:eastAsia="en-US"/>
        </w:rPr>
        <w:t xml:space="preserve">products in Germany and at European level. The objectives of DDV therefore include making the products more understandable and transparent, as well as protecting investors. DDV is an advocate of self-regulation, and it works in conjunction with its members and sponsoring members to set industry standards. </w:t>
      </w:r>
    </w:p>
    <w:p w:rsidR="005C2C31" w:rsidRPr="0088436B" w:rsidRDefault="005C2C31" w:rsidP="005C2C31">
      <w:pPr>
        <w:spacing w:after="200" w:line="360" w:lineRule="auto"/>
        <w:jc w:val="both"/>
        <w:rPr>
          <w:rFonts w:asciiTheme="majorHAnsi" w:eastAsia="Calibri" w:hAnsiTheme="majorHAnsi" w:cstheme="majorHAnsi"/>
          <w:sz w:val="22"/>
          <w:szCs w:val="22"/>
          <w:lang w:val="en-US" w:eastAsia="en-US"/>
        </w:rPr>
      </w:pPr>
      <w:r w:rsidRPr="0088436B">
        <w:rPr>
          <w:rFonts w:asciiTheme="majorHAnsi" w:eastAsia="Calibri" w:hAnsiTheme="majorHAnsi" w:cstheme="majorHAnsi"/>
          <w:sz w:val="22"/>
          <w:szCs w:val="22"/>
          <w:lang w:val="en-US" w:eastAsia="en-US"/>
        </w:rPr>
        <w:t>Due to the market making activities (provision of liquidity) in respect of own issuances, the issuers represented by the DDV typically either</w:t>
      </w:r>
      <w:r w:rsidR="0088436B">
        <w:rPr>
          <w:rFonts w:asciiTheme="majorHAnsi" w:eastAsia="Calibri" w:hAnsiTheme="majorHAnsi" w:cstheme="majorHAnsi"/>
          <w:sz w:val="22"/>
          <w:szCs w:val="22"/>
          <w:lang w:val="en-US" w:eastAsia="en-US"/>
        </w:rPr>
        <w:t xml:space="preserve"> </w:t>
      </w:r>
      <w:r w:rsidR="009705C2">
        <w:rPr>
          <w:rFonts w:asciiTheme="majorHAnsi" w:eastAsia="Calibri" w:hAnsiTheme="majorHAnsi" w:cstheme="majorHAnsi"/>
          <w:sz w:val="22"/>
          <w:szCs w:val="22"/>
          <w:lang w:val="en-US" w:eastAsia="en-US"/>
        </w:rPr>
        <w:t xml:space="preserve">could </w:t>
      </w:r>
      <w:r w:rsidR="0088436B">
        <w:rPr>
          <w:rFonts w:asciiTheme="majorHAnsi" w:eastAsia="Calibri" w:hAnsiTheme="majorHAnsi" w:cstheme="majorHAnsi"/>
          <w:sz w:val="22"/>
          <w:szCs w:val="22"/>
          <w:lang w:val="en-US" w:eastAsia="en-US"/>
        </w:rPr>
        <w:t>meet the respective SI</w:t>
      </w:r>
      <w:r w:rsidRPr="0088436B">
        <w:rPr>
          <w:rFonts w:asciiTheme="majorHAnsi" w:eastAsia="Calibri" w:hAnsiTheme="majorHAnsi" w:cstheme="majorHAnsi"/>
          <w:sz w:val="22"/>
          <w:szCs w:val="22"/>
          <w:lang w:val="en-US" w:eastAsia="en-US"/>
        </w:rPr>
        <w:t xml:space="preserve"> thresholds or opt-in for the </w:t>
      </w:r>
      <w:r w:rsidR="0088436B">
        <w:rPr>
          <w:rFonts w:asciiTheme="majorHAnsi" w:eastAsia="Calibri" w:hAnsiTheme="majorHAnsi" w:cstheme="majorHAnsi"/>
          <w:sz w:val="22"/>
          <w:szCs w:val="22"/>
          <w:lang w:val="en-US" w:eastAsia="en-US"/>
        </w:rPr>
        <w:t>SI</w:t>
      </w:r>
      <w:r w:rsidRPr="0088436B">
        <w:rPr>
          <w:rFonts w:asciiTheme="majorHAnsi" w:eastAsia="Calibri" w:hAnsiTheme="majorHAnsi" w:cstheme="majorHAnsi"/>
          <w:sz w:val="22"/>
          <w:szCs w:val="22"/>
          <w:lang w:val="en-US" w:eastAsia="en-US"/>
        </w:rPr>
        <w:t xml:space="preserve"> regime on a voluntary basis. Therefore, the DDV and its members have been closely observing regulatory developments </w:t>
      </w:r>
      <w:r w:rsidR="00DE4197">
        <w:rPr>
          <w:rFonts w:asciiTheme="majorHAnsi" w:eastAsia="Calibri" w:hAnsiTheme="majorHAnsi" w:cstheme="majorHAnsi"/>
          <w:sz w:val="22"/>
          <w:szCs w:val="22"/>
          <w:lang w:val="en-US" w:eastAsia="en-US"/>
        </w:rPr>
        <w:t xml:space="preserve">in this context </w:t>
      </w:r>
      <w:r w:rsidRPr="0088436B">
        <w:rPr>
          <w:rFonts w:asciiTheme="majorHAnsi" w:eastAsia="Calibri" w:hAnsiTheme="majorHAnsi" w:cstheme="majorHAnsi"/>
          <w:sz w:val="22"/>
          <w:szCs w:val="22"/>
          <w:lang w:val="en-US" w:eastAsia="en-US"/>
        </w:rPr>
        <w:t>and are strongly supportive with respect to the intention of the regulator to promote the overarching</w:t>
      </w:r>
      <w:r w:rsidR="0088436B">
        <w:rPr>
          <w:rFonts w:asciiTheme="majorHAnsi" w:eastAsia="Calibri" w:hAnsiTheme="majorHAnsi" w:cstheme="majorHAnsi"/>
          <w:sz w:val="22"/>
          <w:szCs w:val="22"/>
          <w:lang w:val="en-US" w:eastAsia="en-US"/>
        </w:rPr>
        <w:t xml:space="preserve"> goal of the SI regime for</w:t>
      </w:r>
      <w:r w:rsidRPr="0088436B">
        <w:rPr>
          <w:rFonts w:asciiTheme="majorHAnsi" w:eastAsia="Calibri" w:hAnsiTheme="majorHAnsi" w:cstheme="majorHAnsi"/>
          <w:sz w:val="22"/>
          <w:szCs w:val="22"/>
          <w:lang w:val="en-US" w:eastAsia="en-US"/>
        </w:rPr>
        <w:t xml:space="preserve"> </w:t>
      </w:r>
      <w:r w:rsidRPr="0088436B">
        <w:rPr>
          <w:rFonts w:asciiTheme="majorHAnsi" w:eastAsia="Calibri" w:hAnsiTheme="majorHAnsi" w:cstheme="majorHAnsi"/>
          <w:sz w:val="22"/>
          <w:szCs w:val="22"/>
          <w:lang w:val="en-US" w:eastAsia="en-US"/>
        </w:rPr>
        <w:lastRenderedPageBreak/>
        <w:t>e</w:t>
      </w:r>
      <w:r w:rsidR="0088436B">
        <w:rPr>
          <w:rFonts w:asciiTheme="majorHAnsi" w:eastAsia="Calibri" w:hAnsiTheme="majorHAnsi" w:cstheme="majorHAnsi"/>
          <w:sz w:val="22"/>
          <w:szCs w:val="22"/>
          <w:lang w:val="en-US" w:eastAsia="en-US"/>
        </w:rPr>
        <w:t>fficient price discovery and a</w:t>
      </w:r>
      <w:r w:rsidRPr="0088436B">
        <w:rPr>
          <w:rFonts w:asciiTheme="majorHAnsi" w:eastAsia="Calibri" w:hAnsiTheme="majorHAnsi" w:cstheme="majorHAnsi"/>
          <w:sz w:val="22"/>
          <w:szCs w:val="22"/>
          <w:lang w:val="en-US" w:eastAsia="en-US"/>
        </w:rPr>
        <w:t xml:space="preserve"> transparent level playing field between trading venues and investment firms.</w:t>
      </w:r>
    </w:p>
    <w:permEnd w:id="695079253"/>
    <w:p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Arial"/>
          <w:sz w:val="22"/>
          <w:szCs w:val="20"/>
          <w:lang w:eastAsia="en-US"/>
        </w:rPr>
        <w:t>SINE</w:t>
      </w:r>
      <w:r w:rsidRPr="00C85C8B">
        <w:rPr>
          <w:rFonts w:asciiTheme="minorHAnsi" w:eastAsiaTheme="minorEastAsia" w:hAnsiTheme="minorHAnsi" w:cstheme="minorBidi"/>
          <w:sz w:val="22"/>
          <w:szCs w:val="20"/>
          <w:lang w:eastAsia="en-US"/>
        </w:rPr>
        <w:t>_1&gt;</w:t>
      </w: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rsidP="00C1698A">
      <w:pPr>
        <w:spacing w:line="276" w:lineRule="auto"/>
        <w:rPr>
          <w:rFonts w:asciiTheme="minorHAnsi" w:hAnsiTheme="minorHAnsi" w:cstheme="minorHAnsi"/>
          <w:b/>
          <w:sz w:val="28"/>
          <w:szCs w:val="28"/>
        </w:rPr>
      </w:pPr>
    </w:p>
    <w:p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rsidR="00FC589E" w:rsidRDefault="00FC589E" w:rsidP="00FC589E">
      <w:pPr>
        <w:pStyle w:val="Questionstyle"/>
        <w:numPr>
          <w:ilvl w:val="0"/>
          <w:numId w:val="9"/>
        </w:numPr>
        <w:spacing w:after="250" w:line="276" w:lineRule="auto"/>
      </w:pPr>
      <w:r w:rsidRPr="002D65CE">
        <w:t xml:space="preserve">: Do you consider that there is a need to clarify what a “firm quote” is? If so, in your view, what are the characteristics to be met by such quote? </w:t>
      </w:r>
    </w:p>
    <w:p w:rsidR="00FC589E" w:rsidRDefault="00FC589E" w:rsidP="00FC589E">
      <w:pPr>
        <w:rPr>
          <w:rFonts w:ascii="Arial" w:hAnsi="Arial" w:cs="Arial"/>
        </w:rPr>
      </w:pPr>
      <w:r>
        <w:rPr>
          <w:rFonts w:ascii="Arial" w:hAnsi="Arial" w:cs="Arial"/>
        </w:rPr>
        <w:t>&lt;ESMA_QUESTION_CP_SINE_1&gt;</w:t>
      </w:r>
    </w:p>
    <w:p w:rsidR="005C2C31" w:rsidRPr="00470D12" w:rsidRDefault="005C2C31" w:rsidP="005C2C31">
      <w:pPr>
        <w:autoSpaceDE w:val="0"/>
        <w:autoSpaceDN w:val="0"/>
        <w:adjustRightInd w:val="0"/>
        <w:spacing w:line="360" w:lineRule="auto"/>
        <w:jc w:val="both"/>
        <w:rPr>
          <w:rFonts w:asciiTheme="majorHAnsi" w:eastAsiaTheme="minorEastAsia" w:hAnsiTheme="majorHAnsi" w:cstheme="majorHAnsi"/>
          <w:sz w:val="22"/>
          <w:szCs w:val="22"/>
          <w:lang w:val="en-US" w:eastAsia="en-US"/>
        </w:rPr>
      </w:pPr>
      <w:permStart w:id="964432250" w:edGrp="everyone"/>
      <w:r w:rsidRPr="00470D12">
        <w:rPr>
          <w:rFonts w:asciiTheme="majorHAnsi" w:eastAsiaTheme="minorEastAsia" w:hAnsiTheme="majorHAnsi" w:cstheme="majorHAnsi"/>
          <w:sz w:val="22"/>
          <w:szCs w:val="22"/>
          <w:lang w:val="en-US" w:eastAsia="en-US"/>
        </w:rPr>
        <w:t>We consider the guidance give</w:t>
      </w:r>
      <w:r w:rsidR="00422365">
        <w:rPr>
          <w:rFonts w:asciiTheme="majorHAnsi" w:eastAsiaTheme="minorEastAsia" w:hAnsiTheme="majorHAnsi" w:cstheme="majorHAnsi"/>
          <w:sz w:val="22"/>
          <w:szCs w:val="22"/>
          <w:lang w:val="en-US" w:eastAsia="en-US"/>
        </w:rPr>
        <w:t>n in the answer 5 lit. a) in ESMAs Questions and A</w:t>
      </w:r>
      <w:r w:rsidRPr="00470D12">
        <w:rPr>
          <w:rFonts w:asciiTheme="majorHAnsi" w:eastAsiaTheme="minorEastAsia" w:hAnsiTheme="majorHAnsi" w:cstheme="majorHAnsi"/>
          <w:sz w:val="22"/>
          <w:szCs w:val="22"/>
          <w:lang w:val="en-US" w:eastAsia="en-US"/>
        </w:rPr>
        <w:t>nswers on MiFID II and MiFIR transparency topics (</w:t>
      </w:r>
      <w:r w:rsidRPr="00470D12">
        <w:rPr>
          <w:rFonts w:asciiTheme="majorHAnsi" w:hAnsiTheme="majorHAnsi" w:cstheme="majorHAnsi"/>
          <w:sz w:val="22"/>
          <w:szCs w:val="22"/>
        </w:rPr>
        <w:t>ESMA70-872942901-35)</w:t>
      </w:r>
      <w:r w:rsidRPr="00470D12">
        <w:rPr>
          <w:rFonts w:asciiTheme="majorHAnsi" w:eastAsiaTheme="minorEastAsia" w:hAnsiTheme="majorHAnsi" w:cstheme="majorHAnsi"/>
          <w:sz w:val="22"/>
          <w:szCs w:val="22"/>
          <w:lang w:val="en-US" w:eastAsia="en-US"/>
        </w:rPr>
        <w:t xml:space="preserve"> relating to the quoting obligations under Article 18(1) of MiFIR for liquid instruments is sufficiently clear and do, consequently, not see any merit in clarifying them further.</w:t>
      </w:r>
      <w:r w:rsidR="00812E64">
        <w:rPr>
          <w:rFonts w:asciiTheme="majorHAnsi" w:eastAsiaTheme="minorEastAsia" w:hAnsiTheme="majorHAnsi" w:cstheme="majorHAnsi"/>
          <w:sz w:val="22"/>
          <w:szCs w:val="22"/>
          <w:lang w:val="en-US" w:eastAsia="en-US"/>
        </w:rPr>
        <w:t xml:space="preserve"> Market participants have a clear understanding </w:t>
      </w:r>
      <w:r w:rsidR="00D25F00">
        <w:rPr>
          <w:rFonts w:asciiTheme="majorHAnsi" w:eastAsiaTheme="minorEastAsia" w:hAnsiTheme="majorHAnsi" w:cstheme="majorHAnsi"/>
          <w:sz w:val="22"/>
          <w:szCs w:val="22"/>
          <w:lang w:val="en-US" w:eastAsia="en-US"/>
        </w:rPr>
        <w:t xml:space="preserve">of </w:t>
      </w:r>
      <w:bookmarkStart w:id="1" w:name="_GoBack"/>
      <w:bookmarkEnd w:id="1"/>
      <w:r w:rsidR="00812E64">
        <w:rPr>
          <w:rFonts w:asciiTheme="majorHAnsi" w:eastAsiaTheme="minorEastAsia" w:hAnsiTheme="majorHAnsi" w:cstheme="majorHAnsi"/>
          <w:sz w:val="22"/>
          <w:szCs w:val="22"/>
          <w:lang w:val="en-US" w:eastAsia="en-US"/>
        </w:rPr>
        <w:t>what a “firm quote” is.</w:t>
      </w:r>
    </w:p>
    <w:permEnd w:id="964432250"/>
    <w:p w:rsidR="00FC589E" w:rsidRDefault="00FC589E" w:rsidP="00FC589E">
      <w:pPr>
        <w:rPr>
          <w:rFonts w:ascii="Arial" w:hAnsi="Arial" w:cs="Arial"/>
        </w:rPr>
      </w:pPr>
      <w:r>
        <w:rPr>
          <w:rFonts w:ascii="Arial" w:hAnsi="Arial" w:cs="Arial"/>
        </w:rPr>
        <w:t>&lt;ESMA_QUESTION_CP_SINE_1&gt;</w:t>
      </w:r>
    </w:p>
    <w:p w:rsidR="00FC589E" w:rsidRDefault="00FC589E" w:rsidP="00FC589E">
      <w:pPr>
        <w:rPr>
          <w:rFonts w:ascii="Arial" w:hAnsi="Arial" w:cs="Arial"/>
        </w:rPr>
      </w:pPr>
    </w:p>
    <w:p w:rsidR="00FC589E" w:rsidRDefault="00FC589E" w:rsidP="00FC589E">
      <w:pPr>
        <w:pStyle w:val="Questionstyle"/>
        <w:numPr>
          <w:ilvl w:val="0"/>
          <w:numId w:val="9"/>
        </w:numPr>
        <w:spacing w:after="250" w:line="276" w:lineRule="auto"/>
      </w:pPr>
      <w:r w:rsidRPr="002D65CE">
        <w:t>: (For SI clients) As a SI client, do you have easy access to the quotes published, i.e. can you potentially trade against those quotes when you are not the requestor? Do you happen to trade against SIs quotes when you are not the initial requestor? How often? If it varies across asset classes, please explain.</w:t>
      </w:r>
    </w:p>
    <w:p w:rsidR="00FC589E" w:rsidRDefault="00FC589E" w:rsidP="00FC589E">
      <w:pPr>
        <w:rPr>
          <w:rFonts w:ascii="Arial" w:hAnsi="Arial" w:cs="Arial"/>
        </w:rPr>
      </w:pPr>
      <w:r>
        <w:rPr>
          <w:rFonts w:ascii="Arial" w:hAnsi="Arial" w:cs="Arial"/>
        </w:rPr>
        <w:t>&lt;ESMA_QUESTION_CP_SINE_2&gt;</w:t>
      </w:r>
    </w:p>
    <w:p w:rsidR="00FC589E" w:rsidRDefault="00FC589E" w:rsidP="00FC589E">
      <w:pPr>
        <w:rPr>
          <w:rFonts w:ascii="Arial" w:hAnsi="Arial" w:cs="Arial"/>
        </w:rPr>
      </w:pPr>
      <w:permStart w:id="1444445888" w:edGrp="everyone"/>
      <w:r>
        <w:rPr>
          <w:rFonts w:ascii="Arial" w:hAnsi="Arial" w:cs="Arial"/>
        </w:rPr>
        <w:t>TYPE YOUR TEXT HERE</w:t>
      </w:r>
    </w:p>
    <w:permEnd w:id="1444445888"/>
    <w:p w:rsidR="00FC589E" w:rsidRDefault="00FC589E" w:rsidP="00FC589E">
      <w:pPr>
        <w:rPr>
          <w:rFonts w:ascii="Arial" w:hAnsi="Arial" w:cs="Arial"/>
        </w:rPr>
      </w:pPr>
      <w:r>
        <w:rPr>
          <w:rFonts w:ascii="Arial" w:hAnsi="Arial" w:cs="Arial"/>
        </w:rPr>
        <w:t>&lt;ESMA_QUESTION_CP_SINE_2&gt;</w:t>
      </w:r>
    </w:p>
    <w:p w:rsidR="00FC589E" w:rsidRDefault="00FC589E" w:rsidP="00FC589E">
      <w:pPr>
        <w:rPr>
          <w:rFonts w:ascii="Arial" w:hAnsi="Arial" w:cs="Arial"/>
        </w:rPr>
      </w:pPr>
    </w:p>
    <w:p w:rsidR="00FC589E" w:rsidRDefault="00FC589E" w:rsidP="00FC589E">
      <w:pPr>
        <w:pStyle w:val="Questionstyle"/>
        <w:numPr>
          <w:ilvl w:val="0"/>
          <w:numId w:val="9"/>
        </w:numPr>
        <w:spacing w:after="250" w:line="276" w:lineRule="auto"/>
      </w:pPr>
      <w:r w:rsidRPr="002D65CE">
        <w:t>: What is your overall assessment of the pre-trade transparency provided by SIs in liquid non-equity instruments? Do you have any suggestion to amend the existing pre-trade transparency obligations? If so, please explain which ones and why.     </w:t>
      </w:r>
    </w:p>
    <w:p w:rsidR="00FC589E" w:rsidRDefault="00FC589E" w:rsidP="00FC589E">
      <w:pPr>
        <w:rPr>
          <w:rFonts w:ascii="Arial" w:hAnsi="Arial" w:cs="Arial"/>
        </w:rPr>
      </w:pPr>
      <w:r>
        <w:rPr>
          <w:rFonts w:ascii="Arial" w:hAnsi="Arial" w:cs="Arial"/>
        </w:rPr>
        <w:t>&lt;ESMA_QUESTION_CP_SINE_3&gt;</w:t>
      </w:r>
    </w:p>
    <w:p w:rsidR="005C2C31" w:rsidRPr="00470D12" w:rsidRDefault="005C2C31" w:rsidP="005C2C31">
      <w:pPr>
        <w:spacing w:line="360" w:lineRule="auto"/>
        <w:jc w:val="both"/>
        <w:rPr>
          <w:rFonts w:asciiTheme="majorHAnsi" w:eastAsiaTheme="minorEastAsia" w:hAnsiTheme="majorHAnsi" w:cstheme="majorHAnsi"/>
          <w:sz w:val="22"/>
          <w:szCs w:val="22"/>
          <w:lang w:val="en-US" w:eastAsia="en-US"/>
        </w:rPr>
      </w:pPr>
      <w:permStart w:id="485888841" w:edGrp="everyone"/>
      <w:r w:rsidRPr="00470D12">
        <w:rPr>
          <w:rFonts w:asciiTheme="majorHAnsi" w:eastAsiaTheme="minorEastAsia" w:hAnsiTheme="majorHAnsi" w:cstheme="majorHAnsi"/>
          <w:sz w:val="22"/>
          <w:szCs w:val="22"/>
          <w:lang w:val="en-US" w:eastAsia="en-US"/>
        </w:rPr>
        <w:t xml:space="preserve">Generally speaking, it is our view that the systematic internaliser regime for structured products which </w:t>
      </w:r>
      <w:r w:rsidR="00A87560">
        <w:rPr>
          <w:rFonts w:asciiTheme="majorHAnsi" w:eastAsiaTheme="minorEastAsia" w:hAnsiTheme="majorHAnsi" w:cstheme="majorHAnsi"/>
          <w:sz w:val="22"/>
          <w:szCs w:val="22"/>
          <w:lang w:val="en-US" w:eastAsia="en-US"/>
        </w:rPr>
        <w:t xml:space="preserve">broadly </w:t>
      </w:r>
      <w:r w:rsidRPr="00470D12">
        <w:rPr>
          <w:rFonts w:asciiTheme="majorHAnsi" w:eastAsiaTheme="minorEastAsia" w:hAnsiTheme="majorHAnsi" w:cstheme="majorHAnsi"/>
          <w:sz w:val="22"/>
          <w:szCs w:val="22"/>
          <w:lang w:val="en-US" w:eastAsia="en-US"/>
        </w:rPr>
        <w:t xml:space="preserve">classify as securitized derivatives </w:t>
      </w:r>
      <w:r w:rsidR="00A87560">
        <w:rPr>
          <w:rFonts w:asciiTheme="majorHAnsi" w:eastAsiaTheme="minorEastAsia" w:hAnsiTheme="majorHAnsi" w:cstheme="majorHAnsi"/>
          <w:sz w:val="22"/>
          <w:szCs w:val="22"/>
          <w:lang w:val="en-US" w:eastAsia="en-US"/>
        </w:rPr>
        <w:t xml:space="preserve">in the MiFID II / MiFIR context </w:t>
      </w:r>
      <w:r w:rsidRPr="00470D12">
        <w:rPr>
          <w:rFonts w:asciiTheme="majorHAnsi" w:eastAsiaTheme="minorEastAsia" w:hAnsiTheme="majorHAnsi" w:cstheme="majorHAnsi"/>
          <w:sz w:val="22"/>
          <w:szCs w:val="22"/>
          <w:lang w:val="en-US" w:eastAsia="en-US"/>
        </w:rPr>
        <w:t>works satisfactorily. However, we wish to point out that a few adjustments can still be made in order to further align the regime to the parallel provisions for systematic internaliser</w:t>
      </w:r>
      <w:r w:rsidR="00470D12">
        <w:rPr>
          <w:rFonts w:asciiTheme="majorHAnsi" w:eastAsiaTheme="minorEastAsia" w:hAnsiTheme="majorHAnsi" w:cstheme="majorHAnsi"/>
          <w:sz w:val="22"/>
          <w:szCs w:val="22"/>
          <w:lang w:val="en-US" w:eastAsia="en-US"/>
        </w:rPr>
        <w:t>s</w:t>
      </w:r>
      <w:r w:rsidRPr="00470D12">
        <w:rPr>
          <w:rFonts w:asciiTheme="majorHAnsi" w:eastAsiaTheme="minorEastAsia" w:hAnsiTheme="majorHAnsi" w:cstheme="majorHAnsi"/>
          <w:sz w:val="22"/>
          <w:szCs w:val="22"/>
          <w:lang w:val="en-US" w:eastAsia="en-US"/>
        </w:rPr>
        <w:t xml:space="preserve"> in equity instruments. </w:t>
      </w:r>
    </w:p>
    <w:p w:rsidR="005C2C31" w:rsidRPr="00470D12" w:rsidRDefault="005C2C31" w:rsidP="005C2C31">
      <w:pPr>
        <w:spacing w:line="360" w:lineRule="auto"/>
        <w:jc w:val="both"/>
        <w:rPr>
          <w:rFonts w:asciiTheme="majorHAnsi" w:eastAsiaTheme="minorEastAsia" w:hAnsiTheme="majorHAnsi" w:cstheme="majorHAnsi"/>
          <w:sz w:val="22"/>
          <w:szCs w:val="22"/>
          <w:lang w:val="en-US" w:eastAsia="en-US"/>
        </w:rPr>
      </w:pPr>
    </w:p>
    <w:p w:rsidR="005C2C31" w:rsidRPr="00470D12" w:rsidRDefault="005C2C31" w:rsidP="005C2C31">
      <w:pPr>
        <w:spacing w:line="360" w:lineRule="auto"/>
        <w:jc w:val="both"/>
        <w:rPr>
          <w:rFonts w:asciiTheme="majorHAnsi" w:eastAsiaTheme="minorEastAsia" w:hAnsiTheme="majorHAnsi" w:cstheme="majorHAnsi"/>
          <w:sz w:val="22"/>
          <w:szCs w:val="22"/>
          <w:lang w:val="en-US" w:eastAsia="en-US"/>
        </w:rPr>
      </w:pPr>
      <w:r w:rsidRPr="00470D12">
        <w:rPr>
          <w:rFonts w:asciiTheme="majorHAnsi" w:eastAsiaTheme="minorEastAsia" w:hAnsiTheme="majorHAnsi" w:cstheme="majorHAnsi"/>
          <w:sz w:val="22"/>
          <w:szCs w:val="22"/>
          <w:lang w:val="en-US" w:eastAsia="en-US"/>
        </w:rPr>
        <w:t xml:space="preserve">For the purposes of the continuous quotation obligation for equity instruments, Art. 12 Delegated Regulation (EU) 2017/567 specifies that the respective offers of the SI must be available at any time during the periods which the systematic internaliser has in advance established and published as its normal trading hours. This in particular means that a systematic internaliser in shares can establish trading hours independent of the trading hours of trading venues. </w:t>
      </w:r>
    </w:p>
    <w:p w:rsidR="005C2C31" w:rsidRPr="0077779F" w:rsidRDefault="005C2C31" w:rsidP="005C2C31">
      <w:pPr>
        <w:spacing w:line="360" w:lineRule="auto"/>
        <w:jc w:val="both"/>
        <w:rPr>
          <w:sz w:val="22"/>
        </w:rPr>
      </w:pPr>
      <w:r w:rsidRPr="00470D12">
        <w:rPr>
          <w:rFonts w:asciiTheme="majorHAnsi" w:eastAsiaTheme="minorEastAsia" w:hAnsiTheme="majorHAnsi" w:cstheme="majorHAnsi"/>
          <w:sz w:val="22"/>
          <w:szCs w:val="22"/>
          <w:lang w:val="en-US" w:eastAsia="en-US"/>
        </w:rPr>
        <w:t xml:space="preserve">An equivalent provision, however, cannot be found in Art. 18 MiFIR for systematic internalisers in non-equity instruments. This can presumably be explained by the fact that, as currently drafted, Art. 18 MiFIR requires the period client request before the SI must make a </w:t>
      </w:r>
      <w:r w:rsidRPr="00470D12">
        <w:rPr>
          <w:rFonts w:asciiTheme="majorHAnsi" w:eastAsiaTheme="minorEastAsia" w:hAnsiTheme="majorHAnsi" w:cstheme="majorHAnsi"/>
          <w:sz w:val="22"/>
          <w:szCs w:val="22"/>
          <w:lang w:val="en-US" w:eastAsia="en-US"/>
        </w:rPr>
        <w:lastRenderedPageBreak/>
        <w:t xml:space="preserve">quote available. </w:t>
      </w:r>
      <w:r w:rsidR="00AB20FA">
        <w:rPr>
          <w:rFonts w:asciiTheme="majorHAnsi" w:eastAsiaTheme="minorEastAsia" w:hAnsiTheme="majorHAnsi" w:cstheme="majorHAnsi"/>
          <w:sz w:val="22"/>
          <w:szCs w:val="22"/>
          <w:lang w:val="en-US" w:eastAsia="en-US"/>
        </w:rPr>
        <w:t xml:space="preserve">However, since </w:t>
      </w:r>
      <w:r w:rsidRPr="00470D12">
        <w:rPr>
          <w:rFonts w:asciiTheme="majorHAnsi" w:eastAsiaTheme="minorEastAsia" w:hAnsiTheme="majorHAnsi" w:cstheme="majorHAnsi"/>
          <w:sz w:val="22"/>
          <w:szCs w:val="22"/>
          <w:lang w:val="en-US" w:eastAsia="en-US"/>
        </w:rPr>
        <w:t>quote strea</w:t>
      </w:r>
      <w:r w:rsidR="00470D12">
        <w:rPr>
          <w:rFonts w:asciiTheme="majorHAnsi" w:eastAsiaTheme="minorEastAsia" w:hAnsiTheme="majorHAnsi" w:cstheme="majorHAnsi"/>
          <w:sz w:val="22"/>
          <w:szCs w:val="22"/>
          <w:lang w:val="en-US" w:eastAsia="en-US"/>
        </w:rPr>
        <w:t>m</w:t>
      </w:r>
      <w:r w:rsidR="00AB20FA">
        <w:rPr>
          <w:rFonts w:asciiTheme="majorHAnsi" w:eastAsiaTheme="minorEastAsia" w:hAnsiTheme="majorHAnsi" w:cstheme="majorHAnsi"/>
          <w:sz w:val="22"/>
          <w:szCs w:val="22"/>
          <w:lang w:val="en-US" w:eastAsia="en-US"/>
        </w:rPr>
        <w:t>ing has</w:t>
      </w:r>
      <w:r w:rsidR="00470D12">
        <w:rPr>
          <w:rFonts w:asciiTheme="majorHAnsi" w:eastAsiaTheme="minorEastAsia" w:hAnsiTheme="majorHAnsi" w:cstheme="majorHAnsi"/>
          <w:sz w:val="22"/>
          <w:szCs w:val="22"/>
          <w:lang w:val="en-US" w:eastAsia="en-US"/>
        </w:rPr>
        <w:t xml:space="preserve"> been </w:t>
      </w:r>
      <w:r w:rsidR="00AB20FA">
        <w:rPr>
          <w:rFonts w:asciiTheme="majorHAnsi" w:eastAsiaTheme="minorEastAsia" w:hAnsiTheme="majorHAnsi" w:cstheme="majorHAnsi"/>
          <w:sz w:val="22"/>
          <w:szCs w:val="22"/>
          <w:lang w:val="en-US" w:eastAsia="en-US"/>
        </w:rPr>
        <w:t xml:space="preserve">generally </w:t>
      </w:r>
      <w:r w:rsidR="00470D12">
        <w:rPr>
          <w:rFonts w:asciiTheme="majorHAnsi" w:eastAsiaTheme="minorEastAsia" w:hAnsiTheme="majorHAnsi" w:cstheme="majorHAnsi"/>
          <w:sz w:val="22"/>
          <w:szCs w:val="22"/>
          <w:lang w:val="en-US" w:eastAsia="en-US"/>
        </w:rPr>
        <w:t>acknowledged</w:t>
      </w:r>
      <w:r w:rsidR="00AB20FA">
        <w:rPr>
          <w:rFonts w:asciiTheme="majorHAnsi" w:eastAsiaTheme="minorEastAsia" w:hAnsiTheme="majorHAnsi" w:cstheme="majorHAnsi"/>
          <w:sz w:val="22"/>
          <w:szCs w:val="22"/>
          <w:lang w:val="en-US" w:eastAsia="en-US"/>
        </w:rPr>
        <w:t xml:space="preserve"> by ESMA on</w:t>
      </w:r>
      <w:r w:rsidRPr="00470D12">
        <w:rPr>
          <w:rFonts w:asciiTheme="majorHAnsi" w:eastAsiaTheme="minorEastAsia" w:hAnsiTheme="majorHAnsi" w:cstheme="majorHAnsi"/>
          <w:sz w:val="22"/>
          <w:szCs w:val="22"/>
          <w:lang w:val="en-US" w:eastAsia="en-US"/>
        </w:rPr>
        <w:t xml:space="preserve"> level 3</w:t>
      </w:r>
      <w:r w:rsidR="00470D12">
        <w:rPr>
          <w:rFonts w:asciiTheme="majorHAnsi" w:eastAsiaTheme="minorEastAsia" w:hAnsiTheme="majorHAnsi" w:cstheme="majorHAnsi"/>
          <w:sz w:val="22"/>
          <w:szCs w:val="22"/>
          <w:lang w:val="en-US" w:eastAsia="en-US"/>
        </w:rPr>
        <w:t xml:space="preserve"> in its Q&amp;As, is established</w:t>
      </w:r>
      <w:r w:rsidRPr="00470D12">
        <w:rPr>
          <w:rFonts w:asciiTheme="majorHAnsi" w:eastAsiaTheme="minorEastAsia" w:hAnsiTheme="majorHAnsi" w:cstheme="majorHAnsi"/>
          <w:sz w:val="22"/>
          <w:szCs w:val="22"/>
          <w:lang w:val="en-US" w:eastAsia="en-US"/>
        </w:rPr>
        <w:t xml:space="preserve"> for the market making in structured products, a legislative confirmation, analogous to Art. 12 Delegated Regulation (EU) 2017/567, would be desirable from our point of view</w:t>
      </w:r>
      <w:r>
        <w:rPr>
          <w:sz w:val="22"/>
        </w:rPr>
        <w:t>.</w:t>
      </w:r>
    </w:p>
    <w:permEnd w:id="485888841"/>
    <w:p w:rsidR="00FC589E" w:rsidRDefault="00FC589E" w:rsidP="00FC589E">
      <w:pPr>
        <w:rPr>
          <w:rFonts w:ascii="Arial" w:hAnsi="Arial" w:cs="Arial"/>
        </w:rPr>
      </w:pPr>
      <w:r>
        <w:rPr>
          <w:rFonts w:ascii="Arial" w:hAnsi="Arial" w:cs="Arial"/>
        </w:rPr>
        <w:t>&lt;ESMA_QUESTION_CP_SINE_3&gt;</w:t>
      </w:r>
    </w:p>
    <w:p w:rsidR="00FC589E" w:rsidRDefault="00FC589E" w:rsidP="00FC589E">
      <w:pPr>
        <w:rPr>
          <w:rFonts w:ascii="Arial" w:hAnsi="Arial" w:cs="Arial"/>
        </w:rPr>
      </w:pPr>
    </w:p>
    <w:p w:rsidR="00FC589E" w:rsidRDefault="00FC589E" w:rsidP="00FC589E">
      <w:pPr>
        <w:pStyle w:val="Questionstyle"/>
        <w:numPr>
          <w:ilvl w:val="0"/>
          <w:numId w:val="9"/>
        </w:numPr>
        <w:spacing w:after="250" w:line="276" w:lineRule="auto"/>
      </w:pPr>
      <w:r w:rsidRPr="002D65CE">
        <w:t>: (For SI clients) do you have access to quotes in illiquid instruments? If so, how often do you request access to those quotes? What is your assessment of the pre-trade transparency provided by SIs in illiquid instruments?   </w:t>
      </w:r>
    </w:p>
    <w:p w:rsidR="00FC589E" w:rsidRDefault="00FC589E" w:rsidP="00FC589E">
      <w:pPr>
        <w:rPr>
          <w:rFonts w:ascii="Arial" w:hAnsi="Arial" w:cs="Arial"/>
        </w:rPr>
      </w:pPr>
      <w:r>
        <w:rPr>
          <w:rFonts w:ascii="Arial" w:hAnsi="Arial" w:cs="Arial"/>
        </w:rPr>
        <w:t>&lt;ESMA_QUESTION_CP_SINE_4&gt;</w:t>
      </w:r>
    </w:p>
    <w:p w:rsidR="00FC589E" w:rsidRDefault="00FC589E" w:rsidP="00FC589E">
      <w:pPr>
        <w:rPr>
          <w:rFonts w:ascii="Arial" w:hAnsi="Arial" w:cs="Arial"/>
        </w:rPr>
      </w:pPr>
      <w:permStart w:id="1331843362" w:edGrp="everyone"/>
      <w:r>
        <w:rPr>
          <w:rFonts w:ascii="Arial" w:hAnsi="Arial" w:cs="Arial"/>
        </w:rPr>
        <w:t>TYPE YOUR TEXT HERE</w:t>
      </w:r>
    </w:p>
    <w:permEnd w:id="1331843362"/>
    <w:p w:rsidR="00FC589E" w:rsidRDefault="00FC589E" w:rsidP="00FC589E">
      <w:pPr>
        <w:rPr>
          <w:rFonts w:ascii="Arial" w:hAnsi="Arial" w:cs="Arial"/>
        </w:rPr>
      </w:pPr>
      <w:r>
        <w:rPr>
          <w:rFonts w:ascii="Arial" w:hAnsi="Arial" w:cs="Arial"/>
        </w:rPr>
        <w:t>&lt;ESMA_QUESTION_CP_SINE_4&gt;</w:t>
      </w:r>
    </w:p>
    <w:p w:rsidR="00FC589E" w:rsidRDefault="00FC589E" w:rsidP="00FC589E">
      <w:pPr>
        <w:rPr>
          <w:rFonts w:ascii="Arial" w:hAnsi="Arial" w:cs="Arial"/>
        </w:rPr>
      </w:pPr>
    </w:p>
    <w:p w:rsidR="00FC589E" w:rsidRDefault="00FC589E" w:rsidP="00FC589E">
      <w:pPr>
        <w:pStyle w:val="Questionstyle"/>
        <w:numPr>
          <w:ilvl w:val="0"/>
          <w:numId w:val="9"/>
        </w:numPr>
        <w:spacing w:after="250" w:line="276" w:lineRule="auto"/>
      </w:pPr>
      <w:r w:rsidRPr="002D65CE">
        <w:t>: (For SIs) Do you disclose quotes in illiquid instruments to clients upon request or do you operate under a pre-trade transparency waiver? In the former case, how often are you requested to disclose quotes (rarely, often, very often)? Does it vary across instruments / asset classes?   </w:t>
      </w:r>
    </w:p>
    <w:p w:rsidR="00FC589E" w:rsidRDefault="00FC589E" w:rsidP="00FC589E">
      <w:pPr>
        <w:rPr>
          <w:rFonts w:ascii="Arial" w:hAnsi="Arial" w:cs="Arial"/>
        </w:rPr>
      </w:pPr>
      <w:r>
        <w:rPr>
          <w:rFonts w:ascii="Arial" w:hAnsi="Arial" w:cs="Arial"/>
        </w:rPr>
        <w:t>&lt;ESMA_QUESTION_CP_SINE_5&gt;</w:t>
      </w:r>
    </w:p>
    <w:p w:rsidR="00FC589E" w:rsidRDefault="00FC589E" w:rsidP="00FC589E">
      <w:pPr>
        <w:rPr>
          <w:rFonts w:ascii="Arial" w:hAnsi="Arial" w:cs="Arial"/>
        </w:rPr>
      </w:pPr>
      <w:permStart w:id="1063988935" w:edGrp="everyone"/>
      <w:r>
        <w:rPr>
          <w:rFonts w:ascii="Arial" w:hAnsi="Arial" w:cs="Arial"/>
        </w:rPr>
        <w:t>TYPE YOUR TEXT HERE</w:t>
      </w:r>
    </w:p>
    <w:permEnd w:id="1063988935"/>
    <w:p w:rsidR="00FC589E" w:rsidRDefault="00FC589E" w:rsidP="00FC589E">
      <w:pPr>
        <w:rPr>
          <w:rFonts w:ascii="Arial" w:hAnsi="Arial" w:cs="Arial"/>
        </w:rPr>
      </w:pPr>
      <w:r>
        <w:rPr>
          <w:rFonts w:ascii="Arial" w:hAnsi="Arial" w:cs="Arial"/>
        </w:rPr>
        <w:t>&lt;ESMA_QUESTION_CP_SINE_5&gt;</w:t>
      </w:r>
    </w:p>
    <w:p w:rsidR="00FC589E" w:rsidRDefault="00FC589E" w:rsidP="00FC589E">
      <w:pPr>
        <w:rPr>
          <w:rFonts w:ascii="Arial" w:hAnsi="Arial" w:cs="Arial"/>
        </w:rPr>
      </w:pPr>
    </w:p>
    <w:p w:rsidR="00FC589E" w:rsidRDefault="00FC589E" w:rsidP="00FC589E">
      <w:pPr>
        <w:pStyle w:val="Questionstyle"/>
        <w:numPr>
          <w:ilvl w:val="0"/>
          <w:numId w:val="9"/>
        </w:numPr>
        <w:spacing w:after="250" w:line="276" w:lineRule="auto"/>
      </w:pPr>
      <w:r w:rsidRPr="002D65CE">
        <w:t>: Do you consider that there is an unlevel playing field between SIs and multilateral trading venues active in non-equity instruments, in particular with respect to pre-trade transparency? If so, please explain why and suggest potential remedies. </w:t>
      </w:r>
    </w:p>
    <w:p w:rsidR="00FC589E" w:rsidRDefault="00FC589E" w:rsidP="00FC589E">
      <w:pPr>
        <w:rPr>
          <w:rFonts w:ascii="Arial" w:hAnsi="Arial" w:cs="Arial"/>
        </w:rPr>
      </w:pPr>
      <w:r>
        <w:rPr>
          <w:rFonts w:ascii="Arial" w:hAnsi="Arial" w:cs="Arial"/>
        </w:rPr>
        <w:t>&lt;ESMA_QUESTION_CP_SINE_6&gt;</w:t>
      </w:r>
    </w:p>
    <w:p w:rsidR="00FC589E" w:rsidRDefault="00FC589E" w:rsidP="00FC589E">
      <w:pPr>
        <w:rPr>
          <w:rFonts w:ascii="Arial" w:hAnsi="Arial" w:cs="Arial"/>
        </w:rPr>
      </w:pPr>
      <w:permStart w:id="312161843" w:edGrp="everyone"/>
      <w:r>
        <w:rPr>
          <w:rFonts w:ascii="Arial" w:hAnsi="Arial" w:cs="Arial"/>
        </w:rPr>
        <w:t>TYPE YOUR TEXT HERE</w:t>
      </w:r>
    </w:p>
    <w:permEnd w:id="312161843"/>
    <w:p w:rsidR="00FC589E" w:rsidRDefault="00FC589E" w:rsidP="00FC589E">
      <w:pPr>
        <w:rPr>
          <w:rFonts w:ascii="Arial" w:hAnsi="Arial" w:cs="Arial"/>
        </w:rPr>
      </w:pPr>
      <w:r>
        <w:rPr>
          <w:rFonts w:ascii="Arial" w:hAnsi="Arial" w:cs="Arial"/>
        </w:rPr>
        <w:t>&lt;ESMA_QUESTION_CP_SINE_6&gt;</w:t>
      </w:r>
    </w:p>
    <w:p w:rsidR="00FC589E" w:rsidRDefault="00FC589E" w:rsidP="00FC589E">
      <w:pPr>
        <w:rPr>
          <w:rFonts w:ascii="Arial" w:hAnsi="Arial" w:cs="Arial"/>
        </w:rPr>
      </w:pPr>
    </w:p>
    <w:p w:rsidR="00FC589E" w:rsidRDefault="00FC589E" w:rsidP="00FC589E">
      <w:pPr>
        <w:pStyle w:val="Questionstyle"/>
        <w:numPr>
          <w:ilvl w:val="0"/>
          <w:numId w:val="9"/>
        </w:numPr>
        <w:spacing w:after="250" w:line="276" w:lineRule="auto"/>
      </w:pPr>
      <w:r>
        <w:t>:</w:t>
      </w:r>
      <w:r w:rsidRPr="002D65CE">
        <w:t xml:space="preserve"> (for SIs who are also providing liquidity on trading venues): What are the key factors that determine whether quote requesters (your clients) want to receive the quote through the facilities of a trading venue or through your own bilateral trading facilities?            </w:t>
      </w:r>
    </w:p>
    <w:p w:rsidR="00FC589E" w:rsidRDefault="00FC589E" w:rsidP="00FC589E">
      <w:pPr>
        <w:rPr>
          <w:rFonts w:ascii="Arial" w:hAnsi="Arial" w:cs="Arial"/>
        </w:rPr>
      </w:pPr>
      <w:r>
        <w:rPr>
          <w:rFonts w:ascii="Arial" w:hAnsi="Arial" w:cs="Arial"/>
        </w:rPr>
        <w:t>&lt;ESMA_QUESTION_CP_SINE_7&gt;</w:t>
      </w:r>
    </w:p>
    <w:p w:rsidR="00FC589E" w:rsidRDefault="00FC589E" w:rsidP="00FC589E">
      <w:pPr>
        <w:rPr>
          <w:rFonts w:ascii="Arial" w:hAnsi="Arial" w:cs="Arial"/>
        </w:rPr>
      </w:pPr>
      <w:permStart w:id="1579903275" w:edGrp="everyone"/>
      <w:r>
        <w:rPr>
          <w:rFonts w:ascii="Arial" w:hAnsi="Arial" w:cs="Arial"/>
        </w:rPr>
        <w:t>TYPE YOUR TEXT HERE</w:t>
      </w:r>
    </w:p>
    <w:permEnd w:id="1579903275"/>
    <w:p w:rsidR="00FC589E" w:rsidRDefault="00FC589E" w:rsidP="00FC589E">
      <w:pPr>
        <w:rPr>
          <w:rFonts w:ascii="Arial" w:hAnsi="Arial" w:cs="Arial"/>
        </w:rPr>
      </w:pPr>
      <w:r>
        <w:rPr>
          <w:rFonts w:ascii="Arial" w:hAnsi="Arial" w:cs="Arial"/>
        </w:rPr>
        <w:t>&lt;ESMA_QUESTION_CP_SINE_7&gt;</w:t>
      </w:r>
    </w:p>
    <w:p w:rsidR="00FC589E" w:rsidRDefault="00FC589E" w:rsidP="00FC589E">
      <w:pPr>
        <w:rPr>
          <w:rFonts w:ascii="Arial" w:hAnsi="Arial" w:cs="Arial"/>
        </w:rPr>
      </w:pPr>
    </w:p>
    <w:p w:rsidR="00FC589E" w:rsidRPr="002D65CE" w:rsidRDefault="00FC589E" w:rsidP="00FC589E">
      <w:pPr>
        <w:pStyle w:val="Questionstyle"/>
        <w:numPr>
          <w:ilvl w:val="0"/>
          <w:numId w:val="9"/>
        </w:numPr>
        <w:spacing w:after="250" w:line="276" w:lineRule="auto"/>
      </w:pPr>
      <w:r w:rsidRPr="002D65CE">
        <w:t xml:space="preserve">: What is your view on the proposal to simplify the requirements in relation to SI quotes in liquid non-equity instruments under Article 16(6) and 18(7)?            </w:t>
      </w:r>
    </w:p>
    <w:p w:rsidR="00FC589E" w:rsidRDefault="00FC589E" w:rsidP="00FC589E">
      <w:pPr>
        <w:rPr>
          <w:rFonts w:ascii="Arial" w:hAnsi="Arial" w:cs="Arial"/>
        </w:rPr>
      </w:pPr>
      <w:r>
        <w:rPr>
          <w:rFonts w:ascii="Arial" w:hAnsi="Arial" w:cs="Arial"/>
        </w:rPr>
        <w:t>&lt;ESMA_QUESTION_CP_SINE_8&gt;</w:t>
      </w:r>
    </w:p>
    <w:p w:rsidR="005C2C31" w:rsidRPr="00FE159B" w:rsidRDefault="005C2C31" w:rsidP="005C2C31">
      <w:pPr>
        <w:spacing w:line="360" w:lineRule="auto"/>
        <w:jc w:val="both"/>
        <w:rPr>
          <w:rFonts w:asciiTheme="majorHAnsi" w:eastAsiaTheme="minorEastAsia" w:hAnsiTheme="majorHAnsi" w:cstheme="majorHAnsi"/>
          <w:sz w:val="22"/>
          <w:szCs w:val="22"/>
          <w:lang w:val="en-US" w:eastAsia="en-US"/>
        </w:rPr>
      </w:pPr>
      <w:permStart w:id="1024745029" w:edGrp="everyone"/>
      <w:r w:rsidRPr="00FE159B">
        <w:rPr>
          <w:rFonts w:asciiTheme="majorHAnsi" w:eastAsiaTheme="minorEastAsia" w:hAnsiTheme="majorHAnsi" w:cstheme="majorHAnsi"/>
          <w:sz w:val="22"/>
          <w:szCs w:val="22"/>
          <w:lang w:val="en-US" w:eastAsia="en-US"/>
        </w:rPr>
        <w:t xml:space="preserve">We support the proposal to simplify the requirements in relation SI quotes in liquid non-equity instruments under Article 18(6) and 18(7) MiFIR. Art. 18(6) MiFIR appears to commit the systematic internaliser to enter into transactions with any other client to whom the quote has </w:t>
      </w:r>
      <w:r w:rsidRPr="00FE159B">
        <w:rPr>
          <w:rFonts w:asciiTheme="majorHAnsi" w:eastAsiaTheme="minorEastAsia" w:hAnsiTheme="majorHAnsi" w:cstheme="majorHAnsi"/>
          <w:sz w:val="22"/>
          <w:szCs w:val="22"/>
          <w:lang w:val="en-US" w:eastAsia="en-US"/>
        </w:rPr>
        <w:lastRenderedPageBreak/>
        <w:t xml:space="preserve">been made available.  Further, Art. 18(5) allows them, amongst others, to decide, on the basis of their commercial policy and in an objective non-discriminatory way, </w:t>
      </w:r>
      <w:r w:rsidR="00616023">
        <w:rPr>
          <w:rFonts w:asciiTheme="majorHAnsi" w:eastAsiaTheme="minorEastAsia" w:hAnsiTheme="majorHAnsi" w:cstheme="majorHAnsi"/>
          <w:sz w:val="22"/>
          <w:szCs w:val="22"/>
          <w:lang w:val="en-US" w:eastAsia="en-US"/>
        </w:rPr>
        <w:t xml:space="preserve">on </w:t>
      </w:r>
      <w:r w:rsidRPr="00FE159B">
        <w:rPr>
          <w:rFonts w:asciiTheme="majorHAnsi" w:eastAsiaTheme="minorEastAsia" w:hAnsiTheme="majorHAnsi" w:cstheme="majorHAnsi"/>
          <w:sz w:val="22"/>
          <w:szCs w:val="22"/>
          <w:lang w:val="en-US" w:eastAsia="en-US"/>
        </w:rPr>
        <w:t>the clients to whom they give access to their</w:t>
      </w:r>
      <w:r>
        <w:rPr>
          <w:sz w:val="22"/>
          <w:szCs w:val="22"/>
        </w:rPr>
        <w:t xml:space="preserve"> </w:t>
      </w:r>
      <w:r w:rsidRPr="00FE159B">
        <w:rPr>
          <w:rFonts w:asciiTheme="majorHAnsi" w:eastAsiaTheme="minorEastAsia" w:hAnsiTheme="majorHAnsi" w:cstheme="majorHAnsi"/>
          <w:sz w:val="22"/>
          <w:szCs w:val="22"/>
          <w:lang w:val="en-US" w:eastAsia="en-US"/>
        </w:rPr>
        <w:t>quotes.</w:t>
      </w:r>
    </w:p>
    <w:p w:rsidR="005C2C31" w:rsidRPr="00FE159B" w:rsidRDefault="005C2C31" w:rsidP="005C2C31">
      <w:pPr>
        <w:spacing w:line="360" w:lineRule="auto"/>
        <w:jc w:val="both"/>
        <w:rPr>
          <w:rFonts w:asciiTheme="majorHAnsi" w:eastAsiaTheme="minorEastAsia" w:hAnsiTheme="majorHAnsi" w:cstheme="majorHAnsi"/>
          <w:sz w:val="22"/>
          <w:szCs w:val="22"/>
          <w:lang w:val="en-US" w:eastAsia="en-US"/>
        </w:rPr>
      </w:pPr>
    </w:p>
    <w:p w:rsidR="005C2C31" w:rsidRPr="00FE159B" w:rsidRDefault="005C2C31" w:rsidP="005C2C31">
      <w:pPr>
        <w:spacing w:line="360" w:lineRule="auto"/>
        <w:jc w:val="both"/>
        <w:rPr>
          <w:rFonts w:asciiTheme="majorHAnsi" w:eastAsiaTheme="minorEastAsia" w:hAnsiTheme="majorHAnsi" w:cstheme="majorHAnsi"/>
          <w:sz w:val="22"/>
          <w:szCs w:val="22"/>
          <w:lang w:val="en-US" w:eastAsia="en-US"/>
        </w:rPr>
      </w:pPr>
      <w:r w:rsidRPr="00FE159B">
        <w:rPr>
          <w:rFonts w:asciiTheme="majorHAnsi" w:eastAsiaTheme="minorEastAsia" w:hAnsiTheme="majorHAnsi" w:cstheme="majorHAnsi"/>
          <w:sz w:val="22"/>
          <w:szCs w:val="22"/>
          <w:lang w:val="en-US" w:eastAsia="en-US"/>
        </w:rPr>
        <w:t>As pointed out in the consultation paper already, it has been standard market practice for many issuers of non-equity instruments to make use of the possibility to limit the number of transactions they wish to undertake in a non-discriminatory and transparent fashion, as provided for in Art. 18(7) MiFIR. This also applies to DDV's members who,</w:t>
      </w:r>
      <w:r w:rsidR="009446AC">
        <w:rPr>
          <w:rFonts w:asciiTheme="majorHAnsi" w:eastAsiaTheme="minorEastAsia" w:hAnsiTheme="majorHAnsi" w:cstheme="majorHAnsi"/>
          <w:sz w:val="22"/>
          <w:szCs w:val="22"/>
          <w:lang w:val="en-US" w:eastAsia="en-US"/>
        </w:rPr>
        <w:t xml:space="preserve"> by relying on answer 9 in the Questions and A</w:t>
      </w:r>
      <w:r w:rsidRPr="00FE159B">
        <w:rPr>
          <w:rFonts w:asciiTheme="majorHAnsi" w:eastAsiaTheme="minorEastAsia" w:hAnsiTheme="majorHAnsi" w:cstheme="majorHAnsi"/>
          <w:sz w:val="22"/>
          <w:szCs w:val="22"/>
          <w:lang w:val="en-US" w:eastAsia="en-US"/>
        </w:rPr>
        <w:t xml:space="preserve">nswers on MiFID II and MiFIR transparency topics (ESMA70-872942901-35) usually restrict their commitment to trade to the requesting client only. With respect to their commitment to provide liquidity for their structured products, this clarification </w:t>
      </w:r>
      <w:r w:rsidR="00616023">
        <w:rPr>
          <w:rFonts w:asciiTheme="majorHAnsi" w:eastAsiaTheme="minorEastAsia" w:hAnsiTheme="majorHAnsi" w:cstheme="majorHAnsi"/>
          <w:sz w:val="22"/>
          <w:szCs w:val="22"/>
          <w:lang w:val="en-US" w:eastAsia="en-US"/>
        </w:rPr>
        <w:t xml:space="preserve">is </w:t>
      </w:r>
      <w:r w:rsidRPr="00FE159B">
        <w:rPr>
          <w:rFonts w:asciiTheme="majorHAnsi" w:eastAsiaTheme="minorEastAsia" w:hAnsiTheme="majorHAnsi" w:cstheme="majorHAnsi"/>
          <w:sz w:val="22"/>
          <w:szCs w:val="22"/>
          <w:lang w:val="en-US" w:eastAsia="en-US"/>
        </w:rPr>
        <w:t>crucial in order to protect the issuers from an exposure to an unlimited fulfilment risk. Therefore, the suggested deletion of the undertaking to enter into transactions in Art. 18(6) MiFIR (and consequently of the corrective to such undertaking in Art. 18(7) MiFIR) would be very helpful and would provide clarity</w:t>
      </w:r>
      <w:r w:rsidR="00616023">
        <w:rPr>
          <w:rFonts w:asciiTheme="majorHAnsi" w:eastAsiaTheme="minorEastAsia" w:hAnsiTheme="majorHAnsi" w:cstheme="majorHAnsi"/>
          <w:sz w:val="22"/>
          <w:szCs w:val="22"/>
          <w:lang w:val="en-US" w:eastAsia="en-US"/>
        </w:rPr>
        <w:t>.</w:t>
      </w:r>
    </w:p>
    <w:p w:rsidR="005C2C31" w:rsidRDefault="005C2C31" w:rsidP="00FC589E">
      <w:pPr>
        <w:rPr>
          <w:sz w:val="22"/>
          <w:szCs w:val="22"/>
        </w:rPr>
      </w:pPr>
    </w:p>
    <w:permEnd w:id="1024745029"/>
    <w:p w:rsidR="00FC589E" w:rsidRDefault="00FC589E" w:rsidP="00FC589E">
      <w:pPr>
        <w:rPr>
          <w:rFonts w:ascii="Arial" w:hAnsi="Arial" w:cs="Arial"/>
        </w:rPr>
      </w:pPr>
      <w:r>
        <w:rPr>
          <w:rFonts w:ascii="Arial" w:hAnsi="Arial" w:cs="Arial"/>
        </w:rPr>
        <w:t>&lt;ESMA_QUESTION_CP_SINE_8&gt;</w:t>
      </w:r>
    </w:p>
    <w:p w:rsidR="00FC589E" w:rsidRDefault="00FC589E" w:rsidP="00FC589E">
      <w:pPr>
        <w:rPr>
          <w:rFonts w:ascii="Arial" w:hAnsi="Arial" w:cs="Arial"/>
        </w:rPr>
      </w:pPr>
    </w:p>
    <w:p w:rsidR="00FC589E" w:rsidRPr="002D65CE" w:rsidRDefault="00FC589E" w:rsidP="00FC589E">
      <w:pPr>
        <w:pStyle w:val="Questionstyle"/>
        <w:numPr>
          <w:ilvl w:val="0"/>
          <w:numId w:val="9"/>
        </w:numPr>
        <w:spacing w:after="250" w:line="276" w:lineRule="auto"/>
      </w:pPr>
      <w:r w:rsidRPr="002D65CE">
        <w:t>: Do you consider that the requirements in relation to SI quotes in illiquid non-equity instruments (Article 18(2)) are appropriate? What is your preference between the options presented in paragraph 52 (please justify)?</w:t>
      </w:r>
    </w:p>
    <w:p w:rsidR="00FC589E" w:rsidRDefault="00FC589E" w:rsidP="00FC589E">
      <w:pPr>
        <w:rPr>
          <w:rFonts w:ascii="Arial" w:hAnsi="Arial" w:cs="Arial"/>
        </w:rPr>
      </w:pPr>
      <w:r>
        <w:rPr>
          <w:rFonts w:ascii="Arial" w:hAnsi="Arial" w:cs="Arial"/>
        </w:rPr>
        <w:t>&lt;ESMA_QUESTION_CP_SINE_9&gt;</w:t>
      </w:r>
    </w:p>
    <w:p w:rsidR="00FC589E" w:rsidRDefault="00FC589E" w:rsidP="00FC589E">
      <w:pPr>
        <w:rPr>
          <w:rFonts w:ascii="Arial" w:hAnsi="Arial" w:cs="Arial"/>
        </w:rPr>
      </w:pPr>
      <w:permStart w:id="103118775" w:edGrp="everyone"/>
      <w:r>
        <w:rPr>
          <w:rFonts w:ascii="Arial" w:hAnsi="Arial" w:cs="Arial"/>
        </w:rPr>
        <w:t>TYPE YOUR TEXT HERE</w:t>
      </w:r>
    </w:p>
    <w:permEnd w:id="103118775"/>
    <w:p w:rsidR="00FC589E" w:rsidRDefault="00FC589E" w:rsidP="00FC589E">
      <w:pPr>
        <w:rPr>
          <w:rFonts w:ascii="Arial" w:hAnsi="Arial" w:cs="Arial"/>
        </w:rPr>
      </w:pPr>
      <w:r>
        <w:rPr>
          <w:rFonts w:ascii="Arial" w:hAnsi="Arial" w:cs="Arial"/>
        </w:rPr>
        <w:t>&lt;ESMA_QUESTION_CP_SINE_9&gt;</w:t>
      </w:r>
    </w:p>
    <w:p w:rsidR="00FC589E" w:rsidRDefault="00FC589E" w:rsidP="00FC589E">
      <w:pPr>
        <w:rPr>
          <w:rFonts w:ascii="Arial" w:hAnsi="Arial" w:cs="Arial"/>
        </w:rPr>
      </w:pPr>
    </w:p>
    <w:p w:rsidR="00FC589E" w:rsidRDefault="00FC589E" w:rsidP="00FC589E">
      <w:pPr>
        <w:pStyle w:val="Questionstyle"/>
        <w:numPr>
          <w:ilvl w:val="0"/>
          <w:numId w:val="9"/>
        </w:numPr>
        <w:spacing w:after="250" w:line="276" w:lineRule="auto"/>
      </w:pPr>
      <w:r w:rsidRPr="002D65CE">
        <w:t>: What is your view on the recommendation to specify the arrangements for publishing quotes?</w:t>
      </w:r>
    </w:p>
    <w:p w:rsidR="00FC589E" w:rsidRDefault="00FC589E" w:rsidP="00FC589E">
      <w:pPr>
        <w:rPr>
          <w:rFonts w:ascii="Arial" w:hAnsi="Arial" w:cs="Arial"/>
        </w:rPr>
      </w:pPr>
      <w:r>
        <w:rPr>
          <w:rFonts w:ascii="Arial" w:hAnsi="Arial" w:cs="Arial"/>
        </w:rPr>
        <w:t>&lt;ESMA_QUESTION_CP_SINE_10&gt;</w:t>
      </w:r>
    </w:p>
    <w:p w:rsidR="005C2C31" w:rsidRPr="00FE159B" w:rsidRDefault="005C2C31" w:rsidP="005C2C31">
      <w:pPr>
        <w:spacing w:line="360" w:lineRule="auto"/>
        <w:jc w:val="both"/>
        <w:rPr>
          <w:rFonts w:asciiTheme="majorHAnsi" w:eastAsiaTheme="minorEastAsia" w:hAnsiTheme="majorHAnsi" w:cstheme="majorHAnsi"/>
          <w:sz w:val="22"/>
          <w:szCs w:val="22"/>
          <w:lang w:val="en-US" w:eastAsia="en-US"/>
        </w:rPr>
      </w:pPr>
      <w:permStart w:id="578770730" w:edGrp="everyone"/>
      <w:r w:rsidRPr="00FE159B">
        <w:rPr>
          <w:rFonts w:asciiTheme="majorHAnsi" w:eastAsiaTheme="minorEastAsia" w:hAnsiTheme="majorHAnsi" w:cstheme="majorHAnsi"/>
          <w:sz w:val="22"/>
          <w:szCs w:val="22"/>
          <w:lang w:val="en-US" w:eastAsia="en-US"/>
        </w:rPr>
        <w:t xml:space="preserve">We support the intention to further specify the arrangements for publishing quotes and in particular to define exceptional market conditions for the purpose of Article 18 (3) MiFIR (as </w:t>
      </w:r>
      <w:r w:rsidR="00616023">
        <w:rPr>
          <w:rFonts w:asciiTheme="majorHAnsi" w:eastAsiaTheme="minorEastAsia" w:hAnsiTheme="majorHAnsi" w:cstheme="majorHAnsi"/>
          <w:sz w:val="22"/>
          <w:szCs w:val="22"/>
          <w:lang w:val="en-US" w:eastAsia="en-US"/>
        </w:rPr>
        <w:t xml:space="preserve">this </w:t>
      </w:r>
      <w:r w:rsidRPr="00FE159B">
        <w:rPr>
          <w:rFonts w:asciiTheme="majorHAnsi" w:eastAsiaTheme="minorEastAsia" w:hAnsiTheme="majorHAnsi" w:cstheme="majorHAnsi"/>
          <w:sz w:val="22"/>
          <w:szCs w:val="22"/>
          <w:lang w:val="en-US" w:eastAsia="en-US"/>
        </w:rPr>
        <w:t>is the case already for equity instruments as set out in Article 14 of the Delegated Regulation (EU) 2017/567)</w:t>
      </w:r>
      <w:r w:rsidR="00616023">
        <w:rPr>
          <w:rFonts w:asciiTheme="majorHAnsi" w:eastAsiaTheme="minorEastAsia" w:hAnsiTheme="majorHAnsi" w:cstheme="majorHAnsi"/>
          <w:sz w:val="22"/>
          <w:szCs w:val="22"/>
          <w:lang w:val="en-US" w:eastAsia="en-US"/>
        </w:rPr>
        <w:t xml:space="preserve">. In particular, </w:t>
      </w:r>
      <w:r w:rsidRPr="00FE159B">
        <w:rPr>
          <w:rFonts w:asciiTheme="majorHAnsi" w:eastAsiaTheme="minorEastAsia" w:hAnsiTheme="majorHAnsi" w:cstheme="majorHAnsi"/>
          <w:sz w:val="22"/>
          <w:szCs w:val="22"/>
          <w:lang w:val="en-US" w:eastAsia="en-US"/>
        </w:rPr>
        <w:t>the concept of exceptional market conditions set out in the Delegated Regulation (EU) 2017/578 is suitable for the market</w:t>
      </w:r>
      <w:r w:rsidR="00616023">
        <w:rPr>
          <w:rFonts w:asciiTheme="majorHAnsi" w:eastAsiaTheme="minorEastAsia" w:hAnsiTheme="majorHAnsi" w:cstheme="majorHAnsi"/>
          <w:sz w:val="22"/>
          <w:szCs w:val="22"/>
          <w:lang w:val="en-US" w:eastAsia="en-US"/>
        </w:rPr>
        <w:t xml:space="preserve"> making for structured products</w:t>
      </w:r>
      <w:r w:rsidRPr="00FE159B">
        <w:rPr>
          <w:rFonts w:asciiTheme="majorHAnsi" w:eastAsiaTheme="minorEastAsia" w:hAnsiTheme="majorHAnsi" w:cstheme="majorHAnsi"/>
          <w:sz w:val="22"/>
          <w:szCs w:val="22"/>
          <w:lang w:val="en-US" w:eastAsia="en-US"/>
        </w:rPr>
        <w:t xml:space="preserve"> as well. </w:t>
      </w:r>
    </w:p>
    <w:permEnd w:id="578770730"/>
    <w:p w:rsidR="00FC589E" w:rsidRDefault="00FC589E" w:rsidP="00FC589E">
      <w:pPr>
        <w:rPr>
          <w:rFonts w:ascii="Arial" w:hAnsi="Arial" w:cs="Arial"/>
        </w:rPr>
      </w:pPr>
      <w:r>
        <w:rPr>
          <w:rFonts w:ascii="Arial" w:hAnsi="Arial" w:cs="Arial"/>
        </w:rPr>
        <w:t>&lt;ESMA_QUESTION_CP_SINE_10&gt;</w:t>
      </w:r>
    </w:p>
    <w:p w:rsidR="00FC589E" w:rsidRDefault="00FC589E" w:rsidP="00FC589E">
      <w:pPr>
        <w:rPr>
          <w:rFonts w:ascii="Arial" w:hAnsi="Arial" w:cs="Arial"/>
        </w:rPr>
      </w:pPr>
    </w:p>
    <w:p w:rsidR="00FC589E" w:rsidRPr="002D65CE" w:rsidRDefault="00FC589E" w:rsidP="00FC589E">
      <w:pPr>
        <w:pStyle w:val="Questionstyle"/>
        <w:numPr>
          <w:ilvl w:val="0"/>
          <w:numId w:val="9"/>
        </w:numPr>
        <w:spacing w:after="250" w:line="276" w:lineRule="auto"/>
      </w:pPr>
      <w:r w:rsidRPr="002D65CE">
        <w:t xml:space="preserve">: Do you have any comment on the analysis of Bond data and the relation with the SSTI thresholds as presented above?         </w:t>
      </w:r>
    </w:p>
    <w:p w:rsidR="00FC589E" w:rsidRDefault="00FC589E" w:rsidP="00FC589E">
      <w:pPr>
        <w:rPr>
          <w:rFonts w:ascii="Arial" w:hAnsi="Arial" w:cs="Arial"/>
        </w:rPr>
      </w:pPr>
      <w:r>
        <w:rPr>
          <w:rFonts w:ascii="Arial" w:hAnsi="Arial" w:cs="Arial"/>
        </w:rPr>
        <w:lastRenderedPageBreak/>
        <w:t>&lt;ESMA_QUESTION_CP_SINE_11&gt;</w:t>
      </w:r>
    </w:p>
    <w:p w:rsidR="00FC589E" w:rsidRDefault="00FC589E" w:rsidP="00FC589E">
      <w:pPr>
        <w:rPr>
          <w:rFonts w:ascii="Arial" w:hAnsi="Arial" w:cs="Arial"/>
        </w:rPr>
      </w:pPr>
      <w:permStart w:id="124396809" w:edGrp="everyone"/>
      <w:r>
        <w:rPr>
          <w:rFonts w:ascii="Arial" w:hAnsi="Arial" w:cs="Arial"/>
        </w:rPr>
        <w:t>TYPE YOUR TEXT HERE</w:t>
      </w:r>
    </w:p>
    <w:permEnd w:id="124396809"/>
    <w:p w:rsidR="00FC589E" w:rsidRDefault="00FC589E" w:rsidP="00FC589E">
      <w:pPr>
        <w:rPr>
          <w:rFonts w:ascii="Arial" w:hAnsi="Arial" w:cs="Arial"/>
        </w:rPr>
      </w:pPr>
      <w:r>
        <w:rPr>
          <w:rFonts w:ascii="Arial" w:hAnsi="Arial" w:cs="Arial"/>
        </w:rPr>
        <w:t>&lt;ESMA_QUESTION_CP_SINE_11&gt;</w:t>
      </w:r>
    </w:p>
    <w:p w:rsidR="00FC589E" w:rsidRDefault="00FC589E" w:rsidP="00FC589E">
      <w:pPr>
        <w:rPr>
          <w:rFonts w:ascii="Arial" w:hAnsi="Arial" w:cs="Arial"/>
        </w:rPr>
      </w:pPr>
    </w:p>
    <w:p w:rsidR="00FC589E" w:rsidRPr="002D65CE" w:rsidRDefault="00FC589E" w:rsidP="00FC589E">
      <w:pPr>
        <w:pStyle w:val="Questionstyle"/>
        <w:numPr>
          <w:ilvl w:val="0"/>
          <w:numId w:val="9"/>
        </w:numPr>
        <w:spacing w:after="250" w:line="276" w:lineRule="auto"/>
      </w:pPr>
      <w:r w:rsidRPr="002D65CE">
        <w:t xml:space="preserve">: Do you have any comment on the analysis of derivatives data and the relation with the SSTI threshold as presented above?  </w:t>
      </w:r>
    </w:p>
    <w:p w:rsidR="00FC589E" w:rsidRDefault="00FC589E" w:rsidP="00FC589E">
      <w:pPr>
        <w:rPr>
          <w:rFonts w:ascii="Arial" w:hAnsi="Arial" w:cs="Arial"/>
        </w:rPr>
      </w:pPr>
      <w:r>
        <w:rPr>
          <w:rFonts w:ascii="Arial" w:hAnsi="Arial" w:cs="Arial"/>
        </w:rPr>
        <w:t>&lt;ESMA_QUESTION_CP_SINE_12&gt;</w:t>
      </w:r>
    </w:p>
    <w:p w:rsidR="00FC589E" w:rsidRDefault="00FC589E" w:rsidP="00FC589E">
      <w:pPr>
        <w:rPr>
          <w:rFonts w:ascii="Arial" w:hAnsi="Arial" w:cs="Arial"/>
        </w:rPr>
      </w:pPr>
      <w:permStart w:id="1030625753" w:edGrp="everyone"/>
      <w:r>
        <w:rPr>
          <w:rFonts w:ascii="Arial" w:hAnsi="Arial" w:cs="Arial"/>
        </w:rPr>
        <w:t>TYPE YOUR TEXT HERE</w:t>
      </w:r>
    </w:p>
    <w:permEnd w:id="1030625753"/>
    <w:p w:rsidR="00FC589E" w:rsidRDefault="00FC589E" w:rsidP="00FC589E">
      <w:pPr>
        <w:rPr>
          <w:rFonts w:ascii="Arial" w:hAnsi="Arial" w:cs="Arial"/>
        </w:rPr>
      </w:pPr>
      <w:r>
        <w:rPr>
          <w:rFonts w:ascii="Arial" w:hAnsi="Arial" w:cs="Arial"/>
        </w:rPr>
        <w:t>&lt;ESMA_QUESTION_CP_SINE_12&gt;</w:t>
      </w:r>
    </w:p>
    <w:p w:rsidR="00FC589E" w:rsidRDefault="00FC589E" w:rsidP="00FC589E">
      <w:pPr>
        <w:rPr>
          <w:rFonts w:ascii="Arial" w:hAnsi="Arial" w:cs="Arial"/>
        </w:rPr>
      </w:pPr>
    </w:p>
    <w:p w:rsidR="00FC589E" w:rsidRPr="002D65CE" w:rsidRDefault="00FC589E" w:rsidP="00FC589E">
      <w:pPr>
        <w:pStyle w:val="Questionstyle"/>
        <w:numPr>
          <w:ilvl w:val="0"/>
          <w:numId w:val="9"/>
        </w:numPr>
        <w:spacing w:after="250" w:line="276" w:lineRule="auto"/>
      </w:pPr>
      <w:r w:rsidRPr="002D65CE">
        <w:t xml:space="preserve">: What is your view on the influence of the SSTI thresholds on the pre-trade transparency framework for SI active in non-equity instruments? Are there any changes to the legal framework that you would consider necessary in this respect?        </w:t>
      </w:r>
    </w:p>
    <w:p w:rsidR="00FC589E" w:rsidRDefault="00FC589E" w:rsidP="00FC589E">
      <w:pPr>
        <w:rPr>
          <w:rFonts w:ascii="Arial" w:hAnsi="Arial" w:cs="Arial"/>
        </w:rPr>
      </w:pPr>
      <w:r>
        <w:rPr>
          <w:rFonts w:ascii="Arial" w:hAnsi="Arial" w:cs="Arial"/>
        </w:rPr>
        <w:t>&lt;ESMA_QUESTION_CP_SINE_13&gt;</w:t>
      </w:r>
    </w:p>
    <w:p w:rsidR="00FC589E" w:rsidRDefault="00FC589E" w:rsidP="00FC589E">
      <w:pPr>
        <w:rPr>
          <w:rFonts w:ascii="Arial" w:hAnsi="Arial" w:cs="Arial"/>
        </w:rPr>
      </w:pPr>
      <w:permStart w:id="845440341" w:edGrp="everyone"/>
      <w:r>
        <w:rPr>
          <w:rFonts w:ascii="Arial" w:hAnsi="Arial" w:cs="Arial"/>
        </w:rPr>
        <w:t>TYPE YOUR TEXT HERE</w:t>
      </w:r>
    </w:p>
    <w:permEnd w:id="845440341"/>
    <w:p w:rsidR="00FC589E" w:rsidRDefault="00FC589E" w:rsidP="00FC589E">
      <w:pPr>
        <w:rPr>
          <w:rFonts w:ascii="Arial" w:hAnsi="Arial" w:cs="Arial"/>
        </w:rPr>
      </w:pPr>
      <w:r>
        <w:rPr>
          <w:rFonts w:ascii="Arial" w:hAnsi="Arial" w:cs="Arial"/>
        </w:rPr>
        <w:t>&lt;ESMA_QUESTION_CP_SINE_13&gt;</w:t>
      </w:r>
    </w:p>
    <w:p w:rsidR="00FC589E" w:rsidRDefault="00FC589E" w:rsidP="00FC589E">
      <w:pPr>
        <w:rPr>
          <w:rFonts w:ascii="Arial" w:hAnsi="Arial" w:cs="Arial"/>
        </w:rPr>
      </w:pPr>
    </w:p>
    <w:p w:rsidR="00FC589E" w:rsidRPr="002D65CE" w:rsidRDefault="00FC589E" w:rsidP="00FC589E">
      <w:pPr>
        <w:pStyle w:val="Questionstyle"/>
        <w:numPr>
          <w:ilvl w:val="0"/>
          <w:numId w:val="9"/>
        </w:numPr>
        <w:spacing w:after="250" w:line="276" w:lineRule="auto"/>
      </w:pPr>
      <w:r w:rsidRPr="002D65CE">
        <w:t xml:space="preserve">: What is your view on the best way for ESMA to fulfil the mandate related to whether quoted and traded prices reflect prevailing market conditions and in particular: (1) the source of data for the SI quotes/trades (RTS 27, APA); (2) the source of market data prices; and (3) the methodology to compare the two and formulate an assessment?        </w:t>
      </w:r>
    </w:p>
    <w:p w:rsidR="00FC589E" w:rsidRDefault="00FC589E" w:rsidP="00FC589E">
      <w:pPr>
        <w:rPr>
          <w:rFonts w:ascii="Arial" w:hAnsi="Arial" w:cs="Arial"/>
        </w:rPr>
      </w:pPr>
      <w:r>
        <w:rPr>
          <w:rFonts w:ascii="Arial" w:hAnsi="Arial" w:cs="Arial"/>
        </w:rPr>
        <w:t>&lt;ESMA_QUESTION_CP_SINE_14&gt;</w:t>
      </w:r>
    </w:p>
    <w:p w:rsidR="00FC589E" w:rsidRDefault="00FC589E" w:rsidP="00FC589E">
      <w:pPr>
        <w:rPr>
          <w:rFonts w:ascii="Arial" w:hAnsi="Arial" w:cs="Arial"/>
        </w:rPr>
      </w:pPr>
      <w:permStart w:id="63599797" w:edGrp="everyone"/>
      <w:r>
        <w:rPr>
          <w:rFonts w:ascii="Arial" w:hAnsi="Arial" w:cs="Arial"/>
        </w:rPr>
        <w:t>TYPE YOUR TEXT HERE</w:t>
      </w:r>
    </w:p>
    <w:permEnd w:id="63599797"/>
    <w:p w:rsidR="00FC589E" w:rsidRDefault="00FC589E" w:rsidP="00FC589E">
      <w:pPr>
        <w:rPr>
          <w:rFonts w:ascii="Arial" w:hAnsi="Arial" w:cs="Arial"/>
        </w:rPr>
      </w:pPr>
      <w:r>
        <w:rPr>
          <w:rFonts w:ascii="Arial" w:hAnsi="Arial" w:cs="Arial"/>
        </w:rPr>
        <w:t>&lt;ESMA_QUESTION_CP_SINE_14&gt;</w:t>
      </w:r>
    </w:p>
    <w:p w:rsidR="00FC589E" w:rsidRDefault="00FC589E" w:rsidP="00FC589E">
      <w:pPr>
        <w:rPr>
          <w:rFonts w:ascii="Arial" w:hAnsi="Arial" w:cs="Arial"/>
        </w:rPr>
      </w:pPr>
    </w:p>
    <w:p w:rsidR="00FC589E" w:rsidRPr="007B52B2" w:rsidRDefault="00FC589E" w:rsidP="00FC589E">
      <w:pPr>
        <w:rPr>
          <w:rFonts w:ascii="Arial" w:hAnsi="Arial" w:cs="Arial"/>
        </w:rPr>
      </w:pPr>
    </w:p>
    <w:bookmarkEnd w:id="0"/>
    <w:p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E5" w:rsidRDefault="004F0EE5" w:rsidP="007E7997">
      <w:r>
        <w:separator/>
      </w:r>
    </w:p>
  </w:endnote>
  <w:endnote w:type="continuationSeparator" w:id="0">
    <w:p w:rsidR="004F0EE5" w:rsidRDefault="004F0EE5" w:rsidP="007E7997">
      <w:r>
        <w:continuationSeparator/>
      </w:r>
    </w:p>
  </w:endnote>
  <w:endnote w:type="continuationNotice" w:id="1">
    <w:p w:rsidR="004F0EE5" w:rsidRDefault="004F0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1F" w:rsidRDefault="00AD5A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rsidR="00E36813" w:rsidRDefault="00E368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13" w:rsidRPr="00514DFA" w:rsidRDefault="00E36813" w:rsidP="007A160F">
    <w:pPr>
      <w:pStyle w:val="Fuzeile"/>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BB4ED6">
      <w:rPr>
        <w:rFonts w:asciiTheme="majorHAnsi" w:hAnsiTheme="majorHAnsi"/>
        <w:color w:val="FFFFFF" w:themeColor="background1"/>
      </w:rPr>
      <w:t>3 February 2020</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ESMA70-15</w:t>
    </w:r>
    <w:r w:rsidR="008F1DCF">
      <w:rPr>
        <w:rFonts w:asciiTheme="majorHAnsi" w:hAnsiTheme="majorHAnsi"/>
        <w:color w:val="FFFFFF" w:themeColor="background1"/>
      </w:rPr>
      <w:t>6-2347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rsidR="008F1DCF" w:rsidRPr="008F1DCF" w:rsidRDefault="008F1DCF" w:rsidP="008F1DCF">
        <w:pPr>
          <w:pStyle w:val="Fuzeil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rsidR="00E36813" w:rsidRDefault="00E36813" w:rsidP="008F1DCF">
        <w:pPr>
          <w:pStyle w:val="Fuzeile"/>
          <w:jc w:val="right"/>
        </w:pPr>
        <w:r>
          <w:fldChar w:fldCharType="begin"/>
        </w:r>
        <w:r>
          <w:instrText xml:space="preserve"> PAGE   \* MERGEFORMAT </w:instrText>
        </w:r>
        <w:r>
          <w:fldChar w:fldCharType="separate"/>
        </w:r>
        <w:r w:rsidR="00D25F00">
          <w:rPr>
            <w:noProof/>
          </w:rPr>
          <w:t>6</w:t>
        </w:r>
        <w:r>
          <w:rPr>
            <w:noProof/>
          </w:rPr>
          <w:fldChar w:fldCharType="end"/>
        </w:r>
      </w:p>
    </w:sdtContent>
  </w:sdt>
  <w:p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E5" w:rsidRDefault="004F0EE5" w:rsidP="007E7997">
      <w:r>
        <w:separator/>
      </w:r>
    </w:p>
  </w:footnote>
  <w:footnote w:type="continuationSeparator" w:id="0">
    <w:p w:rsidR="004F0EE5" w:rsidRDefault="004F0EE5" w:rsidP="007E7997">
      <w:r>
        <w:continuationSeparator/>
      </w:r>
    </w:p>
  </w:footnote>
  <w:footnote w:type="continuationNotice" w:id="1">
    <w:p w:rsidR="004F0EE5" w:rsidRDefault="004F0E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1F" w:rsidRDefault="00AD5A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13" w:rsidRDefault="00E36813">
    <w:pPr>
      <w:pStyle w:val="Kopfzeile"/>
    </w:pPr>
  </w:p>
  <w:p w:rsidR="00E36813" w:rsidRDefault="00E368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13" w:rsidRDefault="00E36813">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CF" w:rsidRPr="003669AC" w:rsidRDefault="008F1DCF" w:rsidP="006C5A3D">
    <w:pPr>
      <w:pStyle w:val="Kopfzeile"/>
      <w:ind w:left="708"/>
      <w:jc w:val="right"/>
    </w:pPr>
  </w:p>
  <w:p w:rsidR="008F1DCF" w:rsidRPr="003669AC" w:rsidRDefault="008F1DCF" w:rsidP="006C5A3D">
    <w:pPr>
      <w:pStyle w:val="Kopfzeile"/>
      <w:ind w:left="708"/>
      <w:jc w:val="right"/>
    </w:pPr>
  </w:p>
  <w:p w:rsidR="008F1DCF" w:rsidRPr="00BB4ED6" w:rsidRDefault="00BB4ED6" w:rsidP="006C5A3D">
    <w:pPr>
      <w:pStyle w:val="Kopfzeile"/>
      <w:ind w:left="6663"/>
      <w:rPr>
        <w:rFonts w:asciiTheme="majorHAnsi" w:hAnsiTheme="majorHAnsi" w:cstheme="majorHAnsi"/>
        <w:color w:val="2F5496" w:themeColor="accent5" w:themeShade="BF"/>
        <w:sz w:val="20"/>
      </w:rPr>
    </w:pPr>
    <w:r w:rsidRPr="00BB4ED6">
      <w:rPr>
        <w:rFonts w:asciiTheme="majorHAnsi" w:hAnsiTheme="majorHAnsi" w:cstheme="majorHAnsi"/>
        <w:color w:val="00B050"/>
        <w:sz w:val="20"/>
      </w:rPr>
      <w:t>ESMA PUBLIC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rsidTr="00AE4A5B">
      <w:trPr>
        <w:trHeight w:hRule="exact" w:val="589"/>
      </w:trPr>
      <w:tc>
        <w:tcPr>
          <w:tcW w:w="2377" w:type="dxa"/>
        </w:tcPr>
        <w:p w:rsidR="008F1DCF" w:rsidRPr="008F1DCF" w:rsidRDefault="00BB4ED6" w:rsidP="00AE4A5B">
          <w:pPr>
            <w:pStyle w:val="02Date"/>
            <w:rPr>
              <w:rFonts w:asciiTheme="majorHAnsi" w:hAnsiTheme="majorHAnsi" w:cstheme="majorHAnsi"/>
            </w:rPr>
          </w:pPr>
          <w:r>
            <w:rPr>
              <w:rFonts w:asciiTheme="majorHAnsi" w:hAnsiTheme="majorHAnsi" w:cstheme="majorHAnsi"/>
            </w:rPr>
            <w:t>3 February 2020</w:t>
          </w:r>
        </w:p>
        <w:p w:rsidR="008F1DCF" w:rsidRPr="008F1DCF" w:rsidRDefault="008F1DCF" w:rsidP="00CE55C4">
          <w:pPr>
            <w:pStyle w:val="02Date"/>
            <w:rPr>
              <w:rFonts w:asciiTheme="majorHAnsi" w:hAnsiTheme="majorHAnsi" w:cstheme="majorHAnsi"/>
            </w:rPr>
          </w:pPr>
          <w:r w:rsidRPr="008F1DCF">
            <w:rPr>
              <w:rFonts w:asciiTheme="majorHAnsi" w:hAnsiTheme="majorHAnsi" w:cstheme="majorHAnsi"/>
            </w:rPr>
            <w:t>ESMA70-156-</w:t>
          </w:r>
          <w:r>
            <w:rPr>
              <w:rFonts w:asciiTheme="majorHAnsi" w:hAnsiTheme="majorHAnsi" w:cstheme="majorHAnsi"/>
            </w:rPr>
            <w:t>2347</w:t>
          </w:r>
        </w:p>
      </w:tc>
    </w:tr>
  </w:tbl>
  <w:p w:rsidR="008F1DCF" w:rsidRDefault="008F1DCF" w:rsidP="006C5A3D">
    <w:pPr>
      <w:pStyle w:val="Kopfzeile"/>
      <w:ind w:left="6663"/>
      <w:rPr>
        <w:color w:val="FF0000"/>
        <w:sz w:val="20"/>
      </w:rPr>
    </w:pPr>
  </w:p>
  <w:p w:rsidR="008F1DCF" w:rsidRDefault="008F1DCF">
    <w:pPr>
      <w:pStyle w:val="Kopfzeile"/>
    </w:pPr>
    <w:r>
      <w:rPr>
        <w:noProof/>
        <w:lang w:val="de-DE" w:eastAsia="de-DE"/>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CF" w:rsidRDefault="008F1DCF">
    <w:pPr>
      <w:pStyle w:val="Kopfzeile"/>
    </w:pPr>
  </w:p>
  <w:p w:rsidR="008F1DCF" w:rsidRDefault="008F1DCF">
    <w:pPr>
      <w:pStyle w:val="Kopfzeile"/>
    </w:pPr>
  </w:p>
  <w:p w:rsidR="008F1DCF" w:rsidRDefault="008F1DCF">
    <w:pPr>
      <w:pStyle w:val="Kopfzeile"/>
    </w:pPr>
    <w:r>
      <w:rPr>
        <w:noProof/>
        <w:lang w:val="de-DE" w:eastAsia="de-DE"/>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5974A"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BB4ED6" w:rsidRPr="00BB4ED6">
      <w:rPr>
        <w:rFonts w:asciiTheme="majorHAnsi" w:hAnsiTheme="majorHAnsi" w:cstheme="majorHAnsi"/>
        <w:color w:val="00B050"/>
        <w:sz w:val="20"/>
      </w:rPr>
      <w:t xml:space="preserve"> ESMA PUBLIC USE</w:t>
    </w:r>
  </w:p>
  <w:p w:rsidR="00E36813" w:rsidRPr="00C3170E" w:rsidRDefault="00E36813" w:rsidP="00B50534">
    <w:pPr>
      <w:pStyle w:val="Kopfzeile"/>
      <w:jc w:val="right"/>
      <w:rPr>
        <w:color w:val="2F5496" w:themeColor="accent5" w:themeShade="BF"/>
        <w:sz w:val="20"/>
      </w:rPr>
    </w:pPr>
  </w:p>
  <w:p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attachedTemplate r:id="rId1"/>
  <w:documentProtection w:edit="readOnly" w:enforcement="1" w:cryptProviderType="rsaAES" w:cryptAlgorithmClass="hash" w:cryptAlgorithmType="typeAny" w:cryptAlgorithmSid="14" w:cryptSpinCount="100000" w:hash="rXqnKI9FcwBnzo8Z8fWZXu7QJaeq2wYJWDznODJn9VU9NfG6MxfFfZTL3acBf8ouikVrrkGlp6wfX6geR1Wgxw==" w:salt="0hd7pLOUgNVFWZ2n06YnW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37A4F"/>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1E3C"/>
    <w:rsid w:val="00372615"/>
    <w:rsid w:val="00373A3C"/>
    <w:rsid w:val="00376233"/>
    <w:rsid w:val="00380B30"/>
    <w:rsid w:val="00381784"/>
    <w:rsid w:val="00381EB0"/>
    <w:rsid w:val="00382A72"/>
    <w:rsid w:val="00382EBA"/>
    <w:rsid w:val="0038331A"/>
    <w:rsid w:val="0039135B"/>
    <w:rsid w:val="00393C98"/>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2365"/>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217"/>
    <w:rsid w:val="00450C4E"/>
    <w:rsid w:val="00455577"/>
    <w:rsid w:val="00456795"/>
    <w:rsid w:val="0046150E"/>
    <w:rsid w:val="00461CC8"/>
    <w:rsid w:val="00462B2F"/>
    <w:rsid w:val="00465EAA"/>
    <w:rsid w:val="004708CA"/>
    <w:rsid w:val="004709E7"/>
    <w:rsid w:val="00470ADE"/>
    <w:rsid w:val="00470D12"/>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0EE5"/>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96F"/>
    <w:rsid w:val="005B4ACA"/>
    <w:rsid w:val="005B6B12"/>
    <w:rsid w:val="005C19E9"/>
    <w:rsid w:val="005C2C31"/>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023"/>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683F"/>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54E7"/>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0B4A"/>
    <w:rsid w:val="0080285D"/>
    <w:rsid w:val="0081028F"/>
    <w:rsid w:val="008107D9"/>
    <w:rsid w:val="0081093B"/>
    <w:rsid w:val="008116D9"/>
    <w:rsid w:val="00811936"/>
    <w:rsid w:val="00812E64"/>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436B"/>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46AC"/>
    <w:rsid w:val="0094528B"/>
    <w:rsid w:val="00960A8B"/>
    <w:rsid w:val="00965128"/>
    <w:rsid w:val="009705C2"/>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87560"/>
    <w:rsid w:val="00A91D91"/>
    <w:rsid w:val="00A96F81"/>
    <w:rsid w:val="00A9709D"/>
    <w:rsid w:val="00AA054E"/>
    <w:rsid w:val="00AA0A10"/>
    <w:rsid w:val="00AA2094"/>
    <w:rsid w:val="00AA2947"/>
    <w:rsid w:val="00AB1894"/>
    <w:rsid w:val="00AB20FA"/>
    <w:rsid w:val="00AB22DF"/>
    <w:rsid w:val="00AB30EA"/>
    <w:rsid w:val="00AB458B"/>
    <w:rsid w:val="00AB45E4"/>
    <w:rsid w:val="00AB6157"/>
    <w:rsid w:val="00AB7542"/>
    <w:rsid w:val="00AC022D"/>
    <w:rsid w:val="00AC0629"/>
    <w:rsid w:val="00AC70C7"/>
    <w:rsid w:val="00AC79E0"/>
    <w:rsid w:val="00AD32CE"/>
    <w:rsid w:val="00AD5187"/>
    <w:rsid w:val="00AD5A1F"/>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2186"/>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4ED6"/>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5F00"/>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04CC"/>
    <w:rsid w:val="00DE314E"/>
    <w:rsid w:val="00DE4197"/>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59B"/>
    <w:rsid w:val="00FE1709"/>
    <w:rsid w:val="00FE1FC9"/>
    <w:rsid w:val="00FF32DE"/>
    <w:rsid w:val="00FF41F7"/>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37659"/>
  <w15:docId w15:val="{FCFF9BC9-A96F-48A1-B16A-E35A04AF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Standard"/>
    <w:next w:val="Standard"/>
    <w:uiPriority w:val="99"/>
    <w:rsid w:val="005C2C31"/>
    <w:pPr>
      <w:autoSpaceDE w:val="0"/>
      <w:autoSpaceDN w:val="0"/>
      <w:adjustRightInd w:val="0"/>
    </w:pPr>
    <w:rPr>
      <w:rFonts w:ascii="EUAlbertina" w:eastAsiaTheme="minorEastAsia" w:hAnsi="EUAlbertina" w:cstheme="minorBidi"/>
      <w:lang w:val="en-US" w:eastAsia="en-US"/>
    </w:rPr>
  </w:style>
  <w:style w:type="paragraph" w:customStyle="1" w:styleId="CM3">
    <w:name w:val="CM3"/>
    <w:basedOn w:val="Standard"/>
    <w:next w:val="Standard"/>
    <w:uiPriority w:val="99"/>
    <w:rsid w:val="005C2C31"/>
    <w:pPr>
      <w:autoSpaceDE w:val="0"/>
      <w:autoSpaceDN w:val="0"/>
      <w:adjustRightInd w:val="0"/>
    </w:pPr>
    <w:rPr>
      <w:rFonts w:ascii="EUAlbertina" w:eastAsiaTheme="minorEastAsia" w:hAnsi="EUAlbertin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ESMA70-156-2347</_dlc_DocId>
    <TaxCatchAll xmlns="20fbe147-bbda-4e53-b6b1-7e8bbff3fe19">
      <Value>14</Value>
      <Value>5</Value>
      <Value>572</Value>
      <Value>302</Value>
      <Value>434</Value>
    </TaxCatchAll>
    <_dlc_DocIdUrl xmlns="20fbe147-bbda-4e53-b6b1-7e8bbff3fe19">
      <Url>https://sherpa.esma.europa.eu/sites/MKT/SMK/_layouts/15/DocIdRedir.aspx?ID=ESMA70-156-2347</Url>
      <Description>ESMA70-156-2347</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19(1) - Systematic internalisers</TermName>
          <TermId xmlns="http://schemas.microsoft.com/office/infopath/2007/PartnerControls">0ca04240-fd38-4a54-8e30-5845a9089599</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2E5616C7-ED82-4658-922A-008F228F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0386E9A7-8DB4-4067-A0AC-7D334875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9</Pages>
  <Words>1717</Words>
  <Characters>10819</Characters>
  <Application>Microsoft Office Word</Application>
  <DocSecurity>8</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Nikolaus Wilke</cp:lastModifiedBy>
  <cp:revision>19</cp:revision>
  <cp:lastPrinted>2017-07-24T14:47:00Z</cp:lastPrinted>
  <dcterms:created xsi:type="dcterms:W3CDTF">2020-02-03T15:01:00Z</dcterms:created>
  <dcterms:modified xsi:type="dcterms:W3CDTF">2020-03-18T15:17:00Z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ce1b4f33-2d5c-4ad5-ab9a-62a0cd5bdb8b</vt:lpwstr>
  </property>
  <property fmtid="{D5CDD505-2E9C-101B-9397-08002B2CF9AE}" pid="6" name="DocumentType">
    <vt:lpwstr>302;#Feedback Statement (includes responses)|00bc750a-87e5-4a0d-9385-52a7c69693e1</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eDOCS AutoSave">
    <vt:lpwstr>20200312112214045</vt:lpwstr>
  </property>
</Properties>
</file>