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7EDDAB4D" w:rsidR="00C2682A" w:rsidRPr="00AB6D88" w:rsidRDefault="00B67166" w:rsidP="00FA5524">
                <w:pPr>
                  <w:rPr>
                    <w:rStyle w:val="PlaceholderText"/>
                    <w:rFonts w:cs="Arial"/>
                  </w:rPr>
                </w:pPr>
                <w:r>
                  <w:rPr>
                    <w:rStyle w:val="PlaceholderText"/>
                    <w:rFonts w:cs="Arial"/>
                  </w:rPr>
                  <w:t>London Stock Exchange Group plc</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75D81B1" w:rsidR="00C2682A" w:rsidRPr="00AB6D88" w:rsidRDefault="004E12A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67166">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252D7C2E" w:rsidR="00C2682A" w:rsidRPr="00AB6D88" w:rsidRDefault="00B67166"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53324759" w14:textId="457ED1CF" w:rsidR="00B67166" w:rsidRPr="00D13DAD" w:rsidRDefault="00B67166" w:rsidP="00B67166">
      <w:pPr>
        <w:rPr>
          <w:rFonts w:cs="Arial"/>
        </w:rPr>
      </w:pPr>
      <w:permStart w:id="1454525006" w:edGrp="everyone"/>
      <w:r w:rsidRPr="00D13DAD">
        <w:rPr>
          <w:rFonts w:cs="Arial"/>
        </w:rPr>
        <w:t xml:space="preserve">London Stock Exchange Group (LSEG) </w:t>
      </w:r>
      <w:r>
        <w:rPr>
          <w:rFonts w:cs="Arial"/>
        </w:rPr>
        <w:t>welcomes</w:t>
      </w:r>
      <w:r w:rsidRPr="00D13DAD">
        <w:rPr>
          <w:rFonts w:cs="Arial"/>
        </w:rPr>
        <w:t xml:space="preserve"> the opportunity to respond to the ESMA consultation paper (CP) on MiFID II/ </w:t>
      </w:r>
      <w:proofErr w:type="spellStart"/>
      <w:r w:rsidRPr="00D13DAD">
        <w:rPr>
          <w:rFonts w:cs="Arial"/>
        </w:rPr>
        <w:t>MiFIR</w:t>
      </w:r>
      <w:proofErr w:type="spellEnd"/>
      <w:r w:rsidRPr="00D13DAD">
        <w:rPr>
          <w:rFonts w:cs="Arial"/>
        </w:rPr>
        <w:t xml:space="preserve"> review report on the transparency regime for equity and equity-like instruments, the double volume cap mechanism and the trading obligations for </w:t>
      </w:r>
      <w:proofErr w:type="spellStart"/>
      <w:r w:rsidRPr="00D13DAD">
        <w:rPr>
          <w:rFonts w:cs="Arial"/>
        </w:rPr>
        <w:t>shares.Please</w:t>
      </w:r>
      <w:proofErr w:type="spellEnd"/>
      <w:r w:rsidRPr="00D13DAD">
        <w:rPr>
          <w:rFonts w:cs="Arial"/>
        </w:rPr>
        <w:t xml:space="preserve"> find below our introductory remarks, summarising the input further detailed under the relevant questions.</w:t>
      </w:r>
    </w:p>
    <w:p w14:paraId="41287252" w14:textId="20D9E8D8" w:rsidR="00B67166" w:rsidRPr="00B67166" w:rsidRDefault="00B67166" w:rsidP="00B67166">
      <w:pPr>
        <w:pStyle w:val="ListParagraph"/>
        <w:numPr>
          <w:ilvl w:val="0"/>
          <w:numId w:val="37"/>
        </w:numPr>
        <w:spacing w:after="160"/>
        <w:rPr>
          <w:rFonts w:cs="Arial"/>
        </w:rPr>
      </w:pPr>
      <w:r w:rsidRPr="00D13DAD">
        <w:rPr>
          <w:rFonts w:cs="Arial"/>
          <w:b/>
          <w:bCs/>
        </w:rPr>
        <w:t>Scope</w:t>
      </w:r>
      <w:r>
        <w:rPr>
          <w:rFonts w:cs="Arial"/>
          <w:b/>
          <w:bCs/>
        </w:rPr>
        <w:t xml:space="preserve"> and the overall compound impact of the proposed changes</w:t>
      </w:r>
      <w:r w:rsidRPr="00D13DAD">
        <w:rPr>
          <w:rFonts w:cs="Arial"/>
        </w:rPr>
        <w:t xml:space="preserve">. As an operator of </w:t>
      </w:r>
      <w:r>
        <w:rPr>
          <w:rFonts w:cs="Arial"/>
        </w:rPr>
        <w:t xml:space="preserve">regulated markets </w:t>
      </w:r>
      <w:r w:rsidRPr="00D13DAD">
        <w:rPr>
          <w:rFonts w:cs="Arial"/>
        </w:rPr>
        <w:t>(</w:t>
      </w:r>
      <w:r>
        <w:rPr>
          <w:rFonts w:cs="Arial"/>
        </w:rPr>
        <w:t>RMs</w:t>
      </w:r>
      <w:r w:rsidRPr="00D13DAD">
        <w:rPr>
          <w:rFonts w:cs="Arial"/>
        </w:rPr>
        <w:t xml:space="preserve">), multilateral trading facilities (MTFs) and other market infrastructures across EU-27 and in the UK, we support the overall key objectives of MiFID, such as transparency </w:t>
      </w:r>
      <w:r>
        <w:rPr>
          <w:rFonts w:cs="Arial"/>
        </w:rPr>
        <w:t>which is</w:t>
      </w:r>
      <w:r w:rsidRPr="00D13DAD">
        <w:rPr>
          <w:rFonts w:cs="Arial"/>
        </w:rPr>
        <w:t xml:space="preserve"> key to fair price formation and investor protection. </w:t>
      </w:r>
      <w:r>
        <w:rPr>
          <w:rFonts w:cs="Arial"/>
        </w:rPr>
        <w:t>We welcome ESMA’s launch of this debate and would like to stress that introduction of several, even smaller, changes in the market structure simultaneously should be assessed against the overall compound impact they are likely to have, in order to avoid any undue disruptions.</w:t>
      </w:r>
    </w:p>
    <w:p w14:paraId="3FCEDD65" w14:textId="2D9433EC" w:rsidR="00B67166" w:rsidRPr="00B67166" w:rsidRDefault="00B67166" w:rsidP="00B67166">
      <w:pPr>
        <w:pStyle w:val="ListParagraph"/>
        <w:numPr>
          <w:ilvl w:val="0"/>
          <w:numId w:val="37"/>
        </w:numPr>
        <w:spacing w:after="160"/>
        <w:rPr>
          <w:rFonts w:cs="Arial"/>
        </w:rPr>
      </w:pPr>
      <w:r w:rsidRPr="00D13DAD">
        <w:rPr>
          <w:rFonts w:cs="Arial"/>
          <w:b/>
          <w:bCs/>
        </w:rPr>
        <w:t>Policy objectives</w:t>
      </w:r>
      <w:r>
        <w:rPr>
          <w:rFonts w:cs="Arial"/>
          <w:b/>
          <w:bCs/>
        </w:rPr>
        <w:t xml:space="preserve"> with emphasis on best execution</w:t>
      </w:r>
      <w:r w:rsidRPr="00D13DAD">
        <w:rPr>
          <w:rFonts w:cs="Arial"/>
          <w:b/>
          <w:bCs/>
        </w:rPr>
        <w:t xml:space="preserve">. </w:t>
      </w:r>
      <w:r>
        <w:rPr>
          <w:rFonts w:cs="Arial"/>
        </w:rPr>
        <w:t>In addition to transparency</w:t>
      </w:r>
      <w:r w:rsidRPr="00D13DAD">
        <w:rPr>
          <w:rFonts w:cs="Arial"/>
        </w:rPr>
        <w:t>, MiFID is underpinned by other key objectives as well, such as best execution. Balancing these key objectives will allow healthy capital markets to flourish, as outlined in the Capital Markets Union (CMU)</w:t>
      </w:r>
      <w:r>
        <w:rPr>
          <w:rFonts w:cs="Arial"/>
        </w:rPr>
        <w:t xml:space="preserve"> initiative</w:t>
      </w:r>
      <w:r w:rsidRPr="00D13DAD">
        <w:rPr>
          <w:rFonts w:cs="Arial"/>
        </w:rPr>
        <w:t>, and therefore we believe that different level</w:t>
      </w:r>
      <w:r>
        <w:rPr>
          <w:rFonts w:cs="Arial"/>
        </w:rPr>
        <w:t>s</w:t>
      </w:r>
      <w:r w:rsidRPr="00D13DAD">
        <w:rPr>
          <w:rFonts w:cs="Arial"/>
        </w:rPr>
        <w:t xml:space="preserve"> of transparency </w:t>
      </w:r>
      <w:r>
        <w:rPr>
          <w:rFonts w:cs="Arial"/>
        </w:rPr>
        <w:t>would be</w:t>
      </w:r>
      <w:r w:rsidRPr="00D13DAD">
        <w:rPr>
          <w:rFonts w:cs="Arial"/>
        </w:rPr>
        <w:t xml:space="preserve"> appropriate for different instruments or types of trading</w:t>
      </w:r>
      <w:r>
        <w:rPr>
          <w:rFonts w:cs="Arial"/>
        </w:rPr>
        <w:t xml:space="preserve"> functionality that are delivering best execution</w:t>
      </w:r>
      <w:r w:rsidRPr="00D13DAD">
        <w:rPr>
          <w:rFonts w:cs="Arial"/>
        </w:rPr>
        <w:t xml:space="preserve">. </w:t>
      </w:r>
    </w:p>
    <w:p w14:paraId="520E9B27" w14:textId="0F2E6E88" w:rsidR="00B67166" w:rsidRPr="00B67166" w:rsidRDefault="00B67166" w:rsidP="00B67166">
      <w:pPr>
        <w:pStyle w:val="ListParagraph"/>
        <w:numPr>
          <w:ilvl w:val="0"/>
          <w:numId w:val="37"/>
        </w:numPr>
        <w:spacing w:after="160"/>
        <w:rPr>
          <w:rFonts w:cs="Arial"/>
        </w:rPr>
      </w:pPr>
      <w:r w:rsidRPr="00D13DAD">
        <w:rPr>
          <w:rFonts w:cs="Arial"/>
          <w:b/>
          <w:bCs/>
        </w:rPr>
        <w:t>Waivers.</w:t>
      </w:r>
      <w:r w:rsidRPr="00D13DAD">
        <w:rPr>
          <w:rFonts w:cs="Arial"/>
        </w:rPr>
        <w:t xml:space="preserve"> </w:t>
      </w:r>
      <w:r>
        <w:rPr>
          <w:rFonts w:cs="Arial"/>
        </w:rPr>
        <w:t>W</w:t>
      </w:r>
      <w:r w:rsidRPr="00D13DAD">
        <w:rPr>
          <w:rFonts w:cs="Arial"/>
        </w:rPr>
        <w:t xml:space="preserve">e believe that </w:t>
      </w:r>
      <w:r>
        <w:rPr>
          <w:rFonts w:cs="Arial"/>
        </w:rPr>
        <w:t xml:space="preserve">the </w:t>
      </w:r>
      <w:r w:rsidRPr="00D13DAD">
        <w:rPr>
          <w:rFonts w:cs="Arial"/>
        </w:rPr>
        <w:t>retention of the waiver mechanisms is an important element in maintaining and further developing the European capital markets.</w:t>
      </w:r>
      <w:r>
        <w:rPr>
          <w:rFonts w:cs="Arial"/>
        </w:rPr>
        <w:t xml:space="preserve"> M</w:t>
      </w:r>
      <w:r w:rsidRPr="00E2486A">
        <w:rPr>
          <w:rFonts w:cs="Arial"/>
        </w:rPr>
        <w:t xml:space="preserve">arket liquidity </w:t>
      </w:r>
      <w:r>
        <w:rPr>
          <w:rFonts w:cs="Arial"/>
        </w:rPr>
        <w:t>stems from</w:t>
      </w:r>
      <w:r w:rsidRPr="00E2486A">
        <w:rPr>
          <w:rFonts w:cs="Arial"/>
        </w:rPr>
        <w:t xml:space="preserve"> an ecosystem made of different venues of execution, and trading waiver</w:t>
      </w:r>
      <w:r>
        <w:rPr>
          <w:rFonts w:cs="Arial"/>
        </w:rPr>
        <w:t>s</w:t>
      </w:r>
      <w:r w:rsidRPr="00E2486A">
        <w:rPr>
          <w:rFonts w:cs="Arial"/>
        </w:rPr>
        <w:t xml:space="preserve"> </w:t>
      </w:r>
      <w:r>
        <w:rPr>
          <w:rFonts w:cs="Arial"/>
        </w:rPr>
        <w:t>are therefore</w:t>
      </w:r>
      <w:r w:rsidRPr="00E2486A">
        <w:rPr>
          <w:rFonts w:cs="Arial"/>
        </w:rPr>
        <w:t xml:space="preserve"> complementary to lit trading</w:t>
      </w:r>
      <w:r>
        <w:rPr>
          <w:rFonts w:cs="Arial"/>
        </w:rPr>
        <w:t xml:space="preserve">, </w:t>
      </w:r>
      <w:r w:rsidRPr="00E2486A">
        <w:rPr>
          <w:rFonts w:cs="Arial"/>
        </w:rPr>
        <w:t>deliver</w:t>
      </w:r>
      <w:r>
        <w:rPr>
          <w:rFonts w:cs="Arial"/>
        </w:rPr>
        <w:t>ing</w:t>
      </w:r>
      <w:r w:rsidRPr="00E2486A">
        <w:rPr>
          <w:rFonts w:cs="Arial"/>
        </w:rPr>
        <w:t xml:space="preserve"> different execution outcomes according to investors needs and in line with best execution requirements. It should not be assumed that liquidity will remain constant in any market structure design; consequently, it cannot be assumed that removing the</w:t>
      </w:r>
      <w:r>
        <w:rPr>
          <w:rFonts w:cs="Arial"/>
        </w:rPr>
        <w:t xml:space="preserve"> reference price (RPW) and negotiated trade (NTW)</w:t>
      </w:r>
      <w:r w:rsidRPr="00E2486A">
        <w:rPr>
          <w:rFonts w:cs="Arial"/>
        </w:rPr>
        <w:t>waivers would automatically lead to more liquidity being traded on lit markets</w:t>
      </w:r>
      <w:r>
        <w:rPr>
          <w:rFonts w:cs="Arial"/>
        </w:rPr>
        <w:t>.</w:t>
      </w:r>
      <w:r w:rsidRPr="00E2486A">
        <w:rPr>
          <w:rFonts w:cs="Arial"/>
        </w:rPr>
        <w:t xml:space="preserve"> </w:t>
      </w:r>
      <w:r>
        <w:rPr>
          <w:rFonts w:cs="Arial"/>
        </w:rPr>
        <w:t>In addition, we believe that the double-volume cap (DVC) regime could be operationally simplified.</w:t>
      </w:r>
    </w:p>
    <w:p w14:paraId="157D551F" w14:textId="769B2841" w:rsidR="00B67166" w:rsidRPr="00B67166" w:rsidRDefault="00B67166" w:rsidP="00B67166">
      <w:pPr>
        <w:pStyle w:val="ListParagraph"/>
        <w:numPr>
          <w:ilvl w:val="0"/>
          <w:numId w:val="37"/>
        </w:numPr>
        <w:spacing w:after="160"/>
        <w:rPr>
          <w:rFonts w:cs="Arial"/>
          <w:b/>
          <w:bCs/>
        </w:rPr>
      </w:pPr>
      <w:r w:rsidRPr="00D13DAD">
        <w:rPr>
          <w:rFonts w:cs="Arial"/>
          <w:b/>
          <w:bCs/>
        </w:rPr>
        <w:t>SIs</w:t>
      </w:r>
      <w:r w:rsidRPr="00D13DAD">
        <w:rPr>
          <w:rFonts w:cs="Arial"/>
        </w:rPr>
        <w:t xml:space="preserve">. </w:t>
      </w:r>
      <w:r w:rsidRPr="00B0061F">
        <w:rPr>
          <w:rFonts w:cs="Arial"/>
        </w:rPr>
        <w:t xml:space="preserve">We believe that </w:t>
      </w:r>
      <w:r>
        <w:rPr>
          <w:rFonts w:cs="Arial"/>
        </w:rPr>
        <w:t xml:space="preserve">it is key to ensure </w:t>
      </w:r>
      <w:r w:rsidRPr="00D13DAD">
        <w:rPr>
          <w:rFonts w:cs="Arial"/>
        </w:rPr>
        <w:t>a level playing field between different execution channels</w:t>
      </w:r>
      <w:r>
        <w:rPr>
          <w:rFonts w:cs="Arial"/>
        </w:rPr>
        <w:t xml:space="preserve">. In this context, SIs </w:t>
      </w:r>
      <w:r w:rsidRPr="00D13DAD">
        <w:rPr>
          <w:rFonts w:cs="Arial"/>
        </w:rPr>
        <w:t xml:space="preserve">pre-trade and post-trade transparency </w:t>
      </w:r>
      <w:r>
        <w:rPr>
          <w:rFonts w:cs="Arial"/>
        </w:rPr>
        <w:t xml:space="preserve">requirements </w:t>
      </w:r>
      <w:r w:rsidRPr="00D13DAD">
        <w:rPr>
          <w:rFonts w:cs="Arial"/>
        </w:rPr>
        <w:t xml:space="preserve">should be maintained </w:t>
      </w:r>
      <w:r>
        <w:rPr>
          <w:rFonts w:cs="Arial"/>
        </w:rPr>
        <w:t xml:space="preserve">to ensure </w:t>
      </w:r>
      <w:r w:rsidRPr="00D13DAD">
        <w:rPr>
          <w:rFonts w:cs="Arial"/>
        </w:rPr>
        <w:t>and reinforce</w:t>
      </w:r>
      <w:r>
        <w:rPr>
          <w:rFonts w:cs="Arial"/>
        </w:rPr>
        <w:t xml:space="preserve"> and their capability to effectively deliver best execution also in terms of price should be </w:t>
      </w:r>
      <w:proofErr w:type="gramStart"/>
      <w:r>
        <w:rPr>
          <w:rFonts w:cs="Arial"/>
        </w:rPr>
        <w:t>taken into account</w:t>
      </w:r>
      <w:proofErr w:type="gramEnd"/>
      <w:r w:rsidRPr="00D13DAD">
        <w:rPr>
          <w:rFonts w:cs="Arial"/>
        </w:rPr>
        <w:t>.</w:t>
      </w:r>
    </w:p>
    <w:p w14:paraId="56C88CA8" w14:textId="656731B0" w:rsidR="00B67166" w:rsidRPr="00B67166" w:rsidRDefault="00B67166" w:rsidP="00B67166">
      <w:pPr>
        <w:pStyle w:val="ListParagraph"/>
        <w:numPr>
          <w:ilvl w:val="0"/>
          <w:numId w:val="37"/>
        </w:numPr>
        <w:spacing w:after="160"/>
        <w:rPr>
          <w:rFonts w:cs="Arial"/>
          <w:b/>
          <w:bCs/>
        </w:rPr>
      </w:pPr>
      <w:r w:rsidRPr="007E1748">
        <w:rPr>
          <w:rFonts w:cs="Arial"/>
          <w:b/>
          <w:bCs/>
        </w:rPr>
        <w:t>OTC trading</w:t>
      </w:r>
      <w:r>
        <w:rPr>
          <w:rFonts w:cs="Arial"/>
        </w:rPr>
        <w:t>. T</w:t>
      </w:r>
      <w:r w:rsidRPr="00C20AD5">
        <w:rPr>
          <w:rFonts w:cs="Arial"/>
        </w:rPr>
        <w:t xml:space="preserve">he significant amount of </w:t>
      </w:r>
      <w:r>
        <w:rPr>
          <w:rFonts w:cs="Arial"/>
        </w:rPr>
        <w:t xml:space="preserve">“pure </w:t>
      </w:r>
      <w:r w:rsidRPr="00C20AD5">
        <w:rPr>
          <w:rFonts w:cs="Arial"/>
        </w:rPr>
        <w:t>OTC</w:t>
      </w:r>
      <w:r>
        <w:rPr>
          <w:rFonts w:cs="Arial"/>
        </w:rPr>
        <w:t xml:space="preserve">” </w:t>
      </w:r>
      <w:r w:rsidRPr="00C20AD5">
        <w:rPr>
          <w:rFonts w:cs="Arial"/>
        </w:rPr>
        <w:t xml:space="preserve">trading </w:t>
      </w:r>
      <w:r>
        <w:rPr>
          <w:rFonts w:cs="Arial"/>
        </w:rPr>
        <w:t xml:space="preserve">in shares is highly surprising, particularly given this should only be undertaken in </w:t>
      </w:r>
      <w:r w:rsidRPr="00C20AD5">
        <w:rPr>
          <w:rFonts w:cs="Arial"/>
        </w:rPr>
        <w:t>“non-systematic, ad-hoc, irregular and infrequent</w:t>
      </w:r>
      <w:r>
        <w:rPr>
          <w:rFonts w:cs="Arial"/>
        </w:rPr>
        <w:t xml:space="preserve">” cases.  It </w:t>
      </w:r>
      <w:r w:rsidRPr="00C20AD5">
        <w:rPr>
          <w:rFonts w:cs="Arial"/>
        </w:rPr>
        <w:t>rang</w:t>
      </w:r>
      <w:r>
        <w:rPr>
          <w:rFonts w:cs="Arial"/>
        </w:rPr>
        <w:t>es</w:t>
      </w:r>
      <w:r w:rsidRPr="00C20AD5">
        <w:rPr>
          <w:rFonts w:cs="Arial"/>
        </w:rPr>
        <w:t xml:space="preserve"> from 23-39% of overall EU trading in shares</w:t>
      </w:r>
      <w:r>
        <w:rPr>
          <w:rFonts w:cs="Arial"/>
        </w:rPr>
        <w:t xml:space="preserve"> according to ESMA’s data set.  Addressing this would be a </w:t>
      </w:r>
      <w:r w:rsidRPr="007E1748">
        <w:rPr>
          <w:rFonts w:cs="Arial"/>
        </w:rPr>
        <w:t>simpler and lower</w:t>
      </w:r>
      <w:r>
        <w:rPr>
          <w:rFonts w:cs="Arial"/>
        </w:rPr>
        <w:t>-</w:t>
      </w:r>
      <w:r w:rsidRPr="007E1748">
        <w:rPr>
          <w:rFonts w:cs="Arial"/>
        </w:rPr>
        <w:t>risk way of encouraging more activity onto lit order books than seeking to amend the waiver regime.</w:t>
      </w:r>
      <w:r>
        <w:t xml:space="preserve">  </w:t>
      </w:r>
      <w:r w:rsidRPr="00C20AD5">
        <w:rPr>
          <w:rFonts w:cs="Arial"/>
        </w:rPr>
        <w:t xml:space="preserve">  </w:t>
      </w:r>
    </w:p>
    <w:p w14:paraId="66C8F48D" w14:textId="7F8781DA" w:rsidR="00B67166" w:rsidRDefault="00B67166" w:rsidP="00B67166">
      <w:pPr>
        <w:pStyle w:val="ListParagraph"/>
        <w:numPr>
          <w:ilvl w:val="0"/>
          <w:numId w:val="37"/>
        </w:numPr>
      </w:pPr>
      <w:r w:rsidRPr="003B3BD3">
        <w:rPr>
          <w:rFonts w:cs="Arial"/>
          <w:b/>
          <w:bCs/>
        </w:rPr>
        <w:t>Share Trading Obligation</w:t>
      </w:r>
      <w:r w:rsidRPr="007E1748">
        <w:rPr>
          <w:rFonts w:cs="Arial"/>
        </w:rPr>
        <w:t>.</w:t>
      </w:r>
      <w:r w:rsidRPr="003B3BD3">
        <w:rPr>
          <w:rFonts w:cs="Arial"/>
        </w:rPr>
        <w:t xml:space="preserve"> We agree that the scope of the STO needs to be reviewed. We continue to believe that EU’s equivalence determination of the UK would be the least disruptive solution for the market participants, including from EU-27.</w:t>
      </w:r>
    </w:p>
    <w:permEnd w:id="1454525006"/>
    <w:p w14:paraId="6A22288E" w14:textId="74A97879" w:rsidR="00F87897" w:rsidRDefault="00F87897" w:rsidP="00F87897"/>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331A040A" w14:textId="71E179DE" w:rsidR="00B67166" w:rsidRDefault="00B67166" w:rsidP="00B67166">
      <w:permStart w:id="1955866996" w:edGrp="everyone"/>
      <w:r>
        <w:t xml:space="preserve">We support the retention of the waivers as they fulfil an important function in the market, and they are largely complementary to lit trading. No market failure has been identified that would warrant their removal. RP and NT waivers trading </w:t>
      </w:r>
      <w:proofErr w:type="gramStart"/>
      <w:r>
        <w:t>is</w:t>
      </w:r>
      <w:proofErr w:type="gramEnd"/>
      <w:r>
        <w:t xml:space="preserve"> part of the current microstructure in financial markets, which allows investment firms to reduce costs of trading, achieve best execution and ultimately benefit end-investors by executing at the midpoint of the best available transparent bid and offer or negotiating a trade price bilaterally. MIFID II has delivered choice to the end investor which has been beneficial and should be retained and appropriately balanced with the need to maintain a strong price formation process, </w:t>
      </w:r>
      <w:proofErr w:type="gramStart"/>
      <w:r>
        <w:t>in particular when</w:t>
      </w:r>
      <w:proofErr w:type="gramEnd"/>
      <w:r>
        <w:t xml:space="preserve"> small trades are executed within such waivers. </w:t>
      </w:r>
    </w:p>
    <w:p w14:paraId="720D320E" w14:textId="77777777" w:rsidR="00B67166" w:rsidRDefault="00B67166" w:rsidP="00B67166"/>
    <w:p w14:paraId="64EAFF04" w14:textId="77777777" w:rsidR="00B67166" w:rsidRDefault="00B67166" w:rsidP="00B67166">
      <w:r>
        <w:t xml:space="preserve">We would also note that in line with </w:t>
      </w:r>
      <w:proofErr w:type="spellStart"/>
      <w:r>
        <w:t>MIFiD</w:t>
      </w:r>
      <w:proofErr w:type="spellEnd"/>
      <w:r>
        <w:t xml:space="preserve"> II requirements, trades are time-stamped to a precision of one microsecond, with a maximum drift of 100 microseconds, and are then trade-reported in real-time. The precise and instant nature of post-trade reporting contributes to pre-trade transparency for the next trade. This applies whether the orders originate in lit order books or non-display order books. It should therefore be recognised that even if trades occur under a waiver, the immediate post-trade transparency delivered (assuming no deferral is in operation, which is the case for the majority) the market derives significant information benefits that are relevant and contribute to the price formation process of the next trade.  </w:t>
      </w:r>
    </w:p>
    <w:p w14:paraId="0819BCFE" w14:textId="67E55B43" w:rsidR="00B67166" w:rsidRDefault="00B67166" w:rsidP="00B67166">
      <w:r>
        <w:t xml:space="preserve">   </w:t>
      </w:r>
    </w:p>
    <w:p w14:paraId="5E740914" w14:textId="77777777" w:rsidR="00B67166" w:rsidRDefault="00B67166" w:rsidP="00B67166">
      <w:r>
        <w:t>Based on ESMA’s assessment and consistent with our views, there has been significant growth in the use of the Large in scale (‘LIS’) waiver. In contrast, NT and RP waivers appear to have become, in comparative terms, less used over time. As the trend towards LIS waiver trading and away from NT and RP trading appears to be occurring anyway, we do not see the regulatory imperative to remove NT and RP waiver trading, particularly as there is no proven market failure in this space. we believe that the removal of NT and RP waivers would be unlikely to result in this flow migrating wholesale to pre-trade transparent order books but would instead more likely migrate to alternative execution channels with lower regulatory requirements. This applies not only to equites but also to ETFs.</w:t>
      </w:r>
    </w:p>
    <w:p w14:paraId="167DC454" w14:textId="77777777" w:rsidR="00B67166" w:rsidRDefault="00B67166" w:rsidP="00B67166"/>
    <w:p w14:paraId="248D35EF" w14:textId="53524715" w:rsidR="00B67166" w:rsidRDefault="00B67166" w:rsidP="00B67166">
      <w:r>
        <w:t>Examples:</w:t>
      </w:r>
    </w:p>
    <w:p w14:paraId="585ADA5B" w14:textId="05538C77" w:rsidR="00B67166" w:rsidRDefault="00B67166" w:rsidP="00B67166">
      <w:r>
        <w:t>•</w:t>
      </w:r>
      <w:r>
        <w:tab/>
        <w:t xml:space="preserve">Turquoise Global Holdings Limited operates an MTF within LSEG, which operates an order book making use of the RP waiver. The average trade size YTD on Turquoise Plato™ is €18.4k. Using data from Big XYT, in the CAC 40 the spread at €25k depth was 4.17 bps in January 2020 on the primary exchange and nearly double that on the MTFs. Being able to trade using the RP waiver at the midpoint provides significant cost savings to end investors and limits the market impact, particularly when orders are larger than available pre-trade transparent size. </w:t>
      </w:r>
    </w:p>
    <w:p w14:paraId="3077A84E" w14:textId="77777777" w:rsidR="00B67166" w:rsidRDefault="00B67166" w:rsidP="00B67166"/>
    <w:p w14:paraId="4A4CF699" w14:textId="79808A9B" w:rsidR="00A8728B" w:rsidRDefault="00B67166" w:rsidP="00A8728B">
      <w:r>
        <w:t>•</w:t>
      </w:r>
      <w:r>
        <w:tab/>
        <w:t>On the Turquoise Plato Block Discovery™ service, which makes use of a combination of waivers, in February 2020 the average spread saving by trading at mid was 5.45 basis points (calculating the difference between the mid and the top of the book for every trade). The largest value saved in one trade was €8,983. This simple calculation significantly underestimates the benefits and savings by being able to trade at the midpoint of the Primary Market Price because it does not take into account market impact, availability of liquidity at the top of book, or costs of working child orders over a prolonged period of time compared to a single trade at midpoint. In any case this example serves to underline the benefit which end investors, including asset managers and pension funds, receive by being able to trade at midpoint.</w:t>
      </w:r>
      <w:permEnd w:id="1955866996"/>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lastRenderedPageBreak/>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3F31046E" w14:textId="5325DEC6" w:rsidR="00B67166" w:rsidRDefault="00B67166" w:rsidP="00B67166">
      <w:permStart w:id="1066216518" w:edGrp="everyone"/>
      <w:r>
        <w:t xml:space="preserve">Changing the LIS waiver thresholds for ETFs could result in trading migrating away from order books to SIs and RFQs further fragmenting liquidity. Participants may be deterred from using hidden orders which are a good source of liquidity and price improvement on central limit order books. </w:t>
      </w:r>
    </w:p>
    <w:p w14:paraId="6EE0343C" w14:textId="77777777" w:rsidR="00B67166" w:rsidRDefault="00B67166" w:rsidP="00B67166"/>
    <w:p w14:paraId="5683D57D" w14:textId="0559C81F" w:rsidR="00B67166" w:rsidRDefault="00B67166" w:rsidP="00B67166">
      <w:r>
        <w:t>We estimate that most of the LIS waiver usage on venue is from RFQ trading. It is worth noting that the ESMA analysis (e.g. Figure 14) does not distinguish between central limit order book and RFQ trading waiver usage. Around 59% of all ETF trading is on-venue according to Figure 10, and of that we estimate around 65% is RFQ. We feel the proposed change will have a marginal benefit in terms of transparency but will be significantly offset by the detrimental negative impact of liquidity on central limit order books which currently benefit from passive trading participants resting LIS hidden orders in sizes of €1m-€5m. Around 10% of total LSE ETP order book value traded is from hidden liquidity.</w:t>
      </w:r>
    </w:p>
    <w:p w14:paraId="605EFF03" w14:textId="77777777" w:rsidR="00B67166" w:rsidRDefault="00B67166" w:rsidP="00B67166"/>
    <w:p w14:paraId="108232FE" w14:textId="1AA1FAF9" w:rsidR="00A8728B" w:rsidRDefault="00B67166" w:rsidP="00A8728B">
      <w:r>
        <w:t xml:space="preserve">We note ETFs are currently characterised by large transactions and mainly traded on RFQ, although we are observing the development of ETF specific trading algorithms to support the rise of passive trading, breaking down large parent orders which are usually traded only via RFQ on risk with a market maker. Amending the LIS waiver threshold for ETFs could stymie this positive but nascent market development.  </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3EACBAE4" w14:textId="77777777" w:rsidR="00B67166" w:rsidRDefault="00B67166" w:rsidP="00B67166">
      <w:permStart w:id="473446270" w:edGrp="everyone"/>
      <w:r>
        <w:t xml:space="preserve">The scope of application of the DVC mechanism should not be extended to NT for illiquid instruments as it could be detrimental for the trading of illiquid shares. A comparatively small amount of trading occurs </w:t>
      </w:r>
      <w:proofErr w:type="gramStart"/>
      <w:r>
        <w:t>through the use of</w:t>
      </w:r>
      <w:proofErr w:type="gramEnd"/>
      <w:r>
        <w:t xml:space="preserve"> the NT waiver in illiquid instruments in any event. </w:t>
      </w:r>
    </w:p>
    <w:p w14:paraId="6429435A" w14:textId="30155D65" w:rsidR="00B67166" w:rsidRDefault="00B67166" w:rsidP="00B67166">
      <w:r>
        <w:t xml:space="preserve">  </w:t>
      </w:r>
    </w:p>
    <w:p w14:paraId="1E09CC68" w14:textId="038A9672" w:rsidR="00B67166" w:rsidRDefault="00B67166" w:rsidP="00B67166">
      <w:r>
        <w:t xml:space="preserve">Considering only on-book volume on LSE, negotiated trades reported to LSE, and OTC and SI reported trades (admittedly this is only part of the whole market), on average “OILQ” trades account for less than 1% of trading while the average trade size was 13x times larger than the on book average trade side.  This suggests that participants find the NT waiver a useful mechanism for achieving above average size executions, albeit still in limited cases. </w:t>
      </w:r>
      <w:proofErr w:type="gramStart"/>
      <w:r>
        <w:t>In light of</w:t>
      </w:r>
      <w:proofErr w:type="gramEnd"/>
      <w:r>
        <w:t xml:space="preserve"> the low amount of negotiated trading in illiquid instruments, we do not feel that the proposed change would significantly improve on venue transparency or market quality in illiquid shares. At the same time, however, the proposed change would remove an important means of achieving best execution with minimal market impact, a notable point when there is limited liquidity on pre-trade transparent order books in less-liquid securities.</w:t>
      </w:r>
    </w:p>
    <w:p w14:paraId="76BA502E" w14:textId="77777777" w:rsidR="00B67166" w:rsidRDefault="00B67166" w:rsidP="00B67166"/>
    <w:p w14:paraId="27C12B76" w14:textId="78F37D28" w:rsidR="002E1760" w:rsidRDefault="00B67166" w:rsidP="002E1760">
      <w:r>
        <w:t>While we believe the expansion of the DVC scope is neither necessary nor desirable, we do acknowledge the operational benefit of simplifying the DVC process i.e. there would no longer be a need to distinguish between liquid and illiquid stocks for and the purposes of DVC implementation.</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4684BBB3" w14:textId="14E6AC12" w:rsidR="00B67166" w:rsidRDefault="00B67166" w:rsidP="00B67166">
      <w:permStart w:id="1101743476" w:edGrp="everyone"/>
      <w:r>
        <w:t xml:space="preserve">Trading venues should be allowed to apply a combination of waivers. The current usage of pre-trade waivers allows a greater variety and number of trading participants to interact in the same orderbook, which </w:t>
      </w:r>
      <w:r>
        <w:lastRenderedPageBreak/>
        <w:t xml:space="preserve">helps increase liquidity and drive better execution outcomes to the ultimate benefit of the end investor. If combinations of waivers were to no longer be allowed, this could lead to a situation where trading venues setup two distinct orderbooks (e.g. one for RPW and another for LIS, or one for NTW and one for LIS), leading to increased fragmentation and complexity, with a greater number of small liquidity pools, and lower liquidity overall to the detriment of the end investor.  In our experience, the current functioning of combination of waivers is seen as being beneficial and should be retained. </w:t>
      </w:r>
    </w:p>
    <w:p w14:paraId="7063DE7E" w14:textId="77777777" w:rsidR="00B67166" w:rsidRDefault="00B67166" w:rsidP="00B67166"/>
    <w:p w14:paraId="6D21A71B" w14:textId="6B0E4F82" w:rsidR="00B67166" w:rsidRDefault="00B67166" w:rsidP="00B67166">
      <w:r>
        <w:t xml:space="preserve">We would like to clarify that systems which allow a combination of waivers, such as RPW and LIS, do not provide preferential regulatory treatment in terms of being captured by the DVC. For example, if a sub-LIS order matches with an above LIS order in the Turquoise </w:t>
      </w:r>
      <w:proofErr w:type="spellStart"/>
      <w:r>
        <w:t>PlatoTM</w:t>
      </w:r>
      <w:proofErr w:type="spellEnd"/>
      <w:r>
        <w:t xml:space="preserve"> Order Book, the resulting transaction is reported and published with the MiFID II post trade transparency flag of “RFPT”, indicating it is a reference price waiver trade. This is in clear contrast to the instance of two orders that are both above LIS matching together, in which case the trade is reported and published as using the pre-trade LIS waiver. So, although sub-LIS and above-LIS orders may interact together in one system this is yielding the benefits of efficiency and greater liquidity overall, far from being undermined the integrity of the DVC mechanism is assured.  </w:t>
      </w:r>
    </w:p>
    <w:p w14:paraId="1F0D2A63" w14:textId="77777777" w:rsidR="00B67166" w:rsidRDefault="00B67166" w:rsidP="00B67166"/>
    <w:p w14:paraId="22440220" w14:textId="71406767" w:rsidR="002E1760" w:rsidRDefault="00B67166" w:rsidP="002E1760">
      <w:r>
        <w:t>We do however agree that the waiver approval process should aim at avoiding any circumvention of the DVC mechanism. We note that having clear public documentation of waivers and related functionalities approved or rejected by ESMA would also contribute to increase transparency and allowing all TVs to understand the evaluation criteria the regulators are applying when assessing the various waiver applications. Before MiFID II came into force, ESMA (and CESR) used to publish a set of use cases, which detailed the list of approved waiver usage. This document was extremely useful for TVs and the wider market to understand how different pre-trade transparency waivers could be utilised and provide transparency for the whole market. We would encourage ESMA to republish this document to help reduce any perceived complexity in the usage of pre-trade transparency waivers.</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623E27D6" w:rsidR="00227C1A" w:rsidRDefault="00B67166" w:rsidP="00227C1A">
      <w:permStart w:id="1725855520" w:edGrp="everyone"/>
      <w:r w:rsidRPr="00B67166">
        <w:t xml:space="preserve">We agree with ESMA’s proposal to report the volumes under the different waivers separately to FITRS. </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t>&lt;ESMA_QUESTION_CP</w:t>
      </w:r>
      <w:r w:rsidR="00F107EF">
        <w:t>_M</w:t>
      </w:r>
      <w:r w:rsidR="00945BCF">
        <w:t>I</w:t>
      </w:r>
      <w:r w:rsidR="00F107EF">
        <w:t>FID_EQT_</w:t>
      </w:r>
      <w:r w:rsidR="00A263DF">
        <w:t>6</w:t>
      </w:r>
      <w:r>
        <w:t>&gt;</w:t>
      </w:r>
    </w:p>
    <w:p w14:paraId="7F3F849F" w14:textId="04AB1BF0" w:rsidR="0062022D" w:rsidRDefault="00B67166" w:rsidP="0062022D">
      <w:permStart w:id="203298670" w:edGrp="everyone"/>
      <w:r w:rsidRPr="00B67166">
        <w:t>We are in favour of a level playing field between different execution channels for both pre-trade and post-trade transparency.</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lastRenderedPageBreak/>
        <w:t>&lt;ESMA_QUESTION_CP</w:t>
      </w:r>
      <w:r w:rsidR="00F107EF">
        <w:t>_M</w:t>
      </w:r>
      <w:r w:rsidR="00945BCF">
        <w:t>I</w:t>
      </w:r>
      <w:r w:rsidR="00F107EF">
        <w:t>FID_EQT_</w:t>
      </w:r>
      <w:r>
        <w:t>7&gt;</w:t>
      </w:r>
    </w:p>
    <w:p w14:paraId="14896476" w14:textId="5C270522" w:rsidR="00A263DF" w:rsidRDefault="00B67166" w:rsidP="00A263DF">
      <w:permStart w:id="795872801" w:edGrp="everyone"/>
      <w:r w:rsidRPr="00B67166">
        <w:t>In LSEG’s view, the most appropriate criteria for the liquidity assessment, also from an operational perspective, is reflected in Option 1 (ADNTE + ADT). We do not see major benefits in the revision of the threshold for the ratio between number of days traded and number of days available for trading. Such revision will result in a higher number of instruments being considered as liquid. However, we would like to point out the additional implications (i.e. different regime applicable in the buy-in process under CSDR for liquid vs illiquid shares).</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69E7474E" w:rsidR="00A263DF" w:rsidRDefault="004E12AB" w:rsidP="00A263DF">
      <w:permStart w:id="1747589383" w:edGrp="everyone"/>
      <w:r w:rsidRPr="004E12AB">
        <w:t>We agree with ESMA in changing the approach for ETFs and DRs in assessing liquidity. We consider that the average of daily turnover and the average daily number of transactions are enough to assess liquidity.</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50017306" w:rsidR="002E1760" w:rsidRDefault="004E12AB" w:rsidP="002E1760">
      <w:permStart w:id="1400726192" w:edGrp="everyone"/>
      <w:r>
        <w:t>No response.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0D9C0DAF" w:rsidR="008418E3" w:rsidRDefault="004E12AB" w:rsidP="008418E3">
      <w:permStart w:id="929114806" w:edGrp="everyone"/>
      <w:r w:rsidRPr="004E12AB">
        <w:t>We agree with ESMA’s proposal to classify illiquid by default “other” equity financial instruments. From our perspective, this approach will clarify how to manage warrants and closed-end funds constituted in the form of shares for which the current regime is not completely clear. This approach would not have negative impacts on the overall price formation process for equity instruments given the limited number of instruments this would apply to.</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02FFDE40" w14:textId="77777777" w:rsidR="004E12AB" w:rsidRDefault="004E12AB" w:rsidP="004E12AB">
      <w:permStart w:id="675495160" w:edGrp="everyone"/>
      <w:r>
        <w:t xml:space="preserve">Although the use of FBAs has grown notably since the introduction of MiFID II, they still account for a relatively small part of overall trading activity in Europe. Consequently, any policy proposals should be proportionate and not risk harming nascent and still evolving post-MiFID II market structures through which participants seek compliant and cost-effective ways to execute orders and meet best execution requirements. </w:t>
      </w:r>
    </w:p>
    <w:p w14:paraId="5B6706EF" w14:textId="77777777" w:rsidR="004E12AB" w:rsidRDefault="004E12AB" w:rsidP="004E12AB"/>
    <w:p w14:paraId="2CFDFB84" w14:textId="07B239FB" w:rsidR="004E12AB" w:rsidRDefault="004E12AB" w:rsidP="004E12AB">
      <w:r>
        <w:t>Turquoise Plato Lit Auctions™ is one example of a Frequent Batch Auction system that provides customers with access to unique liquidity and high-quality execution outcomes. Any new measures need to be proportionate and measured so as not to risk jeopardising pools of liquidity that can assist end investors obtaining best execution.</w:t>
      </w:r>
    </w:p>
    <w:p w14:paraId="26A6CEA0" w14:textId="77777777" w:rsidR="004E12AB" w:rsidRDefault="004E12AB" w:rsidP="004E12AB">
      <w:r>
        <w:lastRenderedPageBreak/>
        <w:t xml:space="preserve">With that said, we do see the benefit of separating the definition of conventional periodic auctions and frequent batch auctions, given their different purposes and their different characteristics. </w:t>
      </w:r>
    </w:p>
    <w:p w14:paraId="01A9CBB6" w14:textId="77777777" w:rsidR="004E12AB" w:rsidRDefault="004E12AB" w:rsidP="004E12AB"/>
    <w:p w14:paraId="6851882B" w14:textId="1A81D3DF" w:rsidR="004E12AB" w:rsidRDefault="004E12AB" w:rsidP="004E12AB">
      <w:r>
        <w:t xml:space="preserve">However, it should also be noted that FBAs play a uniquely different role to the other more traditional types of auctions, such as the opening or closing auction of a primary market. FBAs bring together buyers and sellers at discrete points throughout the trading day. In contrast, the more traditional opening and closing auctions of a primary market exist to centralise liquidity events in an orderly way at pivotal points in the trading day, as well as to determine key price reference points for use in the wider market (i.e. opening and closing prices). The leads to a key difference between the two types of auctions – the number of participants active, and the level of overall trading, per auction event in FBA trading systems is significantly lower than in the opening and closing auctions of a primary market. </w:t>
      </w:r>
    </w:p>
    <w:p w14:paraId="050539F3" w14:textId="77777777" w:rsidR="004E12AB" w:rsidRDefault="004E12AB" w:rsidP="004E12AB"/>
    <w:p w14:paraId="2F25CDD1" w14:textId="77777777" w:rsidR="004E12AB" w:rsidRDefault="004E12AB" w:rsidP="00F469F8">
      <w:r>
        <w:t xml:space="preserve">Consequently, and in that context, we think the current pre-trade transparency during an FBA auction run – indicative quantity and price – is </w:t>
      </w:r>
      <w:proofErr w:type="gramStart"/>
      <w:r>
        <w:t>sufficient</w:t>
      </w:r>
      <w:proofErr w:type="gramEnd"/>
      <w:r>
        <w:t xml:space="preserve">.  We do not agree that all orders in the FBAs should be disclosed because significant and harmful information leakage could occur. This is particularly the case for aggressively priced (and potentially large) orders that participants may otherwise be content to rest over long periods of time in order to receive optimal execution in an FBA trading system. Requiring disclosure of this type of order in an FBA trading system would likely lead to the market moving away from a large buyer or seller, either leading to worse execution outcomes for end investors or leading to participant refraining from entering competitively priced orders at all, thereby undermining the significant benefits and liquidity opportunities that FBAs currently offer. </w:t>
      </w:r>
    </w:p>
    <w:p w14:paraId="6443770D" w14:textId="77777777" w:rsidR="004E12AB" w:rsidRDefault="004E12AB" w:rsidP="00F469F8"/>
    <w:p w14:paraId="77303C55" w14:textId="585587B1" w:rsidR="00F469F8" w:rsidRDefault="004E12AB" w:rsidP="00F469F8">
      <w:r>
        <w:t xml:space="preserve">Comparisons of FBAs to more traditional auction types can be misleading –  the liquidity opportunities available in the opening and closing auctions of a primary market are typically much greater, with a greater likelihood of getting business done without information leakage, than the more targeted and discrete nature of liquidity events that occur in FBAs at multiple points throughout the trading day.  </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18F5F58" w:rsidR="00F469F8" w:rsidRDefault="004E12AB" w:rsidP="00F469F8">
      <w:permStart w:id="227761104" w:edGrp="everyone"/>
      <w:r w:rsidRPr="004E12AB">
        <w:t>We agree that a convergent application of the “price forming” definition is useful, and we agreed with the factors set out in the ESMA Opinion on “frequent batch auctions (FBAs) and the double volume cap mechanism (DVCM)” published on 1 October 2019 (ESMA70-156-1355).</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36EE512" w14:textId="277E4704" w:rsidR="00646C30" w:rsidRDefault="004E12AB" w:rsidP="00646C30">
      <w:permStart w:id="308116658" w:edGrp="everyone"/>
      <w:r w:rsidRPr="004E12AB">
        <w:t>We are in favour of a level playing field between different execution channels for both pre-trade and post-trade transparency. Therefore, we believe that the minimum quoting size can be increased without any detrimental effect for SIs while at the same time increasing transparent liquidity available to the market.</w:t>
      </w:r>
      <w:permEnd w:id="308116658"/>
    </w:p>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6A257108" w14:textId="48DC74F2" w:rsidR="00646C30" w:rsidRDefault="004E12AB" w:rsidP="00646C30">
      <w:permStart w:id="699085938" w:edGrp="everyone"/>
      <w:r w:rsidRPr="004E12AB">
        <w:lastRenderedPageBreak/>
        <w:t>We are in favour of a level playing field between different execution channels for both pre-trade and post-trade transparency. Therefore, we agree with ESMA in extending the transparency obligations under the SI regime to illiquid instruments.</w:t>
      </w:r>
      <w:permEnd w:id="699085938"/>
    </w:p>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25569EA1" w:rsidR="00646C30" w:rsidRDefault="004E12AB" w:rsidP="00646C30">
      <w:permStart w:id="1271415520" w:edGrp="everyone"/>
      <w:r w:rsidRPr="004E12AB">
        <w:t xml:space="preserve">We agree with the calibration of the SMS on the basis of the </w:t>
      </w:r>
      <w:proofErr w:type="gramStart"/>
      <w:r w:rsidRPr="004E12AB">
        <w:t>ADT</w:t>
      </w:r>
      <w:proofErr w:type="gramEnd"/>
      <w:r w:rsidRPr="004E12AB">
        <w:t xml:space="preserve"> but we believe that the same SMS should apply for liquid and illiquid instruments having the same ADT. This will also contribute to a simpler regime, reducing the operating burdens and risks.</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6BE25B77" w14:textId="3F58CDC3" w:rsidR="004E12AB" w:rsidRDefault="004E12AB" w:rsidP="004E12AB">
      <w:permStart w:id="2130212544" w:edGrp="everyone"/>
      <w:r>
        <w:t xml:space="preserve">We are supportive of removal of the 4% TV level threshold since our own observations show that when waiver trading is suspended on one venue (i.e. breach of 4%) this trading is then re-distributed amongst other TVs (and an 8% breach subsequently ensues), and of the evaluation of additional measures to reinforce a transparent price formation process. </w:t>
      </w:r>
    </w:p>
    <w:p w14:paraId="4CDA87B5" w14:textId="77777777" w:rsidR="004E12AB" w:rsidRDefault="004E12AB" w:rsidP="004E12AB"/>
    <w:p w14:paraId="7AAD2035" w14:textId="65DBE122" w:rsidR="00646C30" w:rsidRDefault="004E12AB" w:rsidP="00646C30">
      <w:r>
        <w:t>In this context, a reduction of the 8% cap would represent a further incentive to move trading (in particular, smaller transactions) into transparent order books, but first we   would encourage ESMA to analyse the impact of the DVC mechanism using a more comprehensive dataset (i.e. over a longer time period than the current Jan – Sep 2018 time period used in the consultation paper) before significant amendments are made.</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2BFE3315" w:rsidR="00646C30" w:rsidRDefault="004E12AB" w:rsidP="00646C30">
      <w:permStart w:id="96027498" w:edGrp="everyone"/>
      <w:r>
        <w:t>No response.</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077E290B" w:rsidR="00646C30" w:rsidRDefault="004E12AB" w:rsidP="00646C30">
      <w:permStart w:id="70923797" w:edGrp="everyone"/>
      <w:r w:rsidRPr="004E12AB">
        <w:t>We do not agree with ESMA in modifying the current procedure which requests NCAs to issue a suspension notification based on the ESMA publications. We believe that the current regulatory framework allows trading venues to manage this complex process containing the operational risks.</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lastRenderedPageBreak/>
        <w:t>&lt;ESMA_QUESTION_CP</w:t>
      </w:r>
      <w:r w:rsidR="00F107EF">
        <w:t>_M</w:t>
      </w:r>
      <w:r w:rsidR="00945BCF">
        <w:t>I</w:t>
      </w:r>
      <w:r w:rsidR="00F107EF">
        <w:t>FID_EQT_</w:t>
      </w:r>
      <w:r>
        <w:t>1</w:t>
      </w:r>
      <w:r w:rsidR="00101BF1">
        <w:t>9</w:t>
      </w:r>
      <w:r>
        <w:t>&gt;</w:t>
      </w:r>
    </w:p>
    <w:p w14:paraId="0CAC7740" w14:textId="04BED299" w:rsidR="00646C30" w:rsidRDefault="004E12AB" w:rsidP="00646C30">
      <w:permStart w:id="1628391240" w:edGrp="everyone"/>
      <w:r w:rsidRPr="004E12AB">
        <w:t xml:space="preserve">We agree with ESMA in removing the requirement under art. 5(7)(b) of </w:t>
      </w:r>
      <w:proofErr w:type="spellStart"/>
      <w:r w:rsidRPr="004E12AB">
        <w:t>MiFIR</w:t>
      </w:r>
      <w:proofErr w:type="spellEnd"/>
      <w:r w:rsidRPr="004E12AB">
        <w:t>.</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0BE04168" w14:textId="5E494128" w:rsidR="004E12AB" w:rsidRDefault="004E12AB" w:rsidP="004E12AB">
      <w:permStart w:id="37382354" w:edGrp="everyone"/>
      <w:r>
        <w:t xml:space="preserve">To ensure the uniform application of the DVC, the new ISINs should have 12 months of data before being subject to the DVC mechanism. Doing otherwise risks unduly and unnecessarily impacting newly listed instruments. </w:t>
      </w:r>
    </w:p>
    <w:p w14:paraId="3B5576DF" w14:textId="77777777" w:rsidR="004E12AB" w:rsidRDefault="004E12AB" w:rsidP="004E12AB"/>
    <w:p w14:paraId="1B3A9C16" w14:textId="77777777" w:rsidR="004E12AB" w:rsidRDefault="004E12AB" w:rsidP="004E12AB">
      <w:r>
        <w:t xml:space="preserve">We acknowledge, as ESMA have stated, that not all ISIN changes resulting from a corporate action will lead to a genuine new company. In these instances, it is sensible for the history to carry over to the new ISIN. However, there are </w:t>
      </w:r>
      <w:proofErr w:type="gramStart"/>
      <w:r>
        <w:t>a number of</w:t>
      </w:r>
      <w:proofErr w:type="gramEnd"/>
      <w:r>
        <w:t xml:space="preserve"> situations when a new company joins a public market, or a corporate action leads to a genuine new company with a new ISIN. In such cases the DVC mechanism should only apply when there is 12 months of data for this new ISIN.</w:t>
      </w:r>
    </w:p>
    <w:p w14:paraId="3539E2A9" w14:textId="3B432DA3" w:rsidR="004E12AB" w:rsidRDefault="004E12AB" w:rsidP="004E12AB">
      <w:r>
        <w:t xml:space="preserve"> </w:t>
      </w:r>
    </w:p>
    <w:p w14:paraId="5AE4A1A9" w14:textId="6B0A0592" w:rsidR="004E12AB" w:rsidRDefault="004E12AB" w:rsidP="004E12AB">
      <w:r>
        <w:t>For example, there have been 88 new ISINs with CFI code beginning ‘ES’ on XLON since the start of 2019, of which 27 were the result of IPOs. During the initial listing phase, the shares are often tightly held by the existing shareholders and institutional investors. Gradually as the company spends time on public markets, the shareholder diversity increases as retail investors start to participate, lock-in periods end, and pre-IPO institutional investors decide to sell down their holdings. During the initial phases of the new ISIN given the smaller investor basis, we would argue that this is a period in which the use of pre-trade waivers is very important for market participants. In these situations, new ISINs should not be subject to the DVC mechanism until there is 12 months of data.</w:t>
      </w:r>
    </w:p>
    <w:p w14:paraId="13C7FEA6" w14:textId="475335F1" w:rsidR="00646C30" w:rsidRDefault="004E12AB" w:rsidP="00646C30">
      <w:r>
        <w:t>If it is not possible to define a clear set of criteria when the history of an old ISIN should continue for the new ISIN then we believe it is better, and creates less uncertainty, to keep the current status quo; an ISIN is only subject to the DVC mechanism once there  is 12 month of trading data.</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6B6BB34F" w:rsidR="00646C30" w:rsidRDefault="004E12AB" w:rsidP="00646C30">
      <w:permStart w:id="71373738" w:edGrp="everyone"/>
      <w:r w:rsidRPr="004E12AB">
        <w:t>We do not see any issues if the publications occur after 7 working days instead of 5. At the same time, from a trading venue perspective, we highlight the tight timeline provided for the adaptation. This should be extended by 2 days in order to allow for a safe systems adaptation and members information.</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lastRenderedPageBreak/>
        <w:t>&lt;ESMA_QUESTION_CP</w:t>
      </w:r>
      <w:r w:rsidR="00F107EF">
        <w:t>_M</w:t>
      </w:r>
      <w:r w:rsidR="00945BCF">
        <w:t>I</w:t>
      </w:r>
      <w:r w:rsidR="00F107EF">
        <w:t>FID_EQT_</w:t>
      </w:r>
      <w:r w:rsidR="00101BF1">
        <w:t>23</w:t>
      </w:r>
      <w:r>
        <w:t>&gt;</w:t>
      </w:r>
    </w:p>
    <w:p w14:paraId="51834EC7" w14:textId="0289F902" w:rsidR="00646C30" w:rsidRDefault="004E12AB" w:rsidP="00646C30">
      <w:permStart w:id="2102155623" w:edGrp="everyone"/>
      <w:r w:rsidRPr="004E12AB">
        <w:t xml:space="preserve">We agree with ESMA proposal to abolish the mid-month </w:t>
      </w:r>
      <w:proofErr w:type="gramStart"/>
      <w:r w:rsidRPr="004E12AB">
        <w:t>re</w:t>
      </w:r>
      <w:r>
        <w:t>port.</w:t>
      </w:r>
      <w:r w:rsidRPr="004E12AB">
        <w:t>.</w:t>
      </w:r>
      <w:permEnd w:id="2102155623"/>
      <w:proofErr w:type="gramEnd"/>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4712217E" w:rsidR="00646C30" w:rsidRDefault="004E12AB" w:rsidP="00646C30">
      <w:permStart w:id="160242055" w:edGrp="everyone"/>
      <w:r>
        <w:t>No response.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1AACA404" w:rsidR="00646C30" w:rsidRDefault="004E12AB" w:rsidP="00646C30">
      <w:permStart w:id="203690501" w:edGrp="everyone"/>
      <w:r w:rsidRPr="004E12AB">
        <w:t>According to ESMA’s figures, the post trade deferrals are applied to a limited number of trades having high counter value, hence in our view there are reason to review such threshold in order to increase market transparency.</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4D201FDF" w:rsidR="00646C30" w:rsidRDefault="004E12AB" w:rsidP="00646C30">
      <w:permStart w:id="1935441367" w:edGrp="everyone"/>
      <w:r>
        <w:t>No response.</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707F26F4" w:rsidR="00646C30" w:rsidRDefault="004E12AB" w:rsidP="00646C30">
      <w:permStart w:id="1284132493" w:edGrp="everyone"/>
      <w:r>
        <w:t>No response.</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7A48D3DF" w:rsidR="00646C30" w:rsidRDefault="004E12AB" w:rsidP="00646C30">
      <w:permStart w:id="1735202609" w:edGrp="everyone"/>
      <w:r w:rsidRPr="004E12AB">
        <w:t>We agree with the proposal aimed to allow a clearer understanding of the applicable rules and related duties.</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lastRenderedPageBreak/>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E557F14" w14:textId="49FB2E93" w:rsidR="00646C30" w:rsidRDefault="004E12AB" w:rsidP="00646C30">
      <w:permStart w:id="1113393043" w:edGrp="everyone"/>
      <w:r w:rsidRPr="004E12AB">
        <w:t xml:space="preserve">For trading venues, the publication of post trade transparency information occurs through automatic systems that make the definition of real time as maximum 1 minute too lenient.  </w:t>
      </w:r>
      <w:permEnd w:id="1113393043"/>
    </w:p>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0FB3DBAF" w14:textId="3BDF42BE" w:rsidR="00646C30" w:rsidRDefault="004E12AB" w:rsidP="00646C30">
      <w:permStart w:id="547110296" w:edGrp="everyone"/>
      <w:r w:rsidRPr="004E12AB">
        <w:t>We agree with ESMA’s current approach that aims to limit unnecessary burdens on investment firms trading in third-country trading venues considered equivalent for transparency purposes through reliance on an Opinion, and therefore no legislative changes are necessary.</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3E265AC4" w14:textId="171F780C" w:rsidR="00D94986" w:rsidRDefault="00D94986" w:rsidP="00D94986">
      <w:permStart w:id="1765943254" w:edGrp="everyone"/>
      <w:r>
        <w:t xml:space="preserve">We continue to believe, in the context of Brexit, that the EU’s third country equivalence determination of the UK would be the least disruptive solution for the markets and the markets participants, including from EU-27. </w:t>
      </w:r>
    </w:p>
    <w:p w14:paraId="2D4D16CA" w14:textId="77777777" w:rsidR="00D94986" w:rsidRDefault="00D94986" w:rsidP="00D94986"/>
    <w:p w14:paraId="6074EC9D" w14:textId="39D022B5" w:rsidR="00D94986" w:rsidRDefault="00D94986" w:rsidP="00D94986">
      <w:r>
        <w:t xml:space="preserve">We also recognise there are wider 3rd country considerations relevant to the STO and we welcome the fact that ESMA is looking to set a proportionate scope for the STO relevant to third countries i.e. shares that have their primary market or main pool of liquidity outside of the EU. </w:t>
      </w:r>
    </w:p>
    <w:p w14:paraId="00D051CD" w14:textId="77777777" w:rsidR="00D94986" w:rsidRDefault="00D94986" w:rsidP="00D94986"/>
    <w:p w14:paraId="00A633F5" w14:textId="52DEC2FE" w:rsidR="00D94986" w:rsidRDefault="00D94986" w:rsidP="00D94986">
      <w:r>
        <w:t xml:space="preserve">However, we disagree with the proposal of using the first two letters of the ISINs as a proxy for EU listed shares. As ESMA acknowledges in the CP, this is an imperfect approach that leads to the scope being misaligned with the stated policy intent in </w:t>
      </w:r>
      <w:proofErr w:type="gramStart"/>
      <w:r>
        <w:t>a number of</w:t>
      </w:r>
      <w:proofErr w:type="gramEnd"/>
      <w:r>
        <w:t xml:space="preserve"> cases and should therefore be avoided. </w:t>
      </w:r>
    </w:p>
    <w:p w14:paraId="46EB79D8" w14:textId="77777777" w:rsidR="00D94986" w:rsidRDefault="00D94986" w:rsidP="00D94986"/>
    <w:p w14:paraId="0323E738" w14:textId="77777777" w:rsidR="00D94986" w:rsidRDefault="00D94986" w:rsidP="00D94986">
      <w:r>
        <w:t xml:space="preserve">We think that ESMA’s proposal to consider whether the issuer sought to actively admit to a market is a sensible suggestion. In our view, this would not be a determinative factor in European issuers exclusively seeking admission to trading on venues outside the EU to avoid being caught by the trading obligation because, as a group that operates several Regulated Markets including in EU-27, we believe that there are other more important factors which influence an issuer’s decision as to which public market to list on. </w:t>
      </w:r>
    </w:p>
    <w:p w14:paraId="1369FF14" w14:textId="52AE242A" w:rsidR="00D94986" w:rsidRDefault="00D94986" w:rsidP="00D94986">
      <w:r>
        <w:t>We believe that ESMA could achieve its policy goal of proportionate STO implementation through a clearly defined scope enshrined in legislation and subject to consultation, as follows:</w:t>
      </w:r>
    </w:p>
    <w:p w14:paraId="7DAE5125" w14:textId="77777777" w:rsidR="00D94986" w:rsidRDefault="00D94986" w:rsidP="00D94986"/>
    <w:p w14:paraId="646B55ED" w14:textId="77777777" w:rsidR="00D94986" w:rsidRDefault="00D94986" w:rsidP="00D94986">
      <w:r>
        <w:t>-</w:t>
      </w:r>
      <w:r>
        <w:tab/>
        <w:t xml:space="preserve">The scope could clearly exclude “third country shares”, defined as a security with an issuer that has a sole listing on a trading venue in a non-EU country. </w:t>
      </w:r>
    </w:p>
    <w:p w14:paraId="04CC445F" w14:textId="77777777" w:rsidR="00D94986" w:rsidRDefault="00D94986" w:rsidP="00D94986">
      <w:r>
        <w:t>-</w:t>
      </w:r>
      <w:r>
        <w:tab/>
        <w:t xml:space="preserve">Securities that have a dual listing on a trading venue in both an EU member state and a non-EU country should also be excluded from the STO scope. This would recognise the fact that the issuer has </w:t>
      </w:r>
      <w:r>
        <w:lastRenderedPageBreak/>
        <w:t xml:space="preserve">chosen to access liquidity pools in two different jurisdictions, and therefore related trade flows tied to that choice should not be artificially impeded by regulatory constructs. </w:t>
      </w:r>
    </w:p>
    <w:p w14:paraId="00B89D7C" w14:textId="77777777" w:rsidR="00D94986" w:rsidRDefault="00D94986" w:rsidP="00D94986">
      <w:r>
        <w:t>-</w:t>
      </w:r>
      <w:r>
        <w:tab/>
        <w:t xml:space="preserve">However, to the extent there was a dual-listed security on two trading venue in the EU, such security should remain in the scope of the STO. </w:t>
      </w:r>
    </w:p>
    <w:p w14:paraId="2B67B573" w14:textId="236BFC3E" w:rsidR="00D94986" w:rsidRDefault="00D94986" w:rsidP="00D94986">
      <w:r>
        <w:t xml:space="preserve"> </w:t>
      </w:r>
    </w:p>
    <w:p w14:paraId="4E9EEEEE" w14:textId="44A8B473" w:rsidR="00646C30" w:rsidRDefault="00D94986" w:rsidP="00646C30">
      <w:r>
        <w:t xml:space="preserve">We believe that setting the scope of the STO in a principles-based way would be an effective means of implementation. Whilst we recognise that ESMA could also follow a more quantitative approach to define a list of ISINs subject to the STO we would not recommend it. This is because it would entail constant update and revision, and any such list would likely be an imperfect proxy against the stated policy goal. For example, even if ESMA used a combination of “EU ISINS” and the “issuer request for admission” flag in FIRDs, this would not accommodate the complexities of </w:t>
      </w:r>
      <w:proofErr w:type="gramStart"/>
      <w:r>
        <w:t>dual-listings</w:t>
      </w:r>
      <w:proofErr w:type="gramEnd"/>
      <w:r>
        <w:t xml:space="preserve">, resulting in an STO that was drawn too widely and unnecessarily limiting EU investors’ access to liquidity pools.  </w:t>
      </w:r>
      <w:permEnd w:id="1765943254"/>
    </w:p>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3914F7E6" w14:textId="77777777" w:rsidR="00D94986" w:rsidRDefault="00D94986" w:rsidP="00D94986">
      <w:permStart w:id="1881367284" w:edGrp="everyone"/>
      <w:r>
        <w:t xml:space="preserve">The removal of SIs as eligible execution place or reducing their scope to illiquid shares would represent a significant change in the EU market structure, as such it would need careful evaluation. </w:t>
      </w:r>
    </w:p>
    <w:p w14:paraId="74770AAB" w14:textId="45960CC8" w:rsidR="00D94986" w:rsidRDefault="00D94986" w:rsidP="00D94986">
      <w:r>
        <w:t>We are in favour of a level playing field between different execution channels. The level playing field should be reinforced, covering the pre- and post-trade requirements for SIs, as well as the best execution requirement:</w:t>
      </w:r>
    </w:p>
    <w:p w14:paraId="287520B6" w14:textId="77777777" w:rsidR="00D94986" w:rsidRDefault="00D94986" w:rsidP="00D94986"/>
    <w:p w14:paraId="064EB5B6" w14:textId="149DB6C6" w:rsidR="00D94986" w:rsidRDefault="00D94986" w:rsidP="00D94986">
      <w:r>
        <w:t>•</w:t>
      </w:r>
      <w:r>
        <w:tab/>
        <w:t>Best Execution – e.g. the price conditions: for the same quantity, SIs should not deliver worse prices than those available on Trading Venues;</w:t>
      </w:r>
    </w:p>
    <w:p w14:paraId="04F437BE" w14:textId="7B7B55C3" w:rsidR="00646C30" w:rsidRDefault="00D94986" w:rsidP="00646C30">
      <w:r>
        <w:t>•</w:t>
      </w:r>
      <w:r>
        <w:tab/>
        <w:t>Pre-trade transparency – e.g. Trading Venues are subject to Pre-Trade Transparency Q&amp;As (Q&amp;A 10 in the ESMA General Transparency Issues Q&amp;As). We suggest that these Q&amp;As also cover pre-trade transparency provided by SIs in order to achieve convergence in pre-trade transparency provided by Trading Venues and SIs.</w:t>
      </w:r>
      <w:permEnd w:id="1881367284"/>
    </w:p>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431DD312" w14:textId="77777777" w:rsidR="00D94986" w:rsidRDefault="00D94986" w:rsidP="00D94986">
      <w:permStart w:id="1956398093" w:edGrp="everyone"/>
      <w:r>
        <w:t xml:space="preserve">If the third-country shares are removed from the STO scope amending Level 1 regulation, we will support deleting the first exemption provided by art. 23 of </w:t>
      </w:r>
      <w:proofErr w:type="spellStart"/>
      <w:r>
        <w:t>MiFIR</w:t>
      </w:r>
      <w:proofErr w:type="spellEnd"/>
      <w:r>
        <w:t xml:space="preserve"> appreciating the increase legal certainty of the STO application.</w:t>
      </w:r>
    </w:p>
    <w:p w14:paraId="21017F99" w14:textId="0A2EDE96" w:rsidR="00D94986" w:rsidRDefault="00D94986" w:rsidP="00D94986">
      <w:r>
        <w:t xml:space="preserve"> </w:t>
      </w:r>
    </w:p>
    <w:p w14:paraId="2E0C5410" w14:textId="5188DA63" w:rsidR="00646C30" w:rsidRDefault="00D94986" w:rsidP="00646C30">
      <w:r>
        <w:t xml:space="preserve">As a more general point, we also find the level of OTC trading surprising, at 23-39% of overall EU trading in shares, according to ESMA data. Understanding the reasons behind this trend should be a far greater priority than amending the waivers regime. If ESMA was to determine the OTC exemption from the STO was not being used for its intended purpose, ESMA may wish to consider clarifying the scope of the OTC exemption through an Opinion.  This is likely to be a much simpler and lower risk way of encouraging more activity onto lit order books than seeking to amend the waiver regime.  </w:t>
      </w:r>
      <w:permEnd w:id="1956398093"/>
    </w:p>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2B7F7298" w:rsidR="00646C30" w:rsidRDefault="00D94986" w:rsidP="00646C30">
      <w:permStart w:id="856773751" w:edGrp="everyone"/>
      <w:r w:rsidRPr="00D94986">
        <w:t>We agree with the simplification proposed.</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0627765B" w14:textId="77777777" w:rsidR="00D94986" w:rsidRDefault="00D94986" w:rsidP="00D94986">
      <w:permStart w:id="2089697884" w:edGrp="everyone"/>
      <w:r>
        <w:t>The closing auctions are complementary to the continuous trading phases and in our view the increased volume on the closing auction have not been detrimental to the volume traded in the continuous trading phase.</w:t>
      </w:r>
    </w:p>
    <w:p w14:paraId="2164AEC7" w14:textId="77777777" w:rsidR="00D94986" w:rsidRDefault="00D94986" w:rsidP="00D94986">
      <w:r>
        <w:t>We believe that closing auctions are a helpful mechanism, which functions well. As a single point-in-time, they help to concentrate liquidity in a transparent and efficient manner. They support price discovery and formation that exists in the market as they aggregate a wide range of trading interests.</w:t>
      </w:r>
    </w:p>
    <w:p w14:paraId="32F4301D" w14:textId="1451CE51" w:rsidR="00D94986" w:rsidRDefault="00D94986" w:rsidP="00D94986">
      <w:r>
        <w:t xml:space="preserve"> </w:t>
      </w:r>
    </w:p>
    <w:p w14:paraId="5CE6A512" w14:textId="77777777" w:rsidR="00D94986" w:rsidRDefault="00D94986" w:rsidP="00D94986">
      <w:r>
        <w:t>Currently there is no obvious market failure, which would require the intervention of a regulator. The market is naturally reacting to the increased volumes in closing auctions; participants will adapt their trading strategies and flow and there are an increasing number of competitors to the closing auction.</w:t>
      </w:r>
    </w:p>
    <w:p w14:paraId="29C03083" w14:textId="77777777" w:rsidR="00D94986" w:rsidRDefault="00D94986" w:rsidP="00646C30"/>
    <w:p w14:paraId="16CC0EF6" w14:textId="2E91C85C" w:rsidR="00646C30" w:rsidRDefault="00D94986" w:rsidP="00646C30">
      <w:bookmarkStart w:id="3" w:name="_GoBack"/>
      <w:bookmarkEnd w:id="3"/>
      <w:r>
        <w:t>For example, on our Borsa Italiana equity market, the closing auctions have been operated for more than 20 years. They are positively evaluated by the institutional investors given that the resulting prices are determined through an efficient process that maximise the buy and sell needs, and as we apply the same trading fee applied in continuous trading.</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2AF8" w14:textId="77777777" w:rsidR="004E12AB" w:rsidRDefault="004E12AB">
      <w:r>
        <w:separator/>
      </w:r>
    </w:p>
    <w:p w14:paraId="7FA5209D" w14:textId="77777777" w:rsidR="004E12AB" w:rsidRDefault="004E12AB"/>
  </w:endnote>
  <w:endnote w:type="continuationSeparator" w:id="0">
    <w:p w14:paraId="7CE133E6" w14:textId="77777777" w:rsidR="004E12AB" w:rsidRDefault="004E12AB">
      <w:r>
        <w:continuationSeparator/>
      </w:r>
    </w:p>
    <w:p w14:paraId="6690EAF9" w14:textId="77777777" w:rsidR="004E12AB" w:rsidRDefault="004E12AB"/>
  </w:endnote>
  <w:endnote w:type="continuationNotice" w:id="1">
    <w:p w14:paraId="378379C0" w14:textId="77777777" w:rsidR="004E12AB" w:rsidRDefault="004E1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E12AB" w:rsidRPr="00616B9B" w14:paraId="313FAE1A" w14:textId="77777777" w:rsidTr="00315E96">
      <w:trPr>
        <w:trHeight w:val="284"/>
      </w:trPr>
      <w:tc>
        <w:tcPr>
          <w:tcW w:w="8460" w:type="dxa"/>
        </w:tcPr>
        <w:p w14:paraId="0BEF8BC6" w14:textId="77777777" w:rsidR="004E12AB" w:rsidRPr="00315E96" w:rsidRDefault="004E12AB" w:rsidP="00315E96">
          <w:pPr>
            <w:pStyle w:val="00Footer"/>
            <w:rPr>
              <w:lang w:val="fr-FR"/>
            </w:rPr>
          </w:pPr>
        </w:p>
      </w:tc>
      <w:tc>
        <w:tcPr>
          <w:tcW w:w="952" w:type="dxa"/>
        </w:tcPr>
        <w:p w14:paraId="7FD1DE07" w14:textId="77777777" w:rsidR="004E12AB" w:rsidRPr="00616B9B" w:rsidRDefault="004E12A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E12AB" w:rsidRDefault="004E1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4E12AB" w:rsidRDefault="004E12AB"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4E12AB" w:rsidRDefault="004E1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DA70" w14:textId="77777777" w:rsidR="004E12AB" w:rsidRDefault="004E12AB">
      <w:r>
        <w:separator/>
      </w:r>
    </w:p>
    <w:p w14:paraId="1445AE77" w14:textId="77777777" w:rsidR="004E12AB" w:rsidRDefault="004E12AB"/>
  </w:footnote>
  <w:footnote w:type="continuationSeparator" w:id="0">
    <w:p w14:paraId="5042D269" w14:textId="77777777" w:rsidR="004E12AB" w:rsidRDefault="004E12AB">
      <w:r>
        <w:continuationSeparator/>
      </w:r>
    </w:p>
    <w:p w14:paraId="2E8EF56A" w14:textId="77777777" w:rsidR="004E12AB" w:rsidRDefault="004E12AB"/>
  </w:footnote>
  <w:footnote w:type="continuationNotice" w:id="1">
    <w:p w14:paraId="79EA1583" w14:textId="77777777" w:rsidR="004E12AB" w:rsidRDefault="004E1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4E12AB" w:rsidRDefault="004E12AB">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4E12AB" w:rsidRDefault="004E12AB"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4E12AB" w:rsidRDefault="004E12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E12AB" w:rsidRPr="002F4496" w14:paraId="60C7474C" w14:textId="77777777" w:rsidTr="000C06C9">
      <w:trPr>
        <w:trHeight w:val="284"/>
      </w:trPr>
      <w:tc>
        <w:tcPr>
          <w:tcW w:w="8460" w:type="dxa"/>
        </w:tcPr>
        <w:p w14:paraId="54B7E7F0" w14:textId="77777777" w:rsidR="004E12AB" w:rsidRPr="000C3B6D" w:rsidRDefault="004E12AB" w:rsidP="000C06C9">
          <w:pPr>
            <w:pStyle w:val="00Footer"/>
            <w:rPr>
              <w:lang w:val="fr-FR"/>
            </w:rPr>
          </w:pPr>
        </w:p>
      </w:tc>
      <w:tc>
        <w:tcPr>
          <w:tcW w:w="952" w:type="dxa"/>
        </w:tcPr>
        <w:p w14:paraId="2E49D042" w14:textId="77777777" w:rsidR="004E12AB" w:rsidRPr="00146B34" w:rsidRDefault="004E12AB" w:rsidP="000C06C9">
          <w:pPr>
            <w:pStyle w:val="00aPagenumber"/>
            <w:rPr>
              <w:lang w:val="fr-FR"/>
            </w:rPr>
          </w:pPr>
        </w:p>
      </w:tc>
    </w:tr>
  </w:tbl>
  <w:p w14:paraId="580707D9" w14:textId="77777777" w:rsidR="004E12AB" w:rsidRPr="00DB46C3" w:rsidRDefault="004E12AB">
    <w:pPr>
      <w:rPr>
        <w:lang w:val="fr-FR"/>
      </w:rPr>
    </w:pPr>
  </w:p>
  <w:p w14:paraId="20C4F67C" w14:textId="77777777" w:rsidR="004E12AB" w:rsidRPr="002F4496" w:rsidRDefault="004E12AB">
    <w:pPr>
      <w:pStyle w:val="Header"/>
      <w:rPr>
        <w:lang w:val="fr-FR"/>
      </w:rPr>
    </w:pPr>
  </w:p>
  <w:p w14:paraId="3F30C70B" w14:textId="77777777" w:rsidR="004E12AB" w:rsidRPr="002F4496" w:rsidRDefault="004E12AB" w:rsidP="000C06C9">
    <w:pPr>
      <w:pStyle w:val="Header"/>
      <w:tabs>
        <w:tab w:val="clear" w:pos="4536"/>
        <w:tab w:val="clear" w:pos="9072"/>
        <w:tab w:val="left" w:pos="8227"/>
      </w:tabs>
      <w:rPr>
        <w:lang w:val="fr-FR"/>
      </w:rPr>
    </w:pPr>
  </w:p>
  <w:p w14:paraId="4D50BC39" w14:textId="77777777" w:rsidR="004E12AB" w:rsidRPr="002F4496" w:rsidRDefault="004E12AB" w:rsidP="00583885">
    <w:pPr>
      <w:pStyle w:val="Header"/>
      <w:jc w:val="right"/>
      <w:rPr>
        <w:lang w:val="fr-FR"/>
      </w:rPr>
    </w:pPr>
  </w:p>
  <w:p w14:paraId="2D51BEA2" w14:textId="77777777" w:rsidR="004E12AB" w:rsidRPr="002F4496" w:rsidRDefault="004E12AB">
    <w:pPr>
      <w:pStyle w:val="Header"/>
      <w:rPr>
        <w:lang w:val="fr-FR"/>
      </w:rPr>
    </w:pPr>
  </w:p>
  <w:p w14:paraId="340B2438" w14:textId="77777777" w:rsidR="004E12AB" w:rsidRPr="002F4496" w:rsidRDefault="004E12AB">
    <w:pPr>
      <w:pStyle w:val="Header"/>
      <w:rPr>
        <w:lang w:val="fr-FR"/>
      </w:rPr>
    </w:pPr>
  </w:p>
  <w:p w14:paraId="2A794A3E" w14:textId="77777777" w:rsidR="004E12AB" w:rsidRPr="002F4496" w:rsidRDefault="004E12AB">
    <w:pPr>
      <w:pStyle w:val="Header"/>
      <w:rPr>
        <w:lang w:val="fr-FR"/>
      </w:rPr>
    </w:pPr>
  </w:p>
  <w:p w14:paraId="0A21F475" w14:textId="77777777" w:rsidR="004E12AB" w:rsidRPr="002F4496" w:rsidRDefault="004E12AB">
    <w:pPr>
      <w:pStyle w:val="Header"/>
      <w:rPr>
        <w:highlight w:val="yellow"/>
        <w:lang w:val="fr-FR"/>
      </w:rPr>
    </w:pPr>
  </w:p>
  <w:p w14:paraId="53ABEE5D" w14:textId="77777777" w:rsidR="004E12AB" w:rsidRDefault="004E12A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4916D8"/>
    <w:multiLevelType w:val="hybridMultilevel"/>
    <w:tmpl w:val="4384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C3D71E5"/>
    <w:multiLevelType w:val="hybridMultilevel"/>
    <w:tmpl w:val="1084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38"/>
  </w:num>
  <w:num w:numId="38">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4ADD"/>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2AB"/>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16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986"/>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20fbe147-bbda-4e53-b6b1-7e8bbff3fe19"/>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47F5BA0F-053B-4120-AD15-638FAC060906}">
  <ds:schemaRefs>
    <ds:schemaRef ds:uri="http://schemas.openxmlformats.org/officeDocument/2006/bibliography"/>
  </ds:schemaRefs>
</ds:datastoreItem>
</file>

<file path=customXml/itemProps6.xml><?xml version="1.0" encoding="utf-8"?>
<ds:datastoreItem xmlns:ds="http://schemas.openxmlformats.org/officeDocument/2006/customXml" ds:itemID="{657BB8F6-BF5C-48A4-8266-9494FF7D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6132</Words>
  <Characters>34077</Characters>
  <Application>Microsoft Office Word</Application>
  <DocSecurity>8</DocSecurity>
  <Lines>283</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40129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Beata Sivak</cp:lastModifiedBy>
  <cp:revision>3</cp:revision>
  <cp:lastPrinted>2015-02-18T11:01:00Z</cp:lastPrinted>
  <dcterms:created xsi:type="dcterms:W3CDTF">2020-03-17T15:21:00Z</dcterms:created>
  <dcterms:modified xsi:type="dcterms:W3CDTF">2020-03-17T15:44:00Z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