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55841D42" w:rsidR="00C2682A" w:rsidRPr="00AB6D88" w:rsidRDefault="00AF4025" w:rsidP="00FA5524">
                <w:pPr>
                  <w:rPr>
                    <w:rStyle w:val="PlaceholderText"/>
                    <w:rFonts w:cs="Arial"/>
                  </w:rPr>
                </w:pPr>
                <w:r>
                  <w:rPr>
                    <w:rStyle w:val="PlaceholderText"/>
                    <w:rFonts w:cs="Arial"/>
                  </w:rPr>
                  <w:t>European Fund and Asset Management Association (EFAMA)</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136390D5" w:rsidR="00C2682A" w:rsidRPr="00AB6D88" w:rsidRDefault="004F7154"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F4025">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5682F5F7" w:rsidR="00C2682A" w:rsidRPr="00AB6D88" w:rsidRDefault="00AF4025"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4919AC99" w:rsidR="00C2682A" w:rsidRPr="00AB6D88" w:rsidRDefault="00AF4025" w:rsidP="00FA5524">
                <w:pPr>
                  <w:rPr>
                    <w:rFonts w:cs="Arial"/>
                  </w:rPr>
                </w:pPr>
                <w:r>
                  <w:rPr>
                    <w:rFonts w:cs="Arial"/>
                  </w:rPr>
                  <w:t>Belgium</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5F195545" w14:textId="77777777" w:rsidR="00AF4025" w:rsidRPr="00873E54" w:rsidRDefault="00AF4025" w:rsidP="00AF4025">
      <w:pPr>
        <w:pStyle w:val="Heading3"/>
        <w:rPr>
          <w:rFonts w:ascii="Arial" w:hAnsi="Arial" w:cs="Arial"/>
        </w:rPr>
      </w:pPr>
      <w:permStart w:id="1454525006" w:edGrp="everyone"/>
      <w:r w:rsidRPr="00873E54">
        <w:rPr>
          <w:rFonts w:ascii="Arial" w:hAnsi="Arial" w:cs="Arial"/>
        </w:rPr>
        <w:t>Diversity in trading choices</w:t>
      </w:r>
    </w:p>
    <w:p w14:paraId="2EDC31E2" w14:textId="77777777" w:rsidR="00AF4025" w:rsidRPr="00610A94" w:rsidRDefault="00AF4025" w:rsidP="00AF4025">
      <w:pPr>
        <w:spacing w:line="276" w:lineRule="auto"/>
        <w:jc w:val="both"/>
        <w:rPr>
          <w:rFonts w:cs="Arial"/>
          <w:szCs w:val="20"/>
        </w:rPr>
      </w:pPr>
      <w:r w:rsidRPr="00610A94">
        <w:rPr>
          <w:rFonts w:cs="Arial"/>
          <w:szCs w:val="20"/>
        </w:rPr>
        <w:t>EFAMA</w:t>
      </w:r>
      <w:r w:rsidRPr="0024788D">
        <w:rPr>
          <w:rFonts w:cs="Arial"/>
          <w:szCs w:val="20"/>
          <w:vertAlign w:val="superscript"/>
        </w:rPr>
        <w:footnoteReference w:id="2"/>
      </w:r>
      <w:r w:rsidRPr="0024788D">
        <w:rPr>
          <w:rFonts w:cs="Arial"/>
          <w:szCs w:val="20"/>
        </w:rPr>
        <w:t xml:space="preserve"> </w:t>
      </w:r>
      <w:r w:rsidRPr="00610A94">
        <w:rPr>
          <w:rFonts w:cs="Arial"/>
          <w:szCs w:val="20"/>
        </w:rPr>
        <w:t>believes that diversity in trading mechanisms supports best execution outcomes and is a defining feature of a mature market structure. SIs plays a role in providing liquidity and price improvement within this ecosystem</w:t>
      </w:r>
      <w:r w:rsidRPr="001D22FE">
        <w:t xml:space="preserve"> </w:t>
      </w:r>
      <w:r>
        <w:t xml:space="preserve">and </w:t>
      </w:r>
      <w:r w:rsidRPr="001D22FE">
        <w:rPr>
          <w:rFonts w:cs="Arial"/>
          <w:szCs w:val="20"/>
        </w:rPr>
        <w:t>act as a ‘shock absorber’ for end-users by limiting price impacts of buy-side positions</w:t>
      </w:r>
      <w:r w:rsidRPr="00610A94">
        <w:rPr>
          <w:rFonts w:cs="Arial"/>
          <w:szCs w:val="20"/>
        </w:rPr>
        <w:t>. We believe it is important to preserve these models in the MIFID review.</w:t>
      </w:r>
    </w:p>
    <w:p w14:paraId="50727D99" w14:textId="77777777" w:rsidR="00AF4025" w:rsidRPr="00610A94" w:rsidRDefault="00AF4025" w:rsidP="00AF4025">
      <w:pPr>
        <w:spacing w:line="276" w:lineRule="auto"/>
        <w:jc w:val="both"/>
        <w:rPr>
          <w:rFonts w:cs="Arial"/>
          <w:szCs w:val="20"/>
        </w:rPr>
      </w:pPr>
    </w:p>
    <w:p w14:paraId="53492FE5" w14:textId="77777777" w:rsidR="00AF4025" w:rsidRPr="00610A94" w:rsidRDefault="00AF4025" w:rsidP="00AF4025">
      <w:pPr>
        <w:spacing w:line="276" w:lineRule="auto"/>
        <w:jc w:val="both"/>
        <w:rPr>
          <w:rFonts w:cs="Arial"/>
          <w:szCs w:val="20"/>
        </w:rPr>
      </w:pPr>
      <w:r w:rsidRPr="00610A94">
        <w:rPr>
          <w:rFonts w:cs="Arial"/>
          <w:szCs w:val="20"/>
        </w:rPr>
        <w:t>There is no evidence to indicate that SIs have had any negative impact on liquidity or price discovery. As sources of liquidity</w:t>
      </w:r>
      <w:r>
        <w:rPr>
          <w:rFonts w:cs="Arial"/>
          <w:szCs w:val="20"/>
        </w:rPr>
        <w:t>,</w:t>
      </w:r>
      <w:r w:rsidRPr="00610A94">
        <w:rPr>
          <w:rFonts w:cs="Arial"/>
          <w:szCs w:val="20"/>
        </w:rPr>
        <w:t xml:space="preserve"> they add much needed diversity and competition which only stands to benefit investors. Should SI activity be restricted in any way, the only beneficiaries would be primary markets which risks establishing an oligopoly in European markets.</w:t>
      </w:r>
    </w:p>
    <w:p w14:paraId="39BF51D0" w14:textId="77777777" w:rsidR="00AF4025" w:rsidRPr="00610A94" w:rsidRDefault="00AF4025" w:rsidP="00AF4025">
      <w:pPr>
        <w:spacing w:line="276" w:lineRule="auto"/>
        <w:jc w:val="both"/>
        <w:rPr>
          <w:rFonts w:cs="Arial"/>
          <w:szCs w:val="20"/>
        </w:rPr>
      </w:pPr>
    </w:p>
    <w:p w14:paraId="7BB2686F" w14:textId="77777777" w:rsidR="00AF4025" w:rsidRPr="00873E54" w:rsidRDefault="00AF4025" w:rsidP="00AF4025">
      <w:pPr>
        <w:pStyle w:val="Heading3"/>
        <w:rPr>
          <w:rFonts w:ascii="Arial" w:hAnsi="Arial" w:cs="Arial"/>
        </w:rPr>
      </w:pPr>
      <w:r w:rsidRPr="00873E54">
        <w:rPr>
          <w:rFonts w:ascii="Arial" w:hAnsi="Arial" w:cs="Arial"/>
        </w:rPr>
        <w:t>Best execution and investor choice</w:t>
      </w:r>
    </w:p>
    <w:p w14:paraId="065D5C4B" w14:textId="77777777" w:rsidR="00AF4025" w:rsidRPr="00610A94" w:rsidRDefault="00AF4025" w:rsidP="00AF4025">
      <w:pPr>
        <w:spacing w:line="276" w:lineRule="auto"/>
        <w:jc w:val="both"/>
        <w:rPr>
          <w:rFonts w:cs="Arial"/>
          <w:szCs w:val="20"/>
        </w:rPr>
      </w:pPr>
      <w:r w:rsidRPr="00610A94">
        <w:rPr>
          <w:rFonts w:cs="Arial"/>
          <w:szCs w:val="20"/>
        </w:rPr>
        <w:t>EFAMA does not believe there ought to be any limitations on our ability to execute in a manner befitting our needs as market participants. We support the removal of the share trading obligation (STO) and the double volume cap mechanism (DVC). Both requirements do not result in positive outcomes for market participants but end up creating a complex market structure in Europe to the benefit of primary exchanges only and the detriment of end-users.</w:t>
      </w:r>
    </w:p>
    <w:p w14:paraId="46AA675D" w14:textId="77777777" w:rsidR="00AF4025" w:rsidRDefault="00AF4025" w:rsidP="00AF4025">
      <w:pPr>
        <w:spacing w:line="276" w:lineRule="auto"/>
        <w:jc w:val="both"/>
        <w:rPr>
          <w:rFonts w:cs="Arial"/>
          <w:szCs w:val="20"/>
        </w:rPr>
      </w:pPr>
    </w:p>
    <w:p w14:paraId="124C2485" w14:textId="77777777" w:rsidR="00AF4025" w:rsidRPr="00873E54" w:rsidRDefault="00AF4025" w:rsidP="00AF4025">
      <w:pPr>
        <w:pStyle w:val="Heading3"/>
        <w:rPr>
          <w:rFonts w:ascii="Arial" w:hAnsi="Arial" w:cs="Arial"/>
        </w:rPr>
      </w:pPr>
      <w:r w:rsidRPr="00873E54">
        <w:rPr>
          <w:rFonts w:ascii="Arial" w:hAnsi="Arial" w:cs="Arial"/>
        </w:rPr>
        <w:t>Timing</w:t>
      </w:r>
    </w:p>
    <w:p w14:paraId="0E21AB9B" w14:textId="77777777" w:rsidR="00AF4025" w:rsidRDefault="00AF4025" w:rsidP="00AF4025">
      <w:pPr>
        <w:spacing w:line="276" w:lineRule="auto"/>
        <w:jc w:val="both"/>
        <w:rPr>
          <w:rFonts w:cs="Arial"/>
        </w:rPr>
      </w:pPr>
      <w:r>
        <w:rPr>
          <w:rFonts w:cs="Arial"/>
        </w:rPr>
        <w:t>We consider that t</w:t>
      </w:r>
      <w:r w:rsidRPr="00223A96">
        <w:rPr>
          <w:rFonts w:cs="Arial"/>
        </w:rPr>
        <w:t>he time between the application of the rule and its assessment is too short to propose strong improvement</w:t>
      </w:r>
      <w:r>
        <w:rPr>
          <w:rFonts w:cs="Arial"/>
        </w:rPr>
        <w:t xml:space="preserve"> as requested by this consultation.</w:t>
      </w:r>
    </w:p>
    <w:p w14:paraId="3CC11002" w14:textId="77777777" w:rsidR="00AF4025" w:rsidRPr="00146781" w:rsidRDefault="00AF4025" w:rsidP="00AF4025">
      <w:pPr>
        <w:spacing w:line="276" w:lineRule="auto"/>
        <w:jc w:val="both"/>
        <w:rPr>
          <w:rFonts w:cs="Arial"/>
        </w:rPr>
      </w:pPr>
      <w:r w:rsidRPr="00146781">
        <w:rPr>
          <w:rFonts w:cs="Arial"/>
        </w:rPr>
        <w:t xml:space="preserve">In addition, </w:t>
      </w:r>
      <w:r>
        <w:rPr>
          <w:rFonts w:cs="Arial"/>
        </w:rPr>
        <w:t>t</w:t>
      </w:r>
      <w:r w:rsidRPr="00146781">
        <w:rPr>
          <w:rFonts w:cs="Arial"/>
        </w:rPr>
        <w:t xml:space="preserve">he timeline imposed to reply to the current consultation and the ESMA consultation paper </w:t>
      </w:r>
      <w:proofErr w:type="spellStart"/>
      <w:r w:rsidRPr="00146781">
        <w:rPr>
          <w:rFonts w:cs="Arial"/>
          <w:bCs/>
          <w:lang w:val="en-US"/>
        </w:rPr>
        <w:t>MiFIR</w:t>
      </w:r>
      <w:proofErr w:type="spellEnd"/>
      <w:r w:rsidRPr="00146781">
        <w:rPr>
          <w:rFonts w:cs="Arial"/>
          <w:bCs/>
          <w:lang w:val="en-US"/>
        </w:rPr>
        <w:t xml:space="preserve"> report on Systematic </w:t>
      </w:r>
      <w:proofErr w:type="spellStart"/>
      <w:r w:rsidRPr="00146781">
        <w:rPr>
          <w:rFonts w:cs="Arial"/>
          <w:bCs/>
          <w:lang w:val="en-US"/>
        </w:rPr>
        <w:t>Internalisers</w:t>
      </w:r>
      <w:proofErr w:type="spellEnd"/>
      <w:r w:rsidRPr="00146781">
        <w:rPr>
          <w:rFonts w:cs="Arial"/>
          <w:bCs/>
          <w:lang w:val="en-US"/>
        </w:rPr>
        <w:t xml:space="preserve"> in non-equity instruments is hardly compatible with the time required to collect and compile adequately the data needed</w:t>
      </w:r>
      <w:r w:rsidRPr="00146781">
        <w:rPr>
          <w:rFonts w:cs="Arial"/>
        </w:rPr>
        <w:t>.</w:t>
      </w:r>
    </w:p>
    <w:p w14:paraId="6A22288E" w14:textId="465A02B8" w:rsidR="00F87897" w:rsidRDefault="00AF4025" w:rsidP="00F87897">
      <w:r>
        <w:rPr>
          <w:rFonts w:cs="Arial"/>
        </w:rPr>
        <w:t>Lastly, we urge ESMA to bear in mind that a</w:t>
      </w:r>
      <w:r w:rsidRPr="0024788D">
        <w:rPr>
          <w:rFonts w:cs="Arial"/>
        </w:rPr>
        <w:t>ny change to regulatory reporting is a cost for the industry that should be requested only after a cost/benefit analysis</w:t>
      </w:r>
      <w:r>
        <w:rPr>
          <w:rFonts w:cs="Arial"/>
        </w:rPr>
        <w:t>.</w:t>
      </w:r>
      <w:permEnd w:id="1454525006"/>
    </w:p>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64CA0B24" w14:textId="77777777" w:rsidR="00AF4025" w:rsidRDefault="00AF4025" w:rsidP="00AF4025">
      <w:pPr>
        <w:spacing w:line="276" w:lineRule="auto"/>
        <w:jc w:val="both"/>
        <w:rPr>
          <w:rFonts w:cs="Arial"/>
          <w:bCs/>
          <w:szCs w:val="20"/>
        </w:rPr>
      </w:pPr>
      <w:permStart w:id="1955866996" w:edGrp="everyone"/>
      <w:r>
        <w:rPr>
          <w:rFonts w:cs="Arial"/>
          <w:bCs/>
          <w:szCs w:val="20"/>
        </w:rPr>
        <w:t>We disagree with ESMA’s proposal.</w:t>
      </w:r>
    </w:p>
    <w:p w14:paraId="361A4137" w14:textId="77777777" w:rsidR="00AF4025" w:rsidRDefault="00AF4025" w:rsidP="00AF4025">
      <w:pPr>
        <w:spacing w:line="276" w:lineRule="auto"/>
        <w:jc w:val="both"/>
        <w:rPr>
          <w:rFonts w:cs="Arial"/>
          <w:bCs/>
          <w:szCs w:val="20"/>
        </w:rPr>
      </w:pPr>
      <w:r w:rsidRPr="00102598">
        <w:rPr>
          <w:rFonts w:cs="Arial"/>
          <w:bCs/>
          <w:szCs w:val="20"/>
        </w:rPr>
        <w:t xml:space="preserve">We consider </w:t>
      </w:r>
      <w:r>
        <w:rPr>
          <w:rFonts w:cs="Arial"/>
          <w:bCs/>
          <w:szCs w:val="20"/>
        </w:rPr>
        <w:t xml:space="preserve">that </w:t>
      </w:r>
      <w:r w:rsidRPr="00102598">
        <w:rPr>
          <w:rFonts w:cs="Arial"/>
          <w:bCs/>
          <w:szCs w:val="20"/>
        </w:rPr>
        <w:t xml:space="preserve">the access of information to one retail investor should </w:t>
      </w:r>
      <w:r>
        <w:rPr>
          <w:rFonts w:cs="Arial"/>
          <w:bCs/>
          <w:szCs w:val="20"/>
        </w:rPr>
        <w:t xml:space="preserve">not </w:t>
      </w:r>
      <w:r w:rsidRPr="00102598">
        <w:rPr>
          <w:rFonts w:cs="Arial"/>
          <w:bCs/>
          <w:szCs w:val="20"/>
        </w:rPr>
        <w:t xml:space="preserve">come at the detriment of </w:t>
      </w:r>
      <w:r>
        <w:rPr>
          <w:rFonts w:cs="Arial"/>
          <w:bCs/>
          <w:szCs w:val="20"/>
        </w:rPr>
        <w:t xml:space="preserve">the revenues of </w:t>
      </w:r>
      <w:r w:rsidRPr="00102598">
        <w:rPr>
          <w:rFonts w:cs="Arial"/>
          <w:bCs/>
          <w:szCs w:val="20"/>
        </w:rPr>
        <w:t xml:space="preserve">a multitude only because they chose a CIS as a vehicle for their investments. </w:t>
      </w:r>
    </w:p>
    <w:p w14:paraId="2844AC5B" w14:textId="77777777" w:rsidR="00AF4025" w:rsidRDefault="00AF4025" w:rsidP="00AF4025">
      <w:pPr>
        <w:spacing w:line="276" w:lineRule="auto"/>
        <w:jc w:val="both"/>
        <w:rPr>
          <w:rFonts w:cs="Arial"/>
          <w:bCs/>
          <w:szCs w:val="20"/>
        </w:rPr>
      </w:pPr>
    </w:p>
    <w:p w14:paraId="6D94DC93" w14:textId="77777777" w:rsidR="00AF4025" w:rsidRPr="00102598" w:rsidRDefault="00AF4025" w:rsidP="00AF4025">
      <w:pPr>
        <w:spacing w:line="276" w:lineRule="auto"/>
        <w:jc w:val="both"/>
        <w:rPr>
          <w:rFonts w:cs="Arial"/>
          <w:bCs/>
          <w:szCs w:val="20"/>
        </w:rPr>
      </w:pPr>
      <w:r w:rsidRPr="00102598">
        <w:rPr>
          <w:rFonts w:cs="Arial"/>
          <w:bCs/>
          <w:szCs w:val="20"/>
        </w:rPr>
        <w:t>Funds and asset managers are investing for and on behalf of their clients.</w:t>
      </w:r>
    </w:p>
    <w:p w14:paraId="02DED21E" w14:textId="77777777" w:rsidR="00AF4025" w:rsidRPr="00102598" w:rsidRDefault="00AF4025" w:rsidP="00AF4025">
      <w:pPr>
        <w:spacing w:line="276" w:lineRule="auto"/>
        <w:jc w:val="both"/>
        <w:rPr>
          <w:rFonts w:cs="Arial"/>
          <w:bCs/>
          <w:szCs w:val="20"/>
        </w:rPr>
      </w:pPr>
      <w:r w:rsidRPr="00102598">
        <w:rPr>
          <w:rFonts w:cs="Arial"/>
          <w:bCs/>
          <w:szCs w:val="20"/>
        </w:rPr>
        <w:t xml:space="preserve">To efficiently do so and to reduce costs of transactions, our members are frequently using </w:t>
      </w:r>
      <w:r>
        <w:rPr>
          <w:rFonts w:cs="Arial"/>
          <w:bCs/>
          <w:szCs w:val="20"/>
        </w:rPr>
        <w:t xml:space="preserve">waivers separately or </w:t>
      </w:r>
      <w:r w:rsidRPr="00102598">
        <w:rPr>
          <w:rFonts w:cs="Arial"/>
          <w:szCs w:val="20"/>
        </w:rPr>
        <w:t>in combination with each other since they interact to safeguard and facilitate institutional investors' ability to efficiently implement substantial investment decisions</w:t>
      </w:r>
      <w:r w:rsidRPr="00102598">
        <w:rPr>
          <w:rFonts w:cs="Arial"/>
          <w:bCs/>
          <w:szCs w:val="20"/>
        </w:rPr>
        <w:t>.</w:t>
      </w:r>
    </w:p>
    <w:p w14:paraId="392F6CCA" w14:textId="77777777" w:rsidR="00AF4025" w:rsidRPr="00102598" w:rsidRDefault="00AF4025" w:rsidP="00AF4025">
      <w:pPr>
        <w:spacing w:line="276" w:lineRule="auto"/>
        <w:jc w:val="both"/>
        <w:rPr>
          <w:rFonts w:cs="Arial"/>
          <w:bCs/>
          <w:szCs w:val="20"/>
        </w:rPr>
      </w:pPr>
    </w:p>
    <w:p w14:paraId="6B6D5B72" w14:textId="77777777" w:rsidR="00AF4025" w:rsidRPr="00102598" w:rsidRDefault="00AF4025" w:rsidP="00AF4025">
      <w:pPr>
        <w:spacing w:line="276" w:lineRule="auto"/>
        <w:jc w:val="both"/>
        <w:rPr>
          <w:rFonts w:cs="Arial"/>
          <w:bCs/>
          <w:szCs w:val="20"/>
        </w:rPr>
      </w:pPr>
      <w:r w:rsidRPr="00102598">
        <w:rPr>
          <w:rFonts w:cs="Arial"/>
          <w:bCs/>
          <w:szCs w:val="20"/>
        </w:rPr>
        <w:t>MiFID waivers are the mechanisms through which execution choice is made possible</w:t>
      </w:r>
      <w:r>
        <w:rPr>
          <w:rFonts w:cs="Arial"/>
          <w:bCs/>
          <w:szCs w:val="20"/>
        </w:rPr>
        <w:t xml:space="preserve">. </w:t>
      </w:r>
      <w:r w:rsidRPr="00102598">
        <w:rPr>
          <w:rFonts w:cs="Arial"/>
          <w:bCs/>
          <w:szCs w:val="20"/>
        </w:rPr>
        <w:t>The use of MIFID waivers translate into benefits for end-investors and the “real economy”:</w:t>
      </w:r>
    </w:p>
    <w:p w14:paraId="5D5A21FE" w14:textId="77777777" w:rsidR="00AF4025" w:rsidRPr="00102598" w:rsidRDefault="00AF4025" w:rsidP="00AF4025">
      <w:pPr>
        <w:numPr>
          <w:ilvl w:val="0"/>
          <w:numId w:val="37"/>
        </w:numPr>
        <w:contextualSpacing/>
        <w:rPr>
          <w:rFonts w:cs="Arial"/>
          <w:szCs w:val="20"/>
        </w:rPr>
      </w:pPr>
      <w:r w:rsidRPr="00102598">
        <w:rPr>
          <w:rFonts w:cs="Arial"/>
          <w:szCs w:val="20"/>
        </w:rPr>
        <w:t>Increased liquidity</w:t>
      </w:r>
    </w:p>
    <w:p w14:paraId="65D6F798" w14:textId="77777777" w:rsidR="00AF4025" w:rsidRPr="00102598" w:rsidRDefault="00AF4025" w:rsidP="00AF4025">
      <w:pPr>
        <w:ind w:left="720"/>
        <w:contextualSpacing/>
        <w:rPr>
          <w:rFonts w:cs="Arial"/>
          <w:szCs w:val="20"/>
        </w:rPr>
      </w:pPr>
      <w:r w:rsidRPr="00102598">
        <w:rPr>
          <w:rFonts w:cs="Arial"/>
          <w:szCs w:val="20"/>
        </w:rPr>
        <w:t xml:space="preserve">The possibility to use waivers brings participants into the market that would not have otherwise been there.  Likewise, the removal of the waivers will not, we believe, translate to a direct shift of liquidity from </w:t>
      </w:r>
      <w:r>
        <w:rPr>
          <w:rFonts w:cs="Arial"/>
          <w:szCs w:val="20"/>
        </w:rPr>
        <w:t>“</w:t>
      </w:r>
      <w:r w:rsidRPr="00102598">
        <w:rPr>
          <w:rFonts w:cs="Arial"/>
          <w:szCs w:val="20"/>
        </w:rPr>
        <w:t>dark</w:t>
      </w:r>
      <w:r>
        <w:rPr>
          <w:rFonts w:cs="Arial"/>
          <w:szCs w:val="20"/>
        </w:rPr>
        <w:t>”</w:t>
      </w:r>
      <w:r w:rsidRPr="00102598">
        <w:rPr>
          <w:rFonts w:cs="Arial"/>
          <w:szCs w:val="20"/>
        </w:rPr>
        <w:t xml:space="preserve"> to the </w:t>
      </w:r>
      <w:r>
        <w:rPr>
          <w:rFonts w:cs="Arial"/>
          <w:szCs w:val="20"/>
        </w:rPr>
        <w:t>“</w:t>
      </w:r>
      <w:r w:rsidRPr="00102598">
        <w:rPr>
          <w:rFonts w:cs="Arial"/>
          <w:szCs w:val="20"/>
        </w:rPr>
        <w:t>lit</w:t>
      </w:r>
      <w:r>
        <w:rPr>
          <w:rFonts w:cs="Arial"/>
          <w:szCs w:val="20"/>
        </w:rPr>
        <w:t>”</w:t>
      </w:r>
      <w:r w:rsidRPr="00102598">
        <w:rPr>
          <w:rFonts w:cs="Arial"/>
          <w:szCs w:val="20"/>
        </w:rPr>
        <w:t xml:space="preserve"> markets. Instead it will segment client orders into those which can benefit from crossing and those that cannot.  </w:t>
      </w:r>
    </w:p>
    <w:p w14:paraId="02E578C2" w14:textId="77777777" w:rsidR="00AF4025" w:rsidRPr="0024788D" w:rsidRDefault="00AF4025" w:rsidP="00AF4025">
      <w:pPr>
        <w:contextualSpacing/>
        <w:rPr>
          <w:rFonts w:cs="Arial"/>
          <w:szCs w:val="20"/>
        </w:rPr>
      </w:pPr>
    </w:p>
    <w:p w14:paraId="38566B97" w14:textId="77777777" w:rsidR="00AF4025" w:rsidRPr="0024788D" w:rsidRDefault="00AF4025" w:rsidP="00AF4025">
      <w:pPr>
        <w:numPr>
          <w:ilvl w:val="0"/>
          <w:numId w:val="37"/>
        </w:numPr>
        <w:contextualSpacing/>
        <w:rPr>
          <w:rFonts w:cs="Arial"/>
          <w:szCs w:val="20"/>
        </w:rPr>
      </w:pPr>
      <w:r w:rsidRPr="0024788D">
        <w:rPr>
          <w:rFonts w:cs="Arial"/>
          <w:szCs w:val="20"/>
        </w:rPr>
        <w:t>Lower costs</w:t>
      </w:r>
    </w:p>
    <w:p w14:paraId="666A53C7" w14:textId="77777777" w:rsidR="00AF4025" w:rsidRPr="0024788D" w:rsidRDefault="00AF4025" w:rsidP="00AF4025">
      <w:pPr>
        <w:ind w:left="720"/>
        <w:contextualSpacing/>
        <w:rPr>
          <w:rFonts w:cs="Arial"/>
          <w:szCs w:val="20"/>
        </w:rPr>
      </w:pPr>
      <w:r w:rsidRPr="0024788D">
        <w:rPr>
          <w:rFonts w:cs="Arial"/>
          <w:szCs w:val="20"/>
        </w:rPr>
        <w:t>At present, a broker with two opposing institutional orders can automatically match the orders, or parts of them, at the same price.  Without this possibility, the broker would be forced to incur spread costs on behalf of both of its clients by accessing a ‘lit’ order book. The buying client then pays a higher price than the selling client for no good reason.</w:t>
      </w:r>
    </w:p>
    <w:p w14:paraId="181CD48F" w14:textId="77777777" w:rsidR="00AF4025" w:rsidRPr="0024788D" w:rsidRDefault="00AF4025" w:rsidP="00AF4025">
      <w:pPr>
        <w:contextualSpacing/>
        <w:rPr>
          <w:rFonts w:cs="Arial"/>
          <w:szCs w:val="20"/>
        </w:rPr>
      </w:pPr>
    </w:p>
    <w:p w14:paraId="25132E91" w14:textId="77777777" w:rsidR="00AF4025" w:rsidRPr="0024788D" w:rsidRDefault="00AF4025" w:rsidP="00AF4025">
      <w:pPr>
        <w:numPr>
          <w:ilvl w:val="0"/>
          <w:numId w:val="37"/>
        </w:numPr>
        <w:contextualSpacing/>
        <w:rPr>
          <w:rFonts w:cs="Arial"/>
          <w:szCs w:val="20"/>
        </w:rPr>
      </w:pPr>
      <w:r w:rsidRPr="0024788D">
        <w:rPr>
          <w:rFonts w:cs="Arial"/>
          <w:szCs w:val="20"/>
        </w:rPr>
        <w:t>Less risk of the market moving against the client’s interest</w:t>
      </w:r>
    </w:p>
    <w:p w14:paraId="6BEE487D" w14:textId="77777777" w:rsidR="00AF4025" w:rsidRPr="0024788D" w:rsidRDefault="00AF4025" w:rsidP="00AF4025">
      <w:pPr>
        <w:ind w:left="720"/>
        <w:contextualSpacing/>
        <w:rPr>
          <w:rFonts w:cs="Arial"/>
          <w:szCs w:val="20"/>
        </w:rPr>
      </w:pPr>
      <w:r w:rsidRPr="0024788D">
        <w:rPr>
          <w:rFonts w:cs="Arial"/>
          <w:szCs w:val="20"/>
        </w:rPr>
        <w:t>Without the protection the waivers provide, the broker would force to publish orders and thus flag their clients’ intent to the market. With this information the market could move against the client, which is an unnecessary risk and avoidable cost for the end-investor.</w:t>
      </w:r>
    </w:p>
    <w:p w14:paraId="2F5FDF1E" w14:textId="77777777" w:rsidR="00AF4025" w:rsidRPr="0024788D" w:rsidRDefault="00AF4025" w:rsidP="00AF4025">
      <w:pPr>
        <w:spacing w:line="276" w:lineRule="auto"/>
        <w:jc w:val="both"/>
        <w:rPr>
          <w:rFonts w:cs="Arial"/>
          <w:bCs/>
          <w:szCs w:val="20"/>
        </w:rPr>
      </w:pPr>
    </w:p>
    <w:p w14:paraId="0BFF578C" w14:textId="77777777" w:rsidR="00AF4025" w:rsidRPr="0024788D" w:rsidRDefault="00AF4025" w:rsidP="00AF4025">
      <w:pPr>
        <w:spacing w:line="276" w:lineRule="auto"/>
        <w:jc w:val="both"/>
        <w:rPr>
          <w:rFonts w:cs="Arial"/>
          <w:bCs/>
          <w:szCs w:val="20"/>
        </w:rPr>
      </w:pPr>
      <w:r w:rsidRPr="0024788D">
        <w:rPr>
          <w:rFonts w:cs="Arial"/>
          <w:bCs/>
          <w:szCs w:val="20"/>
        </w:rPr>
        <w:t>In any discussion as to the need to retain the waiver, it is important to be clear as to the trading venues to which the waiver would apply. For instance, the reference price waiver operates for MTFs and RMs and any executed transaction will always be required to be published without delay and could not qualify for any post-trade delay. In addition, the reference price waiver allows asset managers to place orders to buy or sell large blocks of equities on behalf of their clients, commonly a range of funds, life pools and pension schemes. These long-term investing clients are vulnerable to the risk that other market participants will identify their need to trade in large size and move the price against them. The suppression of the reference price waiver would limit the capacity of long-term investors to invest in the SME market because of important execution cost and impact finally the potential growth of the global economy.</w:t>
      </w:r>
    </w:p>
    <w:p w14:paraId="5DCE3A93" w14:textId="77777777" w:rsidR="00AF4025" w:rsidRPr="0024788D" w:rsidRDefault="00AF4025" w:rsidP="00AF4025">
      <w:pPr>
        <w:spacing w:line="276" w:lineRule="auto"/>
        <w:jc w:val="both"/>
        <w:rPr>
          <w:rFonts w:cs="Arial"/>
          <w:bCs/>
          <w:szCs w:val="20"/>
        </w:rPr>
      </w:pPr>
    </w:p>
    <w:p w14:paraId="4BA9F364" w14:textId="77777777" w:rsidR="00AF4025" w:rsidRPr="0024788D" w:rsidRDefault="00AF4025" w:rsidP="00AF4025">
      <w:pPr>
        <w:spacing w:line="276" w:lineRule="auto"/>
        <w:jc w:val="both"/>
        <w:rPr>
          <w:rFonts w:cs="Arial"/>
          <w:bCs/>
          <w:szCs w:val="20"/>
        </w:rPr>
      </w:pPr>
      <w:r w:rsidRPr="0024788D">
        <w:rPr>
          <w:rFonts w:cs="Arial"/>
          <w:bCs/>
          <w:szCs w:val="20"/>
        </w:rPr>
        <w:t>Therefore, we consider that all waivers should remain, at least until a full-fle</w:t>
      </w:r>
      <w:r>
        <w:rPr>
          <w:rFonts w:cs="Arial"/>
          <w:bCs/>
          <w:szCs w:val="20"/>
        </w:rPr>
        <w:t>dged</w:t>
      </w:r>
      <w:r w:rsidRPr="0024788D">
        <w:rPr>
          <w:rFonts w:cs="Arial"/>
          <w:bCs/>
          <w:szCs w:val="20"/>
        </w:rPr>
        <w:t xml:space="preserve"> Consolidated Tape for all financial instruments is in place. </w:t>
      </w:r>
    </w:p>
    <w:p w14:paraId="51EB22F0" w14:textId="77777777" w:rsidR="00AF4025" w:rsidRPr="0024788D" w:rsidRDefault="00AF4025" w:rsidP="00AF4025">
      <w:pPr>
        <w:spacing w:line="276" w:lineRule="auto"/>
        <w:jc w:val="both"/>
        <w:rPr>
          <w:rFonts w:cs="Arial"/>
          <w:bCs/>
          <w:szCs w:val="20"/>
        </w:rPr>
      </w:pPr>
    </w:p>
    <w:p w14:paraId="44A82256" w14:textId="77777777" w:rsidR="00AF4025" w:rsidRDefault="00AF4025" w:rsidP="00AF4025">
      <w:pPr>
        <w:spacing w:line="276" w:lineRule="auto"/>
        <w:jc w:val="both"/>
        <w:rPr>
          <w:rFonts w:cs="Arial"/>
          <w:bCs/>
          <w:szCs w:val="20"/>
        </w:rPr>
      </w:pPr>
      <w:r w:rsidRPr="0024788D">
        <w:rPr>
          <w:rFonts w:cs="Arial"/>
          <w:bCs/>
          <w:szCs w:val="20"/>
        </w:rPr>
        <w:lastRenderedPageBreak/>
        <w:t xml:space="preserve">We also consider that, should ESMA impose a threshold, this threshold should be </w:t>
      </w:r>
      <w:r w:rsidRPr="00A030DF">
        <w:rPr>
          <w:rFonts w:cs="Arial"/>
          <w:bCs/>
          <w:szCs w:val="20"/>
        </w:rPr>
        <w:t xml:space="preserve">at or above €30,000. </w:t>
      </w:r>
      <w:r w:rsidRPr="00A60542">
        <w:rPr>
          <w:rFonts w:cs="Arial"/>
          <w:bCs/>
          <w:szCs w:val="20"/>
        </w:rPr>
        <w:t>This would increase the number of quotes of the lit market and allow private investors the ability to trade in their size on the same terms as institutional investors. Limiting the ability to cross stock to this threshold and above will also automatically increase the average size of dark trades. Market integrity is maintained, and transparency enhanced. ESMA should also remember that instant trade reporting also makes an important and substantial contribution to pre-trade transparency.</w:t>
      </w:r>
    </w:p>
    <w:p w14:paraId="013A0C39" w14:textId="77777777" w:rsidR="00AF4025" w:rsidRDefault="00AF4025" w:rsidP="00AF4025">
      <w:pPr>
        <w:spacing w:line="276" w:lineRule="auto"/>
        <w:jc w:val="both"/>
        <w:rPr>
          <w:rFonts w:cs="Arial"/>
          <w:bCs/>
          <w:szCs w:val="20"/>
        </w:rPr>
      </w:pPr>
    </w:p>
    <w:p w14:paraId="4A4CF699" w14:textId="1F0E73E8" w:rsidR="00A8728B" w:rsidRDefault="00AF4025" w:rsidP="00A8728B">
      <w:r>
        <w:rPr>
          <w:rFonts w:cs="Arial"/>
          <w:bCs/>
          <w:szCs w:val="20"/>
        </w:rPr>
        <w:t>Lastly,</w:t>
      </w:r>
      <w:r w:rsidRPr="00DA295C">
        <w:t xml:space="preserve"> </w:t>
      </w:r>
      <w:r>
        <w:t xml:space="preserve">and regarding </w:t>
      </w:r>
      <w:r w:rsidRPr="008A1AF7">
        <w:t>alternatives to improv</w:t>
      </w:r>
      <w:r>
        <w:t>e</w:t>
      </w:r>
      <w:r w:rsidRPr="008A1AF7">
        <w:t xml:space="preserve"> transparency available to market participants</w:t>
      </w:r>
      <w:r>
        <w:t>,</w:t>
      </w:r>
      <w:r w:rsidRPr="008A1AF7">
        <w:t xml:space="preserve"> </w:t>
      </w:r>
      <w:r>
        <w:t xml:space="preserve">we suggest ESMA to </w:t>
      </w:r>
      <w:r w:rsidRPr="00E80FFE">
        <w:t>introduce a maximum of four order types a trading venue may offer</w:t>
      </w:r>
      <w:r>
        <w:t xml:space="preserve">. Our view is that </w:t>
      </w:r>
      <w:r>
        <w:rPr>
          <w:rFonts w:cs="Arial"/>
          <w:bCs/>
          <w:szCs w:val="20"/>
        </w:rPr>
        <w:t>t</w:t>
      </w:r>
      <w:r w:rsidRPr="00DA295C">
        <w:rPr>
          <w:rFonts w:cs="Arial"/>
          <w:bCs/>
          <w:szCs w:val="20"/>
        </w:rPr>
        <w:t xml:space="preserve">he exchanges offer too many order types </w:t>
      </w:r>
      <w:r>
        <w:rPr>
          <w:rFonts w:cs="Arial"/>
          <w:bCs/>
          <w:szCs w:val="20"/>
        </w:rPr>
        <w:t>that are not for the benefit of the end-investor</w:t>
      </w:r>
      <w:r w:rsidRPr="00DA295C">
        <w:rPr>
          <w:rFonts w:cs="Arial"/>
          <w:bCs/>
          <w:szCs w:val="20"/>
        </w:rPr>
        <w:t xml:space="preserve">. </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47DA4639" w14:textId="77777777" w:rsidR="00AF4025" w:rsidRDefault="00AF4025" w:rsidP="00AF4025">
      <w:pPr>
        <w:spacing w:line="276" w:lineRule="auto"/>
        <w:jc w:val="both"/>
        <w:rPr>
          <w:rFonts w:cs="Arial"/>
          <w:szCs w:val="20"/>
        </w:rPr>
      </w:pPr>
      <w:permStart w:id="1066216518" w:edGrp="everyone"/>
      <w:r w:rsidRPr="000E08A6">
        <w:rPr>
          <w:rFonts w:cs="Arial"/>
          <w:bCs/>
          <w:szCs w:val="20"/>
        </w:rPr>
        <w:t>No.</w:t>
      </w:r>
      <w:r w:rsidRPr="000E08A6">
        <w:rPr>
          <w:rFonts w:cs="Arial"/>
          <w:szCs w:val="20"/>
        </w:rPr>
        <w:t xml:space="preserve"> </w:t>
      </w:r>
    </w:p>
    <w:p w14:paraId="1BC4CB35" w14:textId="77777777" w:rsidR="00AF4025" w:rsidRPr="00383D80" w:rsidRDefault="00AF4025" w:rsidP="00AF4025">
      <w:pPr>
        <w:spacing w:line="276" w:lineRule="auto"/>
        <w:jc w:val="both"/>
        <w:rPr>
          <w:rFonts w:cs="Arial"/>
          <w:bCs/>
          <w:szCs w:val="20"/>
        </w:rPr>
      </w:pPr>
      <w:r w:rsidRPr="00383D80">
        <w:rPr>
          <w:rFonts w:cs="Arial"/>
          <w:bCs/>
          <w:szCs w:val="20"/>
        </w:rPr>
        <w:t xml:space="preserve">We </w:t>
      </w:r>
      <w:r>
        <w:rPr>
          <w:rFonts w:cs="Arial"/>
          <w:bCs/>
          <w:szCs w:val="20"/>
        </w:rPr>
        <w:t xml:space="preserve">take </w:t>
      </w:r>
      <w:r w:rsidRPr="00383D80">
        <w:rPr>
          <w:rFonts w:cs="Arial"/>
          <w:bCs/>
          <w:szCs w:val="20"/>
        </w:rPr>
        <w:t xml:space="preserve">note </w:t>
      </w:r>
      <w:r>
        <w:rPr>
          <w:rFonts w:cs="Arial"/>
          <w:bCs/>
          <w:szCs w:val="20"/>
        </w:rPr>
        <w:t xml:space="preserve">of </w:t>
      </w:r>
      <w:r w:rsidRPr="00383D80">
        <w:rPr>
          <w:rFonts w:cs="Arial"/>
          <w:bCs/>
          <w:szCs w:val="20"/>
        </w:rPr>
        <w:t>ESMA’s analysis relat</w:t>
      </w:r>
      <w:r>
        <w:rPr>
          <w:rFonts w:cs="Arial"/>
          <w:bCs/>
          <w:szCs w:val="20"/>
        </w:rPr>
        <w:t>ed</w:t>
      </w:r>
      <w:r w:rsidRPr="00383D80">
        <w:rPr>
          <w:rFonts w:cs="Arial"/>
          <w:bCs/>
          <w:szCs w:val="20"/>
        </w:rPr>
        <w:t xml:space="preserve"> to the increased volume of ETF on-venue trades executed under the LIS waiver (in comparison to other financial instruments) and we acknowledge the potential benefits inherent to increasing the pre-trade LIS threshold for ETFs from EUR 1,000,000 to EUR 5,000,000.</w:t>
      </w:r>
    </w:p>
    <w:p w14:paraId="67B46334" w14:textId="77777777" w:rsidR="00AF4025" w:rsidRPr="00383D80" w:rsidRDefault="00AF4025" w:rsidP="00AF4025">
      <w:pPr>
        <w:spacing w:line="276" w:lineRule="auto"/>
        <w:jc w:val="both"/>
        <w:rPr>
          <w:rFonts w:cs="Arial"/>
          <w:bCs/>
          <w:szCs w:val="20"/>
        </w:rPr>
      </w:pPr>
    </w:p>
    <w:p w14:paraId="0E4EAF84" w14:textId="77777777" w:rsidR="00AF4025" w:rsidRPr="00383D80" w:rsidRDefault="00AF4025" w:rsidP="00AF4025">
      <w:pPr>
        <w:spacing w:line="276" w:lineRule="auto"/>
        <w:jc w:val="both"/>
        <w:rPr>
          <w:rFonts w:cs="Arial"/>
          <w:bCs/>
          <w:szCs w:val="20"/>
        </w:rPr>
      </w:pPr>
      <w:r w:rsidRPr="00383D80">
        <w:rPr>
          <w:rFonts w:cs="Arial"/>
          <w:bCs/>
          <w:szCs w:val="20"/>
        </w:rPr>
        <w:t xml:space="preserve">However, in our opinion and based on </w:t>
      </w:r>
      <w:r>
        <w:rPr>
          <w:rFonts w:cs="Arial"/>
          <w:bCs/>
          <w:szCs w:val="20"/>
        </w:rPr>
        <w:t xml:space="preserve">the </w:t>
      </w:r>
      <w:r w:rsidRPr="00383D80">
        <w:rPr>
          <w:rFonts w:cs="Arial"/>
          <w:bCs/>
          <w:szCs w:val="20"/>
        </w:rPr>
        <w:t>market experience</w:t>
      </w:r>
      <w:r>
        <w:rPr>
          <w:rFonts w:cs="Arial"/>
          <w:bCs/>
          <w:szCs w:val="20"/>
        </w:rPr>
        <w:t xml:space="preserve"> of our members</w:t>
      </w:r>
      <w:r w:rsidRPr="00383D80">
        <w:rPr>
          <w:rFonts w:cs="Arial"/>
          <w:bCs/>
          <w:szCs w:val="20"/>
        </w:rPr>
        <w:t xml:space="preserve">, increasing the pre-trade LIS threshold for ETFs could encourage more trading on request for quote (RFQ) platforms </w:t>
      </w:r>
      <w:r>
        <w:rPr>
          <w:rFonts w:cs="Arial"/>
          <w:bCs/>
          <w:szCs w:val="20"/>
        </w:rPr>
        <w:t>rather than</w:t>
      </w:r>
      <w:r w:rsidRPr="00383D80">
        <w:rPr>
          <w:rFonts w:cs="Arial"/>
          <w:bCs/>
          <w:szCs w:val="20"/>
        </w:rPr>
        <w:t xml:space="preserve"> trading on exchanges. In our experience, the pre-trade transparency requirements of RFQ platforms are not as clearly defined as those which apply to exchanges, and thus brokers may be commercially incentivised to trade on RFQ platforms due to the reduced levels of pre-trade transparency.</w:t>
      </w:r>
    </w:p>
    <w:p w14:paraId="7BB00476" w14:textId="77777777" w:rsidR="00AF4025" w:rsidRDefault="00AF4025" w:rsidP="00AF4025">
      <w:pPr>
        <w:spacing w:line="276" w:lineRule="auto"/>
        <w:jc w:val="both"/>
        <w:rPr>
          <w:rFonts w:cs="Arial"/>
          <w:szCs w:val="20"/>
        </w:rPr>
      </w:pPr>
    </w:p>
    <w:p w14:paraId="2AA814D6" w14:textId="77777777" w:rsidR="00AF4025" w:rsidRPr="008D439D" w:rsidRDefault="00AF4025" w:rsidP="00AF4025">
      <w:pPr>
        <w:spacing w:line="276" w:lineRule="auto"/>
        <w:jc w:val="both"/>
        <w:rPr>
          <w:rFonts w:cs="Arial"/>
          <w:szCs w:val="20"/>
        </w:rPr>
      </w:pPr>
      <w:r>
        <w:rPr>
          <w:rFonts w:cs="Arial"/>
          <w:szCs w:val="20"/>
        </w:rPr>
        <w:t>We</w:t>
      </w:r>
      <w:r w:rsidRPr="000E08A6">
        <w:rPr>
          <w:rFonts w:cs="Arial"/>
          <w:szCs w:val="20"/>
        </w:rPr>
        <w:t xml:space="preserve"> </w:t>
      </w:r>
      <w:r>
        <w:rPr>
          <w:rFonts w:cs="Arial"/>
          <w:szCs w:val="20"/>
        </w:rPr>
        <w:t>also insist on the fact that</w:t>
      </w:r>
      <w:r w:rsidRPr="000E08A6">
        <w:rPr>
          <w:rFonts w:cs="Arial"/>
          <w:szCs w:val="20"/>
        </w:rPr>
        <w:t xml:space="preserve"> EU ETFs market consists primarily of institutional counterparties that engage in large-scale trades</w:t>
      </w:r>
      <w:r>
        <w:rPr>
          <w:rFonts w:cs="Arial"/>
          <w:szCs w:val="20"/>
        </w:rPr>
        <w:t xml:space="preserve">, which </w:t>
      </w:r>
      <w:r w:rsidRPr="000E08A6">
        <w:rPr>
          <w:rFonts w:cs="Arial"/>
          <w:bCs/>
          <w:szCs w:val="20"/>
        </w:rPr>
        <w:t xml:space="preserve">are not </w:t>
      </w:r>
      <w:r>
        <w:rPr>
          <w:rFonts w:cs="Arial"/>
          <w:bCs/>
          <w:szCs w:val="20"/>
        </w:rPr>
        <w:t xml:space="preserve">subject to </w:t>
      </w:r>
      <w:r w:rsidRPr="000E08A6">
        <w:rPr>
          <w:rFonts w:cs="Arial"/>
          <w:bCs/>
          <w:szCs w:val="20"/>
        </w:rPr>
        <w:t>pre-trade transparen</w:t>
      </w:r>
      <w:r>
        <w:rPr>
          <w:rFonts w:cs="Arial"/>
          <w:bCs/>
          <w:szCs w:val="20"/>
        </w:rPr>
        <w:t xml:space="preserve">cy </w:t>
      </w:r>
      <w:r w:rsidRPr="000E08A6">
        <w:rPr>
          <w:rFonts w:cs="Arial"/>
          <w:bCs/>
          <w:szCs w:val="20"/>
        </w:rPr>
        <w:t>requirements due to the appropriate use of the LIS waiver.</w:t>
      </w:r>
    </w:p>
    <w:p w14:paraId="0D3413DC" w14:textId="77777777" w:rsidR="00AF4025" w:rsidRDefault="00AF4025" w:rsidP="00AF4025">
      <w:pPr>
        <w:spacing w:line="276" w:lineRule="auto"/>
        <w:jc w:val="both"/>
        <w:rPr>
          <w:rFonts w:cs="Arial"/>
          <w:bCs/>
          <w:szCs w:val="20"/>
        </w:rPr>
      </w:pPr>
    </w:p>
    <w:p w14:paraId="21EAA8A7" w14:textId="77777777" w:rsidR="00AF4025" w:rsidRDefault="00AF4025" w:rsidP="00AF4025">
      <w:pPr>
        <w:spacing w:line="276" w:lineRule="auto"/>
        <w:jc w:val="both"/>
        <w:rPr>
          <w:rFonts w:cs="Arial"/>
          <w:bCs/>
          <w:szCs w:val="20"/>
        </w:rPr>
      </w:pPr>
      <w:r w:rsidRPr="000E08A6">
        <w:rPr>
          <w:rFonts w:cs="Arial"/>
          <w:bCs/>
          <w:szCs w:val="20"/>
        </w:rPr>
        <w:t xml:space="preserve">The approach to calculating LIS for ETFs should </w:t>
      </w:r>
      <w:r>
        <w:rPr>
          <w:rFonts w:cs="Arial"/>
          <w:bCs/>
          <w:szCs w:val="20"/>
        </w:rPr>
        <w:t>therefore:</w:t>
      </w:r>
      <w:r w:rsidRPr="000E08A6">
        <w:rPr>
          <w:rFonts w:cs="Arial"/>
          <w:bCs/>
          <w:szCs w:val="20"/>
        </w:rPr>
        <w:t xml:space="preserve"> </w:t>
      </w:r>
    </w:p>
    <w:p w14:paraId="4254DE51" w14:textId="77777777" w:rsidR="00AF4025" w:rsidRPr="00EB3226" w:rsidRDefault="00AF4025" w:rsidP="00AF4025">
      <w:pPr>
        <w:pStyle w:val="ListParagraph"/>
        <w:numPr>
          <w:ilvl w:val="0"/>
          <w:numId w:val="38"/>
        </w:numPr>
        <w:spacing w:line="276" w:lineRule="auto"/>
        <w:jc w:val="both"/>
        <w:rPr>
          <w:rFonts w:cs="Arial"/>
          <w:bCs/>
        </w:rPr>
      </w:pPr>
      <w:r>
        <w:rPr>
          <w:rFonts w:cs="Arial"/>
          <w:bCs/>
        </w:rPr>
        <w:t xml:space="preserve">be </w:t>
      </w:r>
      <w:r w:rsidRPr="00EB3226">
        <w:rPr>
          <w:rFonts w:cs="Arial"/>
          <w:bCs/>
        </w:rPr>
        <w:t>tailored to take greater account of the liquidity of the underlying benchmark or index to which the ETF is linked</w:t>
      </w:r>
      <w:r>
        <w:rPr>
          <w:rFonts w:cs="Arial"/>
          <w:bCs/>
        </w:rPr>
        <w:t>,</w:t>
      </w:r>
    </w:p>
    <w:p w14:paraId="4CE1A67C" w14:textId="77777777" w:rsidR="00AF4025" w:rsidRPr="000E08A6" w:rsidRDefault="00AF4025" w:rsidP="00AF4025">
      <w:pPr>
        <w:pStyle w:val="ListParagraph"/>
        <w:numPr>
          <w:ilvl w:val="0"/>
          <w:numId w:val="38"/>
        </w:numPr>
        <w:spacing w:line="276" w:lineRule="auto"/>
        <w:jc w:val="both"/>
        <w:rPr>
          <w:rFonts w:cs="Arial"/>
          <w:bCs/>
        </w:rPr>
      </w:pPr>
      <w:r w:rsidRPr="000E08A6">
        <w:rPr>
          <w:rFonts w:cs="Arial"/>
          <w:bCs/>
        </w:rPr>
        <w:t>aligned with the other waivers’ thresholds</w:t>
      </w:r>
      <w:r>
        <w:rPr>
          <w:rFonts w:cs="Arial"/>
          <w:bCs/>
        </w:rPr>
        <w:t>,</w:t>
      </w:r>
    </w:p>
    <w:p w14:paraId="07BCD3D1" w14:textId="77777777" w:rsidR="00AF4025" w:rsidRDefault="00AF4025" w:rsidP="00AF4025">
      <w:pPr>
        <w:pStyle w:val="ListParagraph"/>
        <w:numPr>
          <w:ilvl w:val="0"/>
          <w:numId w:val="38"/>
        </w:numPr>
        <w:spacing w:line="276" w:lineRule="auto"/>
        <w:jc w:val="both"/>
        <w:rPr>
          <w:rFonts w:cs="Arial"/>
          <w:bCs/>
        </w:rPr>
      </w:pPr>
      <w:r>
        <w:rPr>
          <w:rFonts w:cs="Arial"/>
          <w:bCs/>
        </w:rPr>
        <w:t xml:space="preserve">be calculated </w:t>
      </w:r>
      <w:r w:rsidRPr="000E08A6">
        <w:rPr>
          <w:rFonts w:cs="Arial"/>
          <w:bCs/>
        </w:rPr>
        <w:t>differently</w:t>
      </w:r>
      <w:r>
        <w:rPr>
          <w:rFonts w:cs="Arial"/>
          <w:bCs/>
        </w:rPr>
        <w:t xml:space="preserve"> depending on the underlying as </w:t>
      </w:r>
      <w:r w:rsidRPr="000E08A6">
        <w:rPr>
          <w:rFonts w:cs="Arial"/>
          <w:bCs/>
        </w:rPr>
        <w:t>equities-based ETFs do not behave identically to non-equities-based ETFs, the latter being less liquid and requiring more flexibility)</w:t>
      </w:r>
      <w:r>
        <w:rPr>
          <w:rFonts w:cs="Arial"/>
          <w:bCs/>
        </w:rPr>
        <w:t>, and</w:t>
      </w:r>
    </w:p>
    <w:p w14:paraId="7216BA8F" w14:textId="77777777" w:rsidR="00AF4025" w:rsidRPr="000E08A6" w:rsidRDefault="00AF4025" w:rsidP="00AF4025">
      <w:pPr>
        <w:pStyle w:val="ListParagraph"/>
        <w:numPr>
          <w:ilvl w:val="0"/>
          <w:numId w:val="38"/>
        </w:numPr>
        <w:spacing w:line="276" w:lineRule="auto"/>
        <w:jc w:val="both"/>
        <w:rPr>
          <w:rFonts w:cs="Arial"/>
          <w:bCs/>
        </w:rPr>
      </w:pPr>
      <w:r>
        <w:rPr>
          <w:rFonts w:cs="Arial"/>
          <w:bCs/>
        </w:rPr>
        <w:t>add the liquidity of the FX instruments and hedging derivatives in the liquidity’s calculation methods</w:t>
      </w:r>
      <w:r w:rsidRPr="000E08A6">
        <w:rPr>
          <w:rFonts w:cs="Arial"/>
          <w:bCs/>
        </w:rPr>
        <w:t>.</w:t>
      </w:r>
    </w:p>
    <w:p w14:paraId="6D0004A5" w14:textId="77777777" w:rsidR="00AF4025" w:rsidRPr="000E08A6" w:rsidRDefault="00AF4025" w:rsidP="00AF4025">
      <w:pPr>
        <w:spacing w:line="276" w:lineRule="auto"/>
        <w:jc w:val="both"/>
        <w:rPr>
          <w:rFonts w:cs="Arial"/>
          <w:b/>
          <w:szCs w:val="20"/>
        </w:rPr>
      </w:pPr>
    </w:p>
    <w:p w14:paraId="34BF2228" w14:textId="77777777" w:rsidR="00AF4025" w:rsidRPr="0024788D" w:rsidRDefault="00AF4025" w:rsidP="00AF4025">
      <w:pPr>
        <w:rPr>
          <w:rFonts w:cs="Arial"/>
        </w:rPr>
      </w:pPr>
      <w:r w:rsidRPr="0024788D">
        <w:rPr>
          <w:rFonts w:cs="Arial"/>
        </w:rPr>
        <w:t>As  already</w:t>
      </w:r>
      <w:r>
        <w:rPr>
          <w:rFonts w:cs="Arial"/>
        </w:rPr>
        <w:t xml:space="preserve"> mentioned</w:t>
      </w:r>
      <w:r w:rsidRPr="0024788D">
        <w:rPr>
          <w:rFonts w:cs="Arial"/>
        </w:rPr>
        <w:t xml:space="preserve"> in 2014, we consider that relying on the volume of trading on ETF in Europe is irrelevant, as we consider that the figures registered by stock exchanges are not </w:t>
      </w:r>
      <w:r>
        <w:rPr>
          <w:rFonts w:cs="Arial"/>
        </w:rPr>
        <w:t>the representation of the market’s liquidity</w:t>
      </w:r>
      <w:r w:rsidRPr="0024788D">
        <w:rPr>
          <w:rFonts w:cs="Arial"/>
        </w:rPr>
        <w:t xml:space="preserve"> as market makers are frequently publishing only a fraction of their capabilities.</w:t>
      </w:r>
    </w:p>
    <w:p w14:paraId="238E27E2" w14:textId="77777777" w:rsidR="00AF4025" w:rsidRPr="0024788D" w:rsidRDefault="00AF4025" w:rsidP="00AF4025">
      <w:pPr>
        <w:rPr>
          <w:rFonts w:cs="Arial"/>
        </w:rPr>
      </w:pPr>
    </w:p>
    <w:p w14:paraId="1F9CCA4B" w14:textId="77777777" w:rsidR="00AF4025" w:rsidRPr="0024788D" w:rsidRDefault="00AF4025" w:rsidP="00AF4025">
      <w:pPr>
        <w:rPr>
          <w:rFonts w:cs="Arial"/>
        </w:rPr>
      </w:pPr>
      <w:r w:rsidRPr="0024788D">
        <w:rPr>
          <w:rFonts w:cs="Arial"/>
        </w:rPr>
        <w:t xml:space="preserve">We also insist on the fact that the major liquidity of the ETFs is coming only from the basket of underlying assets’ liquidity. </w:t>
      </w:r>
    </w:p>
    <w:p w14:paraId="5D0953C5" w14:textId="77777777" w:rsidR="00AF4025" w:rsidRPr="0024788D" w:rsidRDefault="00AF4025" w:rsidP="00AF4025">
      <w:pPr>
        <w:rPr>
          <w:rFonts w:cs="Arial"/>
        </w:rPr>
      </w:pPr>
    </w:p>
    <w:p w14:paraId="49DF9311" w14:textId="77777777" w:rsidR="00AF4025" w:rsidRPr="0024788D" w:rsidRDefault="00AF4025" w:rsidP="00AF4025">
      <w:pPr>
        <w:rPr>
          <w:rFonts w:cs="Arial"/>
        </w:rPr>
      </w:pPr>
      <w:r w:rsidRPr="0024788D">
        <w:rPr>
          <w:rFonts w:cs="Arial"/>
        </w:rPr>
        <w:t>Due to the open-ended nature of ETFs</w:t>
      </w:r>
      <w:r>
        <w:rPr>
          <w:rFonts w:cs="Arial"/>
        </w:rPr>
        <w:t>,</w:t>
      </w:r>
      <w:r w:rsidRPr="0024788D">
        <w:rPr>
          <w:rFonts w:cs="Arial"/>
        </w:rPr>
        <w:t xml:space="preserve"> this liquidity can be accessed through the Subscription and Redemption process, adding to the intrinsic liquidity of the ETF</w:t>
      </w:r>
      <w:r>
        <w:rPr>
          <w:rFonts w:cs="Arial"/>
        </w:rPr>
        <w:t xml:space="preserve">. </w:t>
      </w:r>
      <w:r w:rsidRPr="0024788D">
        <w:rPr>
          <w:rFonts w:cs="Arial"/>
        </w:rPr>
        <w:t xml:space="preserve">The most appropriate view of liquidity should therefore be based upon the underlying securities held by the ETF. </w:t>
      </w:r>
    </w:p>
    <w:p w14:paraId="2119DF99" w14:textId="77777777" w:rsidR="00AF4025" w:rsidRPr="0024788D" w:rsidRDefault="00AF4025" w:rsidP="00AF4025">
      <w:pPr>
        <w:rPr>
          <w:rFonts w:cs="Arial"/>
        </w:rPr>
      </w:pPr>
    </w:p>
    <w:p w14:paraId="78A3C40D" w14:textId="77777777" w:rsidR="00AF4025" w:rsidRPr="0024788D" w:rsidRDefault="00AF4025" w:rsidP="00AF4025">
      <w:pPr>
        <w:rPr>
          <w:rFonts w:cs="Arial"/>
        </w:rPr>
      </w:pPr>
      <w:r w:rsidRPr="00F23DA9">
        <w:rPr>
          <w:rFonts w:cs="Arial"/>
        </w:rPr>
        <w:lastRenderedPageBreak/>
        <w:t xml:space="preserve">Implementation of the regime is not consistent for ETFs and varies from one exchange to another. It is also applicable to some, but not all i.e. systematic </w:t>
      </w:r>
      <w:proofErr w:type="spellStart"/>
      <w:r w:rsidRPr="00F23DA9">
        <w:rPr>
          <w:rFonts w:cs="Arial"/>
        </w:rPr>
        <w:t>internalisers</w:t>
      </w:r>
      <w:proofErr w:type="spellEnd"/>
      <w:r w:rsidRPr="00F23DA9">
        <w:rPr>
          <w:rFonts w:cs="Arial"/>
        </w:rPr>
        <w:t xml:space="preserve"> (SIs) vs. non-SI. And even where ETFs can use the upper end of the liquidity bands, we still end up with tick sizes above 2bps in some instances, which is too large for some very liquid and heavily traded products. </w:t>
      </w:r>
      <w:r w:rsidRPr="0024788D">
        <w:rPr>
          <w:rFonts w:cs="Arial"/>
        </w:rPr>
        <w:t>For efficient ETF markets in liquid instruments</w:t>
      </w:r>
      <w:r>
        <w:rPr>
          <w:rFonts w:cs="Arial"/>
        </w:rPr>
        <w:t>,</w:t>
      </w:r>
      <w:r w:rsidRPr="0024788D">
        <w:rPr>
          <w:rFonts w:cs="Arial"/>
        </w:rPr>
        <w:t xml:space="preserve"> a tick size should be closer to 1bp and no more than 1.5bps. Therefore, ETFs should have their own liquidity bands completely, or further liquidity bands should be created to capture the dynamic trading element of ETFs.</w:t>
      </w:r>
    </w:p>
    <w:p w14:paraId="3DA50DE6" w14:textId="77777777" w:rsidR="00AF4025" w:rsidRPr="0024788D" w:rsidRDefault="00AF4025" w:rsidP="00AF4025">
      <w:pPr>
        <w:rPr>
          <w:rFonts w:cs="Arial"/>
        </w:rPr>
      </w:pPr>
    </w:p>
    <w:p w14:paraId="00130F0B" w14:textId="77777777" w:rsidR="00AF4025" w:rsidRPr="0024788D" w:rsidRDefault="00AF4025" w:rsidP="00AF4025">
      <w:pPr>
        <w:rPr>
          <w:rFonts w:cs="Arial"/>
        </w:rPr>
      </w:pPr>
      <w:r w:rsidRPr="0024788D">
        <w:rPr>
          <w:rFonts w:cs="Arial"/>
        </w:rPr>
        <w:t xml:space="preserve">To do so, the liquidity thresholds proposed for ETFs would benefit from integrating criteria that consider the liquidity of the underlying basket. While this might be difficult to implement for some exposures (notably in the Fixed Income space), we suggest below a possible </w:t>
      </w:r>
      <w:r>
        <w:rPr>
          <w:rFonts w:cs="Arial"/>
        </w:rPr>
        <w:t xml:space="preserve">starting point </w:t>
      </w:r>
      <w:r w:rsidRPr="0024788D">
        <w:rPr>
          <w:rFonts w:cs="Arial"/>
        </w:rPr>
        <w:t>to measure liquidity for equity baskets:</w:t>
      </w:r>
    </w:p>
    <w:p w14:paraId="7634CE58" w14:textId="77777777" w:rsidR="00AF4025" w:rsidRPr="0024788D" w:rsidRDefault="00AF4025" w:rsidP="00AF4025">
      <w:pPr>
        <w:rPr>
          <w:rFonts w:cs="Arial"/>
        </w:rPr>
      </w:pPr>
    </w:p>
    <w:tbl>
      <w:tblPr>
        <w:tblW w:w="9900" w:type="dxa"/>
        <w:tblCellMar>
          <w:left w:w="0" w:type="dxa"/>
          <w:right w:w="0" w:type="dxa"/>
        </w:tblCellMar>
        <w:tblLook w:val="04A0" w:firstRow="1" w:lastRow="0" w:firstColumn="1" w:lastColumn="0" w:noHBand="0" w:noVBand="1"/>
      </w:tblPr>
      <w:tblGrid>
        <w:gridCol w:w="2354"/>
        <w:gridCol w:w="2806"/>
        <w:gridCol w:w="2480"/>
        <w:gridCol w:w="2260"/>
      </w:tblGrid>
      <w:tr w:rsidR="00AF4025" w:rsidRPr="0024788D" w14:paraId="332DFADE" w14:textId="77777777" w:rsidTr="002F122A">
        <w:trPr>
          <w:trHeight w:val="600"/>
        </w:trPr>
        <w:tc>
          <w:tcPr>
            <w:tcW w:w="2354"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DCEC65" w14:textId="77777777" w:rsidR="00AF4025" w:rsidRPr="0024788D" w:rsidRDefault="00AF4025" w:rsidP="002F122A">
            <w:pPr>
              <w:rPr>
                <w:rFonts w:cs="Arial"/>
                <w:b/>
                <w:bCs/>
              </w:rPr>
            </w:pPr>
            <w:r w:rsidRPr="0024788D">
              <w:rPr>
                <w:rFonts w:cs="Arial"/>
                <w:b/>
                <w:bCs/>
              </w:rPr>
              <w:t>ETFs</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65D1DB" w14:textId="77777777" w:rsidR="00AF4025" w:rsidRPr="0024788D" w:rsidRDefault="00AF4025" w:rsidP="002F122A">
            <w:pPr>
              <w:rPr>
                <w:rFonts w:cs="Arial"/>
                <w:b/>
                <w:bCs/>
              </w:rPr>
            </w:pPr>
            <w:r w:rsidRPr="0024788D">
              <w:rPr>
                <w:rFonts w:cs="Arial"/>
                <w:b/>
                <w:bCs/>
              </w:rPr>
              <w:t>Free Float (Number of units issued for trading)</w:t>
            </w:r>
          </w:p>
        </w:tc>
        <w:tc>
          <w:tcPr>
            <w:tcW w:w="2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309F5D" w14:textId="77777777" w:rsidR="00AF4025" w:rsidRPr="0024788D" w:rsidRDefault="00AF4025" w:rsidP="002F122A">
            <w:pPr>
              <w:rPr>
                <w:rFonts w:cs="Arial"/>
                <w:b/>
                <w:bCs/>
              </w:rPr>
            </w:pPr>
            <w:r w:rsidRPr="0024788D">
              <w:rPr>
                <w:rFonts w:cs="Arial"/>
                <w:b/>
                <w:bCs/>
              </w:rPr>
              <w:t>Average daily number of transactions</w:t>
            </w:r>
          </w:p>
        </w:tc>
        <w:tc>
          <w:tcPr>
            <w:tcW w:w="2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D5EA6B2" w14:textId="77777777" w:rsidR="00AF4025" w:rsidRPr="0024788D" w:rsidRDefault="00AF4025" w:rsidP="002F122A">
            <w:pPr>
              <w:rPr>
                <w:rFonts w:cs="Arial"/>
                <w:b/>
                <w:bCs/>
              </w:rPr>
            </w:pPr>
            <w:r w:rsidRPr="0024788D">
              <w:rPr>
                <w:rFonts w:cs="Arial"/>
                <w:b/>
                <w:bCs/>
              </w:rPr>
              <w:t>Average daily turnover</w:t>
            </w:r>
          </w:p>
        </w:tc>
      </w:tr>
      <w:tr w:rsidR="00AF4025" w:rsidRPr="0024788D" w14:paraId="6AAFF3C4" w14:textId="77777777" w:rsidTr="002F122A">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FDE866" w14:textId="77777777" w:rsidR="00AF4025" w:rsidRPr="0024788D" w:rsidRDefault="00AF4025" w:rsidP="002F122A">
            <w:pPr>
              <w:rPr>
                <w:rFonts w:cs="Arial"/>
                <w:b/>
                <w:bCs/>
              </w:rPr>
            </w:pPr>
          </w:p>
        </w:tc>
        <w:tc>
          <w:tcPr>
            <w:tcW w:w="2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C94B0C" w14:textId="77777777" w:rsidR="00AF4025" w:rsidRPr="0024788D" w:rsidRDefault="00AF4025" w:rsidP="002F122A">
            <w:pPr>
              <w:rPr>
                <w:rFonts w:cs="Arial"/>
              </w:rPr>
            </w:pPr>
            <w:r w:rsidRPr="0024788D">
              <w:rPr>
                <w:rFonts w:cs="Arial"/>
              </w:rPr>
              <w:t>100</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50FBD3" w14:textId="77777777" w:rsidR="00AF4025" w:rsidRPr="0024788D" w:rsidRDefault="00AF4025" w:rsidP="002F122A">
            <w:pPr>
              <w:rPr>
                <w:rFonts w:cs="Arial"/>
              </w:rPr>
            </w:pPr>
            <w:r w:rsidRPr="0024788D">
              <w:rPr>
                <w:rFonts w:cs="Arial"/>
              </w:rPr>
              <w:t>20</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D9C039" w14:textId="77777777" w:rsidR="00AF4025" w:rsidRPr="0024788D" w:rsidRDefault="00AF4025" w:rsidP="002F122A">
            <w:pPr>
              <w:rPr>
                <w:rFonts w:cs="Arial"/>
              </w:rPr>
            </w:pPr>
            <w:r w:rsidRPr="0024788D">
              <w:rPr>
                <w:rFonts w:cs="Arial"/>
              </w:rPr>
              <w:t>500,000</w:t>
            </w:r>
          </w:p>
        </w:tc>
      </w:tr>
    </w:tbl>
    <w:p w14:paraId="7B2794B8" w14:textId="77777777" w:rsidR="00AF4025" w:rsidRPr="0024788D" w:rsidRDefault="00AF4025" w:rsidP="00AF4025">
      <w:pPr>
        <w:rPr>
          <w:rFonts w:cs="Arial"/>
        </w:rPr>
      </w:pPr>
    </w:p>
    <w:p w14:paraId="388153FA" w14:textId="77777777" w:rsidR="00AF4025" w:rsidRPr="0024788D" w:rsidRDefault="00AF4025" w:rsidP="00AF4025">
      <w:pPr>
        <w:rPr>
          <w:rFonts w:cs="Arial"/>
          <w:b/>
          <w:bCs/>
        </w:rPr>
      </w:pPr>
      <w:r w:rsidRPr="0024788D">
        <w:rPr>
          <w:rFonts w:cs="Arial"/>
          <w:b/>
          <w:bCs/>
        </w:rPr>
        <w:t>Or (for Equity ETFs)</w:t>
      </w:r>
    </w:p>
    <w:p w14:paraId="547F5E7C" w14:textId="77777777" w:rsidR="00AF4025" w:rsidRPr="0024788D" w:rsidRDefault="00AF4025" w:rsidP="00AF4025">
      <w:pPr>
        <w:rPr>
          <w:rFonts w:cs="Arial"/>
        </w:rPr>
      </w:pPr>
    </w:p>
    <w:tbl>
      <w:tblPr>
        <w:tblW w:w="9900" w:type="dxa"/>
        <w:tblCellMar>
          <w:left w:w="0" w:type="dxa"/>
          <w:right w:w="0" w:type="dxa"/>
        </w:tblCellMar>
        <w:tblLook w:val="04A0" w:firstRow="1" w:lastRow="0" w:firstColumn="1" w:lastColumn="0" w:noHBand="0" w:noVBand="1"/>
      </w:tblPr>
      <w:tblGrid>
        <w:gridCol w:w="2380"/>
        <w:gridCol w:w="2780"/>
        <w:gridCol w:w="2480"/>
        <w:gridCol w:w="2260"/>
      </w:tblGrid>
      <w:tr w:rsidR="00AF4025" w:rsidRPr="0024788D" w14:paraId="6AE407E5" w14:textId="77777777" w:rsidTr="002F122A">
        <w:trPr>
          <w:trHeight w:val="600"/>
        </w:trPr>
        <w:tc>
          <w:tcPr>
            <w:tcW w:w="2380"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35588B85" w14:textId="77777777" w:rsidR="00AF4025" w:rsidRPr="0024788D" w:rsidRDefault="00AF4025" w:rsidP="002F122A">
            <w:pPr>
              <w:rPr>
                <w:rFonts w:cs="Arial"/>
                <w:b/>
                <w:bCs/>
              </w:rPr>
            </w:pPr>
            <w:r w:rsidRPr="0024788D">
              <w:rPr>
                <w:rFonts w:cs="Arial"/>
                <w:b/>
                <w:bCs/>
              </w:rPr>
              <w:t>Underlying basket of stocks for Equity ETFs</w:t>
            </w:r>
          </w:p>
        </w:tc>
        <w:tc>
          <w:tcPr>
            <w:tcW w:w="2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ED4A4E" w14:textId="77777777" w:rsidR="00AF4025" w:rsidRPr="0024788D" w:rsidRDefault="00AF4025" w:rsidP="002F122A">
            <w:pPr>
              <w:rPr>
                <w:rFonts w:cs="Arial"/>
                <w:b/>
                <w:bCs/>
              </w:rPr>
            </w:pPr>
            <w:r w:rsidRPr="0024788D">
              <w:rPr>
                <w:rFonts w:cs="Arial"/>
                <w:b/>
                <w:bCs/>
              </w:rPr>
              <w:t>Free Float</w:t>
            </w:r>
          </w:p>
        </w:tc>
        <w:tc>
          <w:tcPr>
            <w:tcW w:w="2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4855C5" w14:textId="77777777" w:rsidR="00AF4025" w:rsidRPr="0024788D" w:rsidRDefault="00AF4025" w:rsidP="002F122A">
            <w:pPr>
              <w:rPr>
                <w:rFonts w:cs="Arial"/>
                <w:b/>
                <w:bCs/>
              </w:rPr>
            </w:pPr>
            <w:r w:rsidRPr="0024788D">
              <w:rPr>
                <w:rFonts w:cs="Arial"/>
                <w:b/>
                <w:bCs/>
              </w:rPr>
              <w:t>Average daily number of transactions</w:t>
            </w:r>
          </w:p>
        </w:tc>
        <w:tc>
          <w:tcPr>
            <w:tcW w:w="2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40F52B0" w14:textId="77777777" w:rsidR="00AF4025" w:rsidRPr="0024788D" w:rsidRDefault="00AF4025" w:rsidP="002F122A">
            <w:pPr>
              <w:rPr>
                <w:rFonts w:cs="Arial"/>
                <w:b/>
                <w:bCs/>
              </w:rPr>
            </w:pPr>
            <w:r w:rsidRPr="0024788D">
              <w:rPr>
                <w:rFonts w:cs="Arial"/>
                <w:b/>
                <w:bCs/>
              </w:rPr>
              <w:t>Average daily turnover</w:t>
            </w:r>
          </w:p>
        </w:tc>
      </w:tr>
      <w:tr w:rsidR="00AF4025" w:rsidRPr="0024788D" w14:paraId="6EC0484A" w14:textId="77777777" w:rsidTr="002F122A">
        <w:trPr>
          <w:trHeight w:val="6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0FD3DA" w14:textId="77777777" w:rsidR="00AF4025" w:rsidRPr="0024788D" w:rsidRDefault="00AF4025" w:rsidP="002F122A">
            <w:pPr>
              <w:rPr>
                <w:rFonts w:cs="Arial"/>
                <w:b/>
                <w:bCs/>
              </w:rPr>
            </w:pPr>
          </w:p>
        </w:tc>
        <w:tc>
          <w:tcPr>
            <w:tcW w:w="2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3F2F2E" w14:textId="77777777" w:rsidR="00AF4025" w:rsidRPr="0024788D" w:rsidRDefault="00AF4025" w:rsidP="002F122A">
            <w:pPr>
              <w:rPr>
                <w:rFonts w:cs="Arial"/>
              </w:rPr>
            </w:pPr>
            <w:r w:rsidRPr="0024788D">
              <w:rPr>
                <w:rFonts w:cs="Arial"/>
              </w:rPr>
              <w:t xml:space="preserve">EUR 100,000,000 </w:t>
            </w:r>
          </w:p>
        </w:tc>
        <w:tc>
          <w:tcPr>
            <w:tcW w:w="2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01E183" w14:textId="77777777" w:rsidR="00AF4025" w:rsidRPr="0024788D" w:rsidRDefault="00AF4025" w:rsidP="002F122A">
            <w:pPr>
              <w:rPr>
                <w:rFonts w:cs="Arial"/>
              </w:rPr>
            </w:pPr>
            <w:r w:rsidRPr="0024788D">
              <w:rPr>
                <w:rFonts w:cs="Arial"/>
              </w:rPr>
              <w:t>250</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35245A" w14:textId="77777777" w:rsidR="00AF4025" w:rsidRPr="0024788D" w:rsidRDefault="00AF4025" w:rsidP="002F122A">
            <w:pPr>
              <w:rPr>
                <w:rFonts w:cs="Arial"/>
              </w:rPr>
            </w:pPr>
            <w:r w:rsidRPr="0024788D">
              <w:rPr>
                <w:rFonts w:cs="Arial"/>
              </w:rPr>
              <w:t>EUR 1,000,000</w:t>
            </w:r>
          </w:p>
        </w:tc>
      </w:tr>
    </w:tbl>
    <w:p w14:paraId="61A2368B" w14:textId="77777777" w:rsidR="00AF4025" w:rsidRPr="0024788D" w:rsidRDefault="00AF4025" w:rsidP="00AF4025">
      <w:pPr>
        <w:rPr>
          <w:rFonts w:cs="Arial"/>
        </w:rPr>
      </w:pPr>
    </w:p>
    <w:p w14:paraId="27135B06" w14:textId="77777777" w:rsidR="00AF4025" w:rsidRPr="0024788D" w:rsidRDefault="00AF4025" w:rsidP="00AF4025">
      <w:pPr>
        <w:rPr>
          <w:rFonts w:cs="Arial"/>
        </w:rPr>
      </w:pPr>
    </w:p>
    <w:p w14:paraId="2C97B791" w14:textId="77777777" w:rsidR="00AF4025" w:rsidRPr="0024788D" w:rsidRDefault="00AF4025" w:rsidP="00AF4025">
      <w:pPr>
        <w:rPr>
          <w:rFonts w:cs="Arial"/>
        </w:rPr>
      </w:pPr>
      <w:r w:rsidRPr="0024788D">
        <w:rPr>
          <w:rFonts w:cs="Arial"/>
        </w:rPr>
        <w:t xml:space="preserve">With </w:t>
      </w:r>
    </w:p>
    <w:p w14:paraId="536A0CF7" w14:textId="77777777" w:rsidR="00AF4025" w:rsidRPr="0024788D" w:rsidRDefault="00AF4025" w:rsidP="00AF4025">
      <w:pPr>
        <w:rPr>
          <w:rFonts w:cs="Arial"/>
        </w:rPr>
      </w:pPr>
      <w:r w:rsidRPr="0024788D">
        <w:rPr>
          <w:rFonts w:cs="Arial"/>
        </w:rPr>
        <w:t>Free Float = ∑_(</w:t>
      </w:r>
      <w:proofErr w:type="spellStart"/>
      <w:r w:rsidRPr="0024788D">
        <w:rPr>
          <w:rFonts w:cs="Arial"/>
        </w:rPr>
        <w:t>i</w:t>
      </w:r>
      <w:proofErr w:type="spellEnd"/>
      <w:r w:rsidRPr="0024788D">
        <w:rPr>
          <w:rFonts w:cs="Arial"/>
        </w:rPr>
        <w:t>=1)^n▒</w:t>
      </w:r>
      <w:r w:rsidRPr="0024788D">
        <w:rPr>
          <w:rFonts w:ascii="Cambria Math" w:eastAsia="Cambria Math" w:hAnsi="Cambria Math" w:cs="Cambria Math" w:hint="eastAsia"/>
        </w:rPr>
        <w:t>〖</w:t>
      </w:r>
      <w:proofErr w:type="spellStart"/>
      <w:r w:rsidRPr="0024788D">
        <w:rPr>
          <w:rFonts w:cs="Arial"/>
        </w:rPr>
        <w:t>w_i</w:t>
      </w:r>
      <w:proofErr w:type="spellEnd"/>
      <w:r w:rsidRPr="0024788D">
        <w:rPr>
          <w:rFonts w:cs="Arial"/>
        </w:rPr>
        <w:t xml:space="preserve"> </w:t>
      </w:r>
      <w:r w:rsidRPr="0024788D">
        <w:rPr>
          <w:rFonts w:ascii="Cambria Math" w:eastAsia="Cambria Math" w:hAnsi="Cambria Math" w:cs="Cambria Math" w:hint="eastAsia"/>
        </w:rPr>
        <w:t>〖</w:t>
      </w:r>
      <w:r w:rsidRPr="0024788D">
        <w:rPr>
          <w:rFonts w:cs="Arial"/>
        </w:rPr>
        <w:t>ff</w:t>
      </w:r>
      <w:r w:rsidRPr="0024788D">
        <w:rPr>
          <w:rFonts w:ascii="Cambria Math" w:eastAsia="Cambria Math" w:hAnsi="Cambria Math" w:cs="Cambria Math" w:hint="eastAsia"/>
        </w:rPr>
        <w:t>〗</w:t>
      </w:r>
      <w:r w:rsidRPr="0024788D">
        <w:rPr>
          <w:rFonts w:cs="Arial"/>
        </w:rPr>
        <w:t>_</w:t>
      </w:r>
      <w:proofErr w:type="spellStart"/>
      <w:r w:rsidRPr="0024788D">
        <w:rPr>
          <w:rFonts w:cs="Arial"/>
        </w:rPr>
        <w:t>i</w:t>
      </w:r>
      <w:proofErr w:type="spellEnd"/>
      <w:r w:rsidRPr="0024788D">
        <w:rPr>
          <w:rFonts w:cs="Arial"/>
        </w:rPr>
        <w:t xml:space="preserve"> </w:t>
      </w:r>
      <w:r w:rsidRPr="0024788D">
        <w:rPr>
          <w:rFonts w:ascii="Cambria Math" w:eastAsia="Cambria Math" w:hAnsi="Cambria Math" w:cs="Cambria Math" w:hint="eastAsia"/>
        </w:rPr>
        <w:t>〗</w:t>
      </w:r>
      <w:r w:rsidRPr="0024788D">
        <w:rPr>
          <w:rFonts w:cs="Arial"/>
        </w:rPr>
        <w:t xml:space="preserve"> where </w:t>
      </w:r>
      <w:proofErr w:type="spellStart"/>
      <w:r w:rsidRPr="0024788D">
        <w:rPr>
          <w:rFonts w:cs="Arial"/>
        </w:rPr>
        <w:t>w_i</w:t>
      </w:r>
      <w:proofErr w:type="spellEnd"/>
      <w:r w:rsidRPr="0024788D">
        <w:rPr>
          <w:rFonts w:cs="Arial"/>
        </w:rPr>
        <w:t xml:space="preserve"> is the weight of stock </w:t>
      </w:r>
      <w:proofErr w:type="spellStart"/>
      <w:r w:rsidRPr="0024788D">
        <w:rPr>
          <w:rFonts w:cs="Arial"/>
        </w:rPr>
        <w:t>i</w:t>
      </w:r>
      <w:proofErr w:type="spellEnd"/>
      <w:r w:rsidRPr="0024788D">
        <w:rPr>
          <w:rFonts w:cs="Arial"/>
        </w:rPr>
        <w:t xml:space="preserve"> in the underlying basket and </w:t>
      </w:r>
      <w:r w:rsidRPr="0024788D">
        <w:rPr>
          <w:rFonts w:ascii="Cambria Math" w:eastAsia="Cambria Math" w:hAnsi="Cambria Math" w:cs="Cambria Math" w:hint="eastAsia"/>
        </w:rPr>
        <w:t>〖</w:t>
      </w:r>
      <w:r w:rsidRPr="0024788D">
        <w:rPr>
          <w:rFonts w:cs="Arial"/>
        </w:rPr>
        <w:t>ff</w:t>
      </w:r>
      <w:r w:rsidRPr="0024788D">
        <w:rPr>
          <w:rFonts w:ascii="Cambria Math" w:eastAsia="Cambria Math" w:hAnsi="Cambria Math" w:cs="Cambria Math" w:hint="eastAsia"/>
        </w:rPr>
        <w:t>〗</w:t>
      </w:r>
      <w:r w:rsidRPr="0024788D">
        <w:rPr>
          <w:rFonts w:cs="Arial"/>
        </w:rPr>
        <w:t>_</w:t>
      </w:r>
      <w:proofErr w:type="spellStart"/>
      <w:r w:rsidRPr="0024788D">
        <w:rPr>
          <w:rFonts w:cs="Arial"/>
        </w:rPr>
        <w:t>i</w:t>
      </w:r>
      <w:proofErr w:type="spellEnd"/>
      <w:r w:rsidRPr="0024788D">
        <w:rPr>
          <w:rFonts w:cs="Arial"/>
        </w:rPr>
        <w:t xml:space="preserve"> is the Free Float of stock </w:t>
      </w:r>
      <w:proofErr w:type="spellStart"/>
      <w:r w:rsidRPr="0024788D">
        <w:rPr>
          <w:rFonts w:cs="Arial"/>
        </w:rPr>
        <w:t>i</w:t>
      </w:r>
      <w:proofErr w:type="spellEnd"/>
      <w:r w:rsidRPr="0024788D">
        <w:rPr>
          <w:rFonts w:cs="Arial"/>
        </w:rPr>
        <w:t xml:space="preserve"> </w:t>
      </w:r>
    </w:p>
    <w:p w14:paraId="26805106" w14:textId="77777777" w:rsidR="00AF4025" w:rsidRPr="0024788D" w:rsidRDefault="00AF4025" w:rsidP="00AF4025">
      <w:pPr>
        <w:rPr>
          <w:rFonts w:cs="Arial"/>
        </w:rPr>
      </w:pPr>
      <w:r w:rsidRPr="0024788D">
        <w:rPr>
          <w:rFonts w:cs="Arial"/>
        </w:rPr>
        <w:t>ADNT = ∑_(</w:t>
      </w:r>
      <w:proofErr w:type="spellStart"/>
      <w:r w:rsidRPr="0024788D">
        <w:rPr>
          <w:rFonts w:cs="Arial"/>
        </w:rPr>
        <w:t>i</w:t>
      </w:r>
      <w:proofErr w:type="spellEnd"/>
      <w:r w:rsidRPr="0024788D">
        <w:rPr>
          <w:rFonts w:cs="Arial"/>
        </w:rPr>
        <w:t>=1)^n▒</w:t>
      </w:r>
      <w:r w:rsidRPr="0024788D">
        <w:rPr>
          <w:rFonts w:ascii="Cambria Math" w:eastAsia="Cambria Math" w:hAnsi="Cambria Math" w:cs="Cambria Math" w:hint="eastAsia"/>
        </w:rPr>
        <w:t>〖</w:t>
      </w:r>
      <w:proofErr w:type="spellStart"/>
      <w:r w:rsidRPr="0024788D">
        <w:rPr>
          <w:rFonts w:cs="Arial"/>
        </w:rPr>
        <w:t>w_i</w:t>
      </w:r>
      <w:proofErr w:type="spellEnd"/>
      <w:r w:rsidRPr="0024788D">
        <w:rPr>
          <w:rFonts w:cs="Arial"/>
        </w:rPr>
        <w:t xml:space="preserve"> </w:t>
      </w:r>
      <w:r w:rsidRPr="0024788D">
        <w:rPr>
          <w:rFonts w:ascii="Cambria Math" w:eastAsia="Cambria Math" w:hAnsi="Cambria Math" w:cs="Cambria Math" w:hint="eastAsia"/>
        </w:rPr>
        <w:t>〖</w:t>
      </w:r>
      <w:r w:rsidRPr="0024788D">
        <w:rPr>
          <w:rFonts w:cs="Arial"/>
        </w:rPr>
        <w:t>ADNT</w:t>
      </w:r>
      <w:r w:rsidRPr="0024788D">
        <w:rPr>
          <w:rFonts w:ascii="Cambria Math" w:eastAsia="Cambria Math" w:hAnsi="Cambria Math" w:cs="Cambria Math" w:hint="eastAsia"/>
        </w:rPr>
        <w:t>〗</w:t>
      </w:r>
      <w:r w:rsidRPr="0024788D">
        <w:rPr>
          <w:rFonts w:cs="Arial"/>
        </w:rPr>
        <w:t>_</w:t>
      </w:r>
      <w:proofErr w:type="spellStart"/>
      <w:r w:rsidRPr="0024788D">
        <w:rPr>
          <w:rFonts w:cs="Arial"/>
        </w:rPr>
        <w:t>i</w:t>
      </w:r>
      <w:proofErr w:type="spellEnd"/>
      <w:r w:rsidRPr="0024788D">
        <w:rPr>
          <w:rFonts w:cs="Arial"/>
        </w:rPr>
        <w:t xml:space="preserve"> </w:t>
      </w:r>
      <w:r w:rsidRPr="0024788D">
        <w:rPr>
          <w:rFonts w:ascii="Cambria Math" w:eastAsia="Cambria Math" w:hAnsi="Cambria Math" w:cs="Cambria Math" w:hint="eastAsia"/>
        </w:rPr>
        <w:t>〗</w:t>
      </w:r>
      <w:r w:rsidRPr="0024788D">
        <w:rPr>
          <w:rFonts w:cs="Arial"/>
        </w:rPr>
        <w:t xml:space="preserve"> where </w:t>
      </w:r>
      <w:proofErr w:type="spellStart"/>
      <w:r w:rsidRPr="0024788D">
        <w:rPr>
          <w:rFonts w:cs="Arial"/>
        </w:rPr>
        <w:t>w_i</w:t>
      </w:r>
      <w:proofErr w:type="spellEnd"/>
      <w:r w:rsidRPr="0024788D">
        <w:rPr>
          <w:rFonts w:cs="Arial"/>
        </w:rPr>
        <w:t xml:space="preserve"> is the weight of stock </w:t>
      </w:r>
      <w:proofErr w:type="spellStart"/>
      <w:r w:rsidRPr="0024788D">
        <w:rPr>
          <w:rFonts w:cs="Arial"/>
        </w:rPr>
        <w:t>i</w:t>
      </w:r>
      <w:proofErr w:type="spellEnd"/>
      <w:r w:rsidRPr="0024788D">
        <w:rPr>
          <w:rFonts w:cs="Arial"/>
        </w:rPr>
        <w:t xml:space="preserve"> in the underlying basket and </w:t>
      </w:r>
      <w:r w:rsidRPr="0024788D">
        <w:rPr>
          <w:rFonts w:ascii="Cambria Math" w:eastAsia="Cambria Math" w:hAnsi="Cambria Math" w:cs="Cambria Math" w:hint="eastAsia"/>
        </w:rPr>
        <w:t>〖</w:t>
      </w:r>
      <w:r w:rsidRPr="0024788D">
        <w:rPr>
          <w:rFonts w:cs="Arial"/>
        </w:rPr>
        <w:t>ADNT</w:t>
      </w:r>
      <w:r w:rsidRPr="0024788D">
        <w:rPr>
          <w:rFonts w:ascii="Cambria Math" w:eastAsia="Cambria Math" w:hAnsi="Cambria Math" w:cs="Cambria Math" w:hint="eastAsia"/>
        </w:rPr>
        <w:t>〗</w:t>
      </w:r>
      <w:r w:rsidRPr="0024788D">
        <w:rPr>
          <w:rFonts w:cs="Arial"/>
        </w:rPr>
        <w:t>_</w:t>
      </w:r>
      <w:proofErr w:type="spellStart"/>
      <w:r w:rsidRPr="0024788D">
        <w:rPr>
          <w:rFonts w:cs="Arial"/>
        </w:rPr>
        <w:t>i</w:t>
      </w:r>
      <w:proofErr w:type="spellEnd"/>
      <w:r w:rsidRPr="0024788D">
        <w:rPr>
          <w:rFonts w:cs="Arial"/>
        </w:rPr>
        <w:t xml:space="preserve"> is the Average daily number of transactions of stock </w:t>
      </w:r>
      <w:proofErr w:type="spellStart"/>
      <w:r w:rsidRPr="0024788D">
        <w:rPr>
          <w:rFonts w:cs="Arial"/>
        </w:rPr>
        <w:t>i</w:t>
      </w:r>
      <w:proofErr w:type="spellEnd"/>
      <w:r w:rsidRPr="0024788D">
        <w:rPr>
          <w:rFonts w:cs="Arial"/>
        </w:rPr>
        <w:t xml:space="preserve"> </w:t>
      </w:r>
    </w:p>
    <w:p w14:paraId="23B11F3C" w14:textId="77777777" w:rsidR="00AF4025" w:rsidRPr="0024788D" w:rsidRDefault="00AF4025" w:rsidP="00AF4025">
      <w:pPr>
        <w:rPr>
          <w:rFonts w:cs="Arial"/>
        </w:rPr>
      </w:pPr>
      <w:r w:rsidRPr="0024788D">
        <w:rPr>
          <w:rFonts w:cs="Arial"/>
        </w:rPr>
        <w:t>ADV = ∑_(</w:t>
      </w:r>
      <w:proofErr w:type="spellStart"/>
      <w:r w:rsidRPr="0024788D">
        <w:rPr>
          <w:rFonts w:cs="Arial"/>
        </w:rPr>
        <w:t>i</w:t>
      </w:r>
      <w:proofErr w:type="spellEnd"/>
      <w:r w:rsidRPr="0024788D">
        <w:rPr>
          <w:rFonts w:cs="Arial"/>
        </w:rPr>
        <w:t>=1)^n▒</w:t>
      </w:r>
      <w:r w:rsidRPr="0024788D">
        <w:rPr>
          <w:rFonts w:ascii="Cambria Math" w:eastAsia="Cambria Math" w:hAnsi="Cambria Math" w:cs="Cambria Math" w:hint="eastAsia"/>
        </w:rPr>
        <w:t>〖</w:t>
      </w:r>
      <w:proofErr w:type="spellStart"/>
      <w:r w:rsidRPr="0024788D">
        <w:rPr>
          <w:rFonts w:cs="Arial"/>
        </w:rPr>
        <w:t>w_i</w:t>
      </w:r>
      <w:proofErr w:type="spellEnd"/>
      <w:r w:rsidRPr="0024788D">
        <w:rPr>
          <w:rFonts w:cs="Arial"/>
        </w:rPr>
        <w:t xml:space="preserve"> </w:t>
      </w:r>
      <w:r w:rsidRPr="0024788D">
        <w:rPr>
          <w:rFonts w:ascii="Cambria Math" w:eastAsia="Cambria Math" w:hAnsi="Cambria Math" w:cs="Cambria Math" w:hint="eastAsia"/>
        </w:rPr>
        <w:t>〖</w:t>
      </w:r>
      <w:r w:rsidRPr="0024788D">
        <w:rPr>
          <w:rFonts w:cs="Arial"/>
        </w:rPr>
        <w:t>ADV</w:t>
      </w:r>
      <w:r w:rsidRPr="0024788D">
        <w:rPr>
          <w:rFonts w:ascii="Cambria Math" w:eastAsia="Cambria Math" w:hAnsi="Cambria Math" w:cs="Cambria Math" w:hint="eastAsia"/>
        </w:rPr>
        <w:t>〗</w:t>
      </w:r>
      <w:r w:rsidRPr="0024788D">
        <w:rPr>
          <w:rFonts w:cs="Arial"/>
        </w:rPr>
        <w:t>_</w:t>
      </w:r>
      <w:proofErr w:type="spellStart"/>
      <w:r w:rsidRPr="0024788D">
        <w:rPr>
          <w:rFonts w:cs="Arial"/>
        </w:rPr>
        <w:t>i</w:t>
      </w:r>
      <w:proofErr w:type="spellEnd"/>
      <w:r w:rsidRPr="0024788D">
        <w:rPr>
          <w:rFonts w:cs="Arial"/>
        </w:rPr>
        <w:t xml:space="preserve"> </w:t>
      </w:r>
      <w:r w:rsidRPr="0024788D">
        <w:rPr>
          <w:rFonts w:ascii="Cambria Math" w:eastAsia="Cambria Math" w:hAnsi="Cambria Math" w:cs="Cambria Math" w:hint="eastAsia"/>
        </w:rPr>
        <w:t>〗</w:t>
      </w:r>
      <w:r w:rsidRPr="0024788D">
        <w:rPr>
          <w:rFonts w:cs="Arial"/>
        </w:rPr>
        <w:t xml:space="preserve"> where </w:t>
      </w:r>
      <w:proofErr w:type="spellStart"/>
      <w:r w:rsidRPr="0024788D">
        <w:rPr>
          <w:rFonts w:cs="Arial"/>
        </w:rPr>
        <w:t>w_i</w:t>
      </w:r>
      <w:proofErr w:type="spellEnd"/>
      <w:r w:rsidRPr="0024788D">
        <w:rPr>
          <w:rFonts w:cs="Arial"/>
        </w:rPr>
        <w:t xml:space="preserve"> is the weight of stock </w:t>
      </w:r>
      <w:proofErr w:type="spellStart"/>
      <w:r w:rsidRPr="0024788D">
        <w:rPr>
          <w:rFonts w:cs="Arial"/>
        </w:rPr>
        <w:t>i</w:t>
      </w:r>
      <w:proofErr w:type="spellEnd"/>
      <w:r w:rsidRPr="0024788D">
        <w:rPr>
          <w:rFonts w:cs="Arial"/>
        </w:rPr>
        <w:t xml:space="preserve"> in the underlying basket and </w:t>
      </w:r>
      <w:r w:rsidRPr="0024788D">
        <w:rPr>
          <w:rFonts w:ascii="Cambria Math" w:eastAsia="Cambria Math" w:hAnsi="Cambria Math" w:cs="Cambria Math" w:hint="eastAsia"/>
        </w:rPr>
        <w:t>〖</w:t>
      </w:r>
      <w:r w:rsidRPr="0024788D">
        <w:rPr>
          <w:rFonts w:cs="Arial"/>
        </w:rPr>
        <w:t>ADV</w:t>
      </w:r>
      <w:r w:rsidRPr="0024788D">
        <w:rPr>
          <w:rFonts w:ascii="Cambria Math" w:eastAsia="Cambria Math" w:hAnsi="Cambria Math" w:cs="Cambria Math" w:hint="eastAsia"/>
        </w:rPr>
        <w:t>〗</w:t>
      </w:r>
      <w:r w:rsidRPr="0024788D">
        <w:rPr>
          <w:rFonts w:cs="Arial"/>
        </w:rPr>
        <w:t>_</w:t>
      </w:r>
      <w:proofErr w:type="spellStart"/>
      <w:r w:rsidRPr="0024788D">
        <w:rPr>
          <w:rFonts w:cs="Arial"/>
        </w:rPr>
        <w:t>i</w:t>
      </w:r>
      <w:proofErr w:type="spellEnd"/>
      <w:r w:rsidRPr="0024788D">
        <w:rPr>
          <w:rFonts w:cs="Arial"/>
        </w:rPr>
        <w:t xml:space="preserve"> is the Average daily turnover of stock </w:t>
      </w:r>
      <w:proofErr w:type="spellStart"/>
      <w:r w:rsidRPr="0024788D">
        <w:rPr>
          <w:rFonts w:cs="Arial"/>
        </w:rPr>
        <w:t>i</w:t>
      </w:r>
      <w:proofErr w:type="spellEnd"/>
      <w:r w:rsidRPr="0024788D">
        <w:rPr>
          <w:rFonts w:cs="Arial"/>
        </w:rPr>
        <w:t xml:space="preserve"> </w:t>
      </w:r>
    </w:p>
    <w:p w14:paraId="5D080248" w14:textId="77777777" w:rsidR="00AF4025" w:rsidRDefault="00AF4025" w:rsidP="00AF4025">
      <w:pPr>
        <w:spacing w:line="276" w:lineRule="auto"/>
        <w:jc w:val="both"/>
        <w:rPr>
          <w:rFonts w:cs="Arial"/>
          <w:b/>
          <w:szCs w:val="20"/>
        </w:rPr>
      </w:pPr>
    </w:p>
    <w:p w14:paraId="108232FE" w14:textId="1780CAAB" w:rsidR="00A8728B" w:rsidRDefault="00AF4025" w:rsidP="00A8728B">
      <w:r>
        <w:rPr>
          <w:rFonts w:cs="Arial"/>
          <w:bCs/>
          <w:szCs w:val="20"/>
        </w:rPr>
        <w:t>Lastly, we consider that t</w:t>
      </w:r>
      <w:r w:rsidRPr="000E08A6">
        <w:rPr>
          <w:rFonts w:cs="Arial"/>
          <w:bCs/>
          <w:szCs w:val="20"/>
        </w:rPr>
        <w:t>he efficien</w:t>
      </w:r>
      <w:r>
        <w:rPr>
          <w:rFonts w:cs="Arial"/>
          <w:bCs/>
          <w:szCs w:val="20"/>
        </w:rPr>
        <w:t xml:space="preserve">cy of </w:t>
      </w:r>
      <w:r w:rsidRPr="000E08A6">
        <w:rPr>
          <w:rFonts w:cs="Arial"/>
          <w:bCs/>
          <w:szCs w:val="20"/>
        </w:rPr>
        <w:t xml:space="preserve">the EU ETF market </w:t>
      </w:r>
      <w:r>
        <w:rPr>
          <w:rFonts w:cs="Arial"/>
          <w:bCs/>
          <w:szCs w:val="20"/>
        </w:rPr>
        <w:t xml:space="preserve">would be improved by the creation of </w:t>
      </w:r>
      <w:r w:rsidRPr="000E08A6">
        <w:rPr>
          <w:rFonts w:cs="Arial"/>
          <w:bCs/>
          <w:szCs w:val="20"/>
        </w:rPr>
        <w:t>an EU C</w:t>
      </w:r>
      <w:r>
        <w:rPr>
          <w:rFonts w:cs="Arial"/>
          <w:bCs/>
          <w:szCs w:val="20"/>
        </w:rPr>
        <w:t xml:space="preserve">onsolidated </w:t>
      </w:r>
      <w:r w:rsidRPr="000E08A6">
        <w:rPr>
          <w:rFonts w:cs="Arial"/>
          <w:bCs/>
          <w:szCs w:val="20"/>
        </w:rPr>
        <w:t>T</w:t>
      </w:r>
      <w:r>
        <w:rPr>
          <w:rFonts w:cs="Arial"/>
          <w:bCs/>
          <w:szCs w:val="20"/>
        </w:rPr>
        <w:t>ape</w:t>
      </w:r>
      <w:r w:rsidRPr="000E08A6">
        <w:rPr>
          <w:rFonts w:cs="Arial"/>
          <w:bCs/>
          <w:szCs w:val="20"/>
        </w:rPr>
        <w:t xml:space="preserve"> </w:t>
      </w:r>
      <w:r>
        <w:rPr>
          <w:rFonts w:cs="Arial"/>
          <w:bCs/>
          <w:szCs w:val="20"/>
        </w:rPr>
        <w:t xml:space="preserve">including </w:t>
      </w:r>
      <w:r w:rsidRPr="000E08A6">
        <w:rPr>
          <w:rFonts w:cs="Arial"/>
          <w:bCs/>
          <w:szCs w:val="20"/>
        </w:rPr>
        <w:t>ETFs. This is particularly important for ETFs listed on more than one trading venue, where trades are reported to different APAs which can complicate data access.</w:t>
      </w:r>
      <w:r>
        <w:rPr>
          <w:rFonts w:cs="Arial"/>
          <w:bCs/>
          <w:szCs w:val="20"/>
        </w:rPr>
        <w:t xml:space="preserve"> </w:t>
      </w:r>
      <w:r w:rsidRPr="000E08A6">
        <w:rPr>
          <w:rFonts w:cs="Arial"/>
          <w:bCs/>
          <w:szCs w:val="20"/>
        </w:rPr>
        <w:t xml:space="preserve">Only once ESMA has access to a comprehensive picture of the EU ETF market should it consider amending the applicable LIS thresholds. </w:t>
      </w:r>
      <w:permEnd w:id="1066216518"/>
    </w:p>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09E92490" w14:textId="77777777" w:rsidR="00AF4025" w:rsidRPr="005A1DC5" w:rsidRDefault="00AF4025" w:rsidP="00AF4025">
      <w:pPr>
        <w:rPr>
          <w:rFonts w:cs="Arial"/>
        </w:rPr>
      </w:pPr>
      <w:permStart w:id="473446270" w:edGrp="everyone"/>
      <w:r w:rsidRPr="005A1DC5">
        <w:rPr>
          <w:rFonts w:cs="Arial"/>
        </w:rPr>
        <w:t>EFAMA members</w:t>
      </w:r>
      <w:r>
        <w:rPr>
          <w:rFonts w:cs="Arial"/>
        </w:rPr>
        <w:t xml:space="preserve"> are opposed to</w:t>
      </w:r>
      <w:r w:rsidRPr="005A1DC5">
        <w:rPr>
          <w:rFonts w:cs="Arial"/>
        </w:rPr>
        <w:t xml:space="preserve"> </w:t>
      </w:r>
      <w:r w:rsidRPr="00D25B0B">
        <w:rPr>
          <w:rFonts w:cs="Arial"/>
        </w:rPr>
        <w:t xml:space="preserve">extending the scope of application of the DVC </w:t>
      </w:r>
      <w:r w:rsidRPr="005A1DC5">
        <w:rPr>
          <w:rFonts w:cs="Arial"/>
        </w:rPr>
        <w:t xml:space="preserve">support </w:t>
      </w:r>
      <w:r>
        <w:rPr>
          <w:rFonts w:cs="Arial"/>
        </w:rPr>
        <w:t xml:space="preserve">and, to the contrary, ask for </w:t>
      </w:r>
      <w:r w:rsidRPr="005A1DC5">
        <w:rPr>
          <w:rFonts w:cs="Arial"/>
        </w:rPr>
        <w:t>the removal of the DVC. The mechanism does not result in positive outcomes for end-users and contributes to complexity in European market structure.</w:t>
      </w:r>
    </w:p>
    <w:p w14:paraId="502C6920" w14:textId="77777777" w:rsidR="00AF4025" w:rsidRDefault="00AF4025" w:rsidP="00AF4025">
      <w:pPr>
        <w:rPr>
          <w:rFonts w:cs="Arial"/>
        </w:rPr>
      </w:pPr>
    </w:p>
    <w:p w14:paraId="52C9CF09" w14:textId="77777777" w:rsidR="00AF4025" w:rsidRDefault="00AF4025" w:rsidP="00AF4025">
      <w:pPr>
        <w:rPr>
          <w:rFonts w:cs="Arial"/>
        </w:rPr>
      </w:pPr>
      <w:r>
        <w:rPr>
          <w:rFonts w:cs="Arial"/>
        </w:rPr>
        <w:t>Furthermore, e</w:t>
      </w:r>
      <w:r w:rsidRPr="006608CB">
        <w:rPr>
          <w:rFonts w:cs="Arial"/>
        </w:rPr>
        <w:t xml:space="preserve">xtending the scope of the DVC to NTs in illiquid instruments will not be beneficial to the liquidity of the instruments subject to negotiated trades. Indeed, ESMA should be cognizant of the risks of </w:t>
      </w:r>
      <w:r w:rsidRPr="006608CB">
        <w:rPr>
          <w:rFonts w:cs="Arial"/>
        </w:rPr>
        <w:lastRenderedPageBreak/>
        <w:t>diminishing the limited liquidity available in markets for illiquid instruments by subjecting them to excessive pre-trade transparency requirements.</w:t>
      </w:r>
    </w:p>
    <w:p w14:paraId="23186104" w14:textId="77777777" w:rsidR="00AF4025" w:rsidRDefault="00AF4025" w:rsidP="00AF4025">
      <w:pPr>
        <w:rPr>
          <w:rFonts w:cs="Arial"/>
        </w:rPr>
      </w:pPr>
    </w:p>
    <w:p w14:paraId="794E9AA2" w14:textId="77777777" w:rsidR="00AF4025" w:rsidRDefault="00AF4025" w:rsidP="00AF4025">
      <w:pPr>
        <w:rPr>
          <w:rFonts w:cs="Arial"/>
        </w:rPr>
      </w:pPr>
      <w:r w:rsidRPr="006608CB">
        <w:rPr>
          <w:rFonts w:cs="Arial"/>
        </w:rPr>
        <w:t>More broadly</w:t>
      </w:r>
      <w:r>
        <w:rPr>
          <w:rFonts w:cs="Arial"/>
        </w:rPr>
        <w:t xml:space="preserve"> and f</w:t>
      </w:r>
      <w:r w:rsidRPr="008141B4">
        <w:rPr>
          <w:rFonts w:cs="Arial"/>
        </w:rPr>
        <w:t>rom our perspective, MiFID II implementation has opened the market for new liquidity providers and new methods of trading beside the “historical ones” and has defined the different avenues to execute transactions.</w:t>
      </w:r>
      <w:r>
        <w:rPr>
          <w:rFonts w:cs="Arial"/>
        </w:rPr>
        <w:t xml:space="preserve"> </w:t>
      </w:r>
    </w:p>
    <w:p w14:paraId="578F444B" w14:textId="77777777" w:rsidR="00AF4025" w:rsidRDefault="00AF4025" w:rsidP="00AF4025">
      <w:pPr>
        <w:rPr>
          <w:rFonts w:cs="Arial"/>
        </w:rPr>
      </w:pPr>
    </w:p>
    <w:p w14:paraId="2E3BCC6F" w14:textId="77777777" w:rsidR="00AF4025" w:rsidRPr="006608CB" w:rsidRDefault="00AF4025" w:rsidP="00AF4025">
      <w:pPr>
        <w:rPr>
          <w:rFonts w:cs="Arial"/>
        </w:rPr>
      </w:pPr>
      <w:r w:rsidRPr="006608CB">
        <w:rPr>
          <w:rFonts w:cs="Arial"/>
        </w:rPr>
        <w:t>EFAMA would like to highlight that the DVC mechanism has rendered the market more operationally complex, particularly when routing orders, in such a way as to adversely impact outcomes for end-investors. In addition, the dark trading restricted under the DVC has not migrated to lit multilateral venues but rather to alternative trading systems such as periodic auctions that can deliver better outcomes to end-investors than on-venue lit trading.</w:t>
      </w:r>
    </w:p>
    <w:p w14:paraId="471E9A56" w14:textId="77777777" w:rsidR="00AF4025" w:rsidRDefault="00AF4025" w:rsidP="00AF4025">
      <w:pPr>
        <w:rPr>
          <w:rFonts w:cs="Arial"/>
        </w:rPr>
      </w:pPr>
    </w:p>
    <w:p w14:paraId="7C13B12D" w14:textId="77777777" w:rsidR="00AF4025" w:rsidRDefault="00AF4025" w:rsidP="00AF4025">
      <w:pPr>
        <w:rPr>
          <w:rFonts w:cs="Arial"/>
        </w:rPr>
      </w:pPr>
      <w:r w:rsidRPr="006608CB">
        <w:rPr>
          <w:rFonts w:cs="Arial"/>
        </w:rPr>
        <w:t>When assessing the impact of the DVC mechanism, EFAMA urges ESMA to consider the impact the suspension of on-venue dark trading has had on outcomes for end-investors. The concern for transparency should be compl</w:t>
      </w:r>
      <w:r>
        <w:rPr>
          <w:rFonts w:cs="Arial"/>
        </w:rPr>
        <w:t>e</w:t>
      </w:r>
      <w:r w:rsidRPr="006608CB">
        <w:rPr>
          <w:rFonts w:cs="Arial"/>
        </w:rPr>
        <w:t>mented by regard for other criteria, such as best execution.</w:t>
      </w:r>
    </w:p>
    <w:p w14:paraId="1A8106AF" w14:textId="77777777" w:rsidR="00AF4025" w:rsidRDefault="00AF4025" w:rsidP="00AF4025">
      <w:pPr>
        <w:rPr>
          <w:rFonts w:cs="Arial"/>
        </w:rPr>
      </w:pPr>
    </w:p>
    <w:p w14:paraId="62EA1A73" w14:textId="77777777" w:rsidR="00AF4025" w:rsidRPr="0024788D" w:rsidRDefault="00AF4025" w:rsidP="00AF4025">
      <w:pPr>
        <w:rPr>
          <w:rFonts w:cs="Arial"/>
        </w:rPr>
      </w:pPr>
      <w:r w:rsidRPr="0024788D">
        <w:rPr>
          <w:rFonts w:cs="Arial"/>
        </w:rPr>
        <w:t>We believe that a variety of types of execution, should best serve the interest of the industry to maintain flexibility in innovation and different options when trading.</w:t>
      </w:r>
    </w:p>
    <w:p w14:paraId="4A05946E" w14:textId="77777777" w:rsidR="00AF4025" w:rsidRDefault="00AF4025" w:rsidP="00AF4025">
      <w:pPr>
        <w:rPr>
          <w:rFonts w:cs="Arial"/>
        </w:rPr>
      </w:pPr>
    </w:p>
    <w:p w14:paraId="531C13F4" w14:textId="77777777" w:rsidR="00AF4025" w:rsidRPr="0024788D" w:rsidRDefault="00AF4025" w:rsidP="00AF4025">
      <w:pPr>
        <w:rPr>
          <w:rFonts w:cs="Arial"/>
        </w:rPr>
      </w:pPr>
      <w:r>
        <w:rPr>
          <w:rFonts w:cs="Arial"/>
        </w:rPr>
        <w:t>Therefore, we suggest that a</w:t>
      </w:r>
      <w:r w:rsidRPr="0024788D">
        <w:rPr>
          <w:rFonts w:cs="Arial"/>
        </w:rPr>
        <w:t xml:space="preserve">ll types of venues and market participants, including Systematic </w:t>
      </w:r>
      <w:proofErr w:type="spellStart"/>
      <w:r w:rsidRPr="0024788D">
        <w:rPr>
          <w:rFonts w:cs="Arial"/>
        </w:rPr>
        <w:t>Internalisers</w:t>
      </w:r>
      <w:proofErr w:type="spellEnd"/>
      <w:r w:rsidRPr="0024788D">
        <w:rPr>
          <w:rFonts w:cs="Arial"/>
        </w:rPr>
        <w:t xml:space="preserve">, </w:t>
      </w:r>
      <w:r>
        <w:rPr>
          <w:rFonts w:cs="Arial"/>
        </w:rPr>
        <w:t>be</w:t>
      </w:r>
      <w:r w:rsidRPr="0024788D">
        <w:rPr>
          <w:rFonts w:cs="Arial"/>
        </w:rPr>
        <w:t xml:space="preserve"> subject to rules that</w:t>
      </w:r>
      <w:r>
        <w:rPr>
          <w:rFonts w:cs="Arial"/>
        </w:rPr>
        <w:t>:</w:t>
      </w:r>
      <w:r w:rsidRPr="0024788D">
        <w:rPr>
          <w:rFonts w:cs="Arial"/>
        </w:rPr>
        <w:t xml:space="preserve"> </w:t>
      </w:r>
    </w:p>
    <w:p w14:paraId="7736693B" w14:textId="77777777" w:rsidR="00AF4025" w:rsidRPr="0024788D" w:rsidRDefault="00AF4025" w:rsidP="00AF4025">
      <w:pPr>
        <w:numPr>
          <w:ilvl w:val="0"/>
          <w:numId w:val="37"/>
        </w:numPr>
        <w:contextualSpacing/>
        <w:rPr>
          <w:rFonts w:cs="Arial"/>
        </w:rPr>
      </w:pPr>
      <w:r>
        <w:rPr>
          <w:rFonts w:cs="Arial"/>
        </w:rPr>
        <w:t>Are c</w:t>
      </w:r>
      <w:r w:rsidRPr="0024788D">
        <w:rPr>
          <w:rFonts w:cs="Arial"/>
        </w:rPr>
        <w:t>oordinated but not necessarily identical,</w:t>
      </w:r>
    </w:p>
    <w:p w14:paraId="7D6FE45B" w14:textId="77777777" w:rsidR="00AF4025" w:rsidRPr="0024788D" w:rsidRDefault="00AF4025" w:rsidP="00AF4025">
      <w:pPr>
        <w:numPr>
          <w:ilvl w:val="0"/>
          <w:numId w:val="37"/>
        </w:numPr>
        <w:contextualSpacing/>
        <w:rPr>
          <w:rFonts w:cs="Arial"/>
        </w:rPr>
      </w:pPr>
      <w:r w:rsidRPr="0024788D">
        <w:rPr>
          <w:rFonts w:cs="Arial"/>
        </w:rPr>
        <w:t>Foster market access and market competition,</w:t>
      </w:r>
    </w:p>
    <w:p w14:paraId="489874DD" w14:textId="77777777" w:rsidR="00AF4025" w:rsidRPr="0024788D" w:rsidRDefault="00AF4025" w:rsidP="00AF4025">
      <w:pPr>
        <w:numPr>
          <w:ilvl w:val="0"/>
          <w:numId w:val="37"/>
        </w:numPr>
        <w:contextualSpacing/>
        <w:rPr>
          <w:rFonts w:cs="Arial"/>
        </w:rPr>
      </w:pPr>
      <w:r w:rsidRPr="0024788D">
        <w:rPr>
          <w:rFonts w:cs="Arial"/>
        </w:rPr>
        <w:t xml:space="preserve">Offer the largest range of product offering to facilitate market liquidity, </w:t>
      </w:r>
    </w:p>
    <w:p w14:paraId="1BC81B3A" w14:textId="77777777" w:rsidR="00AF4025" w:rsidRPr="0024788D" w:rsidRDefault="00AF4025" w:rsidP="00AF4025">
      <w:pPr>
        <w:numPr>
          <w:ilvl w:val="0"/>
          <w:numId w:val="37"/>
        </w:numPr>
        <w:contextualSpacing/>
        <w:rPr>
          <w:rFonts w:cs="Arial"/>
        </w:rPr>
      </w:pPr>
      <w:r w:rsidRPr="0024788D">
        <w:rPr>
          <w:rFonts w:cs="Arial"/>
        </w:rPr>
        <w:t>Regardless of the size of the orders. </w:t>
      </w:r>
    </w:p>
    <w:p w14:paraId="66C94AD9" w14:textId="77777777" w:rsidR="00AF4025" w:rsidRPr="0024788D" w:rsidRDefault="00AF4025" w:rsidP="00AF4025">
      <w:pPr>
        <w:rPr>
          <w:rFonts w:cs="Arial"/>
        </w:rPr>
      </w:pPr>
    </w:p>
    <w:p w14:paraId="27C12B76" w14:textId="6751CB43" w:rsidR="002E1760" w:rsidRDefault="00AF4025" w:rsidP="002E1760">
      <w:r w:rsidRPr="00391313">
        <w:rPr>
          <w:rFonts w:cs="Arial"/>
        </w:rPr>
        <w:t xml:space="preserve">Should the DVC </w:t>
      </w:r>
      <w:r>
        <w:rPr>
          <w:rFonts w:cs="Arial"/>
        </w:rPr>
        <w:t>be maintained</w:t>
      </w:r>
      <w:r w:rsidRPr="00391313">
        <w:rPr>
          <w:rFonts w:cs="Arial"/>
        </w:rPr>
        <w:t xml:space="preserve">, EFAMA does not support extending the scope of application of the DVC to systems that formalise negotiated trades for illiquid instruments. </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185F2A60" w14:textId="77777777" w:rsidR="00B95B8A" w:rsidRPr="0024788D" w:rsidRDefault="00B95B8A" w:rsidP="00B95B8A">
      <w:pPr>
        <w:spacing w:line="276" w:lineRule="auto"/>
        <w:jc w:val="both"/>
        <w:rPr>
          <w:rFonts w:cs="Arial"/>
          <w:bCs/>
          <w:szCs w:val="20"/>
        </w:rPr>
      </w:pPr>
      <w:permStart w:id="1101743476" w:edGrp="everyone"/>
      <w:r w:rsidRPr="0024788D">
        <w:rPr>
          <w:rFonts w:cs="Arial"/>
          <w:bCs/>
          <w:szCs w:val="20"/>
        </w:rPr>
        <w:t>No. (see also our reply to Q1)</w:t>
      </w:r>
    </w:p>
    <w:p w14:paraId="15E974AD" w14:textId="77777777" w:rsidR="00B95B8A" w:rsidRDefault="00B95B8A" w:rsidP="00B95B8A">
      <w:pPr>
        <w:pStyle w:val="ListParagraph"/>
        <w:numPr>
          <w:ilvl w:val="0"/>
          <w:numId w:val="38"/>
        </w:numPr>
        <w:spacing w:line="276" w:lineRule="auto"/>
        <w:jc w:val="both"/>
        <w:rPr>
          <w:rFonts w:cs="Arial"/>
          <w:bCs/>
        </w:rPr>
      </w:pPr>
      <w:r>
        <w:rPr>
          <w:rFonts w:cs="Arial"/>
          <w:bCs/>
        </w:rPr>
        <w:t>w</w:t>
      </w:r>
      <w:r w:rsidRPr="0024788D">
        <w:rPr>
          <w:rFonts w:cs="Arial"/>
          <w:bCs/>
        </w:rPr>
        <w:t>aivers help us facilitate negotiation and price control on our transaction</w:t>
      </w:r>
      <w:r>
        <w:rPr>
          <w:rFonts w:cs="Arial"/>
          <w:bCs/>
        </w:rPr>
        <w:t>,</w:t>
      </w:r>
      <w:r w:rsidRPr="001D6D7A">
        <w:rPr>
          <w:rFonts w:cs="Arial"/>
          <w:bCs/>
        </w:rPr>
        <w:t xml:space="preserve"> </w:t>
      </w:r>
    </w:p>
    <w:p w14:paraId="382DD57C" w14:textId="77777777" w:rsidR="00B95B8A" w:rsidRPr="0024788D" w:rsidRDefault="00B95B8A" w:rsidP="00B95B8A">
      <w:pPr>
        <w:pStyle w:val="ListParagraph"/>
        <w:numPr>
          <w:ilvl w:val="0"/>
          <w:numId w:val="38"/>
        </w:numPr>
        <w:spacing w:line="276" w:lineRule="auto"/>
        <w:jc w:val="both"/>
        <w:rPr>
          <w:rFonts w:cs="Arial"/>
          <w:bCs/>
        </w:rPr>
      </w:pPr>
      <w:r>
        <w:rPr>
          <w:rFonts w:cs="Arial"/>
          <w:bCs/>
        </w:rPr>
        <w:t>waivers used in combination protect our end-client’s interests, and</w:t>
      </w:r>
    </w:p>
    <w:p w14:paraId="22440220" w14:textId="13565598" w:rsidR="002E1760" w:rsidRDefault="00B95B8A" w:rsidP="002E1760">
      <w:r w:rsidRPr="00B95B8A">
        <w:rPr>
          <w:rFonts w:cs="Arial"/>
          <w:bCs/>
        </w:rPr>
        <w:t>Due to the increased number of venues and the related complexity to source liquidity, we urge ESMA to maintain the regime as it currently stands.</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135EFBA5" w:rsidR="00227C1A" w:rsidRDefault="00B95B8A" w:rsidP="00227C1A">
      <w:permStart w:id="1725855520" w:edGrp="everyone"/>
      <w:r w:rsidRPr="00DB22E6">
        <w:rPr>
          <w:rFonts w:cs="Arial"/>
          <w:bCs/>
          <w:szCs w:val="20"/>
        </w:rPr>
        <w:t xml:space="preserve">Trade and transaction reporting </w:t>
      </w:r>
      <w:r>
        <w:rPr>
          <w:rFonts w:cs="Arial"/>
          <w:bCs/>
          <w:szCs w:val="20"/>
        </w:rPr>
        <w:t>are</w:t>
      </w:r>
      <w:r w:rsidRPr="00DB22E6">
        <w:rPr>
          <w:rFonts w:cs="Arial"/>
          <w:bCs/>
          <w:szCs w:val="20"/>
        </w:rPr>
        <w:t xml:space="preserve"> already operationally challenging. </w:t>
      </w:r>
      <w:r>
        <w:rPr>
          <w:rFonts w:cs="Arial"/>
          <w:bCs/>
          <w:szCs w:val="20"/>
        </w:rPr>
        <w:t xml:space="preserve">We </w:t>
      </w:r>
      <w:r w:rsidRPr="00DB22E6">
        <w:rPr>
          <w:rFonts w:cs="Arial"/>
          <w:bCs/>
          <w:szCs w:val="20"/>
        </w:rPr>
        <w:t xml:space="preserve">do not believe </w:t>
      </w:r>
      <w:r>
        <w:rPr>
          <w:rFonts w:cs="Arial"/>
          <w:bCs/>
          <w:szCs w:val="20"/>
        </w:rPr>
        <w:t xml:space="preserve">that </w:t>
      </w:r>
      <w:r w:rsidRPr="00DB22E6">
        <w:rPr>
          <w:rFonts w:cs="Arial"/>
          <w:bCs/>
          <w:szCs w:val="20"/>
        </w:rPr>
        <w:t>there is any reason to change it again this soon.</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lastRenderedPageBreak/>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t>&lt;ESMA_QUESTION_CP</w:t>
      </w:r>
      <w:r w:rsidR="00F107EF">
        <w:t>_M</w:t>
      </w:r>
      <w:r w:rsidR="00945BCF">
        <w:t>I</w:t>
      </w:r>
      <w:r w:rsidR="00F107EF">
        <w:t>FID_EQT_</w:t>
      </w:r>
      <w:r w:rsidR="00A263DF">
        <w:t>6</w:t>
      </w:r>
      <w:r>
        <w:t>&gt;</w:t>
      </w:r>
    </w:p>
    <w:p w14:paraId="5738D8C5" w14:textId="77777777" w:rsidR="00C0758B" w:rsidRPr="00B13DD3" w:rsidRDefault="00C0758B" w:rsidP="00C0758B">
      <w:pPr>
        <w:rPr>
          <w:rFonts w:cs="Arial"/>
          <w:bCs/>
          <w:szCs w:val="20"/>
        </w:rPr>
      </w:pPr>
      <w:permStart w:id="203298670" w:edGrp="everyone"/>
      <w:r w:rsidRPr="00B13DD3">
        <w:rPr>
          <w:rFonts w:cs="Arial"/>
          <w:bCs/>
          <w:szCs w:val="20"/>
        </w:rPr>
        <w:t>EFAMA does not agree with the premise of the question. There is no need to artificially incentivise lit trading vis-à-vis other modes of execution. This will not result in a positive outcome for investors and will remove optionality for firms and result in a detrimental impact on end-user objectives and strategies.</w:t>
      </w:r>
    </w:p>
    <w:p w14:paraId="3AE0F348" w14:textId="77777777" w:rsidR="00C0758B" w:rsidRPr="0024788D" w:rsidRDefault="00C0758B" w:rsidP="00C0758B">
      <w:pPr>
        <w:spacing w:line="276" w:lineRule="auto"/>
        <w:jc w:val="both"/>
        <w:rPr>
          <w:rFonts w:cs="Arial"/>
          <w:bCs/>
          <w:szCs w:val="20"/>
        </w:rPr>
      </w:pPr>
      <w:r w:rsidRPr="0024788D">
        <w:rPr>
          <w:rFonts w:cs="Arial"/>
          <w:bCs/>
          <w:szCs w:val="20"/>
        </w:rPr>
        <w:t xml:space="preserve">We consider that the enforcement of </w:t>
      </w:r>
      <w:r>
        <w:rPr>
          <w:rFonts w:cs="Arial"/>
          <w:bCs/>
          <w:szCs w:val="20"/>
        </w:rPr>
        <w:t xml:space="preserve">a </w:t>
      </w:r>
      <w:r w:rsidRPr="0024788D">
        <w:rPr>
          <w:rFonts w:cs="Arial"/>
          <w:bCs/>
          <w:szCs w:val="20"/>
        </w:rPr>
        <w:t>consolidated tape</w:t>
      </w:r>
      <w:r w:rsidRPr="0024788D">
        <w:rPr>
          <w:rStyle w:val="FootnoteReference"/>
          <w:rFonts w:cs="Arial"/>
          <w:bCs/>
          <w:szCs w:val="20"/>
        </w:rPr>
        <w:footnoteReference w:id="3"/>
      </w:r>
      <w:r>
        <w:rPr>
          <w:rFonts w:cs="Arial"/>
          <w:bCs/>
          <w:szCs w:val="20"/>
        </w:rPr>
        <w:t xml:space="preserve"> </w:t>
      </w:r>
      <w:r w:rsidRPr="0024788D">
        <w:rPr>
          <w:rFonts w:cs="Arial"/>
          <w:bCs/>
          <w:szCs w:val="20"/>
        </w:rPr>
        <w:t>for all financial instruments is a key component to bring transparency in markets</w:t>
      </w:r>
      <w:r>
        <w:rPr>
          <w:rFonts w:cs="Arial"/>
          <w:bCs/>
          <w:szCs w:val="20"/>
        </w:rPr>
        <w:t>, as:</w:t>
      </w:r>
    </w:p>
    <w:p w14:paraId="62E1D258" w14:textId="77777777" w:rsidR="00C0758B" w:rsidRPr="0024788D" w:rsidRDefault="00C0758B" w:rsidP="00C0758B">
      <w:pPr>
        <w:pStyle w:val="ListParagraph"/>
        <w:numPr>
          <w:ilvl w:val="0"/>
          <w:numId w:val="38"/>
        </w:numPr>
        <w:spacing w:line="276" w:lineRule="auto"/>
        <w:jc w:val="both"/>
        <w:rPr>
          <w:rFonts w:cs="Arial"/>
          <w:bCs/>
        </w:rPr>
      </w:pPr>
      <w:r>
        <w:rPr>
          <w:rFonts w:cs="Arial"/>
          <w:bCs/>
        </w:rPr>
        <w:t>p</w:t>
      </w:r>
      <w:r w:rsidRPr="0024788D">
        <w:rPr>
          <w:rFonts w:cs="Arial"/>
          <w:bCs/>
        </w:rPr>
        <w:t>ost-trade data is the first level of pre-trade and price determination information</w:t>
      </w:r>
      <w:r>
        <w:rPr>
          <w:rFonts w:cs="Arial"/>
          <w:bCs/>
        </w:rPr>
        <w:t>,</w:t>
      </w:r>
    </w:p>
    <w:p w14:paraId="0C4F54DC" w14:textId="77777777" w:rsidR="00C0758B" w:rsidRPr="0024788D" w:rsidRDefault="00C0758B" w:rsidP="00C0758B">
      <w:pPr>
        <w:pStyle w:val="ListParagraph"/>
        <w:numPr>
          <w:ilvl w:val="0"/>
          <w:numId w:val="38"/>
        </w:numPr>
        <w:spacing w:line="276" w:lineRule="auto"/>
        <w:jc w:val="both"/>
        <w:rPr>
          <w:rFonts w:cs="Arial"/>
          <w:bCs/>
        </w:rPr>
      </w:pPr>
      <w:r>
        <w:rPr>
          <w:rFonts w:cs="Arial"/>
          <w:bCs/>
        </w:rPr>
        <w:t>a CT</w:t>
      </w:r>
      <w:r w:rsidRPr="0024788D">
        <w:rPr>
          <w:rFonts w:cs="Arial"/>
          <w:bCs/>
        </w:rPr>
        <w:t xml:space="preserve"> constitutes a “</w:t>
      </w:r>
      <w:r>
        <w:rPr>
          <w:rFonts w:cs="Arial"/>
          <w:bCs/>
        </w:rPr>
        <w:t xml:space="preserve">unique </w:t>
      </w:r>
      <w:r w:rsidRPr="0024788D">
        <w:rPr>
          <w:rFonts w:cs="Arial"/>
          <w:bCs/>
        </w:rPr>
        <w:t>centralised data source”</w:t>
      </w:r>
      <w:r>
        <w:rPr>
          <w:rFonts w:cs="Arial"/>
          <w:bCs/>
        </w:rPr>
        <w:t>.</w:t>
      </w:r>
    </w:p>
    <w:p w14:paraId="5A773C0F" w14:textId="77777777" w:rsidR="00C0758B" w:rsidRDefault="00C0758B" w:rsidP="00C0758B">
      <w:pPr>
        <w:spacing w:line="276" w:lineRule="auto"/>
        <w:jc w:val="both"/>
        <w:rPr>
          <w:rFonts w:cs="Arial"/>
          <w:bCs/>
          <w:szCs w:val="20"/>
        </w:rPr>
      </w:pPr>
    </w:p>
    <w:p w14:paraId="7F3F849F" w14:textId="45534432" w:rsidR="0062022D" w:rsidRDefault="00C0758B" w:rsidP="0062022D">
      <w:r>
        <w:rPr>
          <w:rFonts w:cs="Arial"/>
          <w:bCs/>
          <w:szCs w:val="20"/>
        </w:rPr>
        <w:t xml:space="preserve">We </w:t>
      </w:r>
      <w:r w:rsidRPr="00D84635">
        <w:rPr>
          <w:rFonts w:cs="Arial"/>
          <w:bCs/>
          <w:szCs w:val="20"/>
        </w:rPr>
        <w:t xml:space="preserve">also believe the quality of lit markets will be enhanced by reducing the number of order types </w:t>
      </w:r>
      <w:r>
        <w:rPr>
          <w:rFonts w:cs="Arial"/>
          <w:bCs/>
          <w:szCs w:val="20"/>
        </w:rPr>
        <w:t xml:space="preserve">that </w:t>
      </w:r>
      <w:r w:rsidRPr="00D84635">
        <w:rPr>
          <w:rFonts w:cs="Arial"/>
          <w:bCs/>
          <w:szCs w:val="20"/>
        </w:rPr>
        <w:t>a venue may offer</w:t>
      </w:r>
      <w:r>
        <w:rPr>
          <w:rFonts w:cs="Arial"/>
          <w:bCs/>
          <w:szCs w:val="20"/>
        </w:rPr>
        <w:t xml:space="preserve"> to four types of orders, as m</w:t>
      </w:r>
      <w:r w:rsidRPr="00D84635">
        <w:rPr>
          <w:rFonts w:cs="Arial"/>
          <w:bCs/>
          <w:szCs w:val="20"/>
        </w:rPr>
        <w:t xml:space="preserve">ost of these </w:t>
      </w:r>
      <w:r>
        <w:rPr>
          <w:rFonts w:cs="Arial"/>
          <w:bCs/>
          <w:szCs w:val="20"/>
        </w:rPr>
        <w:t xml:space="preserve">order types </w:t>
      </w:r>
      <w:r w:rsidRPr="00D84635">
        <w:rPr>
          <w:rFonts w:cs="Arial"/>
          <w:bCs/>
          <w:szCs w:val="20"/>
        </w:rPr>
        <w:t xml:space="preserve">only exist to facilitate latency arbitrage. </w:t>
      </w:r>
      <w:r>
        <w:rPr>
          <w:rFonts w:cs="Arial"/>
          <w:bCs/>
          <w:szCs w:val="20"/>
        </w:rPr>
        <w:t>We consider that t</w:t>
      </w:r>
      <w:r w:rsidRPr="00D84635">
        <w:rPr>
          <w:rFonts w:cs="Arial"/>
          <w:bCs/>
          <w:szCs w:val="20"/>
        </w:rPr>
        <w:t xml:space="preserve">his will enhance </w:t>
      </w:r>
      <w:r>
        <w:rPr>
          <w:rFonts w:cs="Arial"/>
          <w:bCs/>
          <w:szCs w:val="20"/>
        </w:rPr>
        <w:t xml:space="preserve">the </w:t>
      </w:r>
      <w:r w:rsidRPr="00D84635">
        <w:rPr>
          <w:rFonts w:cs="Arial"/>
          <w:bCs/>
          <w:szCs w:val="20"/>
        </w:rPr>
        <w:t>quality</w:t>
      </w:r>
      <w:r>
        <w:rPr>
          <w:rFonts w:cs="Arial"/>
          <w:bCs/>
          <w:szCs w:val="20"/>
        </w:rPr>
        <w:t xml:space="preserve"> of the execution of transactions and reporting</w:t>
      </w:r>
      <w:r w:rsidRPr="00D84635">
        <w:rPr>
          <w:rFonts w:cs="Arial"/>
          <w:bCs/>
          <w:szCs w:val="20"/>
        </w:rPr>
        <w:t xml:space="preserve">.  </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69D58584" w14:textId="77777777" w:rsidR="00C0758B" w:rsidRDefault="00C0758B" w:rsidP="00C0758B">
      <w:pPr>
        <w:spacing w:line="276" w:lineRule="auto"/>
        <w:jc w:val="both"/>
        <w:rPr>
          <w:rFonts w:cs="Arial"/>
          <w:bCs/>
          <w:szCs w:val="20"/>
        </w:rPr>
      </w:pPr>
      <w:permStart w:id="795872801" w:edGrp="everyone"/>
      <w:r w:rsidRPr="0024788D">
        <w:rPr>
          <w:rFonts w:cs="Arial"/>
          <w:bCs/>
          <w:szCs w:val="20"/>
        </w:rPr>
        <w:t xml:space="preserve">Yes, </w:t>
      </w:r>
      <w:r>
        <w:rPr>
          <w:rFonts w:cs="Arial"/>
          <w:bCs/>
          <w:szCs w:val="20"/>
        </w:rPr>
        <w:t xml:space="preserve">we </w:t>
      </w:r>
      <w:r w:rsidRPr="002025E2">
        <w:rPr>
          <w:rFonts w:cs="Arial"/>
          <w:bCs/>
          <w:szCs w:val="20"/>
        </w:rPr>
        <w:t>believe that the frequency of trading should be kept as a criterion to assess liquidity</w:t>
      </w:r>
      <w:r w:rsidRPr="0024788D">
        <w:rPr>
          <w:rFonts w:cs="Arial"/>
          <w:bCs/>
          <w:szCs w:val="20"/>
        </w:rPr>
        <w:t xml:space="preserve"> as well as a threshold.</w:t>
      </w:r>
    </w:p>
    <w:p w14:paraId="14896476" w14:textId="3F3DF3D6" w:rsidR="00A263DF" w:rsidRDefault="00C0758B" w:rsidP="00A263DF">
      <w:r w:rsidRPr="00227270">
        <w:rPr>
          <w:rFonts w:cs="Arial"/>
          <w:bCs/>
          <w:szCs w:val="20"/>
        </w:rPr>
        <w:t xml:space="preserve">It </w:t>
      </w:r>
      <w:r>
        <w:rPr>
          <w:rFonts w:cs="Arial"/>
          <w:bCs/>
          <w:szCs w:val="20"/>
        </w:rPr>
        <w:t>could</w:t>
      </w:r>
      <w:r w:rsidRPr="00227270">
        <w:rPr>
          <w:rFonts w:cs="Arial"/>
          <w:bCs/>
          <w:szCs w:val="20"/>
        </w:rPr>
        <w:t xml:space="preserve"> be enhanced by a consolidated tape with flags that identify </w:t>
      </w:r>
      <w:r>
        <w:rPr>
          <w:rFonts w:cs="Arial"/>
          <w:bCs/>
          <w:szCs w:val="20"/>
        </w:rPr>
        <w:t>actionable</w:t>
      </w:r>
      <w:r w:rsidRPr="00227270">
        <w:rPr>
          <w:rFonts w:cs="Arial"/>
          <w:bCs/>
          <w:szCs w:val="20"/>
        </w:rPr>
        <w:t xml:space="preserve"> liquidity. </w:t>
      </w:r>
      <w:permEnd w:id="795872801"/>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732124B6" w14:textId="77777777" w:rsidR="00C0758B" w:rsidRDefault="00C0758B" w:rsidP="00C0758B">
      <w:pPr>
        <w:spacing w:line="276" w:lineRule="auto"/>
        <w:jc w:val="both"/>
        <w:rPr>
          <w:rFonts w:cs="Arial"/>
          <w:bCs/>
          <w:szCs w:val="20"/>
        </w:rPr>
      </w:pPr>
      <w:permStart w:id="1747589383" w:edGrp="everyone"/>
      <w:r>
        <w:rPr>
          <w:rFonts w:cs="Arial"/>
          <w:bCs/>
          <w:szCs w:val="20"/>
        </w:rPr>
        <w:t>We  disagree with ESMA’s proposed changes.</w:t>
      </w:r>
      <w:r w:rsidRPr="0085720C">
        <w:rPr>
          <w:rFonts w:cs="Arial"/>
          <w:bCs/>
          <w:szCs w:val="20"/>
        </w:rPr>
        <w:t xml:space="preserve"> </w:t>
      </w:r>
    </w:p>
    <w:p w14:paraId="598A5932" w14:textId="77777777" w:rsidR="00C0758B" w:rsidRDefault="00C0758B" w:rsidP="00C0758B">
      <w:pPr>
        <w:spacing w:line="276" w:lineRule="auto"/>
        <w:jc w:val="both"/>
        <w:rPr>
          <w:rFonts w:cs="Arial"/>
          <w:bCs/>
          <w:szCs w:val="20"/>
        </w:rPr>
      </w:pPr>
    </w:p>
    <w:p w14:paraId="2B8CAF67" w14:textId="77777777" w:rsidR="00C0758B" w:rsidRDefault="00C0758B" w:rsidP="00C0758B">
      <w:pPr>
        <w:spacing w:line="276" w:lineRule="auto"/>
        <w:jc w:val="both"/>
        <w:rPr>
          <w:rFonts w:cs="Arial"/>
          <w:bCs/>
          <w:szCs w:val="20"/>
        </w:rPr>
      </w:pPr>
      <w:r w:rsidRPr="0085720C">
        <w:rPr>
          <w:rFonts w:cs="Arial"/>
          <w:bCs/>
          <w:szCs w:val="20"/>
        </w:rPr>
        <w:t xml:space="preserve">Whilst ADV is relevant for shares, ESMA’s approach ignores the liquidity profile of the underlying. </w:t>
      </w:r>
    </w:p>
    <w:p w14:paraId="4F31CCE5" w14:textId="77777777" w:rsidR="00C0758B" w:rsidRDefault="00C0758B" w:rsidP="00C0758B">
      <w:pPr>
        <w:spacing w:line="276" w:lineRule="auto"/>
        <w:jc w:val="both"/>
        <w:rPr>
          <w:rFonts w:cs="Arial"/>
          <w:bCs/>
          <w:szCs w:val="20"/>
        </w:rPr>
      </w:pPr>
    </w:p>
    <w:p w14:paraId="43D46422" w14:textId="5CCBF560" w:rsidR="00A263DF" w:rsidRDefault="00C0758B" w:rsidP="00A263DF">
      <w:r w:rsidRPr="0085720C">
        <w:rPr>
          <w:rFonts w:cs="Arial"/>
          <w:bCs/>
          <w:szCs w:val="20"/>
        </w:rPr>
        <w:t>An optimal mechanism for assessing liquidity for ETFs and DRs would be to look through to the underlying assets and the availability of hedging instruments. In the case of ETFs, this could be coupled with the ADV of the relevant ETF in question</w:t>
      </w:r>
      <w:r>
        <w:rPr>
          <w:rFonts w:cs="Arial"/>
          <w:bCs/>
          <w:szCs w:val="20"/>
        </w:rPr>
        <w:t>. (See also our reply to question Q2.)</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lastRenderedPageBreak/>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C8341F7" w14:textId="77777777" w:rsidR="00C0758B" w:rsidRDefault="00C0758B" w:rsidP="00C0758B">
      <w:pPr>
        <w:spacing w:line="276" w:lineRule="auto"/>
        <w:jc w:val="both"/>
        <w:rPr>
          <w:rFonts w:cs="Arial"/>
          <w:b/>
          <w:szCs w:val="20"/>
        </w:rPr>
      </w:pPr>
      <w:permStart w:id="1400726192" w:edGrp="everyone"/>
      <w:r>
        <w:rPr>
          <w:rFonts w:cs="Arial"/>
          <w:bCs/>
          <w:szCs w:val="20"/>
        </w:rPr>
        <w:t>We disagree.</w:t>
      </w:r>
      <w:r w:rsidRPr="00FB389F">
        <w:rPr>
          <w:rFonts w:cs="Arial"/>
          <w:bCs/>
          <w:szCs w:val="20"/>
        </w:rPr>
        <w:t xml:space="preserve"> </w:t>
      </w:r>
      <w:r>
        <w:rPr>
          <w:rFonts w:cs="Arial"/>
          <w:bCs/>
          <w:szCs w:val="20"/>
        </w:rPr>
        <w:t>C</w:t>
      </w:r>
      <w:r w:rsidRPr="00FB389F">
        <w:rPr>
          <w:rFonts w:cs="Arial"/>
          <w:bCs/>
          <w:szCs w:val="20"/>
        </w:rPr>
        <w:t>ertificates trade like shares in many cases</w:t>
      </w:r>
      <w:r>
        <w:rPr>
          <w:rFonts w:cs="Arial"/>
          <w:bCs/>
          <w:szCs w:val="20"/>
        </w:rPr>
        <w:t>. Fu</w:t>
      </w:r>
      <w:r w:rsidRPr="00FB389F">
        <w:rPr>
          <w:rFonts w:cs="Arial"/>
          <w:bCs/>
          <w:szCs w:val="20"/>
        </w:rPr>
        <w:t>rthermore</w:t>
      </w:r>
      <w:r>
        <w:rPr>
          <w:rFonts w:cs="Arial"/>
          <w:bCs/>
          <w:szCs w:val="20"/>
        </w:rPr>
        <w:t>,</w:t>
      </w:r>
      <w:r w:rsidRPr="00FB389F">
        <w:rPr>
          <w:rFonts w:cs="Arial"/>
          <w:bCs/>
          <w:szCs w:val="20"/>
        </w:rPr>
        <w:t xml:space="preserve"> certificates can represent a very diverse reality of instruments that represent shares (EU listing of non-EU equity shares like American depositary receipts…)</w:t>
      </w:r>
      <w:r>
        <w:rPr>
          <w:rFonts w:cs="Arial"/>
          <w:bCs/>
          <w:szCs w:val="20"/>
        </w:rPr>
        <w:t>. Therefore, certificates</w:t>
      </w:r>
      <w:r w:rsidRPr="00FB389F">
        <w:rPr>
          <w:rFonts w:cs="Arial"/>
          <w:bCs/>
          <w:szCs w:val="20"/>
        </w:rPr>
        <w:t xml:space="preserve"> should </w:t>
      </w:r>
      <w:r>
        <w:rPr>
          <w:rFonts w:cs="Arial"/>
          <w:bCs/>
          <w:szCs w:val="20"/>
        </w:rPr>
        <w:t>remain</w:t>
      </w:r>
      <w:r w:rsidRPr="00FB389F">
        <w:rPr>
          <w:rFonts w:cs="Arial"/>
          <w:bCs/>
          <w:szCs w:val="20"/>
        </w:rPr>
        <w:t xml:space="preserve"> under the same rules </w:t>
      </w:r>
      <w:r>
        <w:rPr>
          <w:rFonts w:cs="Arial"/>
          <w:bCs/>
          <w:szCs w:val="20"/>
        </w:rPr>
        <w:t xml:space="preserve">as </w:t>
      </w:r>
      <w:r w:rsidRPr="00FB389F">
        <w:rPr>
          <w:rFonts w:cs="Arial"/>
          <w:bCs/>
          <w:szCs w:val="20"/>
        </w:rPr>
        <w:t>equity, accordingly</w:t>
      </w:r>
      <w:r>
        <w:rPr>
          <w:rFonts w:cs="Arial"/>
          <w:b/>
          <w:szCs w:val="20"/>
        </w:rPr>
        <w:t>.</w:t>
      </w:r>
    </w:p>
    <w:p w14:paraId="7286606B" w14:textId="77777777" w:rsidR="00C0758B" w:rsidRPr="00FD557C" w:rsidRDefault="00C0758B" w:rsidP="00C0758B">
      <w:pPr>
        <w:spacing w:line="276" w:lineRule="auto"/>
        <w:jc w:val="both"/>
        <w:rPr>
          <w:rFonts w:cs="Arial"/>
          <w:bCs/>
          <w:szCs w:val="20"/>
        </w:rPr>
      </w:pPr>
    </w:p>
    <w:p w14:paraId="1B5C745B" w14:textId="1C753C7D" w:rsidR="002E1760" w:rsidRDefault="00C0758B" w:rsidP="002E1760">
      <w:r>
        <w:rPr>
          <w:rFonts w:cs="Arial"/>
          <w:bCs/>
          <w:szCs w:val="20"/>
        </w:rPr>
        <w:t>Should ESMA decide to remove certificates from the list of equity-like instrument, we would encourage ESMA to apply the transparency regime of non-equities, to avoid transparency loopholes and as certificates may also be traded as ETDs.</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65BEA6E7" w:rsidR="008418E3" w:rsidRDefault="00C0758B" w:rsidP="008418E3">
      <w:permStart w:id="929114806" w:edGrp="everyone"/>
      <w:r>
        <w:rPr>
          <w:rFonts w:cs="Arial"/>
          <w:bCs/>
          <w:szCs w:val="20"/>
        </w:rPr>
        <w:t>Provided that ESMA provides clear criteria to assess the illiquid instruments, i</w:t>
      </w:r>
      <w:r w:rsidRPr="009C0330">
        <w:rPr>
          <w:rFonts w:cs="Arial"/>
          <w:bCs/>
          <w:szCs w:val="20"/>
        </w:rPr>
        <w:t>nstruments that trade less frequently should be protected from unnecessarily harsh regulatory obligations</w:t>
      </w:r>
      <w:r>
        <w:rPr>
          <w:rFonts w:cs="Arial"/>
          <w:bCs/>
          <w:szCs w:val="20"/>
        </w:rPr>
        <w:t>.</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6865453E" w14:textId="77777777" w:rsidR="00C0758B" w:rsidRDefault="00C0758B" w:rsidP="00C0758B">
      <w:pPr>
        <w:rPr>
          <w:rFonts w:cs="Arial"/>
        </w:rPr>
      </w:pPr>
      <w:permStart w:id="675495160" w:edGrp="everyone"/>
      <w:r w:rsidRPr="0024788D">
        <w:rPr>
          <w:rFonts w:cs="Arial"/>
        </w:rPr>
        <w:t xml:space="preserve">Frequent batch auctions remain a very small part of the overall Equity trading market. </w:t>
      </w:r>
    </w:p>
    <w:p w14:paraId="101E5642" w14:textId="77777777" w:rsidR="00C0758B" w:rsidRDefault="00C0758B" w:rsidP="00C0758B">
      <w:pPr>
        <w:rPr>
          <w:rFonts w:cs="Arial"/>
        </w:rPr>
      </w:pPr>
    </w:p>
    <w:p w14:paraId="76DFE9AE" w14:textId="77777777" w:rsidR="00C0758B" w:rsidRPr="009469AC" w:rsidRDefault="00C0758B" w:rsidP="00C0758B">
      <w:pPr>
        <w:rPr>
          <w:rFonts w:cs="Arial"/>
        </w:rPr>
      </w:pPr>
      <w:r>
        <w:rPr>
          <w:rFonts w:cs="Arial"/>
        </w:rPr>
        <w:t xml:space="preserve">However, we do </w:t>
      </w:r>
      <w:r w:rsidRPr="009469AC">
        <w:rPr>
          <w:rFonts w:cs="Arial"/>
        </w:rPr>
        <w:t>not support ESMA’s proposal to separate the definition of conventional periodic auctions and frequent batch auctions (FBAs)</w:t>
      </w:r>
      <w:r>
        <w:rPr>
          <w:rFonts w:cs="Arial"/>
        </w:rPr>
        <w:t xml:space="preserve"> as we do not agree with</w:t>
      </w:r>
      <w:r w:rsidRPr="009469AC">
        <w:rPr>
          <w:rFonts w:cs="Arial"/>
        </w:rPr>
        <w:t xml:space="preserve"> the proposition that the characteristics of FBAs undermine the price formation process and that all orders submitted to FBAs should be disclosed.</w:t>
      </w:r>
    </w:p>
    <w:p w14:paraId="0714B1E6" w14:textId="77777777" w:rsidR="00C0758B" w:rsidRDefault="00C0758B" w:rsidP="00C0758B">
      <w:pPr>
        <w:rPr>
          <w:rFonts w:cs="Arial"/>
        </w:rPr>
      </w:pPr>
    </w:p>
    <w:p w14:paraId="3FF9776E" w14:textId="77777777" w:rsidR="00C0758B" w:rsidRDefault="00C0758B" w:rsidP="00C0758B">
      <w:pPr>
        <w:rPr>
          <w:rFonts w:cs="Arial"/>
        </w:rPr>
      </w:pPr>
      <w:r w:rsidRPr="009469AC">
        <w:rPr>
          <w:rFonts w:cs="Arial"/>
        </w:rPr>
        <w:t xml:space="preserve">FBAs are an established and valued trading mechanism in capped as well as uncapped stocks and without correlation to other trading modalities. </w:t>
      </w:r>
    </w:p>
    <w:p w14:paraId="60679D9C" w14:textId="77777777" w:rsidR="00C0758B" w:rsidRPr="009469AC" w:rsidRDefault="00C0758B" w:rsidP="00C0758B">
      <w:pPr>
        <w:rPr>
          <w:rFonts w:cs="Arial"/>
        </w:rPr>
      </w:pPr>
    </w:p>
    <w:p w14:paraId="02166409" w14:textId="77777777" w:rsidR="00C0758B" w:rsidRPr="0024788D" w:rsidRDefault="00C0758B" w:rsidP="00C0758B">
      <w:pPr>
        <w:rPr>
          <w:rFonts w:cs="Arial"/>
        </w:rPr>
      </w:pPr>
      <w:r>
        <w:rPr>
          <w:rFonts w:cs="Arial"/>
        </w:rPr>
        <w:t>We</w:t>
      </w:r>
      <w:r w:rsidRPr="003961D3">
        <w:rPr>
          <w:rFonts w:cs="Arial"/>
        </w:rPr>
        <w:t xml:space="preserve"> believe ESMA should be more concerned with the restrictive practice whereby exchanges charge more to trade in the end of day auction</w:t>
      </w:r>
      <w:r>
        <w:rPr>
          <w:rFonts w:cs="Arial"/>
        </w:rPr>
        <w:t>, as t</w:t>
      </w:r>
      <w:r w:rsidRPr="003961D3">
        <w:rPr>
          <w:rFonts w:cs="Arial"/>
        </w:rPr>
        <w:t>his is fracturing liquidity</w:t>
      </w:r>
      <w:r>
        <w:rPr>
          <w:rFonts w:cs="Arial"/>
        </w:rPr>
        <w:t>.</w:t>
      </w:r>
      <w:r w:rsidRPr="0024788D">
        <w:rPr>
          <w:rFonts w:cs="Arial"/>
        </w:rPr>
        <w:t xml:space="preserve"> </w:t>
      </w:r>
    </w:p>
    <w:p w14:paraId="30085223" w14:textId="77777777" w:rsidR="00C0758B" w:rsidRPr="0024788D" w:rsidRDefault="00C0758B" w:rsidP="00C0758B">
      <w:pPr>
        <w:rPr>
          <w:rFonts w:cs="Arial"/>
        </w:rPr>
      </w:pPr>
    </w:p>
    <w:p w14:paraId="4A43CA47" w14:textId="77777777" w:rsidR="00C0758B" w:rsidRPr="0024788D" w:rsidRDefault="00C0758B" w:rsidP="00C0758B">
      <w:pPr>
        <w:rPr>
          <w:rFonts w:cs="Arial"/>
        </w:rPr>
      </w:pPr>
      <w:r w:rsidRPr="0024788D">
        <w:rPr>
          <w:rFonts w:cs="Arial"/>
        </w:rPr>
        <w:t>From our members’ perspective, the anticipation is that, if the regime of tick size is not sufficiently flexible in its definition, the use of periodic auction would become increasingly important.</w:t>
      </w:r>
    </w:p>
    <w:p w14:paraId="25B3F42A" w14:textId="77777777" w:rsidR="00C0758B" w:rsidRPr="0024788D" w:rsidRDefault="00C0758B" w:rsidP="00C0758B">
      <w:pPr>
        <w:rPr>
          <w:rFonts w:cs="Arial"/>
        </w:rPr>
      </w:pPr>
    </w:p>
    <w:p w14:paraId="03AAB818" w14:textId="77777777" w:rsidR="00C0758B" w:rsidRPr="0024788D" w:rsidRDefault="00C0758B" w:rsidP="00C0758B">
      <w:pPr>
        <w:spacing w:line="276" w:lineRule="auto"/>
        <w:jc w:val="both"/>
        <w:rPr>
          <w:rFonts w:cs="Arial"/>
        </w:rPr>
      </w:pPr>
      <w:r w:rsidRPr="0024788D">
        <w:rPr>
          <w:rFonts w:cs="Arial"/>
        </w:rPr>
        <w:t>In that perspective, we welcome the ESMA report on Tick Size and the recognition that trading at mid-point for LIS transactions has merits for investors.</w:t>
      </w:r>
    </w:p>
    <w:p w14:paraId="4765131C" w14:textId="77777777" w:rsidR="00C0758B" w:rsidRPr="0024788D" w:rsidRDefault="00C0758B" w:rsidP="00C0758B">
      <w:pPr>
        <w:spacing w:line="276" w:lineRule="auto"/>
        <w:jc w:val="both"/>
        <w:rPr>
          <w:rFonts w:cs="Arial"/>
        </w:rPr>
      </w:pPr>
    </w:p>
    <w:p w14:paraId="77303C55" w14:textId="1F225E2B" w:rsidR="00F469F8" w:rsidRDefault="00C0758B" w:rsidP="00F469F8">
      <w:r w:rsidRPr="0024788D">
        <w:rPr>
          <w:rFonts w:cs="Arial"/>
          <w:szCs w:val="20"/>
        </w:rPr>
        <w:t xml:space="preserve">Therefore, we are of the view that frequent batch auctions systems should disclose indicative price and quantity of matched transactions. </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t>Do you agree that all non-price forming systems should operate under a pre-trade transparency waiver? Please explain</w:t>
      </w:r>
      <w:r w:rsidR="00F469F8">
        <w:t>.</w:t>
      </w:r>
    </w:p>
    <w:p w14:paraId="56B290CC" w14:textId="05B5D0C7" w:rsidR="00F469F8" w:rsidRDefault="00F469F8" w:rsidP="00F469F8">
      <w:r>
        <w:lastRenderedPageBreak/>
        <w:t>&lt;ESMA_QUESTION_CP</w:t>
      </w:r>
      <w:r w:rsidR="00F107EF">
        <w:t>_M</w:t>
      </w:r>
      <w:r w:rsidR="00945BCF">
        <w:t>I</w:t>
      </w:r>
      <w:r w:rsidR="00F107EF">
        <w:t>FID_EQT_</w:t>
      </w:r>
      <w:r>
        <w:t>1</w:t>
      </w:r>
      <w:r w:rsidR="002868FC">
        <w:t>2</w:t>
      </w:r>
      <w:r>
        <w:t>&gt;</w:t>
      </w:r>
    </w:p>
    <w:p w14:paraId="7F86F415" w14:textId="77777777" w:rsidR="00C0758B" w:rsidRDefault="00C0758B" w:rsidP="00C0758B">
      <w:pPr>
        <w:spacing w:line="276" w:lineRule="auto"/>
        <w:jc w:val="both"/>
        <w:rPr>
          <w:rFonts w:cs="Arial"/>
          <w:bCs/>
          <w:szCs w:val="20"/>
        </w:rPr>
      </w:pPr>
      <w:permStart w:id="227761104" w:edGrp="everyone"/>
      <w:r>
        <w:rPr>
          <w:rFonts w:cs="Arial"/>
          <w:bCs/>
          <w:szCs w:val="20"/>
        </w:rPr>
        <w:t xml:space="preserve">We do not agree with ESMA’s proposal to impose </w:t>
      </w:r>
      <w:r w:rsidRPr="00BF0CCF">
        <w:rPr>
          <w:rFonts w:cs="Arial"/>
          <w:bCs/>
          <w:szCs w:val="20"/>
        </w:rPr>
        <w:t xml:space="preserve">trade transparency rules on a batch of unmatched transactions </w:t>
      </w:r>
      <w:r>
        <w:rPr>
          <w:rFonts w:cs="Arial"/>
          <w:bCs/>
          <w:szCs w:val="20"/>
        </w:rPr>
        <w:t>as it would be</w:t>
      </w:r>
      <w:r w:rsidRPr="00BF0CCF">
        <w:rPr>
          <w:rFonts w:cs="Arial"/>
          <w:bCs/>
          <w:szCs w:val="20"/>
        </w:rPr>
        <w:t xml:space="preserve"> detrimental to our clients</w:t>
      </w:r>
      <w:r>
        <w:rPr>
          <w:rFonts w:cs="Arial"/>
          <w:bCs/>
          <w:szCs w:val="20"/>
        </w:rPr>
        <w:t xml:space="preserve"> </w:t>
      </w:r>
      <w:r>
        <w:rPr>
          <w:rFonts w:cs="Arial"/>
          <w:szCs w:val="20"/>
        </w:rPr>
        <w:t>due to i</w:t>
      </w:r>
      <w:r w:rsidRPr="0024788D">
        <w:rPr>
          <w:rFonts w:cs="Arial"/>
          <w:szCs w:val="20"/>
        </w:rPr>
        <w:t>nformation leakage and consequently increase transaction costs</w:t>
      </w:r>
      <w:r w:rsidRPr="00BF0CCF">
        <w:rPr>
          <w:rFonts w:cs="Arial"/>
          <w:bCs/>
          <w:szCs w:val="20"/>
        </w:rPr>
        <w:t xml:space="preserve">. </w:t>
      </w:r>
    </w:p>
    <w:p w14:paraId="774ECF99" w14:textId="77777777" w:rsidR="00C0758B" w:rsidRDefault="00C0758B" w:rsidP="00C0758B">
      <w:pPr>
        <w:spacing w:line="276" w:lineRule="auto"/>
        <w:jc w:val="both"/>
        <w:rPr>
          <w:rFonts w:cs="Arial"/>
          <w:bCs/>
          <w:szCs w:val="20"/>
        </w:rPr>
      </w:pPr>
    </w:p>
    <w:p w14:paraId="257F1818" w14:textId="77777777" w:rsidR="00C0758B" w:rsidRPr="00506DD8" w:rsidRDefault="00C0758B" w:rsidP="00C0758B">
      <w:pPr>
        <w:spacing w:line="276" w:lineRule="auto"/>
        <w:jc w:val="both"/>
        <w:rPr>
          <w:rFonts w:cs="Arial"/>
          <w:bCs/>
          <w:szCs w:val="20"/>
        </w:rPr>
      </w:pPr>
      <w:r w:rsidRPr="00506DD8">
        <w:rPr>
          <w:rFonts w:cs="Arial"/>
          <w:bCs/>
          <w:szCs w:val="20"/>
        </w:rPr>
        <w:t>The ability to trade at mid-point does not mean the transaction has not contributed to price formation</w:t>
      </w:r>
      <w:r>
        <w:rPr>
          <w:rFonts w:cs="Arial"/>
          <w:bCs/>
          <w:szCs w:val="20"/>
        </w:rPr>
        <w:t>.</w:t>
      </w:r>
      <w:r w:rsidRPr="00506DD8">
        <w:rPr>
          <w:rFonts w:cs="Arial"/>
          <w:bCs/>
          <w:szCs w:val="20"/>
        </w:rPr>
        <w:t xml:space="preserve"> Pre-trade transparency waivers and trading at mid-point is not the same as "non price forming". Executions in dark venues contribute to price formation via post trade transparency obligations informing subsequent trading (and for which there are no waivers). </w:t>
      </w:r>
    </w:p>
    <w:p w14:paraId="17CC1FC5" w14:textId="77777777" w:rsidR="00C0758B" w:rsidRDefault="00C0758B" w:rsidP="00C0758B">
      <w:pPr>
        <w:spacing w:line="276" w:lineRule="auto"/>
        <w:jc w:val="both"/>
        <w:rPr>
          <w:rFonts w:cs="Arial"/>
          <w:bCs/>
          <w:szCs w:val="20"/>
        </w:rPr>
      </w:pPr>
    </w:p>
    <w:p w14:paraId="0CEB943F" w14:textId="77777777" w:rsidR="00C0758B" w:rsidRDefault="00C0758B" w:rsidP="00C0758B">
      <w:pPr>
        <w:spacing w:line="276" w:lineRule="auto"/>
        <w:jc w:val="both"/>
        <w:rPr>
          <w:rFonts w:cs="Arial"/>
          <w:bCs/>
          <w:szCs w:val="20"/>
        </w:rPr>
      </w:pPr>
      <w:r w:rsidRPr="00BF0CCF">
        <w:rPr>
          <w:rFonts w:cs="Arial"/>
          <w:bCs/>
          <w:szCs w:val="20"/>
        </w:rPr>
        <w:t>Our orders typically take multiple days to complete. Without the waiver, there would be substantial information leakage and consequently increase implementation slippage costs for our end clients.</w:t>
      </w:r>
    </w:p>
    <w:p w14:paraId="44A2F9E5" w14:textId="77777777" w:rsidR="00C0758B" w:rsidRDefault="00C0758B" w:rsidP="00C0758B">
      <w:pPr>
        <w:spacing w:line="276" w:lineRule="auto"/>
        <w:jc w:val="both"/>
        <w:rPr>
          <w:rFonts w:cs="Arial"/>
          <w:szCs w:val="20"/>
        </w:rPr>
      </w:pPr>
    </w:p>
    <w:p w14:paraId="1B69D7E6" w14:textId="6A0E1A57" w:rsidR="00F469F8" w:rsidRDefault="00C0758B" w:rsidP="00F469F8">
      <w:r>
        <w:rPr>
          <w:rFonts w:cs="Arial"/>
          <w:szCs w:val="20"/>
        </w:rPr>
        <w:t>Therefore, w</w:t>
      </w:r>
      <w:r w:rsidRPr="0024788D">
        <w:rPr>
          <w:rFonts w:cs="Arial"/>
          <w:szCs w:val="20"/>
        </w:rPr>
        <w:t>e are of the view that applying pre-trade transparency on batch</w:t>
      </w:r>
      <w:r>
        <w:rPr>
          <w:rFonts w:cs="Arial"/>
          <w:szCs w:val="20"/>
        </w:rPr>
        <w:t>es</w:t>
      </w:r>
      <w:r w:rsidRPr="0024788D">
        <w:rPr>
          <w:rFonts w:cs="Arial"/>
          <w:szCs w:val="20"/>
        </w:rPr>
        <w:t xml:space="preserve"> of unmatched transactions would be detrimental to institutional investors.</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536EE512" w14:textId="07E77F0A" w:rsidR="00646C30" w:rsidRDefault="00C0758B" w:rsidP="00646C30">
      <w:permStart w:id="308116658" w:edGrp="everyone"/>
      <w:r w:rsidRPr="0024788D">
        <w:rPr>
          <w:rFonts w:cs="Arial"/>
          <w:bCs/>
          <w:szCs w:val="20"/>
        </w:rPr>
        <w:t>Overall, we are supportive of tick-size harmonisation below LIS, subject to retaining the ability of venues (exchanges, MTFs and SIs) to execute at the midpoint.</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4657298" w14:textId="341B4684" w:rsidR="00C0758B" w:rsidRPr="0024788D" w:rsidRDefault="00C0758B" w:rsidP="00C0758B">
      <w:pPr>
        <w:spacing w:line="276" w:lineRule="auto"/>
        <w:jc w:val="both"/>
        <w:rPr>
          <w:rFonts w:cs="Arial"/>
          <w:bCs/>
          <w:szCs w:val="20"/>
        </w:rPr>
      </w:pPr>
      <w:permStart w:id="699085938" w:edGrp="everyone"/>
      <w:r w:rsidRPr="0024788D">
        <w:rPr>
          <w:rFonts w:cs="Arial"/>
          <w:bCs/>
          <w:szCs w:val="20"/>
        </w:rPr>
        <w:t>We can</w:t>
      </w:r>
      <w:r>
        <w:rPr>
          <w:rFonts w:cs="Arial"/>
          <w:bCs/>
          <w:szCs w:val="20"/>
        </w:rPr>
        <w:t xml:space="preserve"> not</w:t>
      </w:r>
      <w:r w:rsidRPr="0024788D">
        <w:rPr>
          <w:rFonts w:cs="Arial"/>
          <w:bCs/>
          <w:szCs w:val="20"/>
        </w:rPr>
        <w:t xml:space="preserve"> see any benefit to this extension</w:t>
      </w:r>
      <w:r>
        <w:rPr>
          <w:rFonts w:cs="Arial"/>
          <w:bCs/>
          <w:szCs w:val="20"/>
        </w:rPr>
        <w:t>; instead, we are concerned that it would</w:t>
      </w:r>
      <w:r w:rsidRPr="0024788D">
        <w:rPr>
          <w:rFonts w:cs="Arial"/>
          <w:bCs/>
          <w:szCs w:val="20"/>
        </w:rPr>
        <w:t xml:space="preserve"> impose additional reporting and data costs. </w:t>
      </w:r>
    </w:p>
    <w:p w14:paraId="22EA0EB9" w14:textId="77777777" w:rsidR="00C0758B" w:rsidRDefault="00C0758B" w:rsidP="00C0758B">
      <w:pPr>
        <w:spacing w:line="276" w:lineRule="auto"/>
        <w:jc w:val="both"/>
        <w:rPr>
          <w:rFonts w:cs="Arial"/>
          <w:bCs/>
          <w:szCs w:val="20"/>
        </w:rPr>
      </w:pPr>
    </w:p>
    <w:p w14:paraId="08438DC7" w14:textId="77777777" w:rsidR="00C0758B" w:rsidRPr="005F68CB" w:rsidRDefault="00C0758B" w:rsidP="00C0758B">
      <w:pPr>
        <w:spacing w:line="276" w:lineRule="auto"/>
        <w:jc w:val="both"/>
        <w:rPr>
          <w:rFonts w:cs="Arial"/>
          <w:bCs/>
          <w:szCs w:val="20"/>
        </w:rPr>
      </w:pPr>
      <w:r w:rsidRPr="005F68CB">
        <w:rPr>
          <w:rFonts w:cs="Arial"/>
          <w:bCs/>
          <w:szCs w:val="20"/>
        </w:rPr>
        <w:t>Extending the quoting requirement to illiquid stocks may push SIs to stop any facilitation activity in those names if the risk profiles are not sustainable, which would impact available liquidity on those stocks without bringing more flow on venue</w:t>
      </w:r>
      <w:r>
        <w:rPr>
          <w:rFonts w:cs="Arial"/>
          <w:bCs/>
          <w:szCs w:val="20"/>
        </w:rPr>
        <w:t>.</w:t>
      </w:r>
    </w:p>
    <w:permEnd w:id="699085938"/>
    <w:p w14:paraId="6A257108" w14:textId="0AE0929E" w:rsidR="00646C30" w:rsidRDefault="00646C30" w:rsidP="00646C30"/>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642225D6" w:rsidR="00646C30" w:rsidRDefault="00C0758B" w:rsidP="00646C30">
      <w:permStart w:id="1271415520" w:edGrp="everyone"/>
      <w:r>
        <w:rPr>
          <w:rFonts w:cs="Arial"/>
          <w:bCs/>
          <w:szCs w:val="20"/>
        </w:rPr>
        <w:t>EFAMA does not support the increase of SMS levels.</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lastRenderedPageBreak/>
        <w:t>&lt;ESMA_QUESTION_CP</w:t>
      </w:r>
      <w:r w:rsidR="00F107EF">
        <w:t>_M</w:t>
      </w:r>
      <w:r w:rsidR="00945BCF">
        <w:t>I</w:t>
      </w:r>
      <w:r w:rsidR="00F107EF">
        <w:t>FID_EQT_</w:t>
      </w:r>
      <w:r>
        <w:t>1</w:t>
      </w:r>
      <w:r w:rsidR="00101BF1">
        <w:t>6</w:t>
      </w:r>
      <w:r>
        <w:t>&gt;</w:t>
      </w:r>
    </w:p>
    <w:p w14:paraId="002A9985" w14:textId="77777777" w:rsidR="00C0758B" w:rsidRPr="005A6618" w:rsidRDefault="00C0758B" w:rsidP="00C0758B">
      <w:pPr>
        <w:spacing w:line="276" w:lineRule="auto"/>
        <w:jc w:val="both"/>
        <w:rPr>
          <w:rFonts w:cs="Arial"/>
          <w:bCs/>
          <w:szCs w:val="20"/>
        </w:rPr>
      </w:pPr>
      <w:permStart w:id="2130212544" w:edGrp="everyone"/>
      <w:r w:rsidRPr="005A6618">
        <w:rPr>
          <w:rFonts w:cs="Arial"/>
          <w:bCs/>
          <w:szCs w:val="20"/>
        </w:rPr>
        <w:t>EFAMA supports the removal of the DVC.</w:t>
      </w:r>
    </w:p>
    <w:p w14:paraId="7D50433A" w14:textId="77777777" w:rsidR="00C0758B" w:rsidRPr="005A6618" w:rsidRDefault="00C0758B" w:rsidP="00C0758B">
      <w:pPr>
        <w:spacing w:line="276" w:lineRule="auto"/>
        <w:jc w:val="both"/>
        <w:rPr>
          <w:rFonts w:cs="Arial"/>
          <w:bCs/>
          <w:szCs w:val="20"/>
        </w:rPr>
      </w:pPr>
    </w:p>
    <w:p w14:paraId="7AAD2035" w14:textId="291B820F" w:rsidR="00646C30" w:rsidRDefault="00C0758B" w:rsidP="00646C30">
      <w:r w:rsidRPr="005A6618">
        <w:rPr>
          <w:rFonts w:cs="Arial"/>
          <w:bCs/>
          <w:szCs w:val="20"/>
        </w:rPr>
        <w:t>Should the DVC continue, we would opt for option B as the least damaging to market integrity and investor choice.</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3DE0A8C0" w14:textId="77777777" w:rsidR="00C0758B" w:rsidRDefault="00C0758B" w:rsidP="00C0758B">
      <w:pPr>
        <w:spacing w:line="276" w:lineRule="auto"/>
        <w:jc w:val="both"/>
        <w:rPr>
          <w:rFonts w:cs="Arial"/>
          <w:bCs/>
          <w:szCs w:val="20"/>
        </w:rPr>
      </w:pPr>
      <w:permStart w:id="96027498" w:edGrp="everyone"/>
      <w:r w:rsidRPr="00110405">
        <w:rPr>
          <w:rFonts w:cs="Arial"/>
          <w:bCs/>
          <w:szCs w:val="20"/>
        </w:rPr>
        <w:t>No, we do not support the imposition of artificial barriers to investor choice resulting in complex market structure of little benefit.</w:t>
      </w:r>
    </w:p>
    <w:p w14:paraId="6EB69262" w14:textId="77777777" w:rsidR="00C0758B" w:rsidRDefault="00C0758B" w:rsidP="00C0758B">
      <w:pPr>
        <w:spacing w:line="276" w:lineRule="auto"/>
        <w:jc w:val="both"/>
        <w:rPr>
          <w:rFonts w:cs="Arial"/>
          <w:bCs/>
          <w:szCs w:val="20"/>
        </w:rPr>
      </w:pPr>
    </w:p>
    <w:p w14:paraId="1CE157B4" w14:textId="110C04F7" w:rsidR="00646C30" w:rsidRDefault="00C0758B" w:rsidP="00646C30">
      <w:r w:rsidRPr="00550C58">
        <w:rPr>
          <w:rFonts w:cs="Arial"/>
          <w:bCs/>
          <w:szCs w:val="20"/>
        </w:rPr>
        <w:t xml:space="preserve">As discussed above, </w:t>
      </w:r>
      <w:r>
        <w:rPr>
          <w:rFonts w:cs="Arial"/>
          <w:bCs/>
          <w:szCs w:val="20"/>
        </w:rPr>
        <w:t>we</w:t>
      </w:r>
      <w:r w:rsidRPr="00550C58">
        <w:rPr>
          <w:rFonts w:cs="Arial"/>
          <w:bCs/>
          <w:szCs w:val="20"/>
        </w:rPr>
        <w:t xml:space="preserve"> believe that all trades below €30,000 should be traded on lit markets and provided it is correctly trade reported, anything at or above this threshold, should be traded at the investor’s choice.</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t>&lt;ESMA_QUESTION_CP</w:t>
      </w:r>
      <w:r w:rsidR="00F107EF">
        <w:t>_M</w:t>
      </w:r>
      <w:r w:rsidR="00945BCF">
        <w:t>I</w:t>
      </w:r>
      <w:r w:rsidR="00F107EF">
        <w:t>FID_EQT_</w:t>
      </w:r>
      <w:r>
        <w:t>1</w:t>
      </w:r>
      <w:r w:rsidR="00101BF1">
        <w:t>8</w:t>
      </w:r>
      <w:r>
        <w:t>&gt;</w:t>
      </w:r>
    </w:p>
    <w:p w14:paraId="25CA95FF" w14:textId="77777777" w:rsidR="00C0758B" w:rsidRPr="0024788D" w:rsidRDefault="00C0758B" w:rsidP="00C0758B">
      <w:pPr>
        <w:spacing w:line="276" w:lineRule="auto"/>
        <w:jc w:val="both"/>
        <w:rPr>
          <w:rFonts w:cs="Arial"/>
          <w:bCs/>
          <w:szCs w:val="20"/>
        </w:rPr>
      </w:pPr>
      <w:permStart w:id="70923797" w:edGrp="everyone"/>
      <w:r w:rsidRPr="0024788D">
        <w:rPr>
          <w:rFonts w:cs="Arial"/>
          <w:bCs/>
          <w:szCs w:val="20"/>
        </w:rPr>
        <w:t xml:space="preserve">Yes, as this would: </w:t>
      </w:r>
    </w:p>
    <w:p w14:paraId="67E92E67" w14:textId="77777777" w:rsidR="00C0758B" w:rsidRPr="0024788D" w:rsidRDefault="00C0758B" w:rsidP="00C0758B">
      <w:pPr>
        <w:pStyle w:val="ListParagraph"/>
        <w:numPr>
          <w:ilvl w:val="0"/>
          <w:numId w:val="38"/>
        </w:numPr>
        <w:spacing w:line="276" w:lineRule="auto"/>
        <w:jc w:val="both"/>
        <w:rPr>
          <w:rFonts w:cs="Arial"/>
          <w:bCs/>
        </w:rPr>
      </w:pPr>
      <w:r w:rsidRPr="0024788D">
        <w:rPr>
          <w:rFonts w:cs="Arial"/>
          <w:bCs/>
        </w:rPr>
        <w:t>improve legal certainty,</w:t>
      </w:r>
    </w:p>
    <w:p w14:paraId="2C8E07E5" w14:textId="609BFB70" w:rsidR="00646C30" w:rsidRDefault="00C0758B" w:rsidP="00646C30">
      <w:r w:rsidRPr="00C0758B">
        <w:rPr>
          <w:rFonts w:cs="Arial"/>
          <w:bCs/>
        </w:rPr>
        <w:t>reduce the time required to trade back.</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1CA20AB6" w:rsidR="00646C30" w:rsidRDefault="00C0758B" w:rsidP="00646C30">
      <w:permStart w:id="1628391240" w:edGrp="everyone"/>
      <w:r>
        <w:t>No comment</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19" w:history="1">
        <w:r w:rsidRPr="00D7232C">
          <w:rPr>
            <w:rStyle w:val="Hyperlink"/>
          </w:rPr>
          <w:t>s</w:t>
        </w:r>
        <w:r w:rsidRPr="00D7232C">
          <w:rPr>
            <w:rStyle w:val="Hyperlink"/>
          </w:rPr>
          <w:t>u</w:t>
        </w:r>
        <w:r w:rsidRPr="00D7232C">
          <w:rPr>
            <w:rStyle w:val="Hyperlink"/>
          </w:rPr>
          <w:t>r</w:t>
        </w:r>
        <w:r w:rsidRPr="00D7232C">
          <w:rPr>
            <w:rStyle w:val="Hyperlink"/>
          </w:rPr>
          <w:t>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3F43A9B4" w14:textId="77777777" w:rsidR="00416086" w:rsidRDefault="00416086" w:rsidP="00646C30">
      <w:pPr>
        <w:rPr>
          <w:rFonts w:cs="Arial"/>
          <w:bCs/>
          <w:szCs w:val="20"/>
        </w:rPr>
      </w:pPr>
      <w:permStart w:id="37382354" w:edGrp="everyone"/>
      <w:r w:rsidRPr="00D00549">
        <w:rPr>
          <w:rFonts w:cs="Arial"/>
          <w:bCs/>
          <w:szCs w:val="20"/>
        </w:rPr>
        <w:lastRenderedPageBreak/>
        <w:t>Generally, the answer is no</w:t>
      </w:r>
      <w:r>
        <w:rPr>
          <w:rFonts w:cs="Arial"/>
          <w:bCs/>
          <w:szCs w:val="20"/>
        </w:rPr>
        <w:t xml:space="preserve"> as t</w:t>
      </w:r>
      <w:r w:rsidRPr="00D00549">
        <w:rPr>
          <w:rFonts w:cs="Arial"/>
          <w:bCs/>
          <w:szCs w:val="20"/>
        </w:rPr>
        <w:t>he first months of trading often serve as stabilisation period, tools offered to trade in different venues might offer additional flexibility</w:t>
      </w:r>
    </w:p>
    <w:p w14:paraId="15BEC3E6" w14:textId="77777777" w:rsidR="00416086" w:rsidRDefault="00416086" w:rsidP="00646C30">
      <w:pPr>
        <w:rPr>
          <w:rFonts w:cs="Arial"/>
          <w:bCs/>
          <w:szCs w:val="20"/>
        </w:rPr>
      </w:pPr>
    </w:p>
    <w:p w14:paraId="13C7FEA6" w14:textId="0EF9F59A" w:rsidR="00646C30" w:rsidRDefault="00416086" w:rsidP="00646C30">
      <w:r w:rsidRPr="000865C5">
        <w:rPr>
          <w:rFonts w:cs="Arial"/>
          <w:bCs/>
          <w:szCs w:val="20"/>
        </w:rPr>
        <w:t>EFAMA does not believe that the application of the DVC, with its underlying intention to enforce increased lit market trading, has improved price formation. Instead, it has impacted the ability for firms to achieve best execution in line with their own objectives and for their underlying clients.</w:t>
      </w:r>
      <w:r w:rsidRPr="00D00549">
        <w:rPr>
          <w:rFonts w:cs="Arial"/>
          <w:bCs/>
          <w:szCs w:val="20"/>
        </w:rPr>
        <w:t>.</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4700CED3" w:rsidR="00646C30" w:rsidRDefault="00416086" w:rsidP="00646C30">
      <w:permStart w:id="71373738" w:edGrp="everyone"/>
      <w:r>
        <w:t>Agreed</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6F1FA826" w14:textId="77777777" w:rsidR="00416086" w:rsidRPr="0024788D" w:rsidRDefault="00416086" w:rsidP="00416086">
      <w:pPr>
        <w:spacing w:line="276" w:lineRule="auto"/>
        <w:jc w:val="both"/>
        <w:rPr>
          <w:rFonts w:cs="Arial"/>
          <w:bCs/>
          <w:szCs w:val="20"/>
        </w:rPr>
      </w:pPr>
      <w:permStart w:id="2102155623" w:edGrp="everyone"/>
      <w:r w:rsidRPr="0024788D">
        <w:rPr>
          <w:rFonts w:cs="Arial"/>
          <w:bCs/>
          <w:szCs w:val="20"/>
        </w:rPr>
        <w:t>Yes, as it is</w:t>
      </w:r>
      <w:r>
        <w:rPr>
          <w:rFonts w:cs="Arial"/>
          <w:bCs/>
          <w:szCs w:val="20"/>
        </w:rPr>
        <w:t>:</w:t>
      </w:r>
    </w:p>
    <w:p w14:paraId="2C82ACF9" w14:textId="77777777" w:rsidR="00416086" w:rsidRPr="0024788D" w:rsidRDefault="00416086" w:rsidP="00416086">
      <w:pPr>
        <w:pStyle w:val="ListParagraph"/>
        <w:numPr>
          <w:ilvl w:val="0"/>
          <w:numId w:val="38"/>
        </w:numPr>
        <w:spacing w:line="276" w:lineRule="auto"/>
        <w:jc w:val="both"/>
        <w:rPr>
          <w:rFonts w:cs="Arial"/>
          <w:bCs/>
        </w:rPr>
      </w:pPr>
      <w:r w:rsidRPr="0024788D">
        <w:rPr>
          <w:rFonts w:cs="Arial"/>
          <w:bCs/>
        </w:rPr>
        <w:t xml:space="preserve">reducing the risk of reporting errors, </w:t>
      </w:r>
    </w:p>
    <w:p w14:paraId="16CED9BA" w14:textId="686FF5F0" w:rsidR="00416086" w:rsidRPr="00416086" w:rsidRDefault="00416086" w:rsidP="004A77DD">
      <w:pPr>
        <w:pStyle w:val="ListParagraph"/>
        <w:numPr>
          <w:ilvl w:val="0"/>
          <w:numId w:val="38"/>
        </w:numPr>
        <w:spacing w:line="276" w:lineRule="auto"/>
        <w:jc w:val="both"/>
        <w:rPr>
          <w:rFonts w:cs="Arial"/>
          <w:bCs/>
        </w:rPr>
      </w:pPr>
      <w:r w:rsidRPr="00416086">
        <w:rPr>
          <w:rFonts w:cs="Arial"/>
          <w:bCs/>
        </w:rPr>
        <w:t>not providing useful information compared to the monthly reports.</w:t>
      </w:r>
    </w:p>
    <w:p w14:paraId="51834EC7" w14:textId="2B2C80C2" w:rsidR="00646C30" w:rsidRDefault="00416086" w:rsidP="00646C30">
      <w:r w:rsidRPr="00416086">
        <w:rPr>
          <w:rFonts w:cs="Arial"/>
          <w:bCs/>
        </w:rPr>
        <w:t>.</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DF6E938" w14:textId="77777777" w:rsidR="00416086" w:rsidRDefault="00416086" w:rsidP="00416086">
      <w:pPr>
        <w:spacing w:line="276" w:lineRule="auto"/>
        <w:jc w:val="both"/>
        <w:rPr>
          <w:rFonts w:cs="Arial"/>
          <w:bCs/>
          <w:szCs w:val="20"/>
        </w:rPr>
      </w:pPr>
      <w:permStart w:id="160242055" w:edGrp="everyone"/>
      <w:r>
        <w:rPr>
          <w:rFonts w:cs="Arial"/>
          <w:bCs/>
          <w:szCs w:val="20"/>
        </w:rPr>
        <w:t xml:space="preserve">As mentioned in earlier responses, we </w:t>
      </w:r>
      <w:r w:rsidRPr="007002E8">
        <w:rPr>
          <w:rFonts w:cs="Arial"/>
          <w:bCs/>
          <w:szCs w:val="20"/>
        </w:rPr>
        <w:t xml:space="preserve">do not believe DVC is at all necessary. </w:t>
      </w:r>
    </w:p>
    <w:p w14:paraId="445DDE2A" w14:textId="77777777" w:rsidR="00416086" w:rsidRDefault="00416086" w:rsidP="00416086">
      <w:pPr>
        <w:spacing w:line="276" w:lineRule="auto"/>
        <w:jc w:val="both"/>
        <w:rPr>
          <w:rFonts w:cs="Arial"/>
          <w:bCs/>
          <w:szCs w:val="20"/>
        </w:rPr>
      </w:pPr>
    </w:p>
    <w:p w14:paraId="34A9DFDE" w14:textId="70CD33FD" w:rsidR="00646C30" w:rsidRDefault="00416086" w:rsidP="00646C30">
      <w:r w:rsidRPr="007002E8">
        <w:rPr>
          <w:rFonts w:cs="Arial"/>
          <w:bCs/>
          <w:szCs w:val="20"/>
        </w:rPr>
        <w:t xml:space="preserve">As stated above, </w:t>
      </w:r>
      <w:r>
        <w:rPr>
          <w:rFonts w:cs="Arial"/>
          <w:bCs/>
          <w:szCs w:val="20"/>
        </w:rPr>
        <w:t>we</w:t>
      </w:r>
      <w:r w:rsidRPr="007002E8">
        <w:rPr>
          <w:rFonts w:cs="Arial"/>
          <w:bCs/>
          <w:szCs w:val="20"/>
        </w:rPr>
        <w:t xml:space="preserve"> believe that all trades below €30,000 should be traded on lit markets and provided it is correctly trade reported, anything at or above this threshold, should be traded at the investor’s choice</w:t>
      </w:r>
      <w:r>
        <w:rPr>
          <w:rFonts w:cs="Arial"/>
          <w:bCs/>
          <w:szCs w:val="20"/>
        </w:rPr>
        <w:t>.</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143BE7E3" w:rsidR="00646C30" w:rsidRDefault="00416086" w:rsidP="00646C30">
      <w:permStart w:id="203690501" w:edGrp="everyone"/>
      <w:r>
        <w:t>Agreed</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6E375858" w14:textId="77777777" w:rsidR="00416086" w:rsidRDefault="00416086" w:rsidP="00416086">
      <w:pPr>
        <w:spacing w:line="276" w:lineRule="auto"/>
        <w:jc w:val="both"/>
        <w:rPr>
          <w:rFonts w:cs="Arial"/>
          <w:bCs/>
          <w:szCs w:val="20"/>
        </w:rPr>
      </w:pPr>
      <w:permStart w:id="1935441367" w:edGrp="everyone"/>
      <w:r>
        <w:rPr>
          <w:rFonts w:cs="Arial"/>
          <w:bCs/>
          <w:szCs w:val="20"/>
        </w:rPr>
        <w:lastRenderedPageBreak/>
        <w:t xml:space="preserve">No, we do not agree. </w:t>
      </w:r>
    </w:p>
    <w:p w14:paraId="5C45283F" w14:textId="77777777" w:rsidR="00416086" w:rsidRDefault="00416086" w:rsidP="00416086">
      <w:pPr>
        <w:spacing w:line="276" w:lineRule="auto"/>
        <w:jc w:val="both"/>
        <w:rPr>
          <w:rFonts w:cs="Arial"/>
          <w:bCs/>
          <w:szCs w:val="20"/>
        </w:rPr>
      </w:pPr>
      <w:r w:rsidRPr="006114AE">
        <w:rPr>
          <w:rFonts w:cs="Arial"/>
          <w:bCs/>
          <w:szCs w:val="20"/>
        </w:rPr>
        <w:t>This is not the reason so many ETF’s trade OTC. In the US, all trades are settled in one place, the Depository Trust and Clearing Corporation. By contrast the European Central Securities Depositories Association has 41 members. That is the problem ESMA need to address, especially when it comes to re-deeming ETFs.</w:t>
      </w:r>
    </w:p>
    <w:p w14:paraId="6425D186" w14:textId="77777777" w:rsidR="00416086" w:rsidRDefault="00416086" w:rsidP="00416086">
      <w:pPr>
        <w:spacing w:line="276" w:lineRule="auto"/>
        <w:jc w:val="both"/>
        <w:rPr>
          <w:rFonts w:cs="Arial"/>
          <w:bCs/>
          <w:szCs w:val="20"/>
        </w:rPr>
      </w:pPr>
    </w:p>
    <w:p w14:paraId="19E3FD50" w14:textId="77777777" w:rsidR="00416086" w:rsidRPr="00573275" w:rsidRDefault="00416086" w:rsidP="00416086">
      <w:pPr>
        <w:spacing w:line="276" w:lineRule="auto"/>
        <w:jc w:val="both"/>
        <w:rPr>
          <w:rFonts w:cs="Arial"/>
          <w:bCs/>
          <w:szCs w:val="20"/>
        </w:rPr>
      </w:pPr>
      <w:r w:rsidRPr="00573275">
        <w:rPr>
          <w:rFonts w:cs="Arial"/>
          <w:bCs/>
          <w:szCs w:val="20"/>
        </w:rPr>
        <w:t>We would argue that, while they may share certain characteristics, ETFs are fundamentally different to DRs and shares, with respect to the fact that they can track lesser liquid securities.</w:t>
      </w:r>
    </w:p>
    <w:p w14:paraId="5A79B4A9" w14:textId="77777777" w:rsidR="00416086" w:rsidRPr="00573275" w:rsidRDefault="00416086" w:rsidP="00416086">
      <w:pPr>
        <w:spacing w:line="276" w:lineRule="auto"/>
        <w:jc w:val="both"/>
        <w:rPr>
          <w:rFonts w:cs="Arial"/>
          <w:bCs/>
          <w:szCs w:val="20"/>
        </w:rPr>
      </w:pPr>
    </w:p>
    <w:p w14:paraId="0A14A5FE" w14:textId="77777777" w:rsidR="00416086" w:rsidRPr="00573275" w:rsidRDefault="00416086" w:rsidP="00416086">
      <w:pPr>
        <w:spacing w:line="276" w:lineRule="auto"/>
        <w:jc w:val="both"/>
        <w:rPr>
          <w:rFonts w:cs="Arial"/>
          <w:bCs/>
          <w:szCs w:val="20"/>
        </w:rPr>
      </w:pPr>
      <w:r w:rsidRPr="00573275">
        <w:rPr>
          <w:rFonts w:cs="Arial"/>
          <w:bCs/>
          <w:szCs w:val="20"/>
        </w:rPr>
        <w:t>For example, in certain circumstances, it may not be in the best interest of the investor if a broker is obliged to publish a EUR 19,000,000 trade after 60 minutes without having completely unwound the risk attached to the trade. For lesser liquid segments of the market, brokers may then look to price in some potential impact from the disclosure requirements, which means the investor may be denied the most cost-effective execution.</w:t>
      </w:r>
    </w:p>
    <w:p w14:paraId="5530B8A5" w14:textId="77777777" w:rsidR="00416086" w:rsidRPr="00573275" w:rsidRDefault="00416086" w:rsidP="00416086">
      <w:pPr>
        <w:spacing w:line="276" w:lineRule="auto"/>
        <w:jc w:val="both"/>
        <w:rPr>
          <w:rFonts w:cs="Arial"/>
          <w:bCs/>
          <w:szCs w:val="20"/>
        </w:rPr>
      </w:pPr>
    </w:p>
    <w:p w14:paraId="00430256" w14:textId="23CD1EAA" w:rsidR="00646C30" w:rsidRDefault="00416086" w:rsidP="00646C30">
      <w:r w:rsidRPr="00573275">
        <w:rPr>
          <w:rFonts w:cs="Arial"/>
          <w:bCs/>
          <w:szCs w:val="20"/>
        </w:rPr>
        <w:t>As such, we urge ESMA to undertake a holistic analysis of the implications of increasing the applicable post-trade transparency threshold for ETFs, and to avoid amending the regime solely on the basis of more closely aligning ETF deferral statistics to those of DRs and shares.</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3FD42ABA" w:rsidR="00646C30" w:rsidRDefault="00416086" w:rsidP="00646C30">
      <w:permStart w:id="1284132493" w:edGrp="everyone"/>
      <w:r>
        <w:t>Agreed</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5E150CF8" w:rsidR="00646C30" w:rsidRDefault="004F7154" w:rsidP="00646C30">
      <w:permStart w:id="1735202609" w:edGrp="everyone"/>
      <w:r>
        <w:t>Agreed</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2E482A55" w14:textId="77777777" w:rsidR="004F7154" w:rsidRPr="0024788D" w:rsidRDefault="004F7154" w:rsidP="004F7154">
      <w:pPr>
        <w:spacing w:line="276" w:lineRule="auto"/>
        <w:jc w:val="both"/>
        <w:rPr>
          <w:rFonts w:cs="Arial"/>
          <w:bCs/>
          <w:szCs w:val="20"/>
        </w:rPr>
      </w:pPr>
      <w:permStart w:id="1113393043" w:edGrp="everyone"/>
      <w:r w:rsidRPr="0024788D">
        <w:rPr>
          <w:rFonts w:cs="Arial"/>
          <w:bCs/>
          <w:szCs w:val="20"/>
        </w:rPr>
        <w:t>No</w:t>
      </w:r>
    </w:p>
    <w:p w14:paraId="218CCD1B" w14:textId="77777777" w:rsidR="004F7154" w:rsidRDefault="004F7154" w:rsidP="004F7154">
      <w:pPr>
        <w:spacing w:line="276" w:lineRule="auto"/>
        <w:jc w:val="both"/>
        <w:rPr>
          <w:rFonts w:cs="Arial"/>
          <w:bCs/>
          <w:szCs w:val="20"/>
        </w:rPr>
      </w:pPr>
      <w:r w:rsidRPr="0024788D">
        <w:rPr>
          <w:rFonts w:cs="Arial"/>
          <w:bCs/>
          <w:szCs w:val="20"/>
        </w:rPr>
        <w:t xml:space="preserve">We encourage ESMA </w:t>
      </w:r>
      <w:r>
        <w:rPr>
          <w:rFonts w:cs="Arial"/>
          <w:bCs/>
          <w:szCs w:val="20"/>
        </w:rPr>
        <w:t xml:space="preserve">to </w:t>
      </w:r>
      <w:r w:rsidRPr="0024788D">
        <w:rPr>
          <w:rFonts w:cs="Arial"/>
          <w:bCs/>
          <w:szCs w:val="20"/>
        </w:rPr>
        <w:t>maintain the actual required reporting times.</w:t>
      </w:r>
    </w:p>
    <w:p w14:paraId="0E557F14" w14:textId="3E332D7B" w:rsidR="00646C30" w:rsidRDefault="004F7154" w:rsidP="00646C30">
      <w:r>
        <w:rPr>
          <w:rFonts w:cs="Arial"/>
          <w:bCs/>
          <w:szCs w:val="20"/>
        </w:rPr>
        <w:t xml:space="preserve">We </w:t>
      </w:r>
      <w:r w:rsidRPr="00236A53">
        <w:rPr>
          <w:rFonts w:cs="Arial"/>
          <w:bCs/>
          <w:szCs w:val="20"/>
        </w:rPr>
        <w:t xml:space="preserve">believe it works well and is appropriate. </w:t>
      </w:r>
      <w:r>
        <w:rPr>
          <w:rFonts w:cs="Arial"/>
          <w:bCs/>
          <w:szCs w:val="20"/>
        </w:rPr>
        <w:t>Our concern is rather</w:t>
      </w:r>
      <w:r w:rsidRPr="00236A53">
        <w:rPr>
          <w:rFonts w:cs="Arial"/>
          <w:bCs/>
          <w:szCs w:val="20"/>
        </w:rPr>
        <w:t xml:space="preserve"> that trades contain the correct data in FIX tags 29 and 30 and post-trade reporting clearly states whether what is reported is </w:t>
      </w:r>
      <w:r>
        <w:rPr>
          <w:rFonts w:cs="Arial"/>
          <w:bCs/>
          <w:szCs w:val="20"/>
        </w:rPr>
        <w:t>actionable</w:t>
      </w:r>
      <w:r w:rsidRPr="00236A53">
        <w:rPr>
          <w:rFonts w:cs="Arial"/>
          <w:bCs/>
          <w:szCs w:val="20"/>
        </w:rPr>
        <w:t xml:space="preserve"> liquidity or not.  </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lastRenderedPageBreak/>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5B74625C" w14:textId="77777777" w:rsidR="004F7154" w:rsidRDefault="004F7154" w:rsidP="004F7154">
      <w:pPr>
        <w:spacing w:line="276" w:lineRule="auto"/>
        <w:jc w:val="both"/>
        <w:rPr>
          <w:rFonts w:cs="Arial"/>
          <w:bCs/>
          <w:szCs w:val="20"/>
        </w:rPr>
      </w:pPr>
      <w:permStart w:id="547110296" w:edGrp="everyone"/>
      <w:r>
        <w:rPr>
          <w:rFonts w:cs="Arial"/>
          <w:bCs/>
          <w:szCs w:val="20"/>
        </w:rPr>
        <w:t>W</w:t>
      </w:r>
      <w:r w:rsidRPr="00F907FD">
        <w:rPr>
          <w:rFonts w:cs="Arial"/>
          <w:bCs/>
          <w:szCs w:val="20"/>
        </w:rPr>
        <w:t xml:space="preserve">e believe that the ESMA Opinion, published in December 2017, has provided enough clarity as to the intended scope of Articles 20 and 21 of </w:t>
      </w:r>
      <w:proofErr w:type="spellStart"/>
      <w:r w:rsidRPr="00F907FD">
        <w:rPr>
          <w:rFonts w:cs="Arial"/>
          <w:bCs/>
          <w:szCs w:val="20"/>
        </w:rPr>
        <w:t>MiFIR</w:t>
      </w:r>
      <w:proofErr w:type="spellEnd"/>
      <w:r w:rsidRPr="00F907FD">
        <w:rPr>
          <w:rFonts w:cs="Arial"/>
          <w:bCs/>
          <w:szCs w:val="20"/>
        </w:rPr>
        <w:t>, and therefore we would suggest that no further action is required at this time.</w:t>
      </w:r>
    </w:p>
    <w:p w14:paraId="1AEE53F7" w14:textId="77777777" w:rsidR="004F7154" w:rsidRPr="00F907FD" w:rsidRDefault="004F7154" w:rsidP="004F7154">
      <w:pPr>
        <w:spacing w:line="276" w:lineRule="auto"/>
        <w:jc w:val="both"/>
        <w:rPr>
          <w:rFonts w:cs="Arial"/>
          <w:bCs/>
          <w:szCs w:val="20"/>
        </w:rPr>
      </w:pPr>
    </w:p>
    <w:p w14:paraId="4417FDD3" w14:textId="77777777" w:rsidR="004F7154" w:rsidRDefault="004F7154" w:rsidP="004F7154">
      <w:pPr>
        <w:spacing w:line="276" w:lineRule="auto"/>
        <w:jc w:val="both"/>
        <w:rPr>
          <w:rFonts w:cs="Arial"/>
          <w:bCs/>
          <w:szCs w:val="20"/>
        </w:rPr>
      </w:pPr>
      <w:r>
        <w:rPr>
          <w:rFonts w:cs="Arial"/>
          <w:bCs/>
          <w:szCs w:val="20"/>
        </w:rPr>
        <w:t xml:space="preserve">In addition, we do not agree with ESMA’s approach that seems to go beyond ESMA powers. </w:t>
      </w:r>
    </w:p>
    <w:p w14:paraId="67717259" w14:textId="77777777" w:rsidR="004F7154" w:rsidRDefault="004F7154" w:rsidP="004F7154">
      <w:pPr>
        <w:spacing w:line="276" w:lineRule="auto"/>
        <w:jc w:val="both"/>
        <w:rPr>
          <w:rFonts w:cs="Arial"/>
          <w:bCs/>
          <w:szCs w:val="20"/>
        </w:rPr>
      </w:pPr>
    </w:p>
    <w:p w14:paraId="063CB35A" w14:textId="77777777" w:rsidR="004F7154" w:rsidRDefault="004F7154" w:rsidP="004F7154">
      <w:pPr>
        <w:spacing w:line="276" w:lineRule="auto"/>
        <w:jc w:val="both"/>
        <w:rPr>
          <w:rFonts w:cs="Arial"/>
          <w:bCs/>
          <w:szCs w:val="20"/>
        </w:rPr>
      </w:pPr>
      <w:r>
        <w:rPr>
          <w:rFonts w:cs="Arial"/>
          <w:bCs/>
          <w:szCs w:val="20"/>
        </w:rPr>
        <w:t>Lastly, we are doubtful of the benefits for the EU investors to</w:t>
      </w:r>
      <w:r w:rsidRPr="009C4134">
        <w:rPr>
          <w:rFonts w:cs="Arial"/>
          <w:bCs/>
          <w:szCs w:val="20"/>
        </w:rPr>
        <w:t xml:space="preserve"> impose transparency requirements in third</w:t>
      </w:r>
      <w:r>
        <w:rPr>
          <w:rFonts w:cs="Arial"/>
          <w:bCs/>
          <w:szCs w:val="20"/>
        </w:rPr>
        <w:t>-</w:t>
      </w:r>
      <w:r w:rsidRPr="009C4134">
        <w:rPr>
          <w:rFonts w:cs="Arial"/>
          <w:bCs/>
          <w:szCs w:val="20"/>
        </w:rPr>
        <w:t xml:space="preserve">party countries. </w:t>
      </w:r>
    </w:p>
    <w:p w14:paraId="61B93033" w14:textId="77777777" w:rsidR="004F7154" w:rsidRPr="00F907FD" w:rsidRDefault="004F7154" w:rsidP="004F7154">
      <w:pPr>
        <w:spacing w:line="276" w:lineRule="auto"/>
        <w:jc w:val="both"/>
        <w:rPr>
          <w:rFonts w:cs="Arial"/>
          <w:bCs/>
          <w:szCs w:val="20"/>
        </w:rPr>
      </w:pPr>
    </w:p>
    <w:p w14:paraId="0FB3DBAF" w14:textId="52A01BE6" w:rsidR="00646C30" w:rsidRDefault="004F7154" w:rsidP="00646C30">
      <w:r w:rsidRPr="00F907FD">
        <w:rPr>
          <w:rFonts w:cs="Arial"/>
          <w:bCs/>
          <w:szCs w:val="20"/>
        </w:rPr>
        <w:t>That said, so as to achieve the stated ambitions of the European Commission’s Capital Markets Union agenda, EU policy and rule makers (including ESMA) should continue to ensure that EU capital markets continue to remain open and facilitate cross-border capital flows and market activities moving forward.</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0A7DA40C" w14:textId="77777777" w:rsidR="004F7154" w:rsidRPr="0024788D" w:rsidRDefault="004F7154" w:rsidP="004F7154">
      <w:pPr>
        <w:spacing w:line="276" w:lineRule="auto"/>
        <w:jc w:val="both"/>
        <w:rPr>
          <w:rFonts w:cs="Arial"/>
          <w:bCs/>
          <w:szCs w:val="20"/>
        </w:rPr>
      </w:pPr>
      <w:permStart w:id="1765943254" w:edGrp="everyone"/>
      <w:r w:rsidRPr="0024788D">
        <w:rPr>
          <w:rFonts w:cs="Arial"/>
          <w:bCs/>
          <w:szCs w:val="20"/>
        </w:rPr>
        <w:t xml:space="preserve">We agree with ESMA. </w:t>
      </w:r>
    </w:p>
    <w:p w14:paraId="110B1AC5" w14:textId="77777777" w:rsidR="004F7154" w:rsidRDefault="004F7154" w:rsidP="004F7154">
      <w:pPr>
        <w:spacing w:line="276" w:lineRule="auto"/>
        <w:jc w:val="both"/>
        <w:rPr>
          <w:rFonts w:cs="Arial"/>
          <w:bCs/>
          <w:szCs w:val="20"/>
        </w:rPr>
      </w:pPr>
      <w:r w:rsidRPr="0024788D">
        <w:rPr>
          <w:rFonts w:cs="Arial"/>
          <w:bCs/>
          <w:szCs w:val="20"/>
        </w:rPr>
        <w:t>We would even encourage ESMA to support a request to remove the STO, in order to ensure legal playing field</w:t>
      </w:r>
      <w:r>
        <w:rPr>
          <w:rFonts w:cs="Arial"/>
          <w:bCs/>
          <w:szCs w:val="20"/>
        </w:rPr>
        <w:t xml:space="preserve"> with other countries and </w:t>
      </w:r>
      <w:r w:rsidRPr="00973A49">
        <w:rPr>
          <w:rFonts w:cs="Arial"/>
          <w:bCs/>
          <w:szCs w:val="20"/>
        </w:rPr>
        <w:t>in order to avoid fragmenting liquidity and unintentionally creating systemic risk</w:t>
      </w:r>
      <w:r w:rsidRPr="0024788D">
        <w:rPr>
          <w:rFonts w:cs="Arial"/>
          <w:bCs/>
          <w:szCs w:val="20"/>
        </w:rPr>
        <w:t>.</w:t>
      </w:r>
    </w:p>
    <w:p w14:paraId="720EAE73" w14:textId="77777777" w:rsidR="004F7154" w:rsidRDefault="004F7154" w:rsidP="004F7154">
      <w:pPr>
        <w:spacing w:line="276" w:lineRule="auto"/>
        <w:jc w:val="both"/>
        <w:rPr>
          <w:rFonts w:cs="Arial"/>
          <w:bCs/>
          <w:szCs w:val="20"/>
        </w:rPr>
      </w:pPr>
    </w:p>
    <w:p w14:paraId="384760C9" w14:textId="77777777" w:rsidR="004F7154" w:rsidRPr="0080524F" w:rsidRDefault="004F7154" w:rsidP="004F7154">
      <w:pPr>
        <w:spacing w:line="276" w:lineRule="auto"/>
        <w:jc w:val="both"/>
        <w:rPr>
          <w:rFonts w:cs="Arial"/>
          <w:bCs/>
          <w:szCs w:val="20"/>
        </w:rPr>
      </w:pPr>
      <w:r>
        <w:rPr>
          <w:rFonts w:cs="Arial"/>
          <w:bCs/>
          <w:szCs w:val="20"/>
        </w:rPr>
        <w:t xml:space="preserve">Especially </w:t>
      </w:r>
      <w:r w:rsidRPr="0080524F">
        <w:rPr>
          <w:rFonts w:cs="Arial"/>
          <w:bCs/>
          <w:szCs w:val="20"/>
        </w:rPr>
        <w:t xml:space="preserve">in the context of the UK’s withdrawal from the EU and the UK’s subsequent </w:t>
      </w:r>
      <w:r>
        <w:rPr>
          <w:rFonts w:cs="Arial"/>
          <w:bCs/>
          <w:szCs w:val="20"/>
        </w:rPr>
        <w:t>“</w:t>
      </w:r>
      <w:r w:rsidRPr="0080524F">
        <w:rPr>
          <w:rFonts w:cs="Arial"/>
          <w:bCs/>
          <w:szCs w:val="20"/>
        </w:rPr>
        <w:t>onshoring</w:t>
      </w:r>
      <w:r>
        <w:rPr>
          <w:rFonts w:cs="Arial"/>
          <w:bCs/>
          <w:szCs w:val="20"/>
        </w:rPr>
        <w:t>”</w:t>
      </w:r>
      <w:r w:rsidRPr="0080524F">
        <w:rPr>
          <w:rFonts w:cs="Arial"/>
          <w:bCs/>
          <w:szCs w:val="20"/>
        </w:rPr>
        <w:t xml:space="preserve"> of the </w:t>
      </w:r>
      <w:proofErr w:type="spellStart"/>
      <w:r w:rsidRPr="0080524F">
        <w:rPr>
          <w:rFonts w:cs="Arial"/>
          <w:bCs/>
          <w:szCs w:val="20"/>
        </w:rPr>
        <w:t>MiFIR</w:t>
      </w:r>
      <w:proofErr w:type="spellEnd"/>
      <w:r w:rsidRPr="0080524F">
        <w:rPr>
          <w:rFonts w:cs="Arial"/>
          <w:bCs/>
          <w:szCs w:val="20"/>
        </w:rPr>
        <w:t xml:space="preserve"> Article 23 trading obligation, the overlapping scopes of the EU and UK trading obligations for shares creates an inherent and unnecessary market tension, and risks restricting cross-border capital flows and market activities, and splitting liquidity pools.</w:t>
      </w:r>
    </w:p>
    <w:p w14:paraId="2558C993" w14:textId="77777777" w:rsidR="004F7154" w:rsidRPr="0080524F" w:rsidRDefault="004F7154" w:rsidP="004F7154">
      <w:pPr>
        <w:spacing w:line="276" w:lineRule="auto"/>
        <w:jc w:val="both"/>
        <w:rPr>
          <w:rFonts w:cs="Arial"/>
          <w:bCs/>
          <w:szCs w:val="20"/>
        </w:rPr>
      </w:pPr>
    </w:p>
    <w:p w14:paraId="5A39DBFA" w14:textId="77777777" w:rsidR="004F7154" w:rsidRPr="0024788D" w:rsidRDefault="004F7154" w:rsidP="004F7154">
      <w:pPr>
        <w:spacing w:line="276" w:lineRule="auto"/>
        <w:jc w:val="both"/>
        <w:rPr>
          <w:rFonts w:cs="Arial"/>
          <w:bCs/>
          <w:szCs w:val="20"/>
        </w:rPr>
      </w:pPr>
      <w:r w:rsidRPr="0080524F">
        <w:rPr>
          <w:rFonts w:cs="Arial"/>
          <w:bCs/>
          <w:szCs w:val="20"/>
        </w:rPr>
        <w:t>As such, we believe that, where the EU’s trading obligation for shares overlaps in a significant manner with that of a third country jurisdiction, the EU should explore every avenue available to avoid competing regulatory obligations for investment firms operating cross-border, and minimise potential implications such as those outlined above</w:t>
      </w:r>
    </w:p>
    <w:p w14:paraId="78B8DBE9" w14:textId="77777777" w:rsidR="004F7154" w:rsidRPr="0024788D" w:rsidRDefault="004F7154" w:rsidP="004F7154">
      <w:pPr>
        <w:spacing w:line="276" w:lineRule="auto"/>
        <w:jc w:val="both"/>
        <w:rPr>
          <w:rFonts w:cs="Arial"/>
          <w:bCs/>
          <w:szCs w:val="20"/>
        </w:rPr>
      </w:pPr>
    </w:p>
    <w:p w14:paraId="66D96E88" w14:textId="77777777" w:rsidR="004F7154" w:rsidRDefault="004F7154" w:rsidP="004F7154">
      <w:pPr>
        <w:spacing w:line="276" w:lineRule="auto"/>
        <w:jc w:val="both"/>
        <w:rPr>
          <w:rFonts w:cs="Arial"/>
          <w:bCs/>
          <w:szCs w:val="20"/>
        </w:rPr>
      </w:pPr>
      <w:r w:rsidRPr="0024788D">
        <w:rPr>
          <w:rFonts w:cs="Arial"/>
          <w:bCs/>
          <w:szCs w:val="20"/>
        </w:rPr>
        <w:t>Regarding the identifier to use, we deem crucial to retain and foster the use of ISIN code to identify securities.</w:t>
      </w:r>
      <w:r w:rsidRPr="00CA738F">
        <w:t xml:space="preserve"> </w:t>
      </w:r>
      <w:r w:rsidRPr="00CA738F">
        <w:rPr>
          <w:rFonts w:cs="Arial"/>
          <w:bCs/>
          <w:szCs w:val="20"/>
        </w:rPr>
        <w:t xml:space="preserve">This will encourage electronification and mitigation of operating risk in what is a currently a very manual and error prone process. It will also encourage greater transparency in the new issue allocation process.   </w:t>
      </w:r>
    </w:p>
    <w:p w14:paraId="3E723F08" w14:textId="77777777" w:rsidR="004F7154" w:rsidRDefault="004F7154" w:rsidP="004F7154">
      <w:pPr>
        <w:spacing w:line="276" w:lineRule="auto"/>
        <w:jc w:val="both"/>
        <w:rPr>
          <w:rFonts w:cs="Arial"/>
          <w:bCs/>
          <w:szCs w:val="20"/>
        </w:rPr>
      </w:pPr>
    </w:p>
    <w:p w14:paraId="4E9EEEEE" w14:textId="523C9B01" w:rsidR="00646C30" w:rsidRDefault="004F7154" w:rsidP="00646C30">
      <w:r>
        <w:rPr>
          <w:rFonts w:cs="Arial"/>
          <w:bCs/>
          <w:szCs w:val="20"/>
        </w:rPr>
        <w:t>Should the STO continue, then we would agree to limit its scope to those shares whose primary listing is in the EU. However, even for this EU-only STO, best execution should override the STO.</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lastRenderedPageBreak/>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577C584D" w14:textId="77777777" w:rsidR="004F7154" w:rsidRDefault="004F7154" w:rsidP="004F7154">
      <w:pPr>
        <w:spacing w:line="276" w:lineRule="auto"/>
        <w:jc w:val="both"/>
        <w:rPr>
          <w:rFonts w:cs="Arial"/>
          <w:bCs/>
          <w:szCs w:val="20"/>
        </w:rPr>
      </w:pPr>
      <w:permStart w:id="1881367284" w:edGrp="everyone"/>
      <w:r w:rsidRPr="0024788D">
        <w:rPr>
          <w:rFonts w:cs="Arial"/>
          <w:bCs/>
          <w:szCs w:val="20"/>
        </w:rPr>
        <w:t>We do not support this option.</w:t>
      </w:r>
      <w:r>
        <w:rPr>
          <w:rFonts w:cs="Arial"/>
          <w:bCs/>
          <w:szCs w:val="20"/>
        </w:rPr>
        <w:t xml:space="preserve"> </w:t>
      </w:r>
    </w:p>
    <w:p w14:paraId="58545B5C" w14:textId="77777777" w:rsidR="004F7154" w:rsidRDefault="004F7154" w:rsidP="004F7154">
      <w:pPr>
        <w:spacing w:line="276" w:lineRule="auto"/>
        <w:jc w:val="both"/>
        <w:rPr>
          <w:rFonts w:cs="Arial"/>
          <w:bCs/>
          <w:szCs w:val="20"/>
        </w:rPr>
      </w:pPr>
    </w:p>
    <w:p w14:paraId="3741CD03" w14:textId="77777777" w:rsidR="004F7154" w:rsidRPr="001B4BFB" w:rsidRDefault="004F7154" w:rsidP="004F7154">
      <w:pPr>
        <w:spacing w:line="276" w:lineRule="auto"/>
        <w:jc w:val="both"/>
        <w:rPr>
          <w:rFonts w:cs="Arial"/>
          <w:bCs/>
        </w:rPr>
      </w:pPr>
      <w:r w:rsidRPr="001B4BFB">
        <w:rPr>
          <w:rFonts w:cs="Arial"/>
          <w:bCs/>
        </w:rPr>
        <w:t xml:space="preserve">The analysis provided by ESMA in respect of Q32 only considers the volume of trading which takes place on SIs in comparison to alternative trading systems. While alluding to the liquidity benefits provided by SIs in the broad marketplace, ESMA does not take into account the </w:t>
      </w:r>
      <w:proofErr w:type="spellStart"/>
      <w:r w:rsidRPr="001B4BFB">
        <w:rPr>
          <w:rFonts w:cs="Arial"/>
          <w:bCs/>
        </w:rPr>
        <w:t>MiFIR</w:t>
      </w:r>
      <w:proofErr w:type="spellEnd"/>
      <w:r w:rsidRPr="001B4BFB">
        <w:rPr>
          <w:rFonts w:cs="Arial"/>
          <w:bCs/>
        </w:rPr>
        <w:t xml:space="preserve"> best execution obligations which, in our experience, are met in many situations by trading on SIs, rather than exchanges or MTFs.</w:t>
      </w:r>
    </w:p>
    <w:p w14:paraId="7262B7D7" w14:textId="77777777" w:rsidR="004F7154" w:rsidRPr="0024788D" w:rsidRDefault="004F7154" w:rsidP="004F7154">
      <w:pPr>
        <w:spacing w:line="276" w:lineRule="auto"/>
        <w:jc w:val="both"/>
        <w:rPr>
          <w:rFonts w:cs="Arial"/>
          <w:bCs/>
          <w:szCs w:val="20"/>
        </w:rPr>
      </w:pPr>
      <w:r w:rsidRPr="00130B50">
        <w:rPr>
          <w:rFonts w:cs="Arial"/>
          <w:bCs/>
          <w:szCs w:val="20"/>
        </w:rPr>
        <w:t xml:space="preserve">It is imperative that SIs are maintained as eligible execution places </w:t>
      </w:r>
      <w:r>
        <w:rPr>
          <w:rFonts w:cs="Arial"/>
          <w:bCs/>
          <w:szCs w:val="20"/>
        </w:rPr>
        <w:t xml:space="preserve">especially if the STO is maintained as:  </w:t>
      </w:r>
    </w:p>
    <w:p w14:paraId="5033A572" w14:textId="77777777" w:rsidR="004F7154" w:rsidRPr="0024788D" w:rsidRDefault="004F7154" w:rsidP="004F7154">
      <w:pPr>
        <w:pStyle w:val="ListParagraph"/>
        <w:numPr>
          <w:ilvl w:val="0"/>
          <w:numId w:val="38"/>
        </w:numPr>
        <w:spacing w:line="276" w:lineRule="auto"/>
        <w:jc w:val="both"/>
        <w:rPr>
          <w:rFonts w:cs="Arial"/>
          <w:bCs/>
        </w:rPr>
      </w:pPr>
      <w:r w:rsidRPr="0024788D">
        <w:rPr>
          <w:rFonts w:cs="Arial"/>
          <w:bCs/>
        </w:rPr>
        <w:t>SI provide critical liquidity to markets</w:t>
      </w:r>
    </w:p>
    <w:p w14:paraId="685EE772" w14:textId="77777777" w:rsidR="004F7154" w:rsidRPr="0024788D" w:rsidRDefault="004F7154" w:rsidP="004F7154">
      <w:pPr>
        <w:pStyle w:val="ListParagraph"/>
        <w:numPr>
          <w:ilvl w:val="0"/>
          <w:numId w:val="38"/>
        </w:numPr>
        <w:spacing w:line="276" w:lineRule="auto"/>
        <w:jc w:val="both"/>
        <w:rPr>
          <w:rFonts w:cs="Arial"/>
          <w:bCs/>
        </w:rPr>
      </w:pPr>
      <w:r>
        <w:rPr>
          <w:rFonts w:cs="Arial"/>
          <w:bCs/>
        </w:rPr>
        <w:t>A</w:t>
      </w:r>
      <w:r w:rsidRPr="0024788D">
        <w:rPr>
          <w:rFonts w:cs="Arial"/>
          <w:bCs/>
        </w:rPr>
        <w:t>sset managers need to retain access to diversified venues with different level of transparency, to guarantee the access to liquidity.</w:t>
      </w:r>
    </w:p>
    <w:p w14:paraId="1BE1E2DF" w14:textId="77777777" w:rsidR="004F7154" w:rsidRDefault="004F7154" w:rsidP="004F7154">
      <w:pPr>
        <w:pStyle w:val="ListParagraph"/>
        <w:numPr>
          <w:ilvl w:val="0"/>
          <w:numId w:val="38"/>
        </w:numPr>
        <w:spacing w:line="276" w:lineRule="auto"/>
        <w:jc w:val="both"/>
        <w:rPr>
          <w:rFonts w:cs="Arial"/>
          <w:bCs/>
        </w:rPr>
      </w:pPr>
      <w:r w:rsidRPr="0024788D">
        <w:rPr>
          <w:rFonts w:cs="Arial"/>
          <w:bCs/>
        </w:rPr>
        <w:t>The suggested proposal would be against competition as exchanges would have de facto monopolies</w:t>
      </w:r>
    </w:p>
    <w:p w14:paraId="43C9526A" w14:textId="77777777" w:rsidR="004F7154" w:rsidRDefault="004F7154" w:rsidP="004F7154">
      <w:pPr>
        <w:spacing w:line="276" w:lineRule="auto"/>
        <w:jc w:val="both"/>
        <w:rPr>
          <w:rFonts w:cs="Arial"/>
          <w:bCs/>
        </w:rPr>
      </w:pPr>
    </w:p>
    <w:p w14:paraId="1D6B7856" w14:textId="77777777" w:rsidR="004F7154" w:rsidRPr="00800E6B" w:rsidRDefault="004F7154" w:rsidP="004F7154">
      <w:pPr>
        <w:spacing w:line="276" w:lineRule="auto"/>
        <w:jc w:val="both"/>
        <w:rPr>
          <w:rFonts w:cs="Arial"/>
          <w:bCs/>
        </w:rPr>
      </w:pPr>
      <w:r>
        <w:rPr>
          <w:rFonts w:cs="Arial"/>
          <w:bCs/>
        </w:rPr>
        <w:t>A</w:t>
      </w:r>
      <w:r w:rsidRPr="00800E6B">
        <w:rPr>
          <w:rFonts w:cs="Arial"/>
          <w:bCs/>
        </w:rPr>
        <w:t>sset manager traders handling large orders on behalf of our underlying clients need to retain access to diversified venues with different level of transparency, to guarantee the access to liquidity.</w:t>
      </w:r>
    </w:p>
    <w:p w14:paraId="04F437BE" w14:textId="581A7E34" w:rsidR="00646C30" w:rsidRDefault="004F7154" w:rsidP="00646C30">
      <w:r>
        <w:rPr>
          <w:rFonts w:cs="Arial"/>
          <w:bCs/>
        </w:rPr>
        <w:t xml:space="preserve">From an </w:t>
      </w:r>
      <w:r w:rsidRPr="00800E6B">
        <w:rPr>
          <w:rFonts w:cs="Arial"/>
          <w:bCs/>
        </w:rPr>
        <w:t>anti-competition</w:t>
      </w:r>
      <w:r>
        <w:rPr>
          <w:rFonts w:cs="Arial"/>
          <w:bCs/>
        </w:rPr>
        <w:t xml:space="preserve"> viewpoint</w:t>
      </w:r>
      <w:r w:rsidRPr="00800E6B">
        <w:rPr>
          <w:rFonts w:cs="Arial"/>
          <w:bCs/>
        </w:rPr>
        <w:t xml:space="preserve">, </w:t>
      </w:r>
      <w:r>
        <w:rPr>
          <w:rFonts w:cs="Arial"/>
          <w:bCs/>
        </w:rPr>
        <w:t xml:space="preserve">we fear that </w:t>
      </w:r>
      <w:r w:rsidRPr="00800E6B">
        <w:rPr>
          <w:rFonts w:cs="Arial"/>
          <w:bCs/>
        </w:rPr>
        <w:t>primary exchanges may end up with de facto monopolies</w:t>
      </w:r>
      <w:r>
        <w:rPr>
          <w:rFonts w:cs="Arial"/>
          <w:bCs/>
        </w:rPr>
        <w:t xml:space="preserve"> without SIs</w:t>
      </w:r>
      <w:r w:rsidRPr="00800E6B">
        <w:rPr>
          <w:rFonts w:cs="Arial"/>
          <w:bCs/>
        </w:rPr>
        <w:t xml:space="preserve">. In </w:t>
      </w:r>
      <w:r>
        <w:rPr>
          <w:rFonts w:cs="Arial"/>
          <w:bCs/>
        </w:rPr>
        <w:t>our</w:t>
      </w:r>
      <w:r w:rsidRPr="00800E6B">
        <w:rPr>
          <w:rFonts w:cs="Arial"/>
          <w:bCs/>
        </w:rPr>
        <w:t xml:space="preserve"> opinion, ESMA should encourage innovation and ways to make trading more efficient. </w:t>
      </w:r>
      <w:r>
        <w:rPr>
          <w:rFonts w:cs="Arial"/>
          <w:bCs/>
        </w:rPr>
        <w:t xml:space="preserve">We </w:t>
      </w:r>
      <w:r w:rsidRPr="00800E6B">
        <w:rPr>
          <w:rFonts w:cs="Arial"/>
          <w:bCs/>
        </w:rPr>
        <w:t>do not believe its role is to support out-dated and slow to react business models.</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2E0C5410" w14:textId="06FF05BA" w:rsidR="00646C30" w:rsidRDefault="004F7154" w:rsidP="00646C30">
      <w:permStart w:id="1956398093" w:edGrp="everyone"/>
      <w:r>
        <w:rPr>
          <w:rFonts w:cs="Arial"/>
          <w:bCs/>
          <w:szCs w:val="20"/>
        </w:rPr>
        <w:t xml:space="preserve">No, we would not support its deletion and </w:t>
      </w:r>
      <w:r w:rsidRPr="008D14CB">
        <w:rPr>
          <w:rFonts w:cs="Arial"/>
          <w:bCs/>
          <w:szCs w:val="20"/>
        </w:rPr>
        <w:t>we would welcome the introduction of a mandate requiring ESMA to specify the scope of the exemption.</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6839EC58" w:rsidR="00646C30" w:rsidRDefault="004F7154" w:rsidP="00646C30">
      <w:permStart w:id="856773751" w:edGrp="everyone"/>
      <w:r w:rsidRPr="0024788D">
        <w:rPr>
          <w:rFonts w:cs="Arial"/>
          <w:bCs/>
          <w:szCs w:val="20"/>
        </w:rPr>
        <w:t>We do not support that proposal as it only ha</w:t>
      </w:r>
      <w:r>
        <w:rPr>
          <w:rFonts w:cs="Arial"/>
          <w:bCs/>
          <w:szCs w:val="20"/>
        </w:rPr>
        <w:t>s</w:t>
      </w:r>
      <w:r w:rsidRPr="0024788D">
        <w:rPr>
          <w:rFonts w:cs="Arial"/>
          <w:bCs/>
          <w:szCs w:val="20"/>
        </w:rPr>
        <w:t xml:space="preserve"> limited benefit</w:t>
      </w:r>
      <w:r>
        <w:rPr>
          <w:rFonts w:cs="Arial"/>
          <w:bCs/>
          <w:szCs w:val="20"/>
        </w:rPr>
        <w:t>s</w:t>
      </w:r>
      <w:r w:rsidRPr="0024788D">
        <w:rPr>
          <w:rFonts w:cs="Arial"/>
          <w:bCs/>
          <w:szCs w:val="20"/>
        </w:rPr>
        <w:t xml:space="preserve"> for end-investors</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lastRenderedPageBreak/>
        <w:t>&lt;ESMA_QUESTION_CP</w:t>
      </w:r>
      <w:r w:rsidR="00F107EF">
        <w:t>_M</w:t>
      </w:r>
      <w:r w:rsidR="00945BCF">
        <w:t>I</w:t>
      </w:r>
      <w:r w:rsidR="00F107EF">
        <w:t>FID_EQT_</w:t>
      </w:r>
      <w:r w:rsidR="00101BF1">
        <w:t>35</w:t>
      </w:r>
      <w:r>
        <w:t>&gt;</w:t>
      </w:r>
    </w:p>
    <w:p w14:paraId="46A0F256" w14:textId="77777777" w:rsidR="004F7154" w:rsidRDefault="004F7154" w:rsidP="004F7154">
      <w:pPr>
        <w:spacing w:line="276" w:lineRule="auto"/>
        <w:jc w:val="both"/>
        <w:rPr>
          <w:rFonts w:cs="Arial"/>
          <w:bCs/>
          <w:szCs w:val="20"/>
        </w:rPr>
      </w:pPr>
      <w:permStart w:id="2089697884" w:edGrp="everyone"/>
      <w:r w:rsidRPr="0024788D">
        <w:rPr>
          <w:rFonts w:cs="Arial"/>
          <w:bCs/>
          <w:szCs w:val="20"/>
        </w:rPr>
        <w:t xml:space="preserve">We encourage ESMA not </w:t>
      </w:r>
      <w:r>
        <w:rPr>
          <w:rFonts w:cs="Arial"/>
          <w:bCs/>
          <w:szCs w:val="20"/>
        </w:rPr>
        <w:t xml:space="preserve">to </w:t>
      </w:r>
      <w:r w:rsidRPr="0024788D">
        <w:rPr>
          <w:rFonts w:cs="Arial"/>
          <w:bCs/>
          <w:szCs w:val="20"/>
        </w:rPr>
        <w:t>intervene in this process as it provides useful liquidity and support innovation.</w:t>
      </w:r>
    </w:p>
    <w:p w14:paraId="277DB1B9" w14:textId="77777777" w:rsidR="004F7154" w:rsidRDefault="004F7154" w:rsidP="004F7154">
      <w:pPr>
        <w:spacing w:line="276" w:lineRule="auto"/>
        <w:jc w:val="both"/>
        <w:rPr>
          <w:rFonts w:cs="Arial"/>
          <w:bCs/>
          <w:szCs w:val="20"/>
        </w:rPr>
      </w:pPr>
    </w:p>
    <w:p w14:paraId="1C17CFF0" w14:textId="77777777" w:rsidR="004F7154" w:rsidRPr="0024788D" w:rsidRDefault="004F7154" w:rsidP="004F7154">
      <w:pPr>
        <w:spacing w:line="276" w:lineRule="auto"/>
        <w:jc w:val="both"/>
        <w:rPr>
          <w:rFonts w:cs="Arial"/>
          <w:bCs/>
          <w:szCs w:val="20"/>
        </w:rPr>
      </w:pPr>
      <w:r w:rsidRPr="00C151FB">
        <w:rPr>
          <w:rFonts w:cs="Arial"/>
          <w:bCs/>
          <w:szCs w:val="20"/>
        </w:rPr>
        <w:t>The growth of volumes executed during the closing auction is a global trend which has not been developing/triggered in response to specific changes in regulation and there is little evidence to suggest that MiFID II has impacted this trend in Europe.</w:t>
      </w:r>
    </w:p>
    <w:p w14:paraId="5890F9D6" w14:textId="77777777" w:rsidR="004F7154" w:rsidRPr="008575F2" w:rsidRDefault="004F7154" w:rsidP="004F7154">
      <w:pPr>
        <w:spacing w:line="276" w:lineRule="auto"/>
        <w:jc w:val="both"/>
        <w:rPr>
          <w:rFonts w:cs="Arial"/>
          <w:bCs/>
          <w:szCs w:val="20"/>
        </w:rPr>
      </w:pPr>
    </w:p>
    <w:p w14:paraId="16CC0EF6" w14:textId="31899E58" w:rsidR="00646C30" w:rsidRDefault="004F7154" w:rsidP="00646C30">
      <w:r>
        <w:rPr>
          <w:rFonts w:cs="Arial"/>
          <w:bCs/>
          <w:szCs w:val="20"/>
        </w:rPr>
        <w:t>We encourage</w:t>
      </w:r>
      <w:r w:rsidRPr="007D4AA6">
        <w:rPr>
          <w:rFonts w:cs="Arial"/>
          <w:bCs/>
          <w:szCs w:val="20"/>
        </w:rPr>
        <w:t xml:space="preserve"> ESMA </w:t>
      </w:r>
      <w:r>
        <w:rPr>
          <w:rFonts w:cs="Arial"/>
          <w:bCs/>
          <w:szCs w:val="20"/>
        </w:rPr>
        <w:t xml:space="preserve">to investigate </w:t>
      </w:r>
      <w:r w:rsidRPr="007D4AA6">
        <w:rPr>
          <w:rFonts w:cs="Arial"/>
          <w:bCs/>
          <w:szCs w:val="20"/>
        </w:rPr>
        <w:t>the way exchanges charge for this service against their charges during the rest of the trading day</w:t>
      </w:r>
      <w:r>
        <w:rPr>
          <w:rFonts w:cs="Arial"/>
          <w:bCs/>
          <w:szCs w:val="20"/>
        </w:rPr>
        <w:t xml:space="preserve"> and to </w:t>
      </w:r>
      <w:r w:rsidRPr="0024788D">
        <w:rPr>
          <w:rFonts w:cs="Arial"/>
          <w:bCs/>
          <w:szCs w:val="20"/>
        </w:rPr>
        <w:t>envisage a review clause or frequent assessment</w:t>
      </w:r>
      <w:r w:rsidRPr="007D4AA6">
        <w:rPr>
          <w:rFonts w:cs="Arial"/>
          <w:bCs/>
          <w:szCs w:val="20"/>
        </w:rPr>
        <w:t xml:space="preserve">. </w:t>
      </w:r>
      <w:bookmarkStart w:id="3" w:name="_GoBack"/>
      <w:bookmarkEnd w:id="3"/>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82AF8" w14:textId="77777777" w:rsidR="00605748" w:rsidRDefault="00605748">
      <w:r>
        <w:separator/>
      </w:r>
    </w:p>
    <w:p w14:paraId="7FA5209D" w14:textId="77777777" w:rsidR="00605748" w:rsidRDefault="00605748"/>
  </w:endnote>
  <w:endnote w:type="continuationSeparator" w:id="0">
    <w:p w14:paraId="7CE133E6" w14:textId="77777777" w:rsidR="00605748" w:rsidRDefault="00605748">
      <w:r>
        <w:continuationSeparator/>
      </w:r>
    </w:p>
    <w:p w14:paraId="6690EAF9" w14:textId="77777777" w:rsidR="00605748" w:rsidRDefault="00605748"/>
  </w:endnote>
  <w:endnote w:type="continuationNotice" w:id="1">
    <w:p w14:paraId="378379C0" w14:textId="77777777" w:rsidR="00605748" w:rsidRDefault="00605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1DA70" w14:textId="77777777" w:rsidR="00605748" w:rsidRDefault="00605748">
      <w:r>
        <w:separator/>
      </w:r>
    </w:p>
    <w:p w14:paraId="1445AE77" w14:textId="77777777" w:rsidR="00605748" w:rsidRDefault="00605748"/>
  </w:footnote>
  <w:footnote w:type="continuationSeparator" w:id="0">
    <w:p w14:paraId="5042D269" w14:textId="77777777" w:rsidR="00605748" w:rsidRDefault="00605748">
      <w:r>
        <w:continuationSeparator/>
      </w:r>
    </w:p>
    <w:p w14:paraId="2E8EF56A" w14:textId="77777777" w:rsidR="00605748" w:rsidRDefault="00605748"/>
  </w:footnote>
  <w:footnote w:type="continuationNotice" w:id="1">
    <w:p w14:paraId="79EA1583" w14:textId="77777777" w:rsidR="00605748" w:rsidRDefault="00605748"/>
  </w:footnote>
  <w:footnote w:id="2">
    <w:p w14:paraId="0CA2C4FE" w14:textId="77777777" w:rsidR="00AF4025" w:rsidRPr="003B7AF6" w:rsidRDefault="00AF4025" w:rsidP="00AF4025">
      <w:pPr>
        <w:jc w:val="both"/>
        <w:rPr>
          <w:bCs/>
          <w:lang w:eastAsia="en-GB"/>
        </w:rPr>
      </w:pPr>
      <w:r w:rsidRPr="003B7AF6">
        <w:rPr>
          <w:rStyle w:val="FootnoteReference"/>
        </w:rPr>
        <w:footnoteRef/>
      </w:r>
      <w:r w:rsidRPr="003B7AF6">
        <w:t xml:space="preserve"> </w:t>
      </w:r>
      <w:r w:rsidRPr="0065641E">
        <w:rPr>
          <w:rFonts w:cs="Arial"/>
          <w:sz w:val="18"/>
          <w:szCs w:val="18"/>
          <w:lang w:val="en-US"/>
        </w:rPr>
        <w:t>The European Fund and Asset Management Association, EFAMA, is the voice of the European investment management industry, representing 28 member associations, 59 corporate members and 22 associate members. At end 2018, total net assets of European investment fund reached EUR 15.2 trillion. There assets were managed by almost 62,000 investment funds, of which more than 33,000 were Undertakings for Collective Investments in Transferable Securities (UCITS) funds, with the remaining funds composed of Alternative Investment Funds (AIFs).</w:t>
      </w:r>
    </w:p>
  </w:footnote>
  <w:footnote w:id="3">
    <w:p w14:paraId="02FCF97C" w14:textId="77777777" w:rsidR="00C0758B" w:rsidRPr="004D4A1D" w:rsidRDefault="00C0758B" w:rsidP="00C0758B">
      <w:pPr>
        <w:pStyle w:val="FootnoteText"/>
        <w:rPr>
          <w:lang w:val="en-US"/>
        </w:rPr>
      </w:pPr>
      <w:r>
        <w:rPr>
          <w:rStyle w:val="FootnoteReference"/>
        </w:rPr>
        <w:footnoteRef/>
      </w:r>
      <w:r>
        <w:t xml:space="preserve"> </w:t>
      </w:r>
      <w:r>
        <w:rPr>
          <w:lang w:val="en-US"/>
        </w:rPr>
        <w:t xml:space="preserve">See EFAMA </w:t>
      </w:r>
      <w:hyperlink r:id="rId1" w:history="1">
        <w:r w:rsidRPr="00B46164">
          <w:rPr>
            <w:rStyle w:val="Hyperlink"/>
            <w:lang w:val="en-US"/>
          </w:rPr>
          <w:t xml:space="preserve">work </w:t>
        </w:r>
        <w:r>
          <w:rPr>
            <w:rStyle w:val="Hyperlink"/>
            <w:lang w:val="en-US"/>
          </w:rPr>
          <w:t>on</w:t>
        </w:r>
        <w:r w:rsidRPr="00B46164">
          <w:rPr>
            <w:rStyle w:val="Hyperlink"/>
            <w:lang w:val="en-US"/>
          </w:rPr>
          <w:t xml:space="preserve"> data costs and consolidated tape</w:t>
        </w:r>
      </w:hyperlink>
      <w:r>
        <w:rPr>
          <w:rStyle w:val="Hyperlink"/>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F2565D"/>
    <w:multiLevelType w:val="hybridMultilevel"/>
    <w:tmpl w:val="545E2FBE"/>
    <w:lvl w:ilvl="0" w:tplc="712285D8">
      <w:start w:val="1"/>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E03157B"/>
    <w:multiLevelType w:val="hybridMultilevel"/>
    <w:tmpl w:val="C5DAD9AC"/>
    <w:lvl w:ilvl="0" w:tplc="64928C8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7"/>
  </w:num>
  <w:num w:numId="29">
    <w:abstractNumId w:val="7"/>
  </w:num>
  <w:num w:numId="30">
    <w:abstractNumId w:val="3"/>
  </w:num>
  <w:num w:numId="31">
    <w:abstractNumId w:val="20"/>
  </w:num>
  <w:num w:numId="32">
    <w:abstractNumId w:val="19"/>
  </w:num>
  <w:num w:numId="33">
    <w:abstractNumId w:val="33"/>
  </w:num>
  <w:num w:numId="34">
    <w:abstractNumId w:val="32"/>
  </w:num>
  <w:num w:numId="35">
    <w:abstractNumId w:val="5"/>
  </w:num>
  <w:num w:numId="36">
    <w:abstractNumId w:val="34"/>
  </w:num>
  <w:num w:numId="37">
    <w:abstractNumId w:val="38"/>
  </w:num>
  <w:num w:numId="38">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086"/>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43"/>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15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025"/>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B8A"/>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0758B"/>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orms.office.com/Pages/ResponsePage.aspx?id=aPIG5OdKgEyJlAJJPaAMA8MbwIo5IbFHiXG6oH-BVkdUNjJUNktLOU1BSVZYUUFEQVUwSVZHSzdZTC4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fama.org/Pages/Submitted%20after%202018-03-12T16%2022%2007/Reasonable-Market-Data-Costs-Benefits-the-Real-Econom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C169-B082-42D7-95A8-39DCDC7C43D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20fbe147-bbda-4e53-b6b1-7e8bbff3fe19"/>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92DE8E9-8D5C-480A-B78B-E051E330FB14}">
  <ds:schemaRefs>
    <ds:schemaRef ds:uri="http://schemas.openxmlformats.org/officeDocument/2006/bibliography"/>
  </ds:schemaRefs>
</ds:datastoreItem>
</file>

<file path=customXml/itemProps6.xml><?xml version="1.0" encoding="utf-8"?>
<ds:datastoreItem xmlns:ds="http://schemas.openxmlformats.org/officeDocument/2006/customXml" ds:itemID="{E2D54375-EE05-4F6E-9490-D104F58A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5696</Words>
  <Characters>31784</Characters>
  <Application>Microsoft Office Word</Application>
  <DocSecurity>8</DocSecurity>
  <Lines>264</Lines>
  <Paragraphs>74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37406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Isabelle Van Acker</cp:lastModifiedBy>
  <cp:revision>5</cp:revision>
  <cp:lastPrinted>2015-02-18T11:01:00Z</cp:lastPrinted>
  <dcterms:created xsi:type="dcterms:W3CDTF">2020-03-17T16:07:00Z</dcterms:created>
  <dcterms:modified xsi:type="dcterms:W3CDTF">2020-03-17T16:36:00Z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