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ytu"/>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Podtytu"/>
                  <w:rPr>
                    <w:rFonts w:cs="Arial"/>
                  </w:rPr>
                </w:pPr>
                <w:r>
                  <w:rPr>
                    <w:rFonts w:cs="Arial"/>
                  </w:rPr>
                  <w:t xml:space="preserve">MiFID II review report on position limits and position management </w:t>
                </w:r>
              </w:p>
              <w:p w14:paraId="2CBF8F9B" w14:textId="2B39453C" w:rsidR="0063070E" w:rsidRDefault="0063070E" w:rsidP="0063070E">
                <w:pPr>
                  <w:pStyle w:val="Podtytu"/>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Nagwek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E7297E">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p>
        <w:p w14:paraId="1A9C59D6" w14:textId="013251ED"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662B5F"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Nagwek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5CB617FB" w:rsidR="00C85C8B" w:rsidRPr="00C85C8B" w:rsidRDefault="00AF7F73" w:rsidP="00C85C8B">
                <w:pPr>
                  <w:rPr>
                    <w:rFonts w:ascii="Arial" w:hAnsi="Arial" w:cs="Arial"/>
                    <w:color w:val="808080"/>
                    <w:sz w:val="20"/>
                    <w:lang w:eastAsia="de-DE"/>
                  </w:rPr>
                </w:pPr>
                <w:r>
                  <w:rPr>
                    <w:rFonts w:ascii="Arial" w:hAnsi="Arial" w:cs="Arial"/>
                    <w:color w:val="808080"/>
                    <w:sz w:val="20"/>
                    <w:lang w:eastAsia="de-DE"/>
                  </w:rPr>
                  <w:t xml:space="preserve">Towarzystwo Gospodarcze Polskie Elektrownie </w:t>
                </w:r>
                <w:r w:rsidR="00793A3F">
                  <w:rPr>
                    <w:rFonts w:ascii="Arial" w:hAnsi="Arial" w:cs="Arial"/>
                    <w:color w:val="808080"/>
                    <w:sz w:val="20"/>
                    <w:lang w:eastAsia="de-DE"/>
                  </w:rPr>
                  <w:t>(</w:t>
                </w:r>
                <w:r>
                  <w:rPr>
                    <w:rFonts w:ascii="Arial" w:hAnsi="Arial" w:cs="Arial"/>
                    <w:color w:val="808080"/>
                    <w:sz w:val="20"/>
                    <w:lang w:eastAsia="de-DE"/>
                  </w:rPr>
                  <w:t>Polish Power Plants Association</w:t>
                </w:r>
                <w:r w:rsidR="00793A3F">
                  <w:rPr>
                    <w:rFonts w:ascii="Arial" w:hAnsi="Arial" w:cs="Arial"/>
                    <w:color w:val="808080"/>
                    <w:sz w:val="20"/>
                    <w:lang w:eastAsia="de-DE"/>
                  </w:rPr>
                  <w:t>)</w:t>
                </w:r>
                <w:r>
                  <w:rPr>
                    <w:rFonts w:ascii="Arial" w:hAnsi="Arial" w:cs="Arial"/>
                    <w:color w:val="808080"/>
                    <w:sz w:val="20"/>
                    <w:lang w:eastAsia="de-DE"/>
                  </w:rPr>
                  <w:t xml:space="preserve"> (“TGPE”)</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304E09E8" w:rsidR="00C85C8B" w:rsidRPr="00C85C8B" w:rsidRDefault="00662B5F"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F7F73">
                  <w:rPr>
                    <w:rFonts w:ascii="Arial" w:hAnsi="Arial" w:cs="Arial"/>
                    <w:sz w:val="20"/>
                    <w:lang w:eastAsia="de-DE"/>
                  </w:rPr>
                  <w:t>Non-financial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35FE00DE" w:rsidR="00C85C8B" w:rsidRPr="00C85C8B" w:rsidRDefault="00AF7F73"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29F1F2C" w:rsidR="00C85C8B" w:rsidRPr="00C85C8B" w:rsidRDefault="00AF7F73" w:rsidP="00C85C8B">
                <w:pPr>
                  <w:rPr>
                    <w:rFonts w:ascii="Arial" w:hAnsi="Arial" w:cs="Arial"/>
                    <w:sz w:val="20"/>
                    <w:lang w:eastAsia="de-DE"/>
                  </w:rPr>
                </w:pPr>
                <w:r>
                  <w:rPr>
                    <w:rFonts w:ascii="Arial" w:hAnsi="Arial" w:cs="Arial"/>
                    <w:sz w:val="20"/>
                    <w:lang w:eastAsia="de-DE"/>
                  </w:rPr>
                  <w:t>Poland</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12BB696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2EAFA30B" w14:textId="77777777" w:rsidR="00D5365A" w:rsidRDefault="00D5365A" w:rsidP="00D5365A">
      <w:pPr>
        <w:rPr>
          <w:rFonts w:ascii="Arial" w:hAnsi="Arial" w:cs="Arial"/>
        </w:rPr>
      </w:pPr>
      <w:permStart w:id="1245597596" w:edGrp="everyone"/>
      <w:r>
        <w:rPr>
          <w:rFonts w:ascii="Arial" w:hAnsi="Arial" w:cs="Arial"/>
        </w:rPr>
        <w:t>TYPE YOUR TEXT HERE</w:t>
      </w:r>
    </w:p>
    <w:permEnd w:id="1245597596"/>
    <w:p w14:paraId="230EAD9F" w14:textId="77777777"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0F17FEBF" w14:textId="069611C4" w:rsidR="008442D9" w:rsidRPr="00F518D3" w:rsidRDefault="008442D9" w:rsidP="008442D9">
      <w:pPr>
        <w:jc w:val="both"/>
        <w:rPr>
          <w:rFonts w:ascii="Arial" w:hAnsi="Arial" w:cs="Arial"/>
          <w:lang w:val="en-US"/>
        </w:rPr>
      </w:pPr>
      <w:permStart w:id="311558394" w:edGrp="everyone"/>
      <w:r w:rsidRPr="008442D9">
        <w:rPr>
          <w:rFonts w:ascii="Arial" w:hAnsi="Arial" w:cs="Arial"/>
          <w:lang w:val="en-US"/>
        </w:rPr>
        <w:t xml:space="preserve"> </w:t>
      </w:r>
      <w:r w:rsidR="008C702C">
        <w:rPr>
          <w:rFonts w:ascii="Arial" w:hAnsi="Arial" w:cs="Arial"/>
          <w:lang w:val="en-US"/>
        </w:rPr>
        <w:t>Towarzystwo Gospodarcze Polskie Elektrownie (Polish Power Plants Association, hereafter called “</w:t>
      </w:r>
      <w:r w:rsidR="008C702C" w:rsidRPr="008C702C">
        <w:rPr>
          <w:rFonts w:ascii="Arial" w:hAnsi="Arial" w:cs="Arial"/>
          <w:b/>
          <w:bCs/>
          <w:lang w:val="en-US"/>
        </w:rPr>
        <w:t>TGPE</w:t>
      </w:r>
      <w:r w:rsidR="008C702C">
        <w:rPr>
          <w:rFonts w:ascii="Arial" w:hAnsi="Arial" w:cs="Arial"/>
          <w:lang w:val="en-US"/>
        </w:rPr>
        <w:t>”)</w:t>
      </w:r>
      <w:r w:rsidRPr="008A2611">
        <w:rPr>
          <w:rFonts w:ascii="Arial" w:hAnsi="Arial" w:cs="Arial"/>
          <w:lang w:val="en-US"/>
        </w:rPr>
        <w:t xml:space="preserve"> </w:t>
      </w:r>
      <w:r w:rsidRPr="008A2611">
        <w:rPr>
          <w:rFonts w:ascii="Arial" w:hAnsi="Arial" w:cs="Arial"/>
          <w:b/>
          <w:u w:val="single"/>
          <w:lang w:val="en-US"/>
        </w:rPr>
        <w:t>does not agree with the thesis</w:t>
      </w:r>
      <w:r w:rsidRPr="008A2611">
        <w:rPr>
          <w:rFonts w:ascii="Arial" w:hAnsi="Arial" w:cs="Arial"/>
          <w:lang w:val="en-US"/>
        </w:rPr>
        <w:t>, according to which the exception, mentioned in section C(6) of annex no. 1 to the MIFID 2 Directive (the so-called C6 Remit carve-out), created unlevel playing field across trading venues (platforms) and therefore it should be revised. Quite the contrary, the functioning within the European Union of various types of trading platforms (regulated markets, MTFs and OTFs) supports competition, enablin</w:t>
      </w:r>
      <w:r>
        <w:rPr>
          <w:rFonts w:ascii="Arial" w:hAnsi="Arial" w:cs="Arial"/>
          <w:lang w:val="en-US"/>
        </w:rPr>
        <w:t xml:space="preserve">g market participants to make a </w:t>
      </w:r>
      <w:r w:rsidRPr="008A2611">
        <w:rPr>
          <w:rFonts w:ascii="Arial" w:hAnsi="Arial" w:cs="Arial"/>
          <w:lang w:val="en-US"/>
        </w:rPr>
        <w:t>choice, on what terms and according to what rules they want to conclude commodity related derivative transactions. Similarly, entities who are intending to launch and operate a trading platform</w:t>
      </w:r>
      <w:r w:rsidRPr="00F518D3">
        <w:rPr>
          <w:rFonts w:ascii="Arial" w:hAnsi="Arial" w:cs="Arial"/>
          <w:lang w:val="en-US"/>
        </w:rPr>
        <w:t xml:space="preserve">, may decide under what regime they want to conduct such operations. The introduction of various alternatives is in line with the broadly understood freedom of services movement (freedom of movement of services) within the EU and it goes towards diverse expectations of entities dealing with professional trading in their operations.    </w:t>
      </w:r>
    </w:p>
    <w:p w14:paraId="2694A7DA" w14:textId="77777777" w:rsidR="008442D9" w:rsidRPr="00F518D3" w:rsidRDefault="008442D9" w:rsidP="008442D9">
      <w:pPr>
        <w:jc w:val="both"/>
        <w:rPr>
          <w:rFonts w:ascii="Arial" w:hAnsi="Arial" w:cs="Arial"/>
          <w:lang w:val="en-US"/>
        </w:rPr>
      </w:pPr>
      <w:r w:rsidRPr="00F518D3">
        <w:rPr>
          <w:rFonts w:ascii="Arial" w:hAnsi="Arial" w:cs="Arial"/>
          <w:lang w:val="en-US"/>
        </w:rPr>
        <w:t xml:space="preserve">In the context of the potential revision of the C6 Remit carve-out, it should be emphasized that such </w:t>
      </w:r>
      <w:r w:rsidRPr="00F518D3">
        <w:rPr>
          <w:rFonts w:ascii="Arial" w:hAnsi="Arial" w:cs="Arial"/>
          <w:b/>
          <w:u w:val="single"/>
          <w:lang w:val="en-US"/>
        </w:rPr>
        <w:t>revision should in no case lead to</w:t>
      </w:r>
      <w:r w:rsidRPr="00F518D3">
        <w:rPr>
          <w:rFonts w:ascii="Arial" w:hAnsi="Arial" w:cs="Arial"/>
          <w:b/>
          <w:lang w:val="en-US"/>
        </w:rPr>
        <w:t xml:space="preserve"> an extension of the definition of a financial instrument to include products that are currently subject to C6 REMIT carve-out</w:t>
      </w:r>
      <w:r w:rsidRPr="00F518D3">
        <w:rPr>
          <w:rFonts w:ascii="Arial" w:hAnsi="Arial" w:cs="Arial"/>
          <w:lang w:val="en-US"/>
        </w:rPr>
        <w:t xml:space="preserve">. </w:t>
      </w:r>
    </w:p>
    <w:p w14:paraId="2FF80E18" w14:textId="0C8663CF" w:rsidR="008442D9" w:rsidRDefault="008442D9" w:rsidP="008442D9">
      <w:pPr>
        <w:jc w:val="both"/>
        <w:rPr>
          <w:rFonts w:ascii="Arial" w:hAnsi="Arial" w:cs="Arial"/>
          <w:lang w:val="en-US"/>
        </w:rPr>
      </w:pPr>
      <w:r w:rsidRPr="00F518D3">
        <w:rPr>
          <w:rFonts w:ascii="Arial" w:hAnsi="Arial" w:cs="Arial"/>
          <w:lang w:val="en-US"/>
        </w:rPr>
        <w:t>In the opinion of T</w:t>
      </w:r>
      <w:r w:rsidR="00CB338A">
        <w:rPr>
          <w:rFonts w:ascii="Arial" w:hAnsi="Arial" w:cs="Arial"/>
          <w:lang w:val="en-US"/>
        </w:rPr>
        <w:t>GPE,</w:t>
      </w:r>
      <w:r w:rsidRPr="00F518D3">
        <w:rPr>
          <w:rFonts w:ascii="Arial" w:hAnsi="Arial" w:cs="Arial"/>
          <w:lang w:val="en-US"/>
        </w:rPr>
        <w:t xml:space="preserve"> the exclusion of the C6 Remit carve-out products from the definition of a financial instrument was due, first and foremost, to the specifics of both the European and the national electricity and gas markets. Such specifics have their source in the following features of these products and the rules of functioning of the national power and gas systems, as well as those of trading in such products (commodities):</w:t>
      </w:r>
    </w:p>
    <w:p w14:paraId="1AAFBC7E" w14:textId="77777777" w:rsidR="00D85727" w:rsidRPr="00F518D3" w:rsidRDefault="00D85727" w:rsidP="008442D9">
      <w:pPr>
        <w:jc w:val="both"/>
        <w:rPr>
          <w:rFonts w:ascii="Arial" w:hAnsi="Arial" w:cs="Arial"/>
          <w:lang w:val="en-US"/>
        </w:rPr>
      </w:pPr>
    </w:p>
    <w:p w14:paraId="5A417586" w14:textId="77777777" w:rsidR="008442D9" w:rsidRPr="00F518D3" w:rsidRDefault="008442D9" w:rsidP="008442D9">
      <w:pPr>
        <w:numPr>
          <w:ilvl w:val="0"/>
          <w:numId w:val="22"/>
        </w:numPr>
        <w:jc w:val="both"/>
        <w:rPr>
          <w:rFonts w:ascii="Arial" w:hAnsi="Arial" w:cs="Arial"/>
          <w:lang w:val="en-US"/>
        </w:rPr>
      </w:pPr>
      <w:r w:rsidRPr="00F518D3">
        <w:rPr>
          <w:rFonts w:ascii="Arial" w:hAnsi="Arial" w:cs="Arial"/>
          <w:b/>
          <w:lang w:val="en-US"/>
        </w:rPr>
        <w:t>status of electricity and natural gas as the so-called common goods or basic necessities</w:t>
      </w:r>
      <w:r w:rsidRPr="00F518D3">
        <w:rPr>
          <w:rFonts w:ascii="Arial" w:hAnsi="Arial" w:cs="Arial"/>
          <w:lang w:val="en-US"/>
        </w:rPr>
        <w:t xml:space="preserve"> and the need to ensure the energy security for the state and the final consumers in the </w:t>
      </w:r>
      <w:r w:rsidRPr="00F518D3">
        <w:rPr>
          <w:rFonts w:ascii="Arial" w:hAnsi="Arial" w:cs="Arial"/>
          <w:b/>
          <w:lang w:val="en-US"/>
        </w:rPr>
        <w:t>long term</w:t>
      </w:r>
      <w:r w:rsidRPr="00F518D3">
        <w:rPr>
          <w:rFonts w:ascii="Arial" w:hAnsi="Arial" w:cs="Arial"/>
          <w:lang w:val="en-US"/>
        </w:rPr>
        <w:t>,</w:t>
      </w:r>
    </w:p>
    <w:p w14:paraId="1C468879" w14:textId="77777777" w:rsidR="008442D9" w:rsidRPr="00F518D3" w:rsidRDefault="008442D9" w:rsidP="008442D9">
      <w:pPr>
        <w:numPr>
          <w:ilvl w:val="0"/>
          <w:numId w:val="22"/>
        </w:numPr>
        <w:jc w:val="both"/>
        <w:rPr>
          <w:rFonts w:ascii="Arial" w:hAnsi="Arial" w:cs="Arial"/>
          <w:lang w:val="en-US"/>
        </w:rPr>
      </w:pPr>
      <w:r w:rsidRPr="00F518D3">
        <w:rPr>
          <w:rFonts w:ascii="Arial" w:hAnsi="Arial" w:cs="Arial"/>
          <w:lang w:val="en-US"/>
        </w:rPr>
        <w:t xml:space="preserve">need to ensure </w:t>
      </w:r>
      <w:r w:rsidRPr="00F518D3">
        <w:rPr>
          <w:rFonts w:ascii="Arial" w:hAnsi="Arial" w:cs="Arial"/>
          <w:b/>
          <w:lang w:val="en-US"/>
        </w:rPr>
        <w:t>continuous</w:t>
      </w:r>
      <w:r w:rsidRPr="00F518D3">
        <w:rPr>
          <w:rFonts w:ascii="Arial" w:hAnsi="Arial" w:cs="Arial"/>
          <w:lang w:val="en-US"/>
        </w:rPr>
        <w:t xml:space="preserve">, accurate balancing of electricity or gas demand and supply within the national power and gas systems and the additional costs, related </w:t>
      </w:r>
      <w:r w:rsidRPr="00F518D3">
        <w:rPr>
          <w:rFonts w:ascii="Arial" w:hAnsi="Arial" w:cs="Arial"/>
          <w:lang w:val="en-US"/>
        </w:rPr>
        <w:lastRenderedPageBreak/>
        <w:t>thereto, for the participants of the market for such products due to non-balancing (lack of balancing) of their trading positions,</w:t>
      </w:r>
    </w:p>
    <w:p w14:paraId="58EE47EC" w14:textId="77777777" w:rsidR="008442D9" w:rsidRPr="008A2611" w:rsidRDefault="008442D9" w:rsidP="008442D9">
      <w:pPr>
        <w:numPr>
          <w:ilvl w:val="0"/>
          <w:numId w:val="22"/>
        </w:numPr>
        <w:jc w:val="both"/>
        <w:rPr>
          <w:rFonts w:ascii="Arial" w:hAnsi="Arial" w:cs="Arial"/>
          <w:lang w:val="en-US"/>
        </w:rPr>
      </w:pPr>
      <w:r w:rsidRPr="008A2611">
        <w:rPr>
          <w:rFonts w:ascii="Arial" w:hAnsi="Arial" w:cs="Arial"/>
          <w:b/>
          <w:lang w:val="en-US"/>
        </w:rPr>
        <w:t>materially limited ability to store the products (commodities)</w:t>
      </w:r>
      <w:r w:rsidRPr="008A2611">
        <w:rPr>
          <w:rFonts w:ascii="Arial" w:hAnsi="Arial" w:cs="Arial"/>
          <w:lang w:val="en-US"/>
        </w:rPr>
        <w:t>, electricity in particular,</w:t>
      </w:r>
    </w:p>
    <w:p w14:paraId="484A0AE4" w14:textId="77777777" w:rsidR="008442D9" w:rsidRPr="00F518D3" w:rsidRDefault="008442D9" w:rsidP="008442D9">
      <w:pPr>
        <w:numPr>
          <w:ilvl w:val="0"/>
          <w:numId w:val="22"/>
        </w:numPr>
        <w:jc w:val="both"/>
        <w:rPr>
          <w:rFonts w:ascii="Arial" w:hAnsi="Arial" w:cs="Arial"/>
          <w:lang w:val="en-US"/>
        </w:rPr>
      </w:pPr>
      <w:r w:rsidRPr="008A2611">
        <w:rPr>
          <w:rFonts w:ascii="Arial" w:hAnsi="Arial" w:cs="Arial"/>
          <w:lang w:val="en-US"/>
        </w:rPr>
        <w:t xml:space="preserve">specific structure of the electricity generation or natural gas extraction segment in terms of entities operating therein in many European Union countries, that is characterized by a </w:t>
      </w:r>
      <w:r w:rsidRPr="00F518D3">
        <w:rPr>
          <w:rFonts w:ascii="Arial" w:hAnsi="Arial" w:cs="Arial"/>
          <w:lang w:val="en-US"/>
        </w:rPr>
        <w:t>high concentration of the generating or extraction sources in the hands of a few entities,</w:t>
      </w:r>
    </w:p>
    <w:p w14:paraId="5B90A4B8" w14:textId="77777777" w:rsidR="008442D9" w:rsidRPr="00F518D3" w:rsidRDefault="008442D9" w:rsidP="008442D9">
      <w:pPr>
        <w:numPr>
          <w:ilvl w:val="0"/>
          <w:numId w:val="22"/>
        </w:numPr>
        <w:jc w:val="both"/>
        <w:rPr>
          <w:rFonts w:ascii="Arial" w:hAnsi="Arial" w:cs="Arial"/>
          <w:lang w:val="en-US"/>
        </w:rPr>
      </w:pPr>
      <w:r w:rsidRPr="00F518D3">
        <w:rPr>
          <w:rFonts w:ascii="Arial" w:hAnsi="Arial" w:cs="Arial"/>
          <w:lang w:val="en-US"/>
        </w:rPr>
        <w:t>efforts seeking to reduce market monopolies and promote competition, in particular aimed at developing a liquid electricity (power) or natural gas market, in particular by introducing in Poland a statutory obligation for enterprises holding a dominant position in the electricity generation or natural gas extraction segment to sell electricity or natural gas via organized multilateral trading systems (venues),</w:t>
      </w:r>
    </w:p>
    <w:p w14:paraId="570C0328" w14:textId="77777777" w:rsidR="008442D9" w:rsidRPr="00F518D3" w:rsidRDefault="008442D9" w:rsidP="008442D9">
      <w:pPr>
        <w:numPr>
          <w:ilvl w:val="0"/>
          <w:numId w:val="22"/>
        </w:numPr>
        <w:jc w:val="both"/>
        <w:rPr>
          <w:rFonts w:ascii="Arial" w:hAnsi="Arial" w:cs="Arial"/>
          <w:lang w:val="en-US"/>
        </w:rPr>
      </w:pPr>
      <w:r w:rsidRPr="00F518D3">
        <w:rPr>
          <w:rFonts w:ascii="Arial" w:hAnsi="Arial" w:cs="Arial"/>
          <w:lang w:val="en-US"/>
        </w:rPr>
        <w:t xml:space="preserve">material reduction of the scale and scope of the operations of brokers and other intermediaries (middle men) in electricity or natural gas trading (primarily as a result of the introduction, by the MIFID II directive, of the obligation to operate multilateral commodity related derivative contract trading systems (venues) under the formulas of regulated market, MTF or OTF) and the advancing concentration of the market of intermediaries (middle men) in trading in the above-mentioned products (commodities),  </w:t>
      </w:r>
    </w:p>
    <w:p w14:paraId="02E1E6FB" w14:textId="77777777" w:rsidR="008442D9" w:rsidRPr="00F518D3" w:rsidRDefault="008442D9" w:rsidP="008442D9">
      <w:pPr>
        <w:numPr>
          <w:ilvl w:val="0"/>
          <w:numId w:val="22"/>
        </w:numPr>
        <w:jc w:val="both"/>
        <w:rPr>
          <w:rFonts w:ascii="Arial" w:hAnsi="Arial" w:cs="Arial"/>
          <w:lang w:val="en-US"/>
        </w:rPr>
      </w:pPr>
      <w:r w:rsidRPr="00F518D3">
        <w:rPr>
          <w:rFonts w:ascii="Arial" w:hAnsi="Arial" w:cs="Arial"/>
          <w:lang w:val="en-US"/>
        </w:rPr>
        <w:t xml:space="preserve">business standards for contracting electricity and natural gas in the business segment, based first and foremost on </w:t>
      </w:r>
      <w:proofErr w:type="gramStart"/>
      <w:r w:rsidRPr="00F518D3">
        <w:rPr>
          <w:rFonts w:ascii="Arial" w:hAnsi="Arial" w:cs="Arial"/>
          <w:b/>
          <w:lang w:val="en-US"/>
        </w:rPr>
        <w:t>one year</w:t>
      </w:r>
      <w:proofErr w:type="gramEnd"/>
      <w:r w:rsidRPr="00F518D3">
        <w:rPr>
          <w:rFonts w:ascii="Arial" w:hAnsi="Arial" w:cs="Arial"/>
          <w:b/>
          <w:lang w:val="en-US"/>
        </w:rPr>
        <w:t xml:space="preserve"> contracts</w:t>
      </w:r>
      <w:r w:rsidRPr="00F518D3">
        <w:rPr>
          <w:rFonts w:ascii="Arial" w:hAnsi="Arial" w:cs="Arial"/>
          <w:lang w:val="en-US"/>
        </w:rPr>
        <w:t xml:space="preserve">, </w:t>
      </w:r>
    </w:p>
    <w:p w14:paraId="2F66EFAB" w14:textId="77777777" w:rsidR="008442D9" w:rsidRPr="00F518D3" w:rsidRDefault="008442D9" w:rsidP="008442D9">
      <w:pPr>
        <w:numPr>
          <w:ilvl w:val="0"/>
          <w:numId w:val="22"/>
        </w:numPr>
        <w:jc w:val="both"/>
        <w:rPr>
          <w:rFonts w:ascii="Arial" w:hAnsi="Arial" w:cs="Arial"/>
          <w:lang w:val="en-US"/>
        </w:rPr>
      </w:pPr>
      <w:r w:rsidRPr="00F518D3">
        <w:rPr>
          <w:rFonts w:ascii="Arial" w:hAnsi="Arial" w:cs="Arial"/>
          <w:lang w:val="en-US"/>
        </w:rPr>
        <w:t xml:space="preserve">low price flexibility of demand, combined with administrative and legal instruments in the form of </w:t>
      </w:r>
      <w:r w:rsidRPr="00F518D3">
        <w:rPr>
          <w:rFonts w:ascii="Arial" w:hAnsi="Arial" w:cs="Arial"/>
          <w:b/>
          <w:lang w:val="en-US"/>
        </w:rPr>
        <w:t>annual tariffs -</w:t>
      </w:r>
      <w:r w:rsidRPr="00F518D3">
        <w:rPr>
          <w:rFonts w:ascii="Arial" w:hAnsi="Arial" w:cs="Arial"/>
          <w:lang w:val="en-US"/>
        </w:rPr>
        <w:t xml:space="preserve"> approval of prices applied by the largest domestic suppliers delivering electricity or natural gas to the final household consumers.</w:t>
      </w:r>
    </w:p>
    <w:p w14:paraId="1B054DB7" w14:textId="77777777" w:rsidR="008442D9" w:rsidRPr="00F518D3" w:rsidRDefault="008442D9" w:rsidP="008442D9">
      <w:pPr>
        <w:jc w:val="both"/>
        <w:rPr>
          <w:rFonts w:ascii="Arial" w:hAnsi="Arial" w:cs="Arial"/>
        </w:rPr>
      </w:pPr>
      <w:r w:rsidRPr="00F518D3">
        <w:rPr>
          <w:rFonts w:ascii="Arial" w:hAnsi="Arial" w:cs="Arial"/>
        </w:rPr>
        <w:t xml:space="preserve">When evaluating the scope of C6 Remit carve-out it should be noted that the need to assess a physically settled electricity or natural gas contract with respect to the definition of a financial instrument arises every time when such a contract is not a SPOT contract, i.e. a contract according to the terms of which the delivery is to take place by the longer of the following deadlines: </w:t>
      </w:r>
    </w:p>
    <w:p w14:paraId="358320C0" w14:textId="77777777" w:rsidR="008442D9" w:rsidRPr="00F518D3" w:rsidRDefault="008442D9" w:rsidP="008442D9">
      <w:pPr>
        <w:jc w:val="both"/>
        <w:rPr>
          <w:rFonts w:ascii="Arial" w:hAnsi="Arial" w:cs="Arial"/>
        </w:rPr>
      </w:pPr>
      <w:r w:rsidRPr="00F518D3">
        <w:rPr>
          <w:rFonts w:ascii="Arial" w:hAnsi="Arial" w:cs="Arial"/>
        </w:rPr>
        <w:t xml:space="preserve">a) 2 trading days; </w:t>
      </w:r>
    </w:p>
    <w:p w14:paraId="028C333B" w14:textId="77777777" w:rsidR="008442D9" w:rsidRPr="00F518D3" w:rsidRDefault="008442D9" w:rsidP="008442D9">
      <w:pPr>
        <w:jc w:val="both"/>
        <w:rPr>
          <w:rFonts w:ascii="Arial" w:hAnsi="Arial" w:cs="Arial"/>
        </w:rPr>
      </w:pPr>
      <w:r w:rsidRPr="00F518D3">
        <w:rPr>
          <w:rFonts w:ascii="Arial" w:hAnsi="Arial" w:cs="Arial"/>
        </w:rPr>
        <w:t>b) generally accepted on the market for this type of commodity, assets or right as a standard delivery deadline.</w:t>
      </w:r>
    </w:p>
    <w:p w14:paraId="57960ADD" w14:textId="77777777" w:rsidR="008442D9" w:rsidRPr="00F518D3" w:rsidRDefault="008442D9" w:rsidP="008442D9">
      <w:pPr>
        <w:jc w:val="both"/>
        <w:rPr>
          <w:rFonts w:ascii="Arial" w:hAnsi="Arial" w:cs="Arial"/>
        </w:rPr>
      </w:pPr>
      <w:r w:rsidRPr="00F518D3">
        <w:rPr>
          <w:rFonts w:ascii="Arial" w:hAnsi="Arial" w:cs="Arial"/>
        </w:rPr>
        <w:t xml:space="preserve">This means that in case of the electricity or natural gas market any contract under which the delivery of the </w:t>
      </w:r>
      <w:proofErr w:type="gramStart"/>
      <w:r w:rsidRPr="00F518D3">
        <w:rPr>
          <w:rFonts w:ascii="Arial" w:hAnsi="Arial" w:cs="Arial"/>
        </w:rPr>
        <w:t>above mentioned</w:t>
      </w:r>
      <w:proofErr w:type="gramEnd"/>
      <w:r w:rsidRPr="00F518D3">
        <w:rPr>
          <w:rFonts w:ascii="Arial" w:hAnsi="Arial" w:cs="Arial"/>
        </w:rPr>
        <w:t xml:space="preserve"> products exceeds the above mentioned deadlines is already a derivative contract. </w:t>
      </w:r>
    </w:p>
    <w:p w14:paraId="322BB57A" w14:textId="77777777" w:rsidR="008442D9" w:rsidRPr="00AA6F9B" w:rsidRDefault="008442D9" w:rsidP="008442D9">
      <w:pPr>
        <w:jc w:val="both"/>
        <w:rPr>
          <w:rFonts w:ascii="Arial" w:hAnsi="Arial" w:cs="Arial"/>
          <w:lang w:val="en-US"/>
        </w:rPr>
      </w:pPr>
      <w:r w:rsidRPr="00F518D3">
        <w:rPr>
          <w:rFonts w:ascii="Arial" w:hAnsi="Arial" w:cs="Arial"/>
          <w:lang w:val="en-US"/>
        </w:rPr>
        <w:t xml:space="preserve">Subsequently, it needs to be emphasized that it is sufficient for physically settled commodity derivative contracts to be concluded on the regulated market, MTF or OTF to meet the status of C6 contracts being financial instruments. Unlike derivative contracts related to commodities concluded OTC, which must additionally meet the condition of ”not being for commercial purposes” in order to be qualified as a financial instrument pursuant to section C7 of Annex no 1 of the MIFID II Directive, contracts qualified under section C6 of the above-mentioned regulation do not require testing in this respect any more. Only as a side note it can be noted that the above-mentioned criterion, ”not being for commercial purposes”, is strongly restricted by the definition provided in art. 7 clause 4 of the Commission Delegated Regulation (EU) 2017/565 of 25 April 2016 supplementing Directive 2014/65/UE of the European Parliament and of the Council as regards organizational requirements and operating conditions for investment firms and defined terms for </w:t>
      </w:r>
      <w:r w:rsidRPr="00AA6F9B">
        <w:rPr>
          <w:rFonts w:ascii="Arial" w:hAnsi="Arial" w:cs="Arial"/>
          <w:lang w:val="en-US"/>
        </w:rPr>
        <w:t xml:space="preserve">the purposes of that Directive. The above </w:t>
      </w:r>
      <w:r w:rsidRPr="00AA6F9B">
        <w:rPr>
          <w:rFonts w:ascii="Arial" w:hAnsi="Arial" w:cs="Arial"/>
          <w:lang w:val="en-US"/>
        </w:rPr>
        <w:lastRenderedPageBreak/>
        <w:t xml:space="preserve">should be interpreted as a departure from the original intentions of the authors of the MIFID I package and CESR (the Committee of European Securities Regulators) itself – the predecessor of ESMA, which in the ”CESR’s Technical Advice on Possible Implementing Measures of the Directive 2004/39/EC on Markets in Financial Instruments” document of April of 2005 (ref. CESR/05-290b) clearly emphasized the need to differentiate ”simple commercial contracts” and ”general commercial activities” on commodity markets from, accordingly, a financial instrument and investment operations (activities) on the financial markets. </w:t>
      </w:r>
    </w:p>
    <w:p w14:paraId="51DDD718" w14:textId="77777777" w:rsidR="008442D9" w:rsidRPr="00AA6F9B" w:rsidRDefault="008442D9" w:rsidP="008442D9">
      <w:pPr>
        <w:jc w:val="both"/>
        <w:rPr>
          <w:rFonts w:ascii="Arial" w:hAnsi="Arial" w:cs="Arial"/>
          <w:lang w:val="en-US"/>
        </w:rPr>
      </w:pPr>
      <w:r w:rsidRPr="00AA6F9B">
        <w:rPr>
          <w:rFonts w:ascii="Arial" w:hAnsi="Arial" w:cs="Arial"/>
          <w:lang w:val="en-US"/>
        </w:rPr>
        <w:t>Taking into account:</w:t>
      </w:r>
    </w:p>
    <w:p w14:paraId="4691A263" w14:textId="77777777" w:rsidR="008442D9" w:rsidRPr="00F518D3" w:rsidRDefault="008442D9" w:rsidP="008442D9">
      <w:pPr>
        <w:numPr>
          <w:ilvl w:val="0"/>
          <w:numId w:val="23"/>
        </w:numPr>
        <w:jc w:val="both"/>
        <w:rPr>
          <w:rFonts w:ascii="Arial" w:hAnsi="Arial" w:cs="Arial"/>
          <w:lang w:val="en-US"/>
        </w:rPr>
      </w:pPr>
      <w:r w:rsidRPr="00AA6F9B">
        <w:rPr>
          <w:rFonts w:ascii="Arial" w:hAnsi="Arial" w:cs="Arial"/>
          <w:lang w:val="en-US"/>
        </w:rPr>
        <w:t>offering of forward (futures</w:t>
      </w:r>
      <w:r w:rsidRPr="00F518D3">
        <w:rPr>
          <w:rFonts w:ascii="Arial" w:hAnsi="Arial" w:cs="Arial"/>
          <w:lang w:val="en-US"/>
        </w:rPr>
        <w:t xml:space="preserve">) contracts on electricity and natural gas by multilateral financial instruments trading systems (facilities, venues) operating not only in the European Union but also in third countries, </w:t>
      </w:r>
      <w:r w:rsidRPr="00F518D3">
        <w:rPr>
          <w:rFonts w:ascii="Arial" w:hAnsi="Arial" w:cs="Arial"/>
          <w:u w:val="single"/>
          <w:lang w:val="en-US"/>
        </w:rPr>
        <w:t>including the ones previously (prior to MIFID II) operating in the form of non-MIFID platforms</w:t>
      </w:r>
      <w:r w:rsidRPr="00F518D3">
        <w:rPr>
          <w:rFonts w:ascii="Arial" w:hAnsi="Arial" w:cs="Arial"/>
          <w:lang w:val="en-US"/>
        </w:rPr>
        <w:t>,</w:t>
      </w:r>
    </w:p>
    <w:p w14:paraId="5C0F94AB" w14:textId="77777777" w:rsidR="008442D9" w:rsidRPr="00F518D3" w:rsidRDefault="008442D9" w:rsidP="008442D9">
      <w:pPr>
        <w:numPr>
          <w:ilvl w:val="0"/>
          <w:numId w:val="23"/>
        </w:numPr>
        <w:jc w:val="both"/>
        <w:rPr>
          <w:rFonts w:ascii="Arial" w:hAnsi="Arial" w:cs="Arial"/>
          <w:lang w:val="en-US"/>
        </w:rPr>
      </w:pPr>
      <w:r w:rsidRPr="00F518D3">
        <w:rPr>
          <w:rFonts w:ascii="Arial" w:hAnsi="Arial" w:cs="Arial"/>
          <w:lang w:val="en-US"/>
        </w:rPr>
        <w:t xml:space="preserve">qualification of OTC electricity and gas derivative contracts being </w:t>
      </w:r>
      <w:r w:rsidRPr="00F518D3">
        <w:rPr>
          <w:rFonts w:ascii="Arial" w:hAnsi="Arial" w:cs="Arial"/>
          <w:b/>
          <w:lang w:val="en-US"/>
        </w:rPr>
        <w:t>equivalents</w:t>
      </w:r>
      <w:r w:rsidRPr="00F518D3">
        <w:rPr>
          <w:rFonts w:ascii="Arial" w:hAnsi="Arial" w:cs="Arial"/>
          <w:lang w:val="en-US"/>
        </w:rPr>
        <w:t xml:space="preserve"> to the products indicated in point 1) above as financial instruments, introduced by MIFID II </w:t>
      </w:r>
      <w:proofErr w:type="spellStart"/>
      <w:r w:rsidRPr="00F518D3">
        <w:rPr>
          <w:rFonts w:ascii="Arial" w:hAnsi="Arial" w:cs="Arial"/>
          <w:lang w:val="en-US"/>
        </w:rPr>
        <w:t>Dyrective</w:t>
      </w:r>
      <w:proofErr w:type="spellEnd"/>
      <w:r w:rsidRPr="00F518D3">
        <w:rPr>
          <w:rFonts w:ascii="Arial" w:hAnsi="Arial" w:cs="Arial"/>
          <w:lang w:val="en-US"/>
        </w:rPr>
        <w:t>,</w:t>
      </w:r>
    </w:p>
    <w:p w14:paraId="5CC742C1" w14:textId="77777777" w:rsidR="008442D9" w:rsidRPr="00F518D3" w:rsidRDefault="008442D9" w:rsidP="008442D9">
      <w:pPr>
        <w:numPr>
          <w:ilvl w:val="0"/>
          <w:numId w:val="23"/>
        </w:numPr>
        <w:jc w:val="both"/>
        <w:rPr>
          <w:rFonts w:ascii="Arial" w:hAnsi="Arial" w:cs="Arial"/>
          <w:lang w:val="en-US"/>
        </w:rPr>
      </w:pPr>
      <w:r w:rsidRPr="00F518D3">
        <w:rPr>
          <w:rFonts w:ascii="Arial" w:hAnsi="Arial" w:cs="Arial"/>
          <w:lang w:val="en-US"/>
        </w:rPr>
        <w:t>above indicated concentration of the market of intermediaries (middle men) in trading in electricity and natural gas on platforms that are subject to the MIFID II regime, and</w:t>
      </w:r>
    </w:p>
    <w:p w14:paraId="6358CFC3" w14:textId="77777777" w:rsidR="008442D9" w:rsidRPr="00F518D3" w:rsidRDefault="008442D9" w:rsidP="008442D9">
      <w:pPr>
        <w:numPr>
          <w:ilvl w:val="0"/>
          <w:numId w:val="23"/>
        </w:numPr>
        <w:jc w:val="both"/>
        <w:rPr>
          <w:rFonts w:ascii="Arial" w:hAnsi="Arial" w:cs="Arial"/>
          <w:lang w:val="en-US"/>
        </w:rPr>
      </w:pPr>
      <w:r w:rsidRPr="00F518D3">
        <w:rPr>
          <w:rFonts w:ascii="Arial" w:hAnsi="Arial" w:cs="Arial"/>
          <w:lang w:val="en-US"/>
        </w:rPr>
        <w:t xml:space="preserve">statutory obligation for electricity generation enterprises or the dominant natural gas supplier in Poland to trade on organized trading platforms having the status of a regulated market or OTF, </w:t>
      </w:r>
    </w:p>
    <w:p w14:paraId="61274A06" w14:textId="77777777" w:rsidR="008442D9" w:rsidRPr="00F518D3" w:rsidRDefault="008442D9" w:rsidP="008442D9">
      <w:pPr>
        <w:jc w:val="both"/>
        <w:rPr>
          <w:rFonts w:ascii="Arial" w:hAnsi="Arial" w:cs="Arial"/>
          <w:lang w:val="en-US"/>
        </w:rPr>
      </w:pPr>
      <w:r w:rsidRPr="00F518D3">
        <w:rPr>
          <w:rFonts w:ascii="Arial" w:hAnsi="Arial" w:cs="Arial"/>
          <w:lang w:val="en-US"/>
        </w:rPr>
        <w:t xml:space="preserve">- the change proposed by ESMA, involving deleting the C6 Remit carve-out, will mean that the core business operations of, accordingly, the generation or mining </w:t>
      </w:r>
      <w:r w:rsidRPr="00F518D3">
        <w:rPr>
          <w:rFonts w:ascii="Arial" w:hAnsi="Arial" w:cs="Arial"/>
          <w:highlight w:val="red"/>
          <w:lang w:val="en-US"/>
        </w:rPr>
        <w:t>or</w:t>
      </w:r>
      <w:r w:rsidRPr="00F518D3">
        <w:rPr>
          <w:rFonts w:ascii="Arial" w:hAnsi="Arial" w:cs="Arial"/>
          <w:lang w:val="en-US"/>
        </w:rPr>
        <w:t xml:space="preserve"> electricity or gas trading companies in Poland will cease to be their standard trading (commercial) operations with respect to ensuring liquid commodity trading, but they will become investment activities (in the form of proprietary trading on their own account) on financial instruments.</w:t>
      </w:r>
    </w:p>
    <w:p w14:paraId="3B4FAE62" w14:textId="2300D5D0" w:rsidR="008442D9" w:rsidRPr="0032543D" w:rsidRDefault="008442D9" w:rsidP="008442D9">
      <w:pPr>
        <w:jc w:val="both"/>
        <w:rPr>
          <w:rFonts w:ascii="Arial" w:hAnsi="Arial" w:cs="Arial"/>
          <w:lang w:val="en-US"/>
        </w:rPr>
      </w:pPr>
      <w:r w:rsidRPr="00F518D3">
        <w:rPr>
          <w:rFonts w:ascii="Arial" w:hAnsi="Arial" w:cs="Arial"/>
          <w:lang w:val="en-US"/>
        </w:rPr>
        <w:t>In the opinion of T</w:t>
      </w:r>
      <w:r w:rsidR="00CB338A">
        <w:rPr>
          <w:rFonts w:ascii="Arial" w:hAnsi="Arial" w:cs="Arial"/>
          <w:lang w:val="en-US"/>
        </w:rPr>
        <w:t>GPE,</w:t>
      </w:r>
      <w:r w:rsidRPr="00F518D3">
        <w:rPr>
          <w:rFonts w:ascii="Arial" w:hAnsi="Arial" w:cs="Arial"/>
          <w:lang w:val="en-US"/>
        </w:rPr>
        <w:t xml:space="preserve"> the proposal discussed is disproportionate in relation to the above indicated potential economic (financial) consequences of such change. The situation of utilities, </w:t>
      </w:r>
      <w:r w:rsidRPr="0032543D">
        <w:rPr>
          <w:rFonts w:ascii="Arial" w:hAnsi="Arial" w:cs="Arial"/>
          <w:lang w:val="en-US"/>
        </w:rPr>
        <w:t xml:space="preserve">focusing on </w:t>
      </w:r>
      <w:r w:rsidRPr="0032543D">
        <w:rPr>
          <w:rFonts w:ascii="Arial" w:hAnsi="Arial" w:cs="Arial"/>
          <w:b/>
          <w:lang w:val="en-US"/>
        </w:rPr>
        <w:t>ensuring long term security of supply of electricity or natural gas as basic necessities for the multi-million group of their final consumers</w:t>
      </w:r>
      <w:r w:rsidRPr="0032543D">
        <w:rPr>
          <w:rFonts w:ascii="Arial" w:hAnsi="Arial" w:cs="Arial"/>
          <w:lang w:val="en-US"/>
        </w:rPr>
        <w:t>, including household consumers, is materially different from the professional investment operations conducted by the entities operating in the financial sector. While the former enterprises use derivative instruments (primarily forward (futures) contracts</w:t>
      </w:r>
      <w:r w:rsidRPr="008409EF">
        <w:rPr>
          <w:rFonts w:ascii="Arial" w:hAnsi="Arial" w:cs="Arial"/>
          <w:color w:val="FF0000"/>
          <w:lang w:val="en-US"/>
        </w:rPr>
        <w:t>)</w:t>
      </w:r>
      <w:r w:rsidRPr="0032543D">
        <w:rPr>
          <w:rFonts w:ascii="Arial" w:hAnsi="Arial" w:cs="Arial"/>
          <w:lang w:val="en-US"/>
        </w:rPr>
        <w:t xml:space="preserve"> in order to hedge long term physically settled deliveries of electricity or natural gas at stable prices (that must also enable planning, one year ahead, of the annual tariff prices, submitted for approval to the regulator), the activities on the commodity market of the entities operating in the financial sector are primarily speculative in their nature and are only </w:t>
      </w:r>
      <w:r w:rsidRPr="0032543D">
        <w:rPr>
          <w:rFonts w:ascii="Arial" w:hAnsi="Arial" w:cs="Arial"/>
          <w:b/>
          <w:lang w:val="en-US"/>
        </w:rPr>
        <w:t>one of the segments</w:t>
      </w:r>
      <w:r w:rsidRPr="0032543D">
        <w:rPr>
          <w:rFonts w:ascii="Arial" w:hAnsi="Arial" w:cs="Arial"/>
          <w:lang w:val="en-US"/>
        </w:rPr>
        <w:t xml:space="preserve"> of investment operations carried out in the form of professional trading intermediary services, besides operating on the ”classic” financial instruments. Furthermore, utilities are operating on commodity derivatives primarily on their own account (proprietary trading), engagin</w:t>
      </w:r>
      <w:r>
        <w:rPr>
          <w:rFonts w:ascii="Arial" w:hAnsi="Arial" w:cs="Arial"/>
          <w:lang w:val="en-US"/>
        </w:rPr>
        <w:t>g their own financial resources and</w:t>
      </w:r>
      <w:r w:rsidRPr="0032543D">
        <w:rPr>
          <w:rFonts w:ascii="Arial" w:hAnsi="Arial" w:cs="Arial"/>
          <w:lang w:val="en-US"/>
        </w:rPr>
        <w:t xml:space="preserve"> bearing the full risk of conducting such operations, in contrast to investment companies that, to a large degree, provide intermediary services on the customers’ account using the customers’ funds (which justifies applying, with respect to investment firms, of many legal regulations, including the capital requirements, the rules regarding the management of customers’ funds entrusted with the investment firm, policies with respect to </w:t>
      </w:r>
      <w:r w:rsidRPr="0032543D">
        <w:rPr>
          <w:rFonts w:ascii="Arial" w:hAnsi="Arial" w:cs="Arial"/>
          <w:i/>
          <w:lang w:val="en-US"/>
        </w:rPr>
        <w:t>best execution,</w:t>
      </w:r>
      <w:r w:rsidRPr="0032543D">
        <w:rPr>
          <w:rFonts w:ascii="Arial" w:hAnsi="Arial" w:cs="Arial"/>
          <w:lang w:val="en-US"/>
        </w:rPr>
        <w:t xml:space="preserve"> etc.). </w:t>
      </w:r>
    </w:p>
    <w:p w14:paraId="7AE1B625" w14:textId="77777777" w:rsidR="008442D9" w:rsidRPr="0032543D" w:rsidRDefault="008442D9" w:rsidP="008442D9">
      <w:pPr>
        <w:jc w:val="both"/>
        <w:rPr>
          <w:rFonts w:ascii="Arial" w:hAnsi="Arial" w:cs="Arial"/>
          <w:lang w:val="en-US"/>
        </w:rPr>
      </w:pPr>
      <w:r w:rsidRPr="00F518D3">
        <w:rPr>
          <w:rFonts w:ascii="Arial" w:hAnsi="Arial" w:cs="Arial"/>
          <w:lang w:val="en-US"/>
        </w:rPr>
        <w:lastRenderedPageBreak/>
        <w:t xml:space="preserve">Finally, it should be emphasized that the electricity and natural gas sector is also a highly regulated sector. Undertaking and carrying out the operations in this sector in Poland requires, as a principle, obtaining a license (besides few exceptions justified, in particular, by a small scale of the operations conducted). Such operations are conducted in compliance with the requirements stemming from the legal regulations applicable to the sector (see the new Winter Package) and are supervised by an independent regulator (in Poland – the President of the Energy Regulatory Office), equipped with the power to interfere with the operations of the given entity in case it is in breach of legal regulations or license conditions (through administrative monetary penalties or even by revoking the license). The protection against manipulation or manipulation attempts on the wholesale market and against the use of inside information, and also market transparency, including the reporting obligations, is already ensured by the EU’s REMIT regulation – Regulation of the European Parliament and of the Council (EU) no. 1227/2011 of October 25, 2011 on wholesale energy market integrity and transparency. Additionally, with respect to the required (sic!) operations on emission allowances – also traded by such entities in direct connection with their core operations – entities operating in the energy sector are forced to take (open) positions in financial </w:t>
      </w:r>
      <w:r w:rsidRPr="0032543D">
        <w:rPr>
          <w:rFonts w:ascii="Arial" w:hAnsi="Arial" w:cs="Arial"/>
          <w:lang w:val="en-US"/>
        </w:rPr>
        <w:t>instruments and – in order to prove that their investment activities in this area are of ancillary nature – conduct annually the so-called ancillary activities tests in accordance with the Commission Delegated Regulation (EU) 2017/592 of December 1, 2016, supplementing Directive 2014/65/EU of the European Parliament and of the Council with regard to regulatory technical standards for the criteria to establish when an activity is considered to be ancillary to the main business.</w:t>
      </w:r>
    </w:p>
    <w:p w14:paraId="4015B3C2" w14:textId="6AD04130" w:rsidR="008442D9" w:rsidRDefault="008442D9" w:rsidP="008442D9">
      <w:pPr>
        <w:jc w:val="both"/>
        <w:rPr>
          <w:rFonts w:ascii="Arial" w:hAnsi="Arial" w:cs="Arial"/>
          <w:lang w:val="en-US"/>
        </w:rPr>
      </w:pPr>
      <w:r w:rsidRPr="0032543D">
        <w:rPr>
          <w:rFonts w:ascii="Arial" w:hAnsi="Arial" w:cs="Arial"/>
          <w:lang w:val="en-US"/>
        </w:rPr>
        <w:t>Deleting the C6 Remit carve-out in section C6 of Annex no. 1 to the MIFID II Directive would lead to a number of below listed negative and harmful consequences, not only for the market participants themselves, but also for the national and the European Union’s energy security and the interests of the final consumers of electricity and natural gas. Such consequences shall include in particular:</w:t>
      </w:r>
    </w:p>
    <w:p w14:paraId="5261C9C5" w14:textId="77777777" w:rsidR="00D85727" w:rsidRPr="0032543D" w:rsidRDefault="00D85727" w:rsidP="008442D9">
      <w:pPr>
        <w:jc w:val="both"/>
        <w:rPr>
          <w:rFonts w:ascii="Arial" w:hAnsi="Arial" w:cs="Arial"/>
          <w:lang w:val="en-US"/>
        </w:rPr>
      </w:pPr>
    </w:p>
    <w:p w14:paraId="1B9DFF4F" w14:textId="77777777" w:rsidR="008442D9" w:rsidRPr="0032543D" w:rsidRDefault="008442D9" w:rsidP="008442D9">
      <w:pPr>
        <w:numPr>
          <w:ilvl w:val="0"/>
          <w:numId w:val="20"/>
        </w:numPr>
        <w:ind w:left="284" w:hanging="284"/>
        <w:jc w:val="both"/>
        <w:rPr>
          <w:rFonts w:ascii="Arial" w:hAnsi="Arial" w:cs="Arial"/>
          <w:lang w:val="en-US"/>
        </w:rPr>
      </w:pPr>
      <w:r w:rsidRPr="0032543D">
        <w:rPr>
          <w:rFonts w:ascii="Arial" w:hAnsi="Arial" w:cs="Arial"/>
          <w:b/>
          <w:lang w:val="en-US"/>
        </w:rPr>
        <w:t>threat to the national and the European Union’s energy security in connection with setting position limits for the physically settled derivative contracts related to electricity and natural gas and an increase of the cost of concluding and settling such contracts:</w:t>
      </w:r>
    </w:p>
    <w:p w14:paraId="17582769" w14:textId="77777777" w:rsidR="008442D9" w:rsidRPr="0032543D" w:rsidRDefault="008442D9" w:rsidP="008442D9">
      <w:pPr>
        <w:ind w:left="284"/>
        <w:jc w:val="both"/>
        <w:rPr>
          <w:rFonts w:ascii="Arial" w:hAnsi="Arial" w:cs="Arial"/>
          <w:bCs/>
          <w:lang w:val="en-US"/>
        </w:rPr>
      </w:pPr>
      <w:r w:rsidRPr="0032543D">
        <w:rPr>
          <w:rFonts w:ascii="Arial" w:hAnsi="Arial" w:cs="Arial"/>
          <w:bCs/>
          <w:lang w:val="en-US"/>
        </w:rPr>
        <w:t xml:space="preserve">One of the goals of Directive (EU) 2019/944 of the European Parliament and of the Council of June 5, 2019, on common rules for the internal market for electricity and amending Directive 2012/27/EU is to ”create truly integrated competitive, consumer-centered, flexible, fair and transparent electricity markets in the Union”, while maintaining a ”high degree of security of supply” and ”open access to the integrated market” (art. 1). For this </w:t>
      </w:r>
      <w:proofErr w:type="gramStart"/>
      <w:r w:rsidRPr="0032543D">
        <w:rPr>
          <w:rFonts w:ascii="Arial" w:hAnsi="Arial" w:cs="Arial"/>
          <w:bCs/>
          <w:lang w:val="en-US"/>
        </w:rPr>
        <w:t>purpose ”Member</w:t>
      </w:r>
      <w:proofErr w:type="gramEnd"/>
      <w:r w:rsidRPr="0032543D">
        <w:rPr>
          <w:rFonts w:ascii="Arial" w:hAnsi="Arial" w:cs="Arial"/>
          <w:bCs/>
          <w:lang w:val="en-US"/>
        </w:rPr>
        <w:t xml:space="preserve"> States shall ensure that </w:t>
      </w:r>
      <w:r w:rsidRPr="0032543D">
        <w:rPr>
          <w:rFonts w:ascii="Arial" w:hAnsi="Arial" w:cs="Arial"/>
          <w:b/>
          <w:bCs/>
          <w:lang w:val="en-US"/>
        </w:rPr>
        <w:t>no undue barriers exist within the internal market for electricity as regards market entry, operation and exit</w:t>
      </w:r>
      <w:r w:rsidRPr="0032543D">
        <w:rPr>
          <w:rFonts w:ascii="Arial" w:hAnsi="Arial" w:cs="Arial"/>
          <w:bCs/>
          <w:lang w:val="en-US"/>
        </w:rPr>
        <w:t>, without prejudice to the competence that Member States retain in relation to third countries (art. 3, clause 3 of the directive). Also Regulation (EU) 2017/1938 of the European Parliament and of the Council of October 25, 2017, concerning measures to safeguard the security of gas supply and repealing Regulation (EU) No. 994/2010</w:t>
      </w:r>
      <w:r w:rsidRPr="0032543D">
        <w:rPr>
          <w:rFonts w:ascii="Arial" w:hAnsi="Arial" w:cs="Arial"/>
          <w:lang w:val="en-US"/>
        </w:rPr>
        <w:t xml:space="preserve"> aims to ensure that all the necessary measures are taken to safeguard an uninterrupted supply of gas throughout the Union, in particular to protected customers in the event of difficult climatic conditions or disruptions of the gas supply. As part of such measures </w:t>
      </w:r>
      <w:proofErr w:type="gramStart"/>
      <w:r w:rsidRPr="0032543D">
        <w:rPr>
          <w:rFonts w:ascii="Arial" w:hAnsi="Arial" w:cs="Arial"/>
          <w:lang w:val="en-US"/>
        </w:rPr>
        <w:t>market based</w:t>
      </w:r>
      <w:proofErr w:type="gramEnd"/>
      <w:r w:rsidRPr="0032543D">
        <w:rPr>
          <w:rFonts w:ascii="Arial" w:hAnsi="Arial" w:cs="Arial"/>
          <w:lang w:val="en-US"/>
        </w:rPr>
        <w:t xml:space="preserve"> solutions are applied first, among others, an increase of sales and supplies (an increase of the production, </w:t>
      </w:r>
      <w:r w:rsidRPr="0032543D">
        <w:rPr>
          <w:rFonts w:ascii="Arial" w:hAnsi="Arial" w:cs="Arial"/>
          <w:lang w:val="en-US"/>
        </w:rPr>
        <w:lastRenderedPageBreak/>
        <w:t>external supplies, supplies from the gas storage facilities). In case gas supplies are disrupted the entities operating on the market should be ensured sufficient ability to respond to the situation via market measures. Predictability of measures undertaken in case of an extraordinary situation occurring shall be ensured, providing all market participants with sufficient ability to respond and prepare themselves for such circumstances. Member states, and in particular the applicable authorities, ensure that no measures are introduced that would at any time restrict gas flow on the internal market without merit. The inclusion of physically settled wholesale energy pr</w:t>
      </w:r>
      <w:r>
        <w:rPr>
          <w:rFonts w:ascii="Arial" w:hAnsi="Arial" w:cs="Arial"/>
          <w:lang w:val="en-US"/>
        </w:rPr>
        <w:t>oducts, that are traded on OTFs,</w:t>
      </w:r>
      <w:r w:rsidRPr="0032543D">
        <w:rPr>
          <w:rFonts w:ascii="Arial" w:hAnsi="Arial" w:cs="Arial"/>
          <w:lang w:val="en-US"/>
        </w:rPr>
        <w:t xml:space="preserve"> in the definition (scope) of financial instruments and, as a consequence of that, setting of position limits for such products, is not only in conflict with the above mentioned regulation, but, first and foremost, poses a threat to the national and the European Union’s energy security. Additionally, an increase of the costs related to concluding and settling transactions related to physically settled wholesale energy products will lead to the decline of interest among market participants in concluding such transactions, which will result in the real threat to the energy security and the certainty of supplies of electricity or natural gas. </w:t>
      </w:r>
    </w:p>
    <w:p w14:paraId="2BEC92FB" w14:textId="77777777" w:rsidR="008442D9" w:rsidRPr="00F518D3" w:rsidRDefault="008442D9" w:rsidP="008442D9">
      <w:pPr>
        <w:numPr>
          <w:ilvl w:val="0"/>
          <w:numId w:val="20"/>
        </w:numPr>
        <w:ind w:left="284" w:hanging="284"/>
        <w:jc w:val="both"/>
        <w:rPr>
          <w:rFonts w:ascii="Arial" w:hAnsi="Arial" w:cs="Arial"/>
          <w:lang w:val="en-US"/>
        </w:rPr>
      </w:pPr>
      <w:r w:rsidRPr="0032543D">
        <w:rPr>
          <w:rFonts w:ascii="Arial" w:hAnsi="Arial" w:cs="Arial"/>
          <w:b/>
          <w:lang w:val="en-US"/>
        </w:rPr>
        <w:t xml:space="preserve">increase of the costs of functioning of utilities and the withdrawal, related thereto, of the market participants from concluding transactions on organized platforms in favor of bilateral contracts concluded on the OTC market, which does </w:t>
      </w:r>
      <w:r w:rsidRPr="00F518D3">
        <w:rPr>
          <w:rFonts w:ascii="Arial" w:hAnsi="Arial" w:cs="Arial"/>
          <w:b/>
          <w:lang w:val="en-US"/>
        </w:rPr>
        <w:t xml:space="preserve">not support transparency of transactions and </w:t>
      </w:r>
      <w:proofErr w:type="gramStart"/>
      <w:r w:rsidRPr="00F518D3">
        <w:rPr>
          <w:rFonts w:ascii="Arial" w:hAnsi="Arial" w:cs="Arial"/>
          <w:b/>
          <w:lang w:val="en-US"/>
        </w:rPr>
        <w:t>market based</w:t>
      </w:r>
      <w:proofErr w:type="gramEnd"/>
      <w:r w:rsidRPr="00F518D3">
        <w:rPr>
          <w:rFonts w:ascii="Arial" w:hAnsi="Arial" w:cs="Arial"/>
          <w:b/>
          <w:lang w:val="en-US"/>
        </w:rPr>
        <w:t xml:space="preserve"> pricing:</w:t>
      </w:r>
      <w:r w:rsidRPr="00F518D3">
        <w:rPr>
          <w:rFonts w:ascii="Arial" w:hAnsi="Arial" w:cs="Arial"/>
          <w:lang w:val="en-US"/>
        </w:rPr>
        <w:t xml:space="preserve"> </w:t>
      </w:r>
    </w:p>
    <w:p w14:paraId="2DCF64A0" w14:textId="77777777" w:rsidR="008442D9" w:rsidRPr="0032543D" w:rsidRDefault="008442D9" w:rsidP="008442D9">
      <w:pPr>
        <w:ind w:left="284"/>
        <w:jc w:val="both"/>
        <w:rPr>
          <w:rFonts w:ascii="Arial" w:hAnsi="Arial" w:cs="Arial"/>
          <w:lang w:val="en-US"/>
        </w:rPr>
      </w:pPr>
      <w:r w:rsidRPr="00F518D3">
        <w:rPr>
          <w:rFonts w:ascii="Arial" w:hAnsi="Arial" w:cs="Arial"/>
          <w:lang w:val="en-US"/>
        </w:rPr>
        <w:t xml:space="preserve">An increase of the costs of functioning of utilities, in case contracts subject to the C6 REMIT carve-out are included in the definition (scope) of financial instruments, will be related, in particular, to the costs of handling the hedging of open financial positions, and also the organizational changes required to be implemented, regarding IT, as well as accounting and reporting. The above will lead to an outflow of entities from organized trading platforms in favor of bilateral contracts concluded on the OTC market or it will force utilities to use investment companies as intermediaries in order to ensure access to the products that are core for their operations, which will </w:t>
      </w:r>
      <w:r w:rsidRPr="00F518D3">
        <w:rPr>
          <w:rFonts w:ascii="Arial" w:hAnsi="Arial" w:cs="Arial"/>
          <w:i/>
          <w:lang w:val="en-US"/>
        </w:rPr>
        <w:t>de facto</w:t>
      </w:r>
      <w:r w:rsidRPr="00F518D3">
        <w:rPr>
          <w:rFonts w:ascii="Arial" w:hAnsi="Arial" w:cs="Arial"/>
          <w:lang w:val="en-US"/>
        </w:rPr>
        <w:t xml:space="preserve"> represent a step back in the process of developing a transparent, open and competitive </w:t>
      </w:r>
      <w:r w:rsidRPr="0032543D">
        <w:rPr>
          <w:rFonts w:ascii="Arial" w:hAnsi="Arial" w:cs="Arial"/>
          <w:lang w:val="en-US"/>
        </w:rPr>
        <w:t>energy market</w:t>
      </w:r>
      <w:r>
        <w:rPr>
          <w:rFonts w:ascii="Arial" w:hAnsi="Arial" w:cs="Arial"/>
          <w:lang w:val="en-US"/>
        </w:rPr>
        <w:t xml:space="preserve">. </w:t>
      </w:r>
    </w:p>
    <w:p w14:paraId="085425DF" w14:textId="77777777" w:rsidR="008442D9" w:rsidRPr="00FA1D05" w:rsidRDefault="008442D9" w:rsidP="008442D9">
      <w:pPr>
        <w:numPr>
          <w:ilvl w:val="0"/>
          <w:numId w:val="20"/>
        </w:numPr>
        <w:ind w:left="284" w:hanging="284"/>
        <w:jc w:val="both"/>
        <w:rPr>
          <w:rFonts w:ascii="Arial" w:hAnsi="Arial" w:cs="Arial"/>
          <w:lang w:val="en-US"/>
        </w:rPr>
      </w:pPr>
      <w:r w:rsidRPr="0032543D">
        <w:rPr>
          <w:rFonts w:ascii="Arial" w:hAnsi="Arial" w:cs="Arial"/>
          <w:b/>
          <w:lang w:val="en-US"/>
        </w:rPr>
        <w:t xml:space="preserve">increase of electricity prices for the final consumers </w:t>
      </w:r>
      <w:r w:rsidRPr="0032543D">
        <w:rPr>
          <w:rFonts w:ascii="Arial" w:hAnsi="Arial" w:cs="Arial"/>
          <w:lang w:val="en-US"/>
        </w:rPr>
        <w:t>caused by the passing on, of the increased costs of the functioning of the enterprises mentioned in section 2 above, to final consumers, and in view of the continued process of administrative price approvals for the household segment – a further outflow of utilities from this sector and the restriction of competition on the retail market, to the detriment of the final consumers,</w:t>
      </w:r>
    </w:p>
    <w:p w14:paraId="1F3D8407" w14:textId="77777777" w:rsidR="008442D9" w:rsidRPr="00FA1D05" w:rsidRDefault="008442D9" w:rsidP="008442D9">
      <w:pPr>
        <w:numPr>
          <w:ilvl w:val="0"/>
          <w:numId w:val="20"/>
        </w:numPr>
        <w:ind w:left="284" w:hanging="284"/>
        <w:jc w:val="both"/>
        <w:rPr>
          <w:rFonts w:ascii="Arial" w:hAnsi="Arial" w:cs="Arial"/>
          <w:lang w:val="en-US"/>
        </w:rPr>
      </w:pPr>
      <w:r w:rsidRPr="0032543D">
        <w:rPr>
          <w:rFonts w:ascii="Arial" w:hAnsi="Arial" w:cs="Arial"/>
          <w:b/>
          <w:lang w:val="en-US"/>
        </w:rPr>
        <w:t>negative impact on competitiveness</w:t>
      </w:r>
      <w:r w:rsidRPr="0032543D">
        <w:rPr>
          <w:rFonts w:ascii="Arial" w:hAnsi="Arial" w:cs="Arial"/>
          <w:lang w:val="en-US"/>
        </w:rPr>
        <w:t xml:space="preserve"> related to the outflow of small businesses from organized trading platforms in connection with an increase of the costs of their functioning, mentioned in section 2 above,</w:t>
      </w:r>
    </w:p>
    <w:p w14:paraId="15FEB3DF" w14:textId="77777777" w:rsidR="008442D9" w:rsidRPr="00FA1D05" w:rsidRDefault="008442D9" w:rsidP="008442D9">
      <w:pPr>
        <w:numPr>
          <w:ilvl w:val="0"/>
          <w:numId w:val="20"/>
        </w:numPr>
        <w:ind w:left="284" w:hanging="284"/>
        <w:jc w:val="both"/>
        <w:rPr>
          <w:rFonts w:ascii="Arial" w:hAnsi="Arial" w:cs="Arial"/>
          <w:lang w:val="en-US"/>
        </w:rPr>
      </w:pPr>
      <w:r w:rsidRPr="0032543D">
        <w:rPr>
          <w:rFonts w:ascii="Arial" w:hAnsi="Arial" w:cs="Arial"/>
          <w:b/>
          <w:lang w:val="en-US"/>
        </w:rPr>
        <w:t>transfer of the supervision (oversight) function from the specialized regulator (ACER) to the regulator that does not cover all of the energy market issues that are interrelated to one another</w:t>
      </w:r>
      <w:r w:rsidRPr="0032543D">
        <w:rPr>
          <w:rFonts w:ascii="Arial" w:hAnsi="Arial" w:cs="Arial"/>
          <w:lang w:val="en-US"/>
        </w:rPr>
        <w:t xml:space="preserve">, which may result in negative consequences with regard to the supervision (oversight) conducted, in particular lead to a decline of its effectiveness and thus threaten the achievement of the EU targets, especially with regard to ensuring a ”high degree of security of supply of electricity and gas throughout the </w:t>
      </w:r>
      <w:r w:rsidRPr="0032543D">
        <w:rPr>
          <w:rFonts w:ascii="Arial" w:hAnsi="Arial" w:cs="Arial"/>
          <w:bCs/>
          <w:lang w:val="en-US"/>
        </w:rPr>
        <w:t>European Union”,</w:t>
      </w:r>
    </w:p>
    <w:p w14:paraId="674735BF" w14:textId="77777777" w:rsidR="008442D9" w:rsidRPr="00FA1D05" w:rsidRDefault="008442D9" w:rsidP="008442D9">
      <w:pPr>
        <w:numPr>
          <w:ilvl w:val="0"/>
          <w:numId w:val="20"/>
        </w:numPr>
        <w:ind w:left="284" w:hanging="284"/>
        <w:jc w:val="both"/>
        <w:rPr>
          <w:rFonts w:ascii="Arial" w:hAnsi="Arial" w:cs="Arial"/>
          <w:b/>
          <w:lang w:val="en-US"/>
        </w:rPr>
      </w:pPr>
      <w:r w:rsidRPr="0032543D">
        <w:rPr>
          <w:rFonts w:ascii="Arial" w:hAnsi="Arial" w:cs="Arial"/>
          <w:b/>
          <w:lang w:val="en-US"/>
        </w:rPr>
        <w:t>increase of the systemic risk in the financial sector:</w:t>
      </w:r>
    </w:p>
    <w:p w14:paraId="31E5C205" w14:textId="77777777" w:rsidR="008442D9" w:rsidRPr="0032543D" w:rsidRDefault="008442D9" w:rsidP="008442D9">
      <w:pPr>
        <w:ind w:left="284"/>
        <w:jc w:val="both"/>
        <w:rPr>
          <w:rFonts w:ascii="Arial" w:hAnsi="Arial" w:cs="Arial"/>
          <w:b/>
          <w:lang w:val="en-US"/>
        </w:rPr>
      </w:pPr>
      <w:r w:rsidRPr="0032543D">
        <w:rPr>
          <w:rFonts w:ascii="Arial" w:hAnsi="Arial" w:cs="Arial"/>
          <w:lang w:val="en-US"/>
        </w:rPr>
        <w:lastRenderedPageBreak/>
        <w:t xml:space="preserve">In case of the regulated markets – a clearing obligation, in accordance with art. 29 of </w:t>
      </w:r>
      <w:proofErr w:type="spellStart"/>
      <w:r w:rsidRPr="0032543D">
        <w:rPr>
          <w:rFonts w:ascii="Arial" w:hAnsi="Arial" w:cs="Arial"/>
          <w:lang w:val="en-US"/>
        </w:rPr>
        <w:t>MiFIR</w:t>
      </w:r>
      <w:proofErr w:type="spellEnd"/>
      <w:r w:rsidRPr="0032543D">
        <w:rPr>
          <w:rFonts w:ascii="Arial" w:hAnsi="Arial" w:cs="Arial"/>
          <w:lang w:val="en-US"/>
        </w:rPr>
        <w:t>, by a CCP, would lead to a further increase of the transaction costs, but also, as a result of a forcefully imposed two stage intermediary role of financial institutions (that are not interested in products with an obligatory physical settlement), to deeming another material area of real economy to be a financial market. Taking into account the way financial institutions are operating (using leverage for speculative purposes), this could also lead to an increase of the systemic risk in the financial sector.</w:t>
      </w:r>
    </w:p>
    <w:p w14:paraId="5651074B" w14:textId="77777777" w:rsidR="008442D9" w:rsidRPr="00FA1D05" w:rsidRDefault="008442D9" w:rsidP="008442D9">
      <w:pPr>
        <w:numPr>
          <w:ilvl w:val="0"/>
          <w:numId w:val="20"/>
        </w:numPr>
        <w:ind w:left="284" w:hanging="284"/>
        <w:jc w:val="both"/>
        <w:rPr>
          <w:rFonts w:ascii="Arial" w:hAnsi="Arial" w:cs="Arial"/>
          <w:lang w:val="en-US"/>
        </w:rPr>
      </w:pPr>
      <w:r>
        <w:rPr>
          <w:rFonts w:ascii="Arial" w:hAnsi="Arial" w:cs="Arial"/>
          <w:b/>
          <w:lang w:val="en-US"/>
        </w:rPr>
        <w:t>c</w:t>
      </w:r>
      <w:r w:rsidRPr="0032543D">
        <w:rPr>
          <w:rFonts w:ascii="Arial" w:hAnsi="Arial" w:cs="Arial"/>
          <w:b/>
          <w:lang w:val="en-US"/>
        </w:rPr>
        <w:t>onflict with</w:t>
      </w:r>
      <w:r>
        <w:rPr>
          <w:rFonts w:ascii="Arial" w:hAnsi="Arial" w:cs="Arial"/>
          <w:b/>
          <w:lang w:val="en-US"/>
        </w:rPr>
        <w:t xml:space="preserve"> the national legal regulations:</w:t>
      </w:r>
    </w:p>
    <w:p w14:paraId="7D919B0A" w14:textId="4F6CA1DA" w:rsidR="008442D9" w:rsidRDefault="008442D9" w:rsidP="008442D9">
      <w:pPr>
        <w:ind w:left="284"/>
        <w:jc w:val="both"/>
        <w:rPr>
          <w:rFonts w:ascii="Arial" w:hAnsi="Arial" w:cs="Arial"/>
          <w:lang w:val="en-US"/>
        </w:rPr>
      </w:pPr>
      <w:r w:rsidRPr="0032543D">
        <w:rPr>
          <w:rFonts w:ascii="Arial" w:hAnsi="Arial" w:cs="Arial"/>
          <w:lang w:val="en-US"/>
        </w:rPr>
        <w:t xml:space="preserve">The Polish act of April 10, 1997 – Energy Law imposes on utilities that bring electricity or natural gas into the national power system an obligation to sell it as part of the so-called exchange obligation (art. 49a and 49b). The inclusion of the wholesale energy products, that are traded on an OTF and must be physically settled, in the definition of financial instruments and, as a consequence, setting of position limits for such products, would, as a result, lead to a situation where the achievement of compliance with the above mentioned obligations would be put in jeopardy. </w:t>
      </w:r>
    </w:p>
    <w:p w14:paraId="158A0436" w14:textId="77777777" w:rsidR="00D85727" w:rsidRPr="0032543D" w:rsidRDefault="00D85727" w:rsidP="008442D9">
      <w:pPr>
        <w:ind w:left="284"/>
        <w:jc w:val="both"/>
        <w:rPr>
          <w:rFonts w:ascii="Arial" w:hAnsi="Arial" w:cs="Arial"/>
          <w:lang w:val="en-US"/>
        </w:rPr>
      </w:pPr>
    </w:p>
    <w:p w14:paraId="55F5C3D2" w14:textId="77777777" w:rsidR="008442D9" w:rsidRPr="00F518D3" w:rsidRDefault="008442D9" w:rsidP="008442D9">
      <w:pPr>
        <w:jc w:val="both"/>
        <w:rPr>
          <w:rFonts w:ascii="Arial" w:hAnsi="Arial" w:cs="Arial"/>
          <w:lang w:val="en-US"/>
        </w:rPr>
      </w:pPr>
      <w:r w:rsidRPr="00FA1D05">
        <w:rPr>
          <w:rFonts w:ascii="Arial" w:hAnsi="Arial" w:cs="Arial"/>
          <w:lang w:val="en-US"/>
        </w:rPr>
        <w:t>Irrespective of the above it should be emphasized that ESMA’s concerns regarding an unlevel playing field across trading platforms (venues) are exaggerated in a situation where operators of regulated markets and MTFs are able to operate OTFs. Therefore, the only form of a relatively rational equaling of the treatment of instruments is an exclusion from the definition of financial in</w:t>
      </w:r>
      <w:r w:rsidRPr="00F518D3">
        <w:rPr>
          <w:rFonts w:ascii="Arial" w:hAnsi="Arial" w:cs="Arial"/>
          <w:lang w:val="en-US"/>
        </w:rPr>
        <w:t xml:space="preserve">struments of all physically settled wholesale energy products, irrespective of the trading platform they are concluded on. It is important that physically settled derivative contracts on electricity or natural gas, traded by the utilities, are not used for speculative purposes, while the intention and history behind the entry into force of the MIFID II Directive was the wish to place speculative instruments under special supervision (oversight) in order to prevent creating complex financial products. </w:t>
      </w:r>
    </w:p>
    <w:p w14:paraId="50662C6D" w14:textId="2B2A0F26" w:rsidR="008442D9" w:rsidRDefault="008442D9" w:rsidP="008442D9">
      <w:pPr>
        <w:jc w:val="both"/>
        <w:rPr>
          <w:rFonts w:ascii="Arial" w:hAnsi="Arial" w:cs="Arial"/>
          <w:lang w:val="en-US"/>
        </w:rPr>
      </w:pPr>
      <w:r w:rsidRPr="00F518D3">
        <w:rPr>
          <w:rFonts w:ascii="Arial" w:hAnsi="Arial" w:cs="Arial"/>
          <w:lang w:val="en-US"/>
        </w:rPr>
        <w:t>In connection with the above, in the opinion of T</w:t>
      </w:r>
      <w:r w:rsidR="00CB338A">
        <w:rPr>
          <w:rFonts w:ascii="Arial" w:hAnsi="Arial" w:cs="Arial"/>
          <w:lang w:val="en-US"/>
        </w:rPr>
        <w:t>GPE</w:t>
      </w:r>
      <w:r w:rsidRPr="00F518D3">
        <w:rPr>
          <w:rFonts w:ascii="Arial" w:hAnsi="Arial" w:cs="Arial"/>
          <w:lang w:val="en-US"/>
        </w:rPr>
        <w:t xml:space="preserve"> a correct (and purposeful) revision of the exception indicated in section </w:t>
      </w:r>
      <w:proofErr w:type="gramStart"/>
      <w:r w:rsidRPr="00F518D3">
        <w:rPr>
          <w:rFonts w:ascii="Arial" w:hAnsi="Arial" w:cs="Arial"/>
          <w:lang w:val="en-US"/>
        </w:rPr>
        <w:t>C(</w:t>
      </w:r>
      <w:proofErr w:type="gramEnd"/>
      <w:r w:rsidRPr="00F518D3">
        <w:rPr>
          <w:rFonts w:ascii="Arial" w:hAnsi="Arial" w:cs="Arial"/>
          <w:lang w:val="en-US"/>
        </w:rPr>
        <w:t xml:space="preserve">6) of Annex no 1. of MIFID II (provided that ESMA deems it necessary at all) should go towards </w:t>
      </w:r>
      <w:r w:rsidRPr="00F518D3">
        <w:rPr>
          <w:rFonts w:ascii="Arial" w:hAnsi="Arial" w:cs="Arial"/>
          <w:b/>
          <w:lang w:val="en-US"/>
        </w:rPr>
        <w:t>extending its scope to include all the contracts subject to REMIT, irrespective of the venue they are traded at.</w:t>
      </w:r>
      <w:r w:rsidRPr="00F518D3">
        <w:rPr>
          <w:rFonts w:ascii="Arial" w:hAnsi="Arial" w:cs="Arial"/>
          <w:lang w:val="en-US"/>
        </w:rPr>
        <w:t xml:space="preserve"> T</w:t>
      </w:r>
      <w:r w:rsidR="00CB338A">
        <w:rPr>
          <w:rFonts w:ascii="Arial" w:hAnsi="Arial" w:cs="Arial"/>
          <w:lang w:val="en-US"/>
        </w:rPr>
        <w:t>GPE</w:t>
      </w:r>
      <w:r w:rsidRPr="00F518D3">
        <w:rPr>
          <w:rFonts w:ascii="Arial" w:hAnsi="Arial" w:cs="Arial"/>
          <w:lang w:val="en-US"/>
        </w:rPr>
        <w:t xml:space="preserve"> also requests that the definition of ”not being for commercial purposes” should be reconsidered so that it would also include commercial (trading) operations of entities whose core operations involve generation or extraction or trading in electricity and natural gas, </w:t>
      </w:r>
      <w:r w:rsidRPr="006359AA">
        <w:rPr>
          <w:rFonts w:ascii="Arial" w:hAnsi="Arial" w:cs="Arial"/>
          <w:lang w:val="en-US"/>
        </w:rPr>
        <w:t>in particular carried out in the form of hedging contracts for the above mentioned products, contracts used to achieve compliance with the statutory obligation to sell such products on liquid markets in order to protect or increase competition on the market or contracts aimed at ensuring and maintaining such market liquidity.</w:t>
      </w:r>
    </w:p>
    <w:p w14:paraId="0793E2B3" w14:textId="77777777" w:rsidR="00D85727" w:rsidRPr="006359AA" w:rsidRDefault="00D85727" w:rsidP="008442D9">
      <w:pPr>
        <w:jc w:val="both"/>
        <w:rPr>
          <w:rFonts w:ascii="Arial" w:hAnsi="Arial" w:cs="Arial"/>
          <w:lang w:val="en-US"/>
        </w:rPr>
      </w:pPr>
    </w:p>
    <w:p w14:paraId="7AC322F7" w14:textId="77777777" w:rsidR="008442D9" w:rsidRPr="006359AA" w:rsidRDefault="008442D9" w:rsidP="008442D9">
      <w:pPr>
        <w:jc w:val="both"/>
        <w:rPr>
          <w:rFonts w:ascii="Arial" w:hAnsi="Arial" w:cs="Arial"/>
          <w:b/>
          <w:u w:val="single"/>
          <w:lang w:val="en-US"/>
        </w:rPr>
      </w:pPr>
      <w:r w:rsidRPr="006359AA">
        <w:rPr>
          <w:rFonts w:ascii="Arial" w:hAnsi="Arial" w:cs="Arial"/>
          <w:b/>
          <w:u w:val="single"/>
          <w:lang w:val="en-US"/>
        </w:rPr>
        <w:t xml:space="preserve">In conclusion: </w:t>
      </w:r>
    </w:p>
    <w:p w14:paraId="2B2167FA" w14:textId="3004B21B" w:rsidR="008442D9" w:rsidRPr="006359AA" w:rsidRDefault="008442D9" w:rsidP="008442D9">
      <w:pPr>
        <w:numPr>
          <w:ilvl w:val="0"/>
          <w:numId w:val="24"/>
        </w:numPr>
        <w:jc w:val="both"/>
        <w:rPr>
          <w:rFonts w:ascii="Arial" w:hAnsi="Arial" w:cs="Arial"/>
          <w:lang w:val="en-US"/>
        </w:rPr>
      </w:pPr>
      <w:r>
        <w:rPr>
          <w:rFonts w:ascii="Arial" w:hAnsi="Arial" w:cs="Arial"/>
          <w:lang w:val="en-US"/>
        </w:rPr>
        <w:t>T</w:t>
      </w:r>
      <w:r w:rsidR="00CB338A">
        <w:rPr>
          <w:rFonts w:ascii="Arial" w:hAnsi="Arial" w:cs="Arial"/>
          <w:lang w:val="en-US"/>
        </w:rPr>
        <w:t>GPE</w:t>
      </w:r>
      <w:r w:rsidRPr="006359AA">
        <w:rPr>
          <w:rFonts w:ascii="Arial" w:hAnsi="Arial" w:cs="Arial"/>
          <w:lang w:val="en-US"/>
        </w:rPr>
        <w:t xml:space="preserve"> </w:t>
      </w:r>
      <w:r w:rsidRPr="006359AA">
        <w:rPr>
          <w:rFonts w:ascii="Arial" w:hAnsi="Arial" w:cs="Arial"/>
          <w:b/>
          <w:lang w:val="en-US"/>
        </w:rPr>
        <w:t xml:space="preserve">supports keeping the Remit Carve-out exception </w:t>
      </w:r>
      <w:r w:rsidRPr="006359AA">
        <w:rPr>
          <w:rFonts w:ascii="Arial" w:hAnsi="Arial" w:cs="Arial"/>
          <w:b/>
          <w:u w:val="single"/>
          <w:lang w:val="en-US"/>
        </w:rPr>
        <w:t>unchanged</w:t>
      </w:r>
      <w:r w:rsidRPr="006359AA">
        <w:rPr>
          <w:rFonts w:ascii="Arial" w:hAnsi="Arial" w:cs="Arial"/>
          <w:b/>
          <w:lang w:val="en-US"/>
        </w:rPr>
        <w:t>,</w:t>
      </w:r>
      <w:r w:rsidRPr="006359AA">
        <w:rPr>
          <w:rFonts w:ascii="Arial" w:hAnsi="Arial" w:cs="Arial"/>
          <w:lang w:val="en-US"/>
        </w:rPr>
        <w:t xml:space="preserve"> in particular (for the reasons outlined above) it </w:t>
      </w:r>
      <w:r w:rsidRPr="006359AA">
        <w:rPr>
          <w:rFonts w:ascii="Arial" w:hAnsi="Arial" w:cs="Arial"/>
          <w:b/>
          <w:lang w:val="en-US"/>
        </w:rPr>
        <w:t xml:space="preserve">definitely </w:t>
      </w:r>
      <w:r w:rsidRPr="006359AA">
        <w:rPr>
          <w:rFonts w:ascii="Arial" w:hAnsi="Arial" w:cs="Arial"/>
          <w:b/>
          <w:u w:val="single"/>
          <w:lang w:val="en-US"/>
        </w:rPr>
        <w:t>objects to</w:t>
      </w:r>
      <w:r w:rsidRPr="006359AA">
        <w:rPr>
          <w:rFonts w:ascii="Arial" w:hAnsi="Arial" w:cs="Arial"/>
          <w:b/>
          <w:lang w:val="en-US"/>
        </w:rPr>
        <w:t xml:space="preserve"> extending of the definition of a financial</w:t>
      </w:r>
      <w:r w:rsidRPr="006359AA">
        <w:rPr>
          <w:rFonts w:ascii="Arial" w:hAnsi="Arial" w:cs="Arial"/>
          <w:lang w:val="en-US"/>
        </w:rPr>
        <w:t xml:space="preserve"> </w:t>
      </w:r>
      <w:r w:rsidRPr="006359AA">
        <w:rPr>
          <w:rFonts w:ascii="Arial" w:hAnsi="Arial" w:cs="Arial"/>
          <w:b/>
          <w:lang w:val="en-US"/>
        </w:rPr>
        <w:t>instrument</w:t>
      </w:r>
      <w:r w:rsidRPr="006359AA">
        <w:rPr>
          <w:rFonts w:ascii="Arial" w:hAnsi="Arial" w:cs="Arial"/>
          <w:lang w:val="en-US"/>
        </w:rPr>
        <w:t xml:space="preserve"> and having it include physically settled wholesale energy products traded on an OTF   </w:t>
      </w:r>
    </w:p>
    <w:p w14:paraId="51603306" w14:textId="78166D82" w:rsidR="00D5365A" w:rsidRPr="008442D9" w:rsidRDefault="008442D9" w:rsidP="0066700E">
      <w:pPr>
        <w:numPr>
          <w:ilvl w:val="0"/>
          <w:numId w:val="24"/>
        </w:numPr>
        <w:spacing w:line="320" w:lineRule="exact"/>
        <w:contextualSpacing/>
        <w:jc w:val="both"/>
        <w:rPr>
          <w:rFonts w:ascii="Arial" w:hAnsi="Arial"/>
          <w:sz w:val="20"/>
          <w:szCs w:val="20"/>
          <w:highlight w:val="yellow"/>
          <w:lang w:val="en-US" w:eastAsia="pl-PL"/>
        </w:rPr>
      </w:pPr>
      <w:r w:rsidRPr="001B32A5">
        <w:rPr>
          <w:rFonts w:ascii="Arial" w:hAnsi="Arial" w:cs="Arial"/>
          <w:lang w:val="en-US"/>
        </w:rPr>
        <w:t>in</w:t>
      </w:r>
      <w:r w:rsidRPr="008442D9">
        <w:rPr>
          <w:rFonts w:ascii="Arial" w:hAnsi="Arial" w:cs="Arial"/>
          <w:lang w:val="en-US"/>
        </w:rPr>
        <w:t xml:space="preserve"> the opinion of T</w:t>
      </w:r>
      <w:r w:rsidR="00CB338A">
        <w:rPr>
          <w:rFonts w:ascii="Arial" w:hAnsi="Arial" w:cs="Arial"/>
          <w:lang w:val="en-US"/>
        </w:rPr>
        <w:t>GPE</w:t>
      </w:r>
      <w:r w:rsidRPr="008442D9">
        <w:rPr>
          <w:rFonts w:ascii="Arial" w:hAnsi="Arial" w:cs="Arial"/>
          <w:lang w:val="en-US"/>
        </w:rPr>
        <w:t xml:space="preserve">, in case </w:t>
      </w:r>
      <w:r w:rsidRPr="008442D9">
        <w:rPr>
          <w:rFonts w:ascii="Arial" w:hAnsi="Arial" w:cs="Arial"/>
          <w:b/>
          <w:lang w:val="en-US"/>
        </w:rPr>
        <w:t xml:space="preserve">ESMA decides that a revision of the Remit Carve-out is justified, such a revision should be aimed at </w:t>
      </w:r>
      <w:r w:rsidRPr="008442D9">
        <w:rPr>
          <w:rFonts w:ascii="Arial" w:hAnsi="Arial" w:cs="Arial"/>
          <w:b/>
          <w:u w:val="single"/>
          <w:lang w:val="en-US"/>
        </w:rPr>
        <w:t>excluding</w:t>
      </w:r>
      <w:r w:rsidRPr="008442D9">
        <w:rPr>
          <w:rFonts w:ascii="Arial" w:hAnsi="Arial" w:cs="Arial"/>
          <w:b/>
          <w:lang w:val="en-US"/>
        </w:rPr>
        <w:t xml:space="preserve"> from the definition of </w:t>
      </w:r>
      <w:bookmarkStart w:id="1" w:name="_GoBack"/>
      <w:bookmarkEnd w:id="1"/>
      <w:r w:rsidRPr="008442D9">
        <w:rPr>
          <w:rFonts w:ascii="Arial" w:hAnsi="Arial" w:cs="Arial"/>
          <w:b/>
          <w:lang w:val="en-US"/>
        </w:rPr>
        <w:t xml:space="preserve">financial instruments of </w:t>
      </w:r>
      <w:r w:rsidRPr="008442D9">
        <w:rPr>
          <w:rFonts w:ascii="Arial" w:hAnsi="Arial" w:cs="Arial"/>
          <w:b/>
          <w:u w:val="single"/>
          <w:lang w:val="en-US"/>
        </w:rPr>
        <w:t xml:space="preserve">all physically settled wholesale </w:t>
      </w:r>
      <w:r w:rsidRPr="008442D9">
        <w:rPr>
          <w:rFonts w:ascii="Arial" w:hAnsi="Arial" w:cs="Arial"/>
          <w:b/>
          <w:u w:val="single"/>
          <w:lang w:val="en-US"/>
        </w:rPr>
        <w:lastRenderedPageBreak/>
        <w:t>energy products irrespective of the trading platform</w:t>
      </w:r>
      <w:r w:rsidRPr="008442D9">
        <w:rPr>
          <w:rFonts w:ascii="Arial" w:hAnsi="Arial" w:cs="Arial"/>
          <w:b/>
          <w:lang w:val="en-US"/>
        </w:rPr>
        <w:t xml:space="preserve"> they are concluded on. </w:t>
      </w:r>
      <w:r w:rsidRPr="008442D9">
        <w:rPr>
          <w:rFonts w:ascii="Arial" w:hAnsi="Arial" w:cs="Arial"/>
          <w:lang w:val="en-US"/>
        </w:rPr>
        <w:t>In this case such a revision could, in particular, involve extending the definition of ”not being for commercial purposes”, so that it should also include commercial (trading) operations of entities whose core operations involve generation or extraction or trading in electricity and natural gas, in particular carried out in the form of hedging contracts.</w:t>
      </w:r>
    </w:p>
    <w:permEnd w:id="311558394"/>
    <w:p w14:paraId="72923BA0" w14:textId="77777777" w:rsidR="00D5365A" w:rsidRDefault="00D5365A" w:rsidP="00D5365A">
      <w:pPr>
        <w:rPr>
          <w:rFonts w:ascii="Arial" w:hAnsi="Arial" w:cs="Arial"/>
        </w:rPr>
      </w:pPr>
      <w:r>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4C832058" w14:textId="77777777" w:rsidR="00D5365A" w:rsidRDefault="00D5365A" w:rsidP="00D5365A">
      <w:pPr>
        <w:rPr>
          <w:rFonts w:ascii="Arial" w:hAnsi="Arial" w:cs="Arial"/>
        </w:rPr>
      </w:pPr>
      <w:permStart w:id="1945511407" w:edGrp="everyone"/>
      <w:r>
        <w:rPr>
          <w:rFonts w:ascii="Arial" w:hAnsi="Arial" w:cs="Arial"/>
        </w:rPr>
        <w:t>TYPE YOUR TEXT HERE</w:t>
      </w:r>
    </w:p>
    <w:permEnd w:id="1945511407"/>
    <w:p w14:paraId="5D7CB126" w14:textId="77777777" w:rsidR="00D5365A" w:rsidRDefault="00D5365A" w:rsidP="00D5365A">
      <w:pPr>
        <w:rPr>
          <w:rFonts w:ascii="Arial" w:hAnsi="Arial" w:cs="Arial"/>
        </w:rPr>
      </w:pPr>
      <w:r>
        <w:rPr>
          <w:rFonts w:ascii="Arial" w:hAnsi="Arial" w:cs="Arial"/>
        </w:rPr>
        <w:t>&lt;ESMA_QUESTION_WPR_3&gt;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t>&lt;ESMA_QUESTION_WPR_4&gt;</w:t>
      </w:r>
    </w:p>
    <w:p w14:paraId="2E5FABDB" w14:textId="77777777" w:rsidR="00D5365A" w:rsidRDefault="00D5365A" w:rsidP="00D5365A">
      <w:pPr>
        <w:rPr>
          <w:rFonts w:ascii="Arial" w:hAnsi="Arial" w:cs="Arial"/>
        </w:rPr>
      </w:pPr>
      <w:permStart w:id="342492330" w:edGrp="everyone"/>
      <w:r>
        <w:rPr>
          <w:rFonts w:ascii="Arial" w:hAnsi="Arial" w:cs="Arial"/>
        </w:rPr>
        <w:t>TYPE YOUR TEXT HERE</w:t>
      </w: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57BA44B5" w14:textId="77777777" w:rsidR="00D5365A" w:rsidRDefault="00D5365A" w:rsidP="00D5365A">
      <w:pPr>
        <w:rPr>
          <w:rFonts w:ascii="Arial" w:hAnsi="Arial" w:cs="Arial"/>
        </w:rPr>
      </w:pPr>
      <w:permStart w:id="897407953" w:edGrp="everyone"/>
      <w:r>
        <w:rPr>
          <w:rFonts w:ascii="Arial" w:hAnsi="Arial" w:cs="Arial"/>
        </w:rPr>
        <w:t>TYPE YOUR TEXT HERE</w:t>
      </w:r>
    </w:p>
    <w:permEnd w:id="897407953"/>
    <w:p w14:paraId="1FEAC340" w14:textId="77777777" w:rsidR="00D5365A" w:rsidRDefault="00D5365A" w:rsidP="00D5365A">
      <w:pPr>
        <w:rPr>
          <w:rFonts w:ascii="Arial" w:hAnsi="Arial" w:cs="Arial"/>
        </w:rPr>
      </w:pPr>
      <w:r>
        <w:rPr>
          <w:rFonts w:ascii="Arial" w:hAnsi="Arial" w:cs="Arial"/>
        </w:rPr>
        <w:t>&lt;ESMA_QUESTION_WPR_5&gt;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5557516E" w14:textId="77777777" w:rsidR="00D5365A" w:rsidRDefault="00D5365A" w:rsidP="00D5365A">
      <w:pPr>
        <w:rPr>
          <w:rFonts w:ascii="Arial" w:hAnsi="Arial" w:cs="Arial"/>
        </w:rPr>
      </w:pPr>
      <w:permStart w:id="1821780740" w:edGrp="everyone"/>
      <w:r>
        <w:rPr>
          <w:rFonts w:ascii="Arial" w:hAnsi="Arial" w:cs="Arial"/>
        </w:rPr>
        <w:t>TYPE YOUR TEXT HERE</w:t>
      </w:r>
    </w:p>
    <w:permEnd w:id="1821780740"/>
    <w:p w14:paraId="11DBD2B0" w14:textId="77777777" w:rsidR="00D5365A" w:rsidRDefault="00D5365A" w:rsidP="00D5365A">
      <w:pPr>
        <w:rPr>
          <w:rFonts w:ascii="Arial" w:hAnsi="Arial" w:cs="Arial"/>
        </w:rPr>
      </w:pPr>
      <w:r>
        <w:rPr>
          <w:rFonts w:ascii="Arial" w:hAnsi="Arial" w:cs="Arial"/>
        </w:rPr>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15712D4B" w14:textId="77777777" w:rsidR="00D5365A" w:rsidRDefault="00D5365A" w:rsidP="00D5365A">
      <w:pPr>
        <w:rPr>
          <w:rFonts w:ascii="Arial" w:hAnsi="Arial" w:cs="Arial"/>
        </w:rPr>
      </w:pPr>
      <w:permStart w:id="602737691" w:edGrp="everyone"/>
      <w:r>
        <w:rPr>
          <w:rFonts w:ascii="Arial" w:hAnsi="Arial" w:cs="Arial"/>
        </w:rPr>
        <w:t>TYPE YOUR TEXT HERE</w:t>
      </w:r>
    </w:p>
    <w:permEnd w:id="602737691"/>
    <w:p w14:paraId="31E340F5" w14:textId="77777777"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t>&lt;ESMA_QUESTION_WPR_8&gt;</w:t>
      </w:r>
    </w:p>
    <w:p w14:paraId="31AA7F90" w14:textId="77777777" w:rsidR="00D5365A" w:rsidRDefault="00D5365A" w:rsidP="00D5365A">
      <w:pPr>
        <w:rPr>
          <w:rFonts w:ascii="Arial" w:hAnsi="Arial" w:cs="Arial"/>
        </w:rPr>
      </w:pPr>
      <w:permStart w:id="1586561396" w:edGrp="everyone"/>
      <w:r>
        <w:rPr>
          <w:rFonts w:ascii="Arial" w:hAnsi="Arial" w:cs="Arial"/>
        </w:rPr>
        <w:lastRenderedPageBreak/>
        <w:t>TYPE YOUR TEXT HERE</w:t>
      </w: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411DB863" w14:textId="77777777" w:rsidR="00D5365A" w:rsidRDefault="00D5365A" w:rsidP="00D5365A">
      <w:pPr>
        <w:rPr>
          <w:rFonts w:ascii="Arial" w:hAnsi="Arial" w:cs="Arial"/>
        </w:rPr>
      </w:pPr>
      <w:permStart w:id="1662860103" w:edGrp="everyone"/>
      <w:r>
        <w:rPr>
          <w:rFonts w:ascii="Arial" w:hAnsi="Arial" w:cs="Arial"/>
        </w:rPr>
        <w:t>TYPE YOUR TEXT HERE</w:t>
      </w:r>
    </w:p>
    <w:permEnd w:id="1662860103"/>
    <w:p w14:paraId="2C377513" w14:textId="77777777"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48FBBDA1" w14:textId="77777777" w:rsidR="00D5365A" w:rsidRDefault="00D5365A" w:rsidP="00D5365A">
      <w:pPr>
        <w:rPr>
          <w:rFonts w:ascii="Arial" w:hAnsi="Arial" w:cs="Arial"/>
        </w:rPr>
      </w:pPr>
      <w:permStart w:id="68034811" w:edGrp="everyone"/>
      <w:r>
        <w:rPr>
          <w:rFonts w:ascii="Arial" w:hAnsi="Arial" w:cs="Arial"/>
        </w:rPr>
        <w:t>TYPE YOUR TEXT HERE</w:t>
      </w:r>
    </w:p>
    <w:permEnd w:id="68034811"/>
    <w:p w14:paraId="7CA6A02D" w14:textId="77777777" w:rsidR="00D5365A" w:rsidRDefault="00D5365A" w:rsidP="00D5365A">
      <w:pPr>
        <w:rPr>
          <w:rFonts w:ascii="Arial" w:hAnsi="Arial" w:cs="Arial"/>
        </w:rPr>
      </w:pPr>
      <w:r>
        <w:rPr>
          <w:rFonts w:ascii="Arial" w:hAnsi="Arial" w:cs="Arial"/>
        </w:rPr>
        <w:t>&lt;ESMA_QUESTION_WPR_10&gt;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4E331CC7" w14:textId="77777777" w:rsidR="00D5365A" w:rsidRDefault="00D5365A" w:rsidP="00D5365A">
      <w:pPr>
        <w:rPr>
          <w:rFonts w:ascii="Arial" w:hAnsi="Arial" w:cs="Arial"/>
        </w:rPr>
      </w:pPr>
      <w:permStart w:id="281428305" w:edGrp="everyone"/>
      <w:r>
        <w:rPr>
          <w:rFonts w:ascii="Arial" w:hAnsi="Arial" w:cs="Arial"/>
        </w:rPr>
        <w:t>TYPE YOUR TEXT HERE</w:t>
      </w:r>
    </w:p>
    <w:permEnd w:id="281428305"/>
    <w:p w14:paraId="19E3DFC7" w14:textId="77777777" w:rsidR="00D5365A" w:rsidRDefault="00D5365A" w:rsidP="00D5365A">
      <w:pPr>
        <w:rPr>
          <w:rFonts w:ascii="Arial" w:hAnsi="Arial" w:cs="Arial"/>
        </w:rPr>
      </w:pPr>
      <w:r>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bookmarkEnd w:id="0"/>
    <w:p w14:paraId="289A1E31" w14:textId="022DBCBF" w:rsidR="00AB6157" w:rsidRDefault="00AB6157" w:rsidP="00C1698A">
      <w:pPr>
        <w:spacing w:line="276" w:lineRule="auto"/>
        <w:rPr>
          <w:rFonts w:asciiTheme="minorHAnsi" w:hAnsiTheme="minorHAnsi" w:cstheme="minorHAnsi"/>
          <w:b/>
          <w:sz w:val="28"/>
          <w:szCs w:val="28"/>
        </w:rPr>
      </w:pPr>
    </w:p>
    <w:sectPr w:rsidR="00AB6157"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2292C" w14:textId="77777777" w:rsidR="00662B5F" w:rsidRDefault="00662B5F" w:rsidP="007E7997">
      <w:r>
        <w:separator/>
      </w:r>
    </w:p>
  </w:endnote>
  <w:endnote w:type="continuationSeparator" w:id="0">
    <w:p w14:paraId="195A7B93" w14:textId="77777777" w:rsidR="00662B5F" w:rsidRDefault="00662B5F" w:rsidP="007E7997">
      <w:r>
        <w:continuationSeparator/>
      </w:r>
    </w:p>
  </w:endnote>
  <w:endnote w:type="continuationNotice" w:id="1">
    <w:p w14:paraId="1AA03320" w14:textId="77777777" w:rsidR="00662B5F" w:rsidRDefault="00662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Stopk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1D422D72" w:rsidR="00E36813" w:rsidRDefault="00E36813" w:rsidP="007A160F">
    <w:pPr>
      <w:pStyle w:val="Stopka"/>
    </w:pPr>
    <w:r>
      <w:rPr>
        <w:rFonts w:asciiTheme="majorHAnsi" w:hAnsiTheme="majorHAnsi"/>
        <w:color w:val="FFFFFF" w:themeColor="background1"/>
      </w:rPr>
      <w:tab/>
    </w:r>
    <w:r>
      <w:rPr>
        <w:rFonts w:asciiTheme="majorHAnsi" w:hAnsiTheme="majorHAnsi"/>
        <w:color w:val="FFFFFF" w:themeColor="background1"/>
      </w:rPr>
      <w:tab/>
    </w:r>
    <w:r w:rsidR="002C56FD">
      <w:rPr>
        <w:rFonts w:asciiTheme="majorHAnsi" w:hAnsiTheme="majorHAnsi"/>
        <w:color w:val="FFFFFF" w:themeColor="background1"/>
      </w:rPr>
      <w:t>5</w:t>
    </w:r>
    <w:r w:rsidR="00C81B36">
      <w:rPr>
        <w:rFonts w:asciiTheme="majorHAnsi" w:hAnsiTheme="majorHAnsi"/>
        <w:color w:val="FFFFFF" w:themeColor="background1"/>
      </w:rPr>
      <w:t xml:space="preserve"> November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Stopk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40B52" w14:textId="77777777" w:rsidR="00662B5F" w:rsidRDefault="00662B5F" w:rsidP="007E7997">
      <w:r>
        <w:separator/>
      </w:r>
    </w:p>
  </w:footnote>
  <w:footnote w:type="continuationSeparator" w:id="0">
    <w:p w14:paraId="72E55B9F" w14:textId="77777777" w:rsidR="00662B5F" w:rsidRDefault="00662B5F" w:rsidP="007E7997">
      <w:r>
        <w:continuationSeparator/>
      </w:r>
    </w:p>
  </w:footnote>
  <w:footnote w:type="continuationNotice" w:id="1">
    <w:p w14:paraId="5AC6B67A" w14:textId="77777777" w:rsidR="00662B5F" w:rsidRDefault="00662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Nagwek"/>
    </w:pPr>
  </w:p>
  <w:p w14:paraId="59FA3C9D" w14:textId="77777777" w:rsidR="00E36813" w:rsidRDefault="00E3681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Nagwek"/>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Nagwek"/>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238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Nagwek"/>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Nagwek"/>
      <w:jc w:val="right"/>
      <w:rPr>
        <w:color w:val="2F5496" w:themeColor="accent5" w:themeShade="BF"/>
        <w:sz w:val="20"/>
      </w:rPr>
    </w:pPr>
  </w:p>
  <w:p w14:paraId="5EAB6EC6" w14:textId="77777777" w:rsidR="00E36813" w:rsidRPr="00B50534" w:rsidRDefault="00E36813" w:rsidP="00B50534">
    <w:pPr>
      <w:pStyle w:val="Nagwek"/>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3501"/>
    <w:multiLevelType w:val="hybridMultilevel"/>
    <w:tmpl w:val="D2D03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E07B65"/>
    <w:multiLevelType w:val="hybridMultilevel"/>
    <w:tmpl w:val="3F1C7B1A"/>
    <w:lvl w:ilvl="0" w:tplc="8B387A3C">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505EC4"/>
    <w:multiLevelType w:val="multilevel"/>
    <w:tmpl w:val="F09C13EC"/>
    <w:lvl w:ilvl="0">
      <w:start w:val="1"/>
      <w:numFmt w:val="decimal"/>
      <w:lvlText w:val="%1)"/>
      <w:lvlJc w:val="left"/>
      <w:pPr>
        <w:tabs>
          <w:tab w:val="num" w:pos="360"/>
        </w:tabs>
        <w:ind w:left="360" w:hanging="360"/>
      </w:pPr>
      <w:rPr>
        <w:rFonts w:asciiTheme="minorHAnsi" w:eastAsiaTheme="minorHAnsi" w:hAnsiTheme="minorHAnsi" w:cstheme="minorBidi"/>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B9E089E"/>
    <w:multiLevelType w:val="hybridMultilevel"/>
    <w:tmpl w:val="87960D64"/>
    <w:lvl w:ilvl="0" w:tplc="4F30587E">
      <w:start w:val="1"/>
      <w:numFmt w:val="lowerLetter"/>
      <w:pStyle w:val="Nagwe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Akapitzlist"/>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039321B"/>
    <w:multiLevelType w:val="hybridMultilevel"/>
    <w:tmpl w:val="9892B63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35B0A1E"/>
    <w:multiLevelType w:val="hybridMultilevel"/>
    <w:tmpl w:val="C9E62A86"/>
    <w:lvl w:ilvl="0" w:tplc="C1603160">
      <w:start w:val="1"/>
      <w:numFmt w:val="decimal"/>
      <w:lvlText w:val="%1)"/>
      <w:lvlJc w:val="left"/>
      <w:pPr>
        <w:ind w:left="720" w:hanging="360"/>
      </w:pPr>
      <w:rPr>
        <w:rFonts w:hint="default"/>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E248BC"/>
    <w:multiLevelType w:val="hybridMultilevel"/>
    <w:tmpl w:val="273234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BAD1101"/>
    <w:multiLevelType w:val="multilevel"/>
    <w:tmpl w:val="766C753E"/>
    <w:lvl w:ilvl="0">
      <w:start w:val="1"/>
      <w:numFmt w:val="upperRoman"/>
      <w:pStyle w:val="Nagwek1"/>
      <w:lvlText w:val="%1."/>
      <w:lvlJc w:val="righ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6"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7ED0126"/>
    <w:multiLevelType w:val="hybridMultilevel"/>
    <w:tmpl w:val="273234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
  </w:num>
  <w:num w:numId="3">
    <w:abstractNumId w:val="15"/>
  </w:num>
  <w:num w:numId="4">
    <w:abstractNumId w:val="4"/>
  </w:num>
  <w:num w:numId="5">
    <w:abstractNumId w:val="11"/>
  </w:num>
  <w:num w:numId="6">
    <w:abstractNumId w:val="17"/>
  </w:num>
  <w:num w:numId="7">
    <w:abstractNumId w:val="10"/>
  </w:num>
  <w:num w:numId="8">
    <w:abstractNumId w:val="5"/>
  </w:num>
  <w:num w:numId="9">
    <w:abstractNumId w:val="9"/>
  </w:num>
  <w:num w:numId="10">
    <w:abstractNumId w:val="8"/>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3"/>
  </w:num>
  <w:num w:numId="16">
    <w:abstractNumId w:val="1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19"/>
  </w:num>
  <w:num w:numId="21">
    <w:abstractNumId w:val="14"/>
  </w:num>
  <w:num w:numId="22">
    <w:abstractNumId w:val="3"/>
  </w:num>
  <w:num w:numId="23">
    <w:abstractNumId w:val="6"/>
  </w:num>
  <w:num w:numId="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2A5"/>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071F"/>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0896"/>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2B5F"/>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3A3F"/>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42D9"/>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473A"/>
    <w:rsid w:val="008B5191"/>
    <w:rsid w:val="008B710D"/>
    <w:rsid w:val="008B7CA1"/>
    <w:rsid w:val="008C0389"/>
    <w:rsid w:val="008C27D3"/>
    <w:rsid w:val="008C4B2B"/>
    <w:rsid w:val="008C5E91"/>
    <w:rsid w:val="008C686D"/>
    <w:rsid w:val="008C6B18"/>
    <w:rsid w:val="008C702C"/>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4008E"/>
    <w:rsid w:val="00941C0C"/>
    <w:rsid w:val="009437F2"/>
    <w:rsid w:val="0094528B"/>
    <w:rsid w:val="00960A8B"/>
    <w:rsid w:val="00961EE5"/>
    <w:rsid w:val="009643E7"/>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7F73"/>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33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85727"/>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5D74"/>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Nagwek1">
    <w:name w:val="heading 1"/>
    <w:basedOn w:val="Normalny"/>
    <w:next w:val="Normalny"/>
    <w:link w:val="Nagwek1Znak"/>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Nagwek3">
    <w:name w:val="heading 3"/>
    <w:basedOn w:val="Normalny"/>
    <w:next w:val="Normalny"/>
    <w:link w:val="Nagwek3Znak"/>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Nagwek4">
    <w:name w:val="heading 4"/>
    <w:basedOn w:val="Normalny"/>
    <w:next w:val="Normalny"/>
    <w:link w:val="Nagwek4Znak"/>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Nagwek5">
    <w:name w:val="heading 5"/>
    <w:basedOn w:val="Normalny"/>
    <w:next w:val="Normalny"/>
    <w:link w:val="Nagwek5Znak"/>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Nagwek6">
    <w:name w:val="heading 6"/>
    <w:basedOn w:val="Normalny"/>
    <w:next w:val="Normalny"/>
    <w:link w:val="Nagwek6Znak"/>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Nagwek8">
    <w:name w:val="heading 8"/>
    <w:basedOn w:val="Normalny"/>
    <w:next w:val="Normalny"/>
    <w:link w:val="Nagwek8Znak"/>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B6B12"/>
    <w:pPr>
      <w:spacing w:after="0" w:line="240" w:lineRule="auto"/>
    </w:pPr>
    <w:rPr>
      <w:lang w:val="en-GB"/>
    </w:rPr>
  </w:style>
  <w:style w:type="character" w:customStyle="1" w:styleId="Nagwek4Znak">
    <w:name w:val="Nagłówek 4 Znak"/>
    <w:basedOn w:val="Domylnaczcionkaakapitu"/>
    <w:link w:val="Nagwek4"/>
    <w:rsid w:val="00020300"/>
    <w:rPr>
      <w:rFonts w:asciiTheme="majorHAnsi" w:eastAsiaTheme="majorEastAsia" w:hAnsiTheme="majorHAnsi" w:cstheme="majorBidi"/>
      <w:sz w:val="24"/>
      <w:szCs w:val="22"/>
      <w:lang w:val="en-GB" w:eastAsia="en-GB"/>
    </w:rPr>
  </w:style>
  <w:style w:type="character" w:customStyle="1" w:styleId="Nagwek3Znak">
    <w:name w:val="Nagłówek 3 Znak"/>
    <w:basedOn w:val="Domylnaczcionkaakapitu"/>
    <w:link w:val="Nagwek3"/>
    <w:rsid w:val="00020300"/>
    <w:rPr>
      <w:rFonts w:asciiTheme="majorHAnsi" w:eastAsiaTheme="majorEastAsia" w:hAnsiTheme="majorHAnsi" w:cstheme="majorBidi"/>
      <w:sz w:val="24"/>
      <w:szCs w:val="24"/>
      <w:lang w:val="en-GB" w:eastAsia="en-GB"/>
    </w:rPr>
  </w:style>
  <w:style w:type="character" w:customStyle="1" w:styleId="Nagwek1Znak">
    <w:name w:val="Nagłówek 1 Znak"/>
    <w:basedOn w:val="Domylnaczcionkaakapitu"/>
    <w:link w:val="Nagwek1"/>
    <w:rsid w:val="00FE0BD8"/>
    <w:rPr>
      <w:rFonts w:asciiTheme="majorHAnsi" w:eastAsiaTheme="majorEastAsia" w:hAnsiTheme="majorHAnsi" w:cstheme="majorBidi"/>
      <w:b/>
      <w:sz w:val="32"/>
      <w:szCs w:val="32"/>
      <w:lang w:val="en-GB" w:eastAsia="en-GB"/>
    </w:rPr>
  </w:style>
  <w:style w:type="character" w:customStyle="1" w:styleId="Nagwek2Znak">
    <w:name w:val="Nagłówek 2 Znak"/>
    <w:basedOn w:val="Domylnaczcionkaakapitu"/>
    <w:link w:val="Nagwek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ny"/>
    <w:link w:val="Subtitle1Char"/>
    <w:autoRedefine/>
    <w:rsid w:val="003C4EB5"/>
    <w:pPr>
      <w:tabs>
        <w:tab w:val="left" w:pos="414"/>
      </w:tabs>
    </w:pPr>
    <w:rPr>
      <w:b/>
    </w:rPr>
  </w:style>
  <w:style w:type="character" w:customStyle="1" w:styleId="Subtitle1Char">
    <w:name w:val="Subtitle1 Char"/>
    <w:basedOn w:val="Domylnaczcionkaakapitu"/>
    <w:link w:val="Subtitle1"/>
    <w:rsid w:val="003C4EB5"/>
    <w:rPr>
      <w:rFonts w:cs="Times New Roman"/>
      <w:b/>
      <w:sz w:val="20"/>
      <w:szCs w:val="24"/>
      <w:lang w:val="en-GB" w:eastAsia="de-DE"/>
    </w:rPr>
  </w:style>
  <w:style w:type="paragraph" w:customStyle="1" w:styleId="Title1">
    <w:name w:val="Title 1"/>
    <w:basedOn w:val="Akapitzlist"/>
    <w:link w:val="Title1Char"/>
    <w:autoRedefine/>
    <w:rsid w:val="002574D1"/>
    <w:pPr>
      <w:numPr>
        <w:numId w:val="2"/>
      </w:numPr>
    </w:pPr>
    <w:rPr>
      <w:b/>
      <w:sz w:val="28"/>
    </w:rPr>
  </w:style>
  <w:style w:type="character" w:customStyle="1" w:styleId="Title1Char">
    <w:name w:val="Title 1 Char"/>
    <w:basedOn w:val="Domylnaczcionkaakapitu"/>
    <w:link w:val="Title1"/>
    <w:rsid w:val="003C4EB5"/>
    <w:rPr>
      <w:rFonts w:eastAsiaTheme="majorEastAsia" w:cstheme="minorHAnsi"/>
      <w:b/>
      <w:sz w:val="28"/>
      <w:szCs w:val="22"/>
      <w:lang w:val="en-GB" w:eastAsia="en-GB"/>
    </w:rPr>
  </w:style>
  <w:style w:type="paragraph" w:styleId="Akapitzlist">
    <w:name w:val="List Paragraph"/>
    <w:aliases w:val="Paragraphe EI,Paragraphe de liste1,EC,Paragraphe de liste,Normal Nivel 1,List Paragraph Main,List first level,List Paragraph_Sections"/>
    <w:basedOn w:val="Normalny"/>
    <w:link w:val="AkapitzlistZnak"/>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Akapitzlist"/>
    <w:link w:val="Title3Char"/>
    <w:autoRedefine/>
    <w:rsid w:val="002574D1"/>
    <w:pPr>
      <w:numPr>
        <w:ilvl w:val="3"/>
        <w:numId w:val="2"/>
      </w:numPr>
    </w:pPr>
  </w:style>
  <w:style w:type="character" w:customStyle="1" w:styleId="Title3Char">
    <w:name w:val="Title 3 Char"/>
    <w:basedOn w:val="Domylnaczcionkaakapitu"/>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ny"/>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omylnaczcionkaakapitu"/>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ny"/>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omylnaczcionkaakapitu"/>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ny"/>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omylnaczcionkaakapitu"/>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ny"/>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omylnaczcionkaakapitu"/>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ny"/>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omylnaczcionkaakapitu"/>
    <w:link w:val="Introductionheading"/>
    <w:rsid w:val="00044C5A"/>
    <w:rPr>
      <w:rFonts w:ascii="Arial" w:eastAsia="Times New Roman" w:hAnsi="Arial" w:cs="Times New Roman"/>
      <w:b/>
      <w:sz w:val="28"/>
      <w:szCs w:val="24"/>
      <w:lang w:val="en-GB" w:eastAsia="de-DE"/>
    </w:rPr>
  </w:style>
  <w:style w:type="character" w:customStyle="1" w:styleId="Nagwek5Znak">
    <w:name w:val="Nagłówek 5 Znak"/>
    <w:basedOn w:val="Domylnaczcionkaakapitu"/>
    <w:link w:val="Nagwek5"/>
    <w:uiPriority w:val="9"/>
    <w:rsid w:val="007E7997"/>
    <w:rPr>
      <w:rFonts w:asciiTheme="majorHAnsi" w:eastAsiaTheme="majorEastAsia" w:hAnsiTheme="majorHAnsi" w:cstheme="majorBidi"/>
      <w:sz w:val="24"/>
      <w:szCs w:val="22"/>
      <w:lang w:val="en-GB" w:eastAsia="en-GB"/>
    </w:rPr>
  </w:style>
  <w:style w:type="paragraph" w:styleId="Tekstpodstawowy">
    <w:name w:val="Body Text"/>
    <w:basedOn w:val="Normalny"/>
    <w:link w:val="TekstpodstawowyZnak"/>
    <w:uiPriority w:val="99"/>
    <w:semiHidden/>
    <w:unhideWhenUsed/>
    <w:rsid w:val="00044C5A"/>
  </w:style>
  <w:style w:type="character" w:customStyle="1" w:styleId="TekstpodstawowyZnak">
    <w:name w:val="Tekst podstawowy Znak"/>
    <w:basedOn w:val="Domylnaczcionkaakapitu"/>
    <w:link w:val="Tekstpodstawowy"/>
    <w:uiPriority w:val="99"/>
    <w:semiHidden/>
    <w:rsid w:val="00044C5A"/>
    <w:rPr>
      <w:rFonts w:ascii="Arial" w:eastAsiaTheme="minorEastAsia" w:hAnsi="Arial"/>
    </w:rPr>
  </w:style>
  <w:style w:type="paragraph" w:styleId="Tekstpodstawowyzwciciem">
    <w:name w:val="Body Text First Indent"/>
    <w:basedOn w:val="Tekstpodstawowy"/>
    <w:link w:val="TekstpodstawowyzwciciemZnak"/>
    <w:uiPriority w:val="99"/>
    <w:semiHidden/>
    <w:unhideWhenUsed/>
    <w:rsid w:val="00044C5A"/>
    <w:pPr>
      <w:ind w:firstLine="360"/>
    </w:pPr>
  </w:style>
  <w:style w:type="character" w:customStyle="1" w:styleId="TekstpodstawowyzwciciemZnak">
    <w:name w:val="Tekst podstawowy z wcięciem Znak"/>
    <w:basedOn w:val="TekstpodstawowyZnak"/>
    <w:link w:val="Tekstpodstawowyzwciciem"/>
    <w:uiPriority w:val="99"/>
    <w:semiHidden/>
    <w:rsid w:val="00044C5A"/>
    <w:rPr>
      <w:rFonts w:ascii="Arial" w:eastAsiaTheme="minorEastAsia" w:hAnsi="Arial"/>
    </w:rPr>
  </w:style>
  <w:style w:type="character" w:customStyle="1" w:styleId="Nagwek6Znak">
    <w:name w:val="Nagłówek 6 Znak"/>
    <w:basedOn w:val="Domylnaczcionkaakapitu"/>
    <w:link w:val="Nagwek6"/>
    <w:rsid w:val="00AA054E"/>
    <w:rPr>
      <w:rFonts w:asciiTheme="majorHAnsi" w:eastAsiaTheme="majorEastAsia" w:hAnsiTheme="majorHAnsi" w:cstheme="majorBidi"/>
      <w:i/>
      <w:iCs/>
      <w:color w:val="44546A" w:themeColor="text2"/>
      <w:sz w:val="21"/>
      <w:szCs w:val="21"/>
      <w:lang w:val="en-GB" w:eastAsia="en-GB"/>
    </w:rPr>
  </w:style>
  <w:style w:type="paragraph" w:styleId="Tytu">
    <w:name w:val="Title"/>
    <w:basedOn w:val="Normalny"/>
    <w:next w:val="Normalny"/>
    <w:link w:val="TytuZnak"/>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ytuZnak">
    <w:name w:val="Tytuł Znak"/>
    <w:basedOn w:val="Domylnaczcionkaakapitu"/>
    <w:link w:val="Tytu"/>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Podtytu">
    <w:name w:val="Subtitle"/>
    <w:basedOn w:val="Normalny"/>
    <w:next w:val="Normalny"/>
    <w:link w:val="PodtytuZnak"/>
    <w:uiPriority w:val="11"/>
    <w:qFormat/>
    <w:rsid w:val="00366D42"/>
    <w:pPr>
      <w:numPr>
        <w:ilvl w:val="1"/>
      </w:numPr>
    </w:pPr>
    <w:rPr>
      <w:rFonts w:asciiTheme="majorHAnsi" w:eastAsiaTheme="majorEastAsia" w:hAnsiTheme="majorHAnsi" w:cstheme="majorBidi"/>
      <w:b/>
      <w:sz w:val="28"/>
    </w:rPr>
  </w:style>
  <w:style w:type="character" w:customStyle="1" w:styleId="PodtytuZnak">
    <w:name w:val="Podtytuł Znak"/>
    <w:basedOn w:val="Domylnaczcionkaakapitu"/>
    <w:link w:val="Podtytu"/>
    <w:uiPriority w:val="11"/>
    <w:rsid w:val="00366D42"/>
    <w:rPr>
      <w:rFonts w:asciiTheme="majorHAnsi" w:eastAsiaTheme="majorEastAsia" w:hAnsiTheme="majorHAnsi" w:cstheme="majorBidi"/>
      <w:b/>
      <w:sz w:val="28"/>
      <w:szCs w:val="24"/>
      <w:lang w:val="en-GB"/>
    </w:rPr>
  </w:style>
  <w:style w:type="character" w:customStyle="1" w:styleId="Nagwek7Znak">
    <w:name w:val="Nagłówek 7 Znak"/>
    <w:basedOn w:val="Domylnaczcionkaakapitu"/>
    <w:link w:val="Nagwek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Nagwek8Znak">
    <w:name w:val="Nagłówek 8 Znak"/>
    <w:basedOn w:val="Domylnaczcionkaakapitu"/>
    <w:link w:val="Nagwek8"/>
    <w:rsid w:val="00AA054E"/>
    <w:rPr>
      <w:rFonts w:asciiTheme="majorHAnsi" w:eastAsiaTheme="majorEastAsia" w:hAnsiTheme="majorHAnsi" w:cstheme="majorBidi"/>
      <w:b/>
      <w:bCs/>
      <w:color w:val="44546A" w:themeColor="text2"/>
      <w:sz w:val="24"/>
      <w:szCs w:val="24"/>
      <w:lang w:val="en-GB" w:eastAsia="en-GB"/>
    </w:rPr>
  </w:style>
  <w:style w:type="character" w:customStyle="1" w:styleId="Nagwek9Znak">
    <w:name w:val="Nagłówek 9 Znak"/>
    <w:basedOn w:val="Domylnaczcionkaakapitu"/>
    <w:link w:val="Nagwek9"/>
    <w:rsid w:val="00AA054E"/>
    <w:rPr>
      <w:rFonts w:asciiTheme="majorHAnsi" w:eastAsiaTheme="majorEastAsia" w:hAnsiTheme="majorHAnsi" w:cstheme="majorBidi"/>
      <w:b/>
      <w:bCs/>
      <w:i/>
      <w:iCs/>
      <w:color w:val="44546A" w:themeColor="text2"/>
      <w:sz w:val="24"/>
      <w:szCs w:val="24"/>
      <w:lang w:val="en-GB" w:eastAsia="en-GB"/>
    </w:rPr>
  </w:style>
  <w:style w:type="paragraph" w:styleId="Legenda">
    <w:name w:val="caption"/>
    <w:basedOn w:val="Normalny"/>
    <w:next w:val="Normalny"/>
    <w:uiPriority w:val="35"/>
    <w:semiHidden/>
    <w:unhideWhenUsed/>
    <w:qFormat/>
    <w:rsid w:val="00AA054E"/>
    <w:rPr>
      <w:b/>
      <w:bCs/>
      <w:smallCaps/>
      <w:color w:val="595959" w:themeColor="text1" w:themeTint="A6"/>
      <w:spacing w:val="6"/>
    </w:rPr>
  </w:style>
  <w:style w:type="character" w:styleId="Pogrubienie">
    <w:name w:val="Strong"/>
    <w:basedOn w:val="Domylnaczcionkaakapitu"/>
    <w:uiPriority w:val="22"/>
    <w:qFormat/>
    <w:rsid w:val="00AA054E"/>
    <w:rPr>
      <w:b/>
      <w:bCs/>
    </w:rPr>
  </w:style>
  <w:style w:type="character" w:styleId="Uwydatnienie">
    <w:name w:val="Emphasis"/>
    <w:basedOn w:val="Domylnaczcionkaakapitu"/>
    <w:uiPriority w:val="20"/>
    <w:qFormat/>
    <w:rsid w:val="00AA054E"/>
    <w:rPr>
      <w:i/>
      <w:iCs/>
    </w:rPr>
  </w:style>
  <w:style w:type="paragraph" w:styleId="Cytat">
    <w:name w:val="Quote"/>
    <w:basedOn w:val="Normalny"/>
    <w:next w:val="Normalny"/>
    <w:link w:val="CytatZnak"/>
    <w:uiPriority w:val="29"/>
    <w:qFormat/>
    <w:rsid w:val="00AA054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AA054E"/>
    <w:rPr>
      <w:i/>
      <w:iCs/>
      <w:color w:val="404040" w:themeColor="text1" w:themeTint="BF"/>
    </w:rPr>
  </w:style>
  <w:style w:type="paragraph" w:styleId="Cytatintensywny">
    <w:name w:val="Intense Quote"/>
    <w:basedOn w:val="Normalny"/>
    <w:next w:val="Normalny"/>
    <w:link w:val="CytatintensywnyZnak"/>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ytatintensywnyZnak">
    <w:name w:val="Cytat intensywny Znak"/>
    <w:basedOn w:val="Domylnaczcionkaakapitu"/>
    <w:link w:val="Cytatintensywny"/>
    <w:uiPriority w:val="30"/>
    <w:rsid w:val="00AA054E"/>
    <w:rPr>
      <w:rFonts w:asciiTheme="majorHAnsi" w:eastAsiaTheme="majorEastAsia" w:hAnsiTheme="majorHAnsi" w:cstheme="majorBidi"/>
      <w:color w:val="5B9BD5" w:themeColor="accent1"/>
      <w:sz w:val="28"/>
      <w:szCs w:val="28"/>
    </w:rPr>
  </w:style>
  <w:style w:type="character" w:styleId="Wyrnieniedelikatne">
    <w:name w:val="Subtle Emphasis"/>
    <w:basedOn w:val="Domylnaczcionkaakapitu"/>
    <w:uiPriority w:val="19"/>
    <w:qFormat/>
    <w:rsid w:val="00287C8F"/>
    <w:rPr>
      <w:rFonts w:asciiTheme="majorHAnsi" w:hAnsiTheme="majorHAnsi"/>
      <w:i/>
      <w:iCs/>
      <w:color w:val="auto"/>
      <w:sz w:val="22"/>
    </w:rPr>
  </w:style>
  <w:style w:type="character" w:styleId="Wyrnienieintensywne">
    <w:name w:val="Intense Emphasis"/>
    <w:basedOn w:val="Domylnaczcionkaakapitu"/>
    <w:uiPriority w:val="21"/>
    <w:qFormat/>
    <w:rsid w:val="00AA054E"/>
    <w:rPr>
      <w:b/>
      <w:bCs/>
      <w:i/>
      <w:iCs/>
    </w:rPr>
  </w:style>
  <w:style w:type="character" w:styleId="Odwoaniedelikatne">
    <w:name w:val="Subtle Reference"/>
    <w:basedOn w:val="Domylnaczcionkaakapitu"/>
    <w:uiPriority w:val="31"/>
    <w:qFormat/>
    <w:rsid w:val="00AA054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AA054E"/>
    <w:rPr>
      <w:b/>
      <w:bCs/>
      <w:smallCaps/>
      <w:spacing w:val="5"/>
      <w:u w:val="single"/>
    </w:rPr>
  </w:style>
  <w:style w:type="character" w:styleId="Tytuksiki">
    <w:name w:val="Book Title"/>
    <w:basedOn w:val="Domylnaczcionkaakapitu"/>
    <w:uiPriority w:val="33"/>
    <w:qFormat/>
    <w:rsid w:val="00AA054E"/>
    <w:rPr>
      <w:b/>
      <w:bCs/>
      <w:smallCaps/>
    </w:rPr>
  </w:style>
  <w:style w:type="paragraph" w:styleId="Nagwekspisutreci">
    <w:name w:val="TOC Heading"/>
    <w:basedOn w:val="Nagwek1"/>
    <w:next w:val="Normalny"/>
    <w:uiPriority w:val="39"/>
    <w:unhideWhenUsed/>
    <w:qFormat/>
    <w:rsid w:val="00AA054E"/>
    <w:pPr>
      <w:outlineLvl w:val="9"/>
    </w:pPr>
  </w:style>
  <w:style w:type="character" w:customStyle="1" w:styleId="BezodstpwZnak">
    <w:name w:val="Bez odstępów Znak"/>
    <w:basedOn w:val="Domylnaczcionkaakapitu"/>
    <w:link w:val="Bezodstpw"/>
    <w:uiPriority w:val="1"/>
    <w:rsid w:val="005B6B12"/>
    <w:rPr>
      <w:lang w:val="en-GB"/>
    </w:rPr>
  </w:style>
  <w:style w:type="paragraph" w:styleId="Nagwek">
    <w:name w:val="header"/>
    <w:basedOn w:val="Normalny"/>
    <w:link w:val="NagwekZnak"/>
    <w:uiPriority w:val="99"/>
    <w:unhideWhenUsed/>
    <w:rsid w:val="007E7997"/>
    <w:pPr>
      <w:tabs>
        <w:tab w:val="center" w:pos="4536"/>
        <w:tab w:val="right" w:pos="9072"/>
      </w:tabs>
    </w:pPr>
  </w:style>
  <w:style w:type="character" w:customStyle="1" w:styleId="NagwekZnak">
    <w:name w:val="Nagłówek Znak"/>
    <w:basedOn w:val="Domylnaczcionkaakapitu"/>
    <w:link w:val="Nagwek"/>
    <w:uiPriority w:val="99"/>
    <w:rsid w:val="007E7997"/>
    <w:rPr>
      <w:sz w:val="22"/>
    </w:rPr>
  </w:style>
  <w:style w:type="paragraph" w:styleId="Stopka">
    <w:name w:val="footer"/>
    <w:basedOn w:val="Normalny"/>
    <w:link w:val="StopkaZnak"/>
    <w:uiPriority w:val="99"/>
    <w:unhideWhenUsed/>
    <w:rsid w:val="007E7997"/>
    <w:pPr>
      <w:tabs>
        <w:tab w:val="center" w:pos="4536"/>
        <w:tab w:val="right" w:pos="9072"/>
      </w:tabs>
    </w:pPr>
  </w:style>
  <w:style w:type="character" w:customStyle="1" w:styleId="StopkaZnak">
    <w:name w:val="Stopka Znak"/>
    <w:basedOn w:val="Domylnaczcionkaakapitu"/>
    <w:link w:val="Stopka"/>
    <w:uiPriority w:val="99"/>
    <w:rsid w:val="007E7997"/>
    <w:rPr>
      <w:sz w:val="22"/>
    </w:rPr>
  </w:style>
  <w:style w:type="paragraph" w:customStyle="1" w:styleId="00aPagenumber">
    <w:name w:val="00a_Page number"/>
    <w:basedOn w:val="Normalny"/>
    <w:rsid w:val="007E7997"/>
    <w:pPr>
      <w:spacing w:line="280" w:lineRule="atLeast"/>
      <w:jc w:val="right"/>
    </w:pPr>
    <w:rPr>
      <w:rFonts w:ascii="Georgia" w:hAnsi="Georgia"/>
      <w:color w:val="000000"/>
      <w:lang w:eastAsia="de-DE"/>
    </w:rPr>
  </w:style>
  <w:style w:type="paragraph" w:customStyle="1" w:styleId="02Date">
    <w:name w:val="02_Date"/>
    <w:basedOn w:val="Normalny"/>
    <w:rsid w:val="00636E02"/>
    <w:pPr>
      <w:spacing w:line="220" w:lineRule="exact"/>
    </w:pPr>
    <w:rPr>
      <w:rFonts w:ascii="Georgia" w:hAnsi="Georgia"/>
      <w:sz w:val="17"/>
      <w:lang w:eastAsia="de-DE"/>
    </w:rPr>
  </w:style>
  <w:style w:type="paragraph" w:styleId="Spistreci1">
    <w:name w:val="toc 1"/>
    <w:basedOn w:val="Normalny"/>
    <w:next w:val="Normalny"/>
    <w:autoRedefine/>
    <w:uiPriority w:val="39"/>
    <w:unhideWhenUsed/>
    <w:rsid w:val="00B81A44"/>
    <w:pPr>
      <w:tabs>
        <w:tab w:val="left" w:pos="440"/>
        <w:tab w:val="right" w:leader="dot" w:pos="9062"/>
      </w:tabs>
      <w:spacing w:after="100"/>
    </w:pPr>
  </w:style>
  <w:style w:type="paragraph" w:styleId="Spistreci2">
    <w:name w:val="toc 2"/>
    <w:basedOn w:val="Normalny"/>
    <w:next w:val="Normalny"/>
    <w:autoRedefine/>
    <w:uiPriority w:val="39"/>
    <w:unhideWhenUsed/>
    <w:rsid w:val="00BC422A"/>
    <w:pPr>
      <w:spacing w:after="100"/>
      <w:ind w:left="220"/>
    </w:pPr>
  </w:style>
  <w:style w:type="paragraph" w:styleId="Spistreci3">
    <w:name w:val="toc 3"/>
    <w:basedOn w:val="Normalny"/>
    <w:next w:val="Normalny"/>
    <w:autoRedefine/>
    <w:uiPriority w:val="39"/>
    <w:unhideWhenUsed/>
    <w:rsid w:val="00BC422A"/>
    <w:pPr>
      <w:spacing w:after="100"/>
      <w:ind w:left="440"/>
    </w:pPr>
  </w:style>
  <w:style w:type="character" w:styleId="Hipercze">
    <w:name w:val="Hyperlink"/>
    <w:basedOn w:val="Domylnaczcionkaakapitu"/>
    <w:uiPriority w:val="99"/>
    <w:unhideWhenUsed/>
    <w:rsid w:val="00BC422A"/>
    <w:rPr>
      <w:color w:val="0563C1" w:themeColor="hyperlink"/>
      <w:u w:val="single"/>
    </w:rPr>
  </w:style>
  <w:style w:type="paragraph" w:customStyle="1" w:styleId="Questionstyle">
    <w:name w:val="Question style"/>
    <w:basedOn w:val="Normalny"/>
    <w:next w:val="Normalny"/>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omylnaczcionkaakapitu"/>
    <w:link w:val="Questionstyle"/>
    <w:rsid w:val="00F77851"/>
    <w:rPr>
      <w:rFonts w:eastAsia="Times New Roman" w:cstheme="minorHAnsi"/>
      <w:sz w:val="22"/>
      <w:szCs w:val="22"/>
      <w:lang w:val="en-GB" w:eastAsia="en-GB"/>
    </w:rPr>
  </w:style>
  <w:style w:type="paragraph" w:customStyle="1" w:styleId="Listing2">
    <w:name w:val="Listing2"/>
    <w:basedOn w:val="Normalny"/>
    <w:link w:val="Listing2Char"/>
    <w:autoRedefine/>
    <w:rsid w:val="00DF3785"/>
  </w:style>
  <w:style w:type="character" w:customStyle="1" w:styleId="Listing2Char">
    <w:name w:val="Listing2 Char"/>
    <w:basedOn w:val="Domylnaczcionkaakapitu"/>
    <w:link w:val="Listing2"/>
    <w:rsid w:val="00DF3785"/>
    <w:rPr>
      <w:lang w:val="en-GB"/>
    </w:rPr>
  </w:style>
  <w:style w:type="table" w:styleId="Tabela-Siatka">
    <w:name w:val="Table Grid"/>
    <w:basedOn w:val="Standardowy"/>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0534"/>
  </w:style>
  <w:style w:type="character" w:customStyle="1" w:styleId="TekstprzypisukocowegoZnak">
    <w:name w:val="Tekst przypisu końcowego Znak"/>
    <w:basedOn w:val="Domylnaczcionkaakapitu"/>
    <w:link w:val="Tekstprzypisukocowego"/>
    <w:uiPriority w:val="99"/>
    <w:semiHidden/>
    <w:rsid w:val="00B50534"/>
    <w:rPr>
      <w:lang w:val="en-GB"/>
    </w:rPr>
  </w:style>
  <w:style w:type="character" w:styleId="Odwoanieprzypisukocowego">
    <w:name w:val="endnote reference"/>
    <w:basedOn w:val="Domylnaczcionkaakapitu"/>
    <w:uiPriority w:val="99"/>
    <w:semiHidden/>
    <w:unhideWhenUsed/>
    <w:rsid w:val="00B50534"/>
    <w:rPr>
      <w:vertAlign w:val="superscript"/>
    </w:rPr>
  </w:style>
  <w:style w:type="paragraph" w:styleId="Tekstprzypisudolnego">
    <w:name w:val="footnote text"/>
    <w:basedOn w:val="Normalny"/>
    <w:link w:val="TekstprzypisudolnegoZnak"/>
    <w:autoRedefine/>
    <w:uiPriority w:val="99"/>
    <w:semiHidden/>
    <w:unhideWhenUsed/>
    <w:qFormat/>
    <w:rsid w:val="006F53E8"/>
    <w:rPr>
      <w:sz w:val="16"/>
    </w:rPr>
  </w:style>
  <w:style w:type="character" w:customStyle="1" w:styleId="TekstprzypisudolnegoZnak">
    <w:name w:val="Tekst przypisu dolnego Znak"/>
    <w:basedOn w:val="Domylnaczcionkaakapitu"/>
    <w:link w:val="Tekstprzypisudolnego"/>
    <w:uiPriority w:val="99"/>
    <w:semiHidden/>
    <w:rsid w:val="006F53E8"/>
    <w:rPr>
      <w:sz w:val="16"/>
      <w:lang w:val="en-GB"/>
    </w:rPr>
  </w:style>
  <w:style w:type="character" w:styleId="Odwoanieprzypisudolnego">
    <w:name w:val="footnote reference"/>
    <w:aliases w:val="SUPERS,Footnote reference number,Footnote symbol,note TESI,-E Fußnotenzeichen,number,BVI fnr,Footnote Reference Superscript,(Footnote Reference),EN Footnote Reference,Voetnootverwijzing,Times 10 Point,Exposant 3 Poi,16 Point"/>
    <w:basedOn w:val="Domylnaczcionkaakapitu"/>
    <w:uiPriority w:val="99"/>
    <w:unhideWhenUsed/>
    <w:qFormat/>
    <w:rsid w:val="00A91D91"/>
    <w:rPr>
      <w:rFonts w:asciiTheme="majorHAnsi" w:hAnsiTheme="majorHAnsi"/>
      <w:sz w:val="16"/>
      <w:vertAlign w:val="superscript"/>
    </w:rPr>
  </w:style>
  <w:style w:type="paragraph" w:customStyle="1" w:styleId="Footnote">
    <w:name w:val="Footnote"/>
    <w:basedOn w:val="Tekstprzypisudolnego"/>
    <w:link w:val="FootnoteChar"/>
    <w:rsid w:val="00B50534"/>
    <w:rPr>
      <w:lang w:val="nl-BE"/>
    </w:rPr>
  </w:style>
  <w:style w:type="character" w:customStyle="1" w:styleId="FootnoteChar">
    <w:name w:val="Footnote Char"/>
    <w:basedOn w:val="TekstprzypisudolnegoZnak"/>
    <w:link w:val="Footnote"/>
    <w:rsid w:val="00B50534"/>
    <w:rPr>
      <w:sz w:val="16"/>
      <w:lang w:val="en-GB"/>
    </w:rPr>
  </w:style>
  <w:style w:type="table" w:customStyle="1" w:styleId="GridTable4-Accent11">
    <w:name w:val="Grid Table 4 - Accent 11"/>
    <w:basedOn w:val="Standardowy"/>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ny"/>
    <w:rsid w:val="00287C8F"/>
    <w:pPr>
      <w:numPr>
        <w:numId w:val="5"/>
      </w:numPr>
      <w:tabs>
        <w:tab w:val="clear" w:pos="284"/>
        <w:tab w:val="num" w:pos="567"/>
      </w:tabs>
      <w:ind w:left="567" w:hanging="454"/>
    </w:pPr>
    <w:rPr>
      <w:rFonts w:ascii="Georgia" w:hAnsi="Georgia"/>
      <w:sz w:val="20"/>
      <w:lang w:eastAsia="de-DE"/>
    </w:rPr>
  </w:style>
  <w:style w:type="paragraph" w:styleId="Tekstdymka">
    <w:name w:val="Balloon Text"/>
    <w:basedOn w:val="Normalny"/>
    <w:link w:val="TekstdymkaZnak"/>
    <w:uiPriority w:val="99"/>
    <w:semiHidden/>
    <w:unhideWhenUsed/>
    <w:rsid w:val="003C167E"/>
    <w:rPr>
      <w:rFonts w:ascii="Tahoma" w:hAnsi="Tahoma" w:cs="Tahoma"/>
      <w:sz w:val="16"/>
      <w:szCs w:val="16"/>
    </w:rPr>
  </w:style>
  <w:style w:type="character" w:customStyle="1" w:styleId="TekstdymkaZnak">
    <w:name w:val="Tekst dymka Znak"/>
    <w:basedOn w:val="Domylnaczcionkaakapitu"/>
    <w:link w:val="Tekstdymka"/>
    <w:uiPriority w:val="99"/>
    <w:semiHidden/>
    <w:rsid w:val="003C167E"/>
    <w:rPr>
      <w:rFonts w:ascii="Tahoma" w:hAnsi="Tahoma" w:cs="Tahoma"/>
      <w:sz w:val="16"/>
      <w:szCs w:val="16"/>
      <w:lang w:val="en-GB"/>
    </w:rPr>
  </w:style>
  <w:style w:type="character" w:styleId="Odwoaniedokomentarza">
    <w:name w:val="annotation reference"/>
    <w:basedOn w:val="Domylnaczcionkaakapitu"/>
    <w:uiPriority w:val="99"/>
    <w:semiHidden/>
    <w:unhideWhenUsed/>
    <w:rsid w:val="00FA2400"/>
    <w:rPr>
      <w:sz w:val="16"/>
      <w:szCs w:val="16"/>
    </w:rPr>
  </w:style>
  <w:style w:type="paragraph" w:styleId="Tekstkomentarza">
    <w:name w:val="annotation text"/>
    <w:basedOn w:val="Normalny"/>
    <w:link w:val="TekstkomentarzaZnak"/>
    <w:uiPriority w:val="99"/>
    <w:unhideWhenUsed/>
    <w:rsid w:val="00FA2400"/>
    <w:rPr>
      <w:sz w:val="20"/>
    </w:rPr>
  </w:style>
  <w:style w:type="character" w:customStyle="1" w:styleId="TekstkomentarzaZnak">
    <w:name w:val="Tekst komentarza Znak"/>
    <w:basedOn w:val="Domylnaczcionkaakapitu"/>
    <w:link w:val="Tekstkomentarza"/>
    <w:uiPriority w:val="99"/>
    <w:rsid w:val="00FA2400"/>
    <w:rPr>
      <w:lang w:val="en-GB"/>
    </w:rPr>
  </w:style>
  <w:style w:type="paragraph" w:styleId="Tematkomentarza">
    <w:name w:val="annotation subject"/>
    <w:basedOn w:val="Tekstkomentarza"/>
    <w:next w:val="Tekstkomentarza"/>
    <w:link w:val="TematkomentarzaZnak"/>
    <w:uiPriority w:val="99"/>
    <w:semiHidden/>
    <w:unhideWhenUsed/>
    <w:rsid w:val="00FA2400"/>
    <w:rPr>
      <w:b/>
      <w:bCs/>
    </w:rPr>
  </w:style>
  <w:style w:type="character" w:customStyle="1" w:styleId="TematkomentarzaZnak">
    <w:name w:val="Temat komentarza Znak"/>
    <w:basedOn w:val="TekstkomentarzaZnak"/>
    <w:link w:val="Tematkomentarza"/>
    <w:uiPriority w:val="99"/>
    <w:semiHidden/>
    <w:rsid w:val="00FA2400"/>
    <w:rPr>
      <w:b/>
      <w:bCs/>
      <w:lang w:val="en-GB"/>
    </w:rPr>
  </w:style>
  <w:style w:type="paragraph" w:styleId="Poprawka">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UyteHipercze">
    <w:name w:val="FollowedHyperlink"/>
    <w:basedOn w:val="Domylnaczcionkaakapitu"/>
    <w:uiPriority w:val="99"/>
    <w:semiHidden/>
    <w:unhideWhenUsed/>
    <w:rsid w:val="007B354B"/>
    <w:rPr>
      <w:color w:val="954F72" w:themeColor="followedHyperlink"/>
      <w:u w:val="single"/>
    </w:rPr>
  </w:style>
  <w:style w:type="paragraph" w:styleId="NormalnyWeb">
    <w:name w:val="Normal (Web)"/>
    <w:basedOn w:val="Normalny"/>
    <w:uiPriority w:val="99"/>
    <w:semiHidden/>
    <w:unhideWhenUsed/>
    <w:rsid w:val="00B424F5"/>
    <w:pPr>
      <w:spacing w:before="100" w:beforeAutospacing="1" w:after="100" w:afterAutospacing="1"/>
    </w:pPr>
  </w:style>
  <w:style w:type="character" w:customStyle="1" w:styleId="outputecliaff">
    <w:name w:val="outputecliaff"/>
    <w:basedOn w:val="Domylnaczcionkaakapitu"/>
    <w:rsid w:val="00595F08"/>
  </w:style>
  <w:style w:type="paragraph" w:customStyle="1" w:styleId="05HeadlinenoIndex">
    <w:name w:val="05_Headline no Index"/>
    <w:basedOn w:val="Normalny"/>
    <w:rsid w:val="005C7E1F"/>
    <w:pPr>
      <w:spacing w:after="250" w:line="300" w:lineRule="exact"/>
      <w:jc w:val="both"/>
    </w:pPr>
    <w:rPr>
      <w:rFonts w:ascii="Georgia" w:hAnsi="Georgia"/>
      <w:b/>
      <w:lang w:eastAsia="de-DE"/>
    </w:rPr>
  </w:style>
  <w:style w:type="paragraph" w:customStyle="1" w:styleId="04BodyText">
    <w:name w:val="04_Body Text"/>
    <w:basedOn w:val="Normalny"/>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Standardowy"/>
    <w:next w:val="Tabela-Siatk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rdowy"/>
    <w:next w:val="Tabela-Siatk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aragraphe EI Znak,Paragraphe de liste1 Znak,EC Znak,Paragraphe de liste Znak,Normal Nivel 1 Znak,List Paragraph Main Znak,List first level Znak,List Paragraph_Sections Znak"/>
    <w:basedOn w:val="Domylnaczcionkaakapitu"/>
    <w:link w:val="Akapitzlist"/>
    <w:uiPriority w:val="34"/>
    <w:rsid w:val="00695AF2"/>
    <w:rPr>
      <w:rFonts w:eastAsiaTheme="majorEastAsia" w:cstheme="minorHAnsi"/>
      <w:sz w:val="22"/>
      <w:szCs w:val="22"/>
      <w:lang w:val="en-GB" w:eastAsia="en-GB"/>
    </w:rPr>
  </w:style>
  <w:style w:type="table" w:customStyle="1" w:styleId="TableGrid3">
    <w:name w:val="Table Grid3"/>
    <w:basedOn w:val="Standardowy"/>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rdowy"/>
    <w:next w:val="Tabela-Siatk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AF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ESMA70-156-1933</_dlc_DocId>
    <TaxCatchAll xmlns="20fbe147-bbda-4e53-b6b1-7e8bbff3fe19">
      <Value>474</Value>
      <Value>5</Value>
      <Value>91</Value>
      <Value>2</Value>
      <Value>434</Value>
    </TaxCatchAll>
    <_dlc_DocIdUrl xmlns="20fbe147-bbda-4e53-b6b1-7e8bbff3fe19">
      <Url>https://sherpa.esma.europa.eu/sites/MKT/SMK/_layouts/15/DocIdRedir.aspx?ID=ESMA70-156-1933</Url>
      <Description>ESMA70-156-1933</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5.xml><?xml version="1.0" encoding="utf-8"?>
<ds:datastoreItem xmlns:ds="http://schemas.openxmlformats.org/officeDocument/2006/customXml" ds:itemID="{27404D0A-D372-4BAD-86EF-1435F6E8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29</TotalTime>
  <Pages>12</Pages>
  <Words>3935</Words>
  <Characters>23614</Characters>
  <Application>Microsoft Office Word</Application>
  <DocSecurity>8</DocSecurity>
  <Lines>196</Lines>
  <Paragraphs>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KPR</cp:lastModifiedBy>
  <cp:revision>8</cp:revision>
  <cp:lastPrinted>2017-07-24T14:47:00Z</cp:lastPrinted>
  <dcterms:created xsi:type="dcterms:W3CDTF">2020-01-07T09:23:00Z</dcterms:created>
  <dcterms:modified xsi:type="dcterms:W3CDTF">2020-01-07T11:43:00Z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