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cstheme="minorHAnsi"/>
        </w:rPr>
        <w:id w:val="-973058580"/>
        <w:docPartObj>
          <w:docPartGallery w:val="Cover Pages"/>
          <w:docPartUnique/>
        </w:docPartObj>
      </w:sdtPr>
      <w:sdtEndPr/>
      <w:sdtContent>
        <w:p w14:paraId="56DB31E4" w14:textId="77777777" w:rsidR="00AF2EF7" w:rsidRPr="00B8572C" w:rsidRDefault="00AF2EF7" w:rsidP="00AF2EF7">
          <w:pPr>
            <w:spacing w:line="276" w:lineRule="auto"/>
            <w:rPr>
              <w:rFonts w:asciiTheme="minorHAnsi" w:hAnsiTheme="minorHAnsi" w:cstheme="minorHAnsi"/>
              <w:color w:val="FF0000"/>
            </w:rPr>
          </w:pPr>
        </w:p>
        <w:p w14:paraId="3215E573" w14:textId="77777777" w:rsidR="00AF2EF7" w:rsidRPr="00B8572C" w:rsidRDefault="00AF2EF7" w:rsidP="00AF2EF7">
          <w:pPr>
            <w:spacing w:after="120" w:line="276" w:lineRule="auto"/>
            <w:rPr>
              <w:rFonts w:asciiTheme="minorHAnsi" w:hAnsiTheme="minorHAnsi" w:cstheme="minorHAnsi"/>
            </w:rPr>
          </w:pPr>
        </w:p>
        <w:p w14:paraId="0D103CA8" w14:textId="77777777" w:rsidR="00AF2EF7" w:rsidRPr="00B8572C" w:rsidRDefault="00AF2EF7" w:rsidP="00AF2EF7">
          <w:pPr>
            <w:spacing w:line="276" w:lineRule="auto"/>
            <w:rPr>
              <w:rFonts w:asciiTheme="minorHAnsi" w:hAnsiTheme="minorHAnsi" w:cstheme="minorHAnsi"/>
            </w:rPr>
          </w:pPr>
        </w:p>
        <w:p w14:paraId="42F39E45" w14:textId="77777777" w:rsidR="00AF2EF7" w:rsidRPr="00B8572C" w:rsidRDefault="00AF2EF7" w:rsidP="00AF2EF7">
          <w:pPr>
            <w:spacing w:line="276" w:lineRule="auto"/>
            <w:rPr>
              <w:rFonts w:asciiTheme="minorHAnsi" w:hAnsiTheme="minorHAnsi" w:cstheme="minorHAnsi"/>
            </w:rPr>
          </w:pPr>
        </w:p>
        <w:p w14:paraId="170BA179"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AF2EF7" w:rsidRPr="00B8572C" w14:paraId="5837A39D" w14:textId="77777777" w:rsidTr="00D13661">
            <w:trPr>
              <w:trHeight w:hRule="exact" w:val="1492"/>
            </w:trPr>
            <w:tc>
              <w:tcPr>
                <w:tcW w:w="10490" w:type="dxa"/>
                <w:vAlign w:val="bottom"/>
              </w:tcPr>
              <w:p w14:paraId="343E61B8" w14:textId="77777777" w:rsidR="00AF2EF7" w:rsidRPr="00B8572C" w:rsidRDefault="00C1698A" w:rsidP="00D13661">
                <w:pPr>
                  <w:pStyle w:val="Tytu"/>
                  <w:spacing w:line="276" w:lineRule="auto"/>
                  <w:ind w:right="854"/>
                  <w:rPr>
                    <w:rFonts w:asciiTheme="minorHAnsi" w:hAnsiTheme="minorHAnsi" w:cstheme="minorHAnsi"/>
                    <w:sz w:val="48"/>
                    <w:szCs w:val="48"/>
                  </w:rPr>
                </w:pPr>
                <w:r>
                  <w:rPr>
                    <w:rFonts w:asciiTheme="minorHAnsi" w:hAnsiTheme="minorHAnsi" w:cstheme="minorHAnsi"/>
                    <w:sz w:val="48"/>
                    <w:szCs w:val="48"/>
                  </w:rPr>
                  <w:t>Re</w:t>
                </w:r>
                <w:r w:rsidR="00961EE5">
                  <w:rPr>
                    <w:rFonts w:asciiTheme="minorHAnsi" w:hAnsiTheme="minorHAnsi" w:cstheme="minorHAnsi"/>
                    <w:sz w:val="48"/>
                    <w:szCs w:val="48"/>
                  </w:rPr>
                  <w:t xml:space="preserve">ply </w:t>
                </w:r>
                <w:r>
                  <w:rPr>
                    <w:rFonts w:asciiTheme="minorHAnsi" w:hAnsiTheme="minorHAnsi" w:cstheme="minorHAnsi"/>
                    <w:sz w:val="48"/>
                    <w:szCs w:val="48"/>
                  </w:rPr>
                  <w:t xml:space="preserve">Form to the </w:t>
                </w:r>
                <w:r w:rsidR="008B2AF1">
                  <w:rPr>
                    <w:rFonts w:asciiTheme="minorHAnsi" w:hAnsiTheme="minorHAnsi" w:cstheme="minorHAnsi"/>
                    <w:sz w:val="48"/>
                    <w:szCs w:val="48"/>
                  </w:rPr>
                  <w:t>C</w:t>
                </w:r>
                <w:r w:rsidR="0063070E">
                  <w:rPr>
                    <w:rFonts w:asciiTheme="minorHAnsi" w:hAnsiTheme="minorHAnsi" w:cstheme="minorHAnsi"/>
                    <w:sz w:val="48"/>
                    <w:szCs w:val="48"/>
                  </w:rPr>
                  <w:t>onsultation Paper</w:t>
                </w:r>
                <w:r w:rsidR="000F74C4">
                  <w:rPr>
                    <w:rFonts w:asciiTheme="minorHAnsi" w:hAnsiTheme="minorHAnsi" w:cstheme="minorHAnsi"/>
                    <w:sz w:val="48"/>
                    <w:szCs w:val="48"/>
                  </w:rPr>
                  <w:t xml:space="preserve"> </w:t>
                </w:r>
              </w:p>
            </w:tc>
          </w:tr>
          <w:tr w:rsidR="00AB6157" w:rsidRPr="00B8572C" w14:paraId="45176498" w14:textId="77777777" w:rsidTr="00D13661">
            <w:trPr>
              <w:trHeight w:hRule="exact" w:val="747"/>
            </w:trPr>
            <w:tc>
              <w:tcPr>
                <w:tcW w:w="10490" w:type="dxa"/>
                <w:tcMar>
                  <w:top w:w="142" w:type="dxa"/>
                </w:tcMar>
              </w:tcPr>
              <w:p w14:paraId="698C9AB8" w14:textId="77777777" w:rsidR="0063070E" w:rsidRDefault="0063070E" w:rsidP="0063070E">
                <w:pPr>
                  <w:pStyle w:val="Podtytu"/>
                  <w:rPr>
                    <w:rFonts w:cs="Arial"/>
                  </w:rPr>
                </w:pPr>
                <w:r>
                  <w:rPr>
                    <w:rFonts w:cs="Arial"/>
                  </w:rPr>
                  <w:t xml:space="preserve">MiFID II review report on position limits and position management </w:t>
                </w:r>
              </w:p>
              <w:p w14:paraId="52187922" w14:textId="77777777" w:rsidR="0063070E" w:rsidRDefault="0063070E" w:rsidP="0063070E">
                <w:pPr>
                  <w:pStyle w:val="Podtytu"/>
                  <w:rPr>
                    <w:rFonts w:cs="Arial"/>
                  </w:rPr>
                </w:pPr>
                <w:r>
                  <w:rPr>
                    <w:rFonts w:cs="Arial"/>
                  </w:rPr>
                  <w:t>Draft Technical Advice on weekly position reports</w:t>
                </w:r>
              </w:p>
              <w:p w14:paraId="0FEBE399" w14:textId="77777777" w:rsidR="0063070E" w:rsidRPr="0063070E" w:rsidRDefault="0063070E" w:rsidP="0063070E"/>
              <w:p w14:paraId="67871AAE" w14:textId="77777777" w:rsidR="00AB6157" w:rsidRPr="00B8572C" w:rsidRDefault="00AB6157" w:rsidP="00AB6157">
                <w:pPr>
                  <w:pStyle w:val="Nagwek2"/>
                  <w:numPr>
                    <w:ilvl w:val="0"/>
                    <w:numId w:val="0"/>
                  </w:numPr>
                  <w:ind w:left="576" w:hanging="576"/>
                </w:pPr>
              </w:p>
            </w:tc>
          </w:tr>
        </w:tbl>
        <w:p w14:paraId="2D7AFDD3" w14:textId="77777777" w:rsidR="00AF2EF7" w:rsidRPr="00B8572C" w:rsidRDefault="00AF2EF7" w:rsidP="00AF2EF7">
          <w:pPr>
            <w:spacing w:line="276" w:lineRule="auto"/>
            <w:rPr>
              <w:rFonts w:asciiTheme="minorHAnsi" w:hAnsiTheme="minorHAnsi" w:cstheme="minorHAnsi"/>
            </w:rPr>
          </w:pPr>
        </w:p>
        <w:p w14:paraId="626862FD"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59AA6DDC"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7A45649D"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5331D71E"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ESMA invites comments on all matters in this paper and in particular on the specific questions summarised in Annex 1. Comments are most helpful if they:</w:t>
          </w:r>
        </w:p>
        <w:p w14:paraId="3A166BF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0937F8C9"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434FF0A4"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6CCF9134"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7202589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w:t>
          </w:r>
          <w:r w:rsidRPr="002C56FD">
            <w:rPr>
              <w:rFonts w:asciiTheme="minorHAnsi" w:eastAsiaTheme="minorEastAsia" w:hAnsiTheme="minorHAnsi" w:cstheme="minorBidi"/>
              <w:sz w:val="22"/>
              <w:szCs w:val="20"/>
              <w:lang w:eastAsia="en-US"/>
            </w:rPr>
            <w:t>received by</w:t>
          </w:r>
          <w:r w:rsidRPr="002C56FD">
            <w:rPr>
              <w:rFonts w:asciiTheme="minorHAnsi" w:eastAsiaTheme="minorEastAsia" w:hAnsiTheme="minorHAnsi" w:cstheme="minorBidi"/>
              <w:b/>
              <w:sz w:val="22"/>
              <w:szCs w:val="20"/>
              <w:lang w:eastAsia="en-US"/>
            </w:rPr>
            <w:t xml:space="preserve"> </w:t>
          </w:r>
          <w:r w:rsidR="00223F79" w:rsidRPr="002C56FD">
            <w:rPr>
              <w:rFonts w:asciiTheme="minorHAnsi" w:eastAsiaTheme="minorEastAsia" w:hAnsiTheme="minorHAnsi" w:cstheme="minorBidi"/>
              <w:b/>
              <w:sz w:val="22"/>
              <w:szCs w:val="20"/>
              <w:lang w:eastAsia="en-US"/>
            </w:rPr>
            <w:t>8</w:t>
          </w:r>
          <w:r w:rsidR="009C3F1A" w:rsidRPr="002C56FD">
            <w:rPr>
              <w:rFonts w:asciiTheme="minorHAnsi" w:eastAsiaTheme="minorEastAsia" w:hAnsiTheme="minorHAnsi" w:cstheme="minorBidi"/>
              <w:b/>
              <w:sz w:val="22"/>
              <w:szCs w:val="20"/>
              <w:lang w:eastAsia="en-US"/>
            </w:rPr>
            <w:t xml:space="preserve"> January </w:t>
          </w:r>
          <w:r w:rsidRPr="002C56FD">
            <w:rPr>
              <w:rFonts w:asciiTheme="minorHAnsi" w:eastAsiaTheme="minorEastAsia" w:hAnsiTheme="minorHAnsi" w:cstheme="minorBidi"/>
              <w:b/>
              <w:sz w:val="22"/>
              <w:szCs w:val="20"/>
              <w:lang w:eastAsia="en-US"/>
            </w:rPr>
            <w:t>20</w:t>
          </w:r>
          <w:r w:rsidR="009C3F1A" w:rsidRPr="002C56FD">
            <w:rPr>
              <w:rFonts w:asciiTheme="minorHAnsi" w:eastAsiaTheme="minorEastAsia" w:hAnsiTheme="minorHAnsi" w:cstheme="minorBidi"/>
              <w:b/>
              <w:sz w:val="22"/>
              <w:szCs w:val="20"/>
              <w:lang w:eastAsia="en-US"/>
            </w:rPr>
            <w:t>20</w:t>
          </w:r>
          <w:r w:rsidRPr="002C56FD">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5F0EB8C8"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6"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Please follow the instructions given in the document ‘Reply form for the </w:t>
          </w:r>
          <w:r w:rsidR="009C3F1A">
            <w:rPr>
              <w:rFonts w:asciiTheme="minorHAnsi" w:eastAsiaTheme="minorEastAsia" w:hAnsiTheme="minorHAnsi" w:cstheme="minorBidi"/>
              <w:sz w:val="22"/>
              <w:szCs w:val="20"/>
              <w:lang w:eastAsia="en-US"/>
            </w:rPr>
            <w:t>consultation paper o</w:t>
          </w:r>
          <w:r w:rsidRPr="00AB6157">
            <w:rPr>
              <w:rFonts w:asciiTheme="minorHAnsi" w:eastAsiaTheme="minorEastAsia" w:hAnsiTheme="minorHAnsi" w:cstheme="minorBidi"/>
              <w:sz w:val="22"/>
              <w:szCs w:val="20"/>
              <w:lang w:eastAsia="en-US"/>
            </w:rPr>
            <w:t xml:space="preserve">n </w:t>
          </w:r>
          <w:r w:rsidR="009C3F1A">
            <w:rPr>
              <w:rFonts w:asciiTheme="minorHAnsi" w:eastAsiaTheme="minorEastAsia" w:hAnsiTheme="minorHAnsi" w:cstheme="minorBidi"/>
              <w:sz w:val="22"/>
              <w:szCs w:val="20"/>
              <w:lang w:eastAsia="en-US"/>
            </w:rPr>
            <w:t>“</w:t>
          </w:r>
          <w:r w:rsidR="009C3F1A" w:rsidRPr="009C3F1A">
            <w:rPr>
              <w:rFonts w:asciiTheme="minorHAnsi" w:eastAsiaTheme="minorEastAsia" w:hAnsiTheme="minorHAnsi" w:cstheme="minorBidi"/>
              <w:color w:val="2F5496" w:themeColor="accent5" w:themeShade="BF"/>
              <w:sz w:val="22"/>
              <w:szCs w:val="20"/>
              <w:lang w:eastAsia="en-US"/>
            </w:rPr>
            <w:t xml:space="preserve">MiFID II review report on position limits and position management and </w:t>
          </w:r>
          <w:r w:rsidR="009C3F1A">
            <w:rPr>
              <w:rFonts w:asciiTheme="minorHAnsi" w:eastAsiaTheme="minorEastAsia" w:hAnsiTheme="minorHAnsi" w:cstheme="minorBidi"/>
              <w:color w:val="2F5496" w:themeColor="accent5" w:themeShade="BF"/>
              <w:sz w:val="22"/>
              <w:szCs w:val="20"/>
              <w:lang w:eastAsia="en-US"/>
            </w:rPr>
            <w:t>draft technical advice on weekly position reports</w:t>
          </w:r>
          <w:r w:rsidRPr="00AB6157">
            <w:rPr>
              <w:rFonts w:asciiTheme="minorHAnsi" w:eastAsiaTheme="minorEastAsia" w:hAnsiTheme="minorHAnsi" w:cstheme="minorBidi"/>
              <w:sz w:val="22"/>
              <w:szCs w:val="20"/>
              <w:lang w:eastAsia="en-US"/>
            </w:rPr>
            <w:t>’ also published on the ESMA website.</w:t>
          </w:r>
        </w:p>
        <w:p w14:paraId="52D3B595"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1EEA08AC"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w:t>
          </w:r>
          <w:r w:rsidR="009C3F1A">
            <w:rPr>
              <w:rFonts w:asciiTheme="minorHAnsi" w:eastAsiaTheme="minorEastAsia" w:hAnsiTheme="minorHAnsi" w:cstheme="minorBidi"/>
              <w:sz w:val="22"/>
              <w:szCs w:val="20"/>
              <w:lang w:eastAsia="en-US"/>
            </w:rPr>
            <w:t xml:space="preserve"> </w:t>
          </w:r>
          <w:r w:rsidR="00223F79">
            <w:rPr>
              <w:rFonts w:asciiTheme="minorHAnsi" w:eastAsiaTheme="minorEastAsia" w:hAnsiTheme="minorHAnsi" w:cstheme="minorBidi"/>
              <w:sz w:val="22"/>
              <w:szCs w:val="20"/>
              <w:lang w:eastAsia="en-US"/>
            </w:rPr>
            <w:t>C</w:t>
          </w:r>
          <w:r w:rsidR="009C3F1A">
            <w:rPr>
              <w:rFonts w:asciiTheme="minorHAnsi" w:eastAsiaTheme="minorEastAsia" w:hAnsiTheme="minorHAnsi" w:cstheme="minorBidi"/>
              <w:sz w:val="22"/>
              <w:szCs w:val="20"/>
              <w:lang w:eastAsia="en-US"/>
            </w:rPr>
            <w:t>onsultation paper</w:t>
          </w:r>
          <w:r w:rsidRPr="00C85C8B">
            <w:rPr>
              <w:rFonts w:asciiTheme="minorHAnsi" w:eastAsiaTheme="minorEastAsia" w:hAnsiTheme="minorHAnsi" w:cstheme="minorBidi"/>
              <w:sz w:val="22"/>
              <w:szCs w:val="20"/>
              <w:lang w:eastAsia="en-US"/>
            </w:rPr>
            <w:t>, respondents are requested to follow the below steps when preparing and submitting their response:</w:t>
          </w:r>
        </w:p>
        <w:p w14:paraId="135B6569" w14:textId="77777777" w:rsidR="00C85C8B" w:rsidRPr="00C85C8B" w:rsidRDefault="00C85C8B" w:rsidP="00B55253">
          <w:pPr>
            <w:pStyle w:val="Akapitzlist"/>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w:t>
          </w:r>
          <w:r w:rsidR="00223F79">
            <w:rPr>
              <w:rFonts w:eastAsiaTheme="minorEastAsia" w:cstheme="minorBidi"/>
              <w:szCs w:val="20"/>
              <w:lang w:eastAsia="en-US"/>
            </w:rPr>
            <w:t>C</w:t>
          </w:r>
          <w:r w:rsidR="009C3F1A">
            <w:rPr>
              <w:rFonts w:eastAsiaTheme="minorEastAsia" w:cstheme="minorBidi"/>
              <w:szCs w:val="20"/>
              <w:lang w:eastAsia="en-US"/>
            </w:rPr>
            <w:t xml:space="preserve">onsultation paper </w:t>
          </w:r>
          <w:r w:rsidRPr="00C85C8B">
            <w:rPr>
              <w:rFonts w:eastAsiaTheme="minorEastAsia" w:cstheme="minorBidi"/>
              <w:szCs w:val="20"/>
              <w:lang w:eastAsia="en-US"/>
            </w:rPr>
            <w:t xml:space="preserve">in the present response form. </w:t>
          </w:r>
        </w:p>
        <w:p w14:paraId="344E2617" w14:textId="77777777" w:rsidR="00C85C8B" w:rsidRPr="00C85C8B" w:rsidRDefault="00C85C8B" w:rsidP="00C85C8B">
          <w:pPr>
            <w:pStyle w:val="Akapitzlist"/>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D5365A">
            <w:rPr>
              <w:rFonts w:eastAsiaTheme="minorEastAsia" w:cstheme="minorBidi"/>
              <w:szCs w:val="20"/>
              <w:lang w:eastAsia="en-US"/>
            </w:rPr>
            <w:t>WPR</w:t>
          </w:r>
          <w:r w:rsidRPr="00C85C8B">
            <w:rPr>
              <w:rFonts w:eastAsiaTheme="minorEastAsia" w:cstheme="minorBidi"/>
              <w:szCs w:val="20"/>
              <w:lang w:eastAsia="en-US"/>
            </w:rPr>
            <w:t>_1&gt;. Your response to each question has to be framed by the two tags corresponding to the question.</w:t>
          </w:r>
        </w:p>
        <w:p w14:paraId="35181BFE" w14:textId="77777777" w:rsidR="00C85C8B" w:rsidRPr="00C85C8B" w:rsidRDefault="00C85C8B" w:rsidP="00C85C8B">
          <w:pPr>
            <w:pStyle w:val="Akapitzlist"/>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78F6BEBB" w14:textId="77777777" w:rsidR="00C85C8B" w:rsidRPr="00C85C8B" w:rsidRDefault="00C85C8B" w:rsidP="00C85C8B">
          <w:pPr>
            <w:pStyle w:val="Akapitzlist"/>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D5365A">
            <w:rPr>
              <w:rFonts w:eastAsiaTheme="minorEastAsia" w:cstheme="minorBidi"/>
              <w:szCs w:val="20"/>
              <w:lang w:eastAsia="en-US"/>
            </w:rPr>
            <w:t>WPR</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D5365A">
            <w:rPr>
              <w:rFonts w:eastAsiaTheme="minorEastAsia" w:cstheme="minorBidi"/>
              <w:szCs w:val="20"/>
              <w:lang w:eastAsia="en-US"/>
            </w:rPr>
            <w:t>WPR</w:t>
          </w:r>
          <w:r w:rsidRPr="00C85C8B">
            <w:rPr>
              <w:rFonts w:eastAsiaTheme="minorEastAsia" w:cstheme="minorBidi"/>
              <w:szCs w:val="20"/>
              <w:lang w:eastAsia="en-US"/>
            </w:rPr>
            <w:t>_ABCD_RESPONSEFORM.</w:t>
          </w:r>
          <w:bookmarkStart w:id="0" w:name="_GoBack"/>
          <w:bookmarkEnd w:id="0"/>
        </w:p>
        <w:p w14:paraId="2CFFF582" w14:textId="77777777" w:rsidR="00C85C8B" w:rsidRPr="00C85C8B" w:rsidRDefault="00C85C8B" w:rsidP="00C85C8B">
          <w:pPr>
            <w:pStyle w:val="Akapitzlist"/>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7"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w:t>
          </w:r>
          <w:r w:rsidR="000F74C4">
            <w:rPr>
              <w:rFonts w:eastAsiaTheme="minorEastAsia" w:cstheme="minorBidi"/>
              <w:szCs w:val="20"/>
              <w:lang w:eastAsia="en-US"/>
            </w:rPr>
            <w:t xml:space="preserve">all for Evidence </w:t>
          </w:r>
          <w:r w:rsidRPr="00C85C8B">
            <w:rPr>
              <w:rFonts w:eastAsiaTheme="minorEastAsia" w:cstheme="minorBidi"/>
              <w:szCs w:val="20"/>
              <w:lang w:eastAsia="en-US"/>
            </w:rPr>
            <w:t xml:space="preserve">on </w:t>
          </w:r>
          <w:r w:rsidR="00AB6157">
            <w:rPr>
              <w:rFonts w:eastAsiaTheme="minorEastAsia" w:cstheme="minorBidi"/>
              <w:szCs w:val="20"/>
              <w:lang w:eastAsia="en-US"/>
            </w:rPr>
            <w:t>Position limits and position management in commodities derivatives</w:t>
          </w:r>
          <w:r w:rsidRPr="00C85C8B">
            <w:rPr>
              <w:rFonts w:eastAsiaTheme="minorEastAsia" w:cstheme="minorBidi"/>
              <w:szCs w:val="20"/>
              <w:lang w:eastAsia="en-US"/>
            </w:rPr>
            <w:t>”).</w:t>
          </w:r>
        </w:p>
        <w:p w14:paraId="727A5384" w14:textId="77777777"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59E2E03E" w14:textId="77777777"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6FC19CF0"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71AE8B09"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Publication of responses</w:t>
          </w:r>
        </w:p>
        <w:p w14:paraId="5018CF2E"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62D0FBBD"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06566E4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19"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3CD28EB6"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74B9B6ED"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interested stakeholders are invited to respond to this consultation paper. This consultation paper is primarily of interest to trading venues, investment firms and non-financial counterparties trading in commodity derivatives, but responses are also sought from any other market participant including trade associations, industry bodies and investors.</w:t>
          </w:r>
        </w:p>
        <w:p w14:paraId="13ABA7FF" w14:textId="77777777" w:rsidR="00AF2EF7" w:rsidRPr="00B8572C" w:rsidRDefault="00716278" w:rsidP="00AF2EF7">
          <w:pPr>
            <w:spacing w:after="120" w:line="276" w:lineRule="auto"/>
            <w:rPr>
              <w:rFonts w:asciiTheme="minorHAnsi" w:hAnsiTheme="minorHAnsi" w:cstheme="minorHAnsi"/>
            </w:rPr>
          </w:pPr>
        </w:p>
      </w:sdtContent>
    </w:sdt>
    <w:p w14:paraId="3B58ABE4" w14:textId="77777777" w:rsidR="00AF2EF7" w:rsidRPr="00B8572C" w:rsidRDefault="00AF2EF7" w:rsidP="00AF2EF7">
      <w:pPr>
        <w:spacing w:after="120" w:line="276" w:lineRule="auto"/>
        <w:rPr>
          <w:rFonts w:asciiTheme="minorHAnsi" w:hAnsiTheme="minorHAnsi" w:cstheme="minorHAnsi"/>
        </w:rPr>
      </w:pPr>
    </w:p>
    <w:p w14:paraId="53C723E4" w14:textId="77777777" w:rsidR="00AF2EF7" w:rsidRPr="00B8572C" w:rsidRDefault="00AF2EF7" w:rsidP="00AF2EF7">
      <w:pPr>
        <w:spacing w:after="120" w:line="276" w:lineRule="auto"/>
        <w:rPr>
          <w:rFonts w:asciiTheme="minorHAnsi" w:hAnsiTheme="minorHAnsi" w:cstheme="minorHAnsi"/>
        </w:rPr>
      </w:pPr>
    </w:p>
    <w:p w14:paraId="19B8C868" w14:textId="77777777" w:rsidR="00AF2EF7" w:rsidRPr="00C1698A" w:rsidRDefault="00AF2EF7" w:rsidP="00C1698A">
      <w:pPr>
        <w:pStyle w:val="Nagwek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60ED0ACE" w14:textId="77777777" w:rsidR="00C85C8B" w:rsidRDefault="00C85C8B" w:rsidP="00C1698A">
      <w:pPr>
        <w:spacing w:line="276" w:lineRule="auto"/>
        <w:rPr>
          <w:rFonts w:asciiTheme="minorHAnsi" w:hAnsiTheme="minorHAnsi" w:cstheme="minorHAnsi"/>
          <w:b/>
          <w:sz w:val="28"/>
          <w:szCs w:val="28"/>
        </w:rPr>
      </w:pPr>
      <w:bookmarkStart w:id="1" w:name="_Toc515564428"/>
    </w:p>
    <w:p w14:paraId="00C4768D" w14:textId="77777777" w:rsidR="00C85C8B" w:rsidRDefault="00C85C8B" w:rsidP="00C1698A">
      <w:pPr>
        <w:spacing w:line="276" w:lineRule="auto"/>
        <w:rPr>
          <w:rFonts w:asciiTheme="minorHAnsi" w:hAnsiTheme="minorHAnsi" w:cstheme="minorHAnsi"/>
          <w:b/>
          <w:sz w:val="28"/>
          <w:szCs w:val="28"/>
        </w:rPr>
      </w:pPr>
    </w:p>
    <w:p w14:paraId="0C04C06A" w14:textId="77777777" w:rsidR="00C85C8B" w:rsidRDefault="00C85C8B" w:rsidP="00C1698A">
      <w:pPr>
        <w:spacing w:line="276" w:lineRule="auto"/>
        <w:rPr>
          <w:rFonts w:asciiTheme="minorHAnsi" w:hAnsiTheme="minorHAnsi" w:cstheme="minorHAnsi"/>
          <w:b/>
          <w:sz w:val="28"/>
          <w:szCs w:val="28"/>
        </w:rPr>
      </w:pPr>
    </w:p>
    <w:p w14:paraId="2D565709"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2822AA9E" w14:textId="77777777" w:rsidTr="00B55253">
        <w:tc>
          <w:tcPr>
            <w:tcW w:w="3929" w:type="dxa"/>
            <w:shd w:val="clear" w:color="auto" w:fill="auto"/>
          </w:tcPr>
          <w:p w14:paraId="6455BFE8" w14:textId="77777777" w:rsidR="00C85C8B" w:rsidRPr="00C85C8B" w:rsidRDefault="00C85C8B" w:rsidP="00C85C8B">
            <w:pPr>
              <w:rPr>
                <w:rFonts w:ascii="Arial" w:hAnsi="Arial" w:cs="Arial"/>
                <w:sz w:val="22"/>
                <w:lang w:eastAsia="de-DE"/>
              </w:rPr>
            </w:pPr>
            <w:permStart w:id="263351423"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val="pl-PL" w:eastAsia="de-DE"/>
            </w:rPr>
            <w:id w:val="-1905066999"/>
            <w:text/>
          </w:sdtPr>
          <w:sdtEndPr/>
          <w:sdtContent>
            <w:tc>
              <w:tcPr>
                <w:tcW w:w="5595" w:type="dxa"/>
                <w:shd w:val="clear" w:color="auto" w:fill="auto"/>
              </w:tcPr>
              <w:p w14:paraId="48B0225A" w14:textId="77777777" w:rsidR="00C85C8B" w:rsidRPr="003F30CC" w:rsidRDefault="00B55253" w:rsidP="00B55253">
                <w:pPr>
                  <w:rPr>
                    <w:rFonts w:ascii="Arial" w:hAnsi="Arial" w:cs="Arial"/>
                    <w:color w:val="808080"/>
                    <w:sz w:val="20"/>
                    <w:lang w:val="pl-PL" w:eastAsia="de-DE"/>
                  </w:rPr>
                </w:pPr>
                <w:r w:rsidRPr="003F30CC">
                  <w:rPr>
                    <w:rFonts w:ascii="Arial" w:hAnsi="Arial" w:cs="Arial"/>
                    <w:color w:val="808080"/>
                    <w:sz w:val="20"/>
                    <w:lang w:val="pl-PL" w:eastAsia="de-DE"/>
                  </w:rPr>
                  <w:t>TAURON Polska Energia S.A.</w:t>
                </w:r>
              </w:p>
            </w:tc>
          </w:sdtContent>
        </w:sdt>
      </w:tr>
      <w:tr w:rsidR="00C85C8B" w:rsidRPr="00C85C8B" w14:paraId="2123F642" w14:textId="77777777" w:rsidTr="00B55253">
        <w:tc>
          <w:tcPr>
            <w:tcW w:w="3929" w:type="dxa"/>
            <w:shd w:val="clear" w:color="auto" w:fill="auto"/>
          </w:tcPr>
          <w:p w14:paraId="54F833A8" w14:textId="77777777" w:rsidR="00C85C8B" w:rsidRPr="00C85C8B" w:rsidRDefault="00C85C8B" w:rsidP="00C85C8B">
            <w:pPr>
              <w:rPr>
                <w:rFonts w:ascii="Arial" w:hAnsi="Arial" w:cs="Arial"/>
                <w:sz w:val="22"/>
                <w:lang w:eastAsia="de-DE"/>
              </w:rPr>
            </w:pPr>
            <w:permStart w:id="1875008934" w:edGrp="everyone" w:colFirst="1" w:colLast="1"/>
            <w:permEnd w:id="263351423"/>
            <w:r w:rsidRPr="00C85C8B">
              <w:rPr>
                <w:rFonts w:ascii="Arial" w:hAnsi="Arial" w:cs="Arial"/>
                <w:sz w:val="22"/>
                <w:lang w:eastAsia="de-DE"/>
              </w:rPr>
              <w:t>Activity</w:t>
            </w:r>
          </w:p>
        </w:tc>
        <w:tc>
          <w:tcPr>
            <w:tcW w:w="5595" w:type="dxa"/>
            <w:shd w:val="clear" w:color="auto" w:fill="auto"/>
          </w:tcPr>
          <w:p w14:paraId="50E2A014" w14:textId="77777777" w:rsidR="00C85C8B" w:rsidRPr="00C85C8B" w:rsidRDefault="00716278"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B55253">
                  <w:rPr>
                    <w:rFonts w:ascii="Arial" w:hAnsi="Arial" w:cs="Arial"/>
                    <w:sz w:val="20"/>
                    <w:lang w:eastAsia="de-DE"/>
                  </w:rPr>
                  <w:t>Non-financial counterparty</w:t>
                </w:r>
              </w:sdtContent>
            </w:sdt>
          </w:p>
        </w:tc>
      </w:tr>
      <w:tr w:rsidR="00C85C8B" w:rsidRPr="00C85C8B" w14:paraId="2E6B4980" w14:textId="77777777" w:rsidTr="00B55253">
        <w:tc>
          <w:tcPr>
            <w:tcW w:w="3929" w:type="dxa"/>
            <w:shd w:val="clear" w:color="auto" w:fill="auto"/>
          </w:tcPr>
          <w:p w14:paraId="7BAB1764" w14:textId="77777777" w:rsidR="00C85C8B" w:rsidRPr="00C85C8B" w:rsidRDefault="00C85C8B" w:rsidP="00C85C8B">
            <w:pPr>
              <w:rPr>
                <w:rFonts w:ascii="Arial" w:hAnsi="Arial" w:cs="Arial"/>
                <w:sz w:val="22"/>
                <w:lang w:eastAsia="de-DE"/>
              </w:rPr>
            </w:pPr>
            <w:permStart w:id="147991067" w:edGrp="everyone" w:colFirst="1" w:colLast="1"/>
            <w:permEnd w:id="1875008934"/>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DAD5A3A" w14:textId="77777777" w:rsidR="00C85C8B" w:rsidRPr="00C85C8B" w:rsidRDefault="00B55253" w:rsidP="00C85C8B">
                <w:pPr>
                  <w:rPr>
                    <w:rFonts w:ascii="Arial" w:hAnsi="Arial" w:cs="Arial"/>
                    <w:sz w:val="20"/>
                    <w:lang w:eastAsia="de-DE"/>
                  </w:rPr>
                </w:pPr>
                <w:r>
                  <w:rPr>
                    <w:rFonts w:ascii="MS Gothic" w:eastAsia="MS Gothic" w:hAnsi="MS Gothic" w:cs="Arial" w:hint="eastAsia"/>
                    <w:sz w:val="20"/>
                    <w:lang w:eastAsia="de-DE"/>
                  </w:rPr>
                  <w:t>☐</w:t>
                </w:r>
              </w:p>
            </w:tc>
          </w:sdtContent>
        </w:sdt>
      </w:tr>
      <w:tr w:rsidR="00C85C8B" w:rsidRPr="00C85C8B" w14:paraId="3E41801B" w14:textId="77777777" w:rsidTr="00B55253">
        <w:tc>
          <w:tcPr>
            <w:tcW w:w="3929" w:type="dxa"/>
            <w:shd w:val="clear" w:color="auto" w:fill="auto"/>
          </w:tcPr>
          <w:p w14:paraId="64EF72AA" w14:textId="77777777" w:rsidR="00C85C8B" w:rsidRPr="00C85C8B" w:rsidRDefault="00C85C8B" w:rsidP="00C85C8B">
            <w:pPr>
              <w:rPr>
                <w:rFonts w:ascii="Arial" w:hAnsi="Arial" w:cs="Arial"/>
                <w:sz w:val="22"/>
                <w:lang w:eastAsia="de-DE"/>
              </w:rPr>
            </w:pPr>
            <w:permStart w:id="744754143" w:edGrp="everyone" w:colFirst="1" w:colLast="1"/>
            <w:permEnd w:id="147991067"/>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510EC251" w14:textId="77777777" w:rsidR="00C85C8B" w:rsidRPr="00C85C8B" w:rsidRDefault="00B55253" w:rsidP="00C85C8B">
                <w:pPr>
                  <w:rPr>
                    <w:rFonts w:ascii="Arial" w:hAnsi="Arial" w:cs="Arial"/>
                    <w:sz w:val="20"/>
                    <w:lang w:eastAsia="de-DE"/>
                  </w:rPr>
                </w:pPr>
                <w:r>
                  <w:rPr>
                    <w:rFonts w:ascii="Arial" w:hAnsi="Arial" w:cs="Arial"/>
                    <w:sz w:val="20"/>
                    <w:lang w:eastAsia="de-DE"/>
                  </w:rPr>
                  <w:t>Poland</w:t>
                </w:r>
              </w:p>
            </w:tc>
          </w:sdtContent>
        </w:sdt>
      </w:tr>
      <w:permEnd w:id="744754143"/>
    </w:tbl>
    <w:p w14:paraId="71DC6E1D"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3079345D"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34DAA7E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43692EA0"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352E8FCF"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564FD050"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D5365A">
        <w:rPr>
          <w:rFonts w:asciiTheme="minorHAnsi" w:eastAsiaTheme="minorEastAsia" w:hAnsiTheme="minorHAnsi" w:cstheme="minorBidi"/>
          <w:sz w:val="22"/>
          <w:szCs w:val="20"/>
          <w:lang w:eastAsia="en-US"/>
        </w:rPr>
        <w:t>WPR</w:t>
      </w:r>
      <w:r w:rsidRPr="00C85C8B">
        <w:rPr>
          <w:rFonts w:asciiTheme="minorHAnsi" w:eastAsiaTheme="minorEastAsia" w:hAnsiTheme="minorHAnsi" w:cstheme="minorBidi"/>
          <w:sz w:val="22"/>
          <w:szCs w:val="20"/>
          <w:lang w:eastAsia="en-US"/>
        </w:rPr>
        <w:t>_1&gt;</w:t>
      </w:r>
    </w:p>
    <w:p w14:paraId="4EF77E47" w14:textId="4301AE81" w:rsidR="00C85C8B" w:rsidRPr="00B55253" w:rsidRDefault="00B55253" w:rsidP="008A2611">
      <w:pPr>
        <w:shd w:val="clear" w:color="auto" w:fill="FFFFFF"/>
        <w:spacing w:before="100" w:beforeAutospacing="1" w:after="150" w:line="270" w:lineRule="atLeast"/>
        <w:jc w:val="both"/>
        <w:textAlignment w:val="top"/>
        <w:rPr>
          <w:rFonts w:ascii="Arial" w:hAnsi="Arial" w:cs="Arial"/>
          <w:color w:val="4C4C4C"/>
          <w:sz w:val="23"/>
          <w:szCs w:val="23"/>
          <w:lang w:val="en-US" w:eastAsia="pl-PL"/>
        </w:rPr>
      </w:pPr>
      <w:permStart w:id="1116423547" w:edGrp="everyone"/>
      <w:r w:rsidRPr="004A0189">
        <w:rPr>
          <w:rFonts w:ascii="Arial" w:hAnsi="Arial" w:cs="Arial"/>
          <w:color w:val="4C4C4C"/>
          <w:sz w:val="23"/>
          <w:szCs w:val="23"/>
          <w:lang w:val="en-US" w:eastAsia="pl-PL"/>
        </w:rPr>
        <w:t xml:space="preserve">TAURON Polska Energia S.A. is the mother company in the TAURON Group – one of the largest business entities in Poland, with over equity </w:t>
      </w:r>
      <w:r w:rsidR="00712FC5">
        <w:rPr>
          <w:rFonts w:ascii="Arial" w:hAnsi="Arial" w:cs="Arial"/>
          <w:color w:val="4C4C4C"/>
          <w:sz w:val="23"/>
          <w:szCs w:val="23"/>
          <w:lang w:val="en-US" w:eastAsia="pl-PL"/>
        </w:rPr>
        <w:t xml:space="preserve">15 billion equity </w:t>
      </w:r>
      <w:r w:rsidRPr="004A0189">
        <w:rPr>
          <w:rFonts w:ascii="Arial" w:hAnsi="Arial" w:cs="Arial"/>
          <w:color w:val="4C4C4C"/>
          <w:sz w:val="23"/>
          <w:szCs w:val="23"/>
          <w:lang w:val="en-US" w:eastAsia="pl-PL"/>
        </w:rPr>
        <w:t>and approximately 25 thousand employees. </w:t>
      </w:r>
      <w:r w:rsidRPr="003F30CC">
        <w:rPr>
          <w:rFonts w:ascii="Arial" w:hAnsi="Arial" w:cs="Arial"/>
          <w:color w:val="4C4C4C"/>
          <w:sz w:val="23"/>
          <w:szCs w:val="23"/>
          <w:lang w:eastAsia="pl-PL"/>
        </w:rPr>
        <w:t xml:space="preserve">TAURON Polska Energia S.A. has its registered office in Katowice. Since June 2010, TAURON Polska Energia S.A. has been listed on the Warsaw Stock Exchange and its largest shareholders are the State Treasury, KGHM Polska Miedź </w:t>
      </w:r>
      <w:r w:rsidR="0090009E" w:rsidRPr="003F30CC">
        <w:rPr>
          <w:rFonts w:ascii="Arial" w:hAnsi="Arial" w:cs="Arial"/>
          <w:color w:val="4C4C4C"/>
          <w:sz w:val="23"/>
          <w:szCs w:val="23"/>
          <w:lang w:eastAsia="pl-PL"/>
        </w:rPr>
        <w:t xml:space="preserve">S.A. </w:t>
      </w:r>
      <w:r w:rsidRPr="003F30CC">
        <w:rPr>
          <w:rFonts w:ascii="Arial" w:hAnsi="Arial" w:cs="Arial"/>
          <w:color w:val="4C4C4C"/>
          <w:sz w:val="23"/>
          <w:szCs w:val="23"/>
          <w:lang w:eastAsia="pl-PL"/>
        </w:rPr>
        <w:t xml:space="preserve">and Nationale-Nederlanden OFE. TAURON stock is included in the prestigious WIG20 index. </w:t>
      </w:r>
      <w:r w:rsidRPr="00B55253">
        <w:rPr>
          <w:rFonts w:ascii="Arial" w:hAnsi="Arial" w:cs="Arial"/>
          <w:color w:val="4C4C4C"/>
          <w:sz w:val="23"/>
          <w:szCs w:val="23"/>
          <w:lang w:val="en-US" w:eastAsia="pl-PL"/>
        </w:rPr>
        <w:t>Core businesses of the TAURON</w:t>
      </w:r>
      <w:r w:rsidR="008C0D29">
        <w:rPr>
          <w:rFonts w:ascii="Arial" w:hAnsi="Arial" w:cs="Arial"/>
          <w:color w:val="4C4C4C"/>
          <w:sz w:val="23"/>
          <w:szCs w:val="23"/>
          <w:lang w:val="en-US" w:eastAsia="pl-PL"/>
        </w:rPr>
        <w:t xml:space="preserve"> </w:t>
      </w:r>
      <w:r w:rsidRPr="00B55253">
        <w:rPr>
          <w:rFonts w:ascii="Arial" w:hAnsi="Arial" w:cs="Arial"/>
          <w:color w:val="4C4C4C"/>
          <w:sz w:val="23"/>
          <w:szCs w:val="23"/>
          <w:lang w:val="en-US" w:eastAsia="pl-PL"/>
        </w:rPr>
        <w:t xml:space="preserve">Group include hard </w:t>
      </w:r>
      <w:r>
        <w:rPr>
          <w:rFonts w:ascii="Arial" w:hAnsi="Arial" w:cs="Arial"/>
          <w:color w:val="4C4C4C"/>
          <w:sz w:val="23"/>
          <w:szCs w:val="23"/>
          <w:lang w:val="en-US" w:eastAsia="pl-PL"/>
        </w:rPr>
        <w:t xml:space="preserve">coal </w:t>
      </w:r>
      <w:r w:rsidRPr="00B55253">
        <w:rPr>
          <w:rFonts w:ascii="Arial" w:hAnsi="Arial" w:cs="Arial"/>
          <w:color w:val="4C4C4C"/>
          <w:sz w:val="23"/>
          <w:szCs w:val="23"/>
          <w:lang w:val="en-US" w:eastAsia="pl-PL"/>
        </w:rPr>
        <w:t>mining, generation, distribution and supply of electricity and heat.</w:t>
      </w:r>
      <w:r>
        <w:rPr>
          <w:rFonts w:ascii="Arial" w:hAnsi="Arial" w:cs="Arial"/>
          <w:color w:val="4C4C4C"/>
          <w:sz w:val="23"/>
          <w:szCs w:val="23"/>
          <w:lang w:val="en-US" w:eastAsia="pl-PL"/>
        </w:rPr>
        <w:t xml:space="preserve"> </w:t>
      </w:r>
      <w:r w:rsidRPr="00B55253">
        <w:rPr>
          <w:rFonts w:ascii="Arial" w:hAnsi="Arial" w:cs="Arial"/>
          <w:bCs/>
          <w:color w:val="4C4C4C"/>
          <w:sz w:val="23"/>
          <w:szCs w:val="23"/>
          <w:lang w:val="en-US" w:eastAsia="pl-PL"/>
        </w:rPr>
        <w:t>The TAURON Group</w:t>
      </w:r>
      <w:r w:rsidR="00BD6F04">
        <w:rPr>
          <w:rFonts w:ascii="Arial" w:hAnsi="Arial" w:cs="Arial"/>
          <w:color w:val="4C4C4C"/>
          <w:sz w:val="23"/>
          <w:szCs w:val="23"/>
          <w:lang w:val="en-US" w:eastAsia="pl-PL"/>
        </w:rPr>
        <w:t xml:space="preserve"> distributes</w:t>
      </w:r>
      <w:r w:rsidRPr="00B55253">
        <w:rPr>
          <w:rFonts w:ascii="Arial" w:hAnsi="Arial" w:cs="Arial"/>
          <w:color w:val="4C4C4C"/>
          <w:sz w:val="23"/>
          <w:szCs w:val="23"/>
          <w:lang w:val="en-US" w:eastAsia="pl-PL"/>
        </w:rPr>
        <w:t xml:space="preserve"> approximately 50 TWh of electricity to over 5.5 million customers per year which makes it the largest distributor of electricity </w:t>
      </w:r>
      <w:r w:rsidR="00BD6F04">
        <w:rPr>
          <w:rFonts w:ascii="Arial" w:hAnsi="Arial" w:cs="Arial"/>
          <w:color w:val="4C4C4C"/>
          <w:sz w:val="23"/>
          <w:szCs w:val="23"/>
          <w:lang w:val="en-US" w:eastAsia="pl-PL"/>
        </w:rPr>
        <w:t>in Poland. It is also one of the</w:t>
      </w:r>
      <w:r w:rsidRPr="00B55253">
        <w:rPr>
          <w:rFonts w:ascii="Arial" w:hAnsi="Arial" w:cs="Arial"/>
          <w:color w:val="4C4C4C"/>
          <w:sz w:val="23"/>
          <w:szCs w:val="23"/>
          <w:lang w:val="en-US" w:eastAsia="pl-PL"/>
        </w:rPr>
        <w:t xml:space="preserve"> largest electricity generator and supplier in Poland and the largest su</w:t>
      </w:r>
      <w:r w:rsidR="00BD6F04">
        <w:rPr>
          <w:rFonts w:ascii="Arial" w:hAnsi="Arial" w:cs="Arial"/>
          <w:color w:val="4C4C4C"/>
          <w:sz w:val="23"/>
          <w:szCs w:val="23"/>
          <w:lang w:val="en-US" w:eastAsia="pl-PL"/>
        </w:rPr>
        <w:t>pplier of heat in Upper Silesia</w:t>
      </w:r>
      <w:r w:rsidR="0090009E">
        <w:rPr>
          <w:rFonts w:ascii="Arial" w:hAnsi="Arial" w:cs="Arial"/>
          <w:color w:val="4C4C4C"/>
          <w:sz w:val="23"/>
          <w:szCs w:val="23"/>
          <w:lang w:val="en-US" w:eastAsia="pl-PL"/>
        </w:rPr>
        <w:t xml:space="preserve">. </w:t>
      </w:r>
      <w:r w:rsidR="0090009E" w:rsidRPr="0090009E">
        <w:rPr>
          <w:rFonts w:ascii="Arial" w:hAnsi="Arial" w:cs="Arial"/>
          <w:bCs/>
          <w:color w:val="4C4C4C"/>
          <w:sz w:val="23"/>
          <w:szCs w:val="23"/>
          <w:lang w:val="en-US" w:eastAsia="pl-PL"/>
        </w:rPr>
        <w:t>Major subsidiaries of the TAURON Group include, among others:</w:t>
      </w:r>
      <w:r w:rsidR="0090009E" w:rsidRPr="0090009E">
        <w:rPr>
          <w:rFonts w:ascii="Arial" w:hAnsi="Arial" w:cs="Arial"/>
          <w:color w:val="4C4C4C"/>
          <w:sz w:val="23"/>
          <w:szCs w:val="23"/>
          <w:lang w:val="en-US" w:eastAsia="pl-PL"/>
        </w:rPr>
        <w:t xml:space="preserve"> </w:t>
      </w:r>
      <w:r w:rsidR="0090009E" w:rsidRPr="0090009E">
        <w:rPr>
          <w:rFonts w:ascii="Arial" w:hAnsi="Arial" w:cs="Arial"/>
          <w:bCs/>
          <w:color w:val="4C4C4C"/>
          <w:sz w:val="23"/>
          <w:szCs w:val="23"/>
          <w:lang w:val="en-US" w:eastAsia="pl-PL"/>
        </w:rPr>
        <w:t>TAURON Wydobycie S.A</w:t>
      </w:r>
      <w:r w:rsidR="0090009E" w:rsidRPr="0090009E">
        <w:rPr>
          <w:rFonts w:ascii="Arial" w:hAnsi="Arial" w:cs="Arial"/>
          <w:color w:val="4C4C4C"/>
          <w:sz w:val="23"/>
          <w:szCs w:val="23"/>
          <w:lang w:val="en-US" w:eastAsia="pl-PL"/>
        </w:rPr>
        <w:t xml:space="preserve">. dealing with coal mining, </w:t>
      </w:r>
      <w:r w:rsidR="0090009E" w:rsidRPr="0090009E">
        <w:rPr>
          <w:rFonts w:ascii="Arial" w:hAnsi="Arial" w:cs="Arial"/>
          <w:bCs/>
          <w:color w:val="4C4C4C"/>
          <w:sz w:val="23"/>
          <w:szCs w:val="23"/>
          <w:lang w:val="en-US" w:eastAsia="pl-PL"/>
        </w:rPr>
        <w:t>TAURON Wytwarzanie S.A.</w:t>
      </w:r>
      <w:r w:rsidR="0090009E" w:rsidRPr="0090009E">
        <w:rPr>
          <w:rFonts w:ascii="Arial" w:hAnsi="Arial" w:cs="Arial"/>
          <w:color w:val="4C4C4C"/>
          <w:sz w:val="23"/>
          <w:szCs w:val="23"/>
          <w:lang w:val="en-US" w:eastAsia="pl-PL"/>
        </w:rPr>
        <w:t xml:space="preserve"> dealing with electricity generation from conventional sources and biomas co-firing, </w:t>
      </w:r>
      <w:r w:rsidR="0090009E" w:rsidRPr="0090009E">
        <w:rPr>
          <w:rFonts w:ascii="Arial" w:hAnsi="Arial" w:cs="Arial"/>
          <w:bCs/>
          <w:color w:val="4C4C4C"/>
          <w:sz w:val="23"/>
          <w:szCs w:val="23"/>
          <w:lang w:val="en-US" w:eastAsia="pl-PL"/>
        </w:rPr>
        <w:t>TAURON Ekoenergia sp. z o.o.</w:t>
      </w:r>
      <w:r w:rsidR="0090009E" w:rsidRPr="0090009E">
        <w:rPr>
          <w:rFonts w:ascii="Arial" w:hAnsi="Arial" w:cs="Arial"/>
          <w:color w:val="4C4C4C"/>
          <w:sz w:val="23"/>
          <w:szCs w:val="23"/>
          <w:lang w:val="en-US" w:eastAsia="pl-PL"/>
        </w:rPr>
        <w:t xml:space="preserve"> dealing with electricity generation from renewable sources, </w:t>
      </w:r>
      <w:r w:rsidR="0090009E" w:rsidRPr="0090009E">
        <w:rPr>
          <w:rFonts w:ascii="Arial" w:hAnsi="Arial" w:cs="Arial"/>
          <w:bCs/>
          <w:color w:val="4C4C4C"/>
          <w:sz w:val="23"/>
          <w:szCs w:val="23"/>
          <w:lang w:val="en-US" w:eastAsia="pl-PL"/>
        </w:rPr>
        <w:t>TAURON Dystrybucja S.A.</w:t>
      </w:r>
      <w:r w:rsidR="0090009E" w:rsidRPr="0090009E">
        <w:rPr>
          <w:rFonts w:ascii="Arial" w:hAnsi="Arial" w:cs="Arial"/>
          <w:color w:val="4C4C4C"/>
          <w:sz w:val="23"/>
          <w:szCs w:val="23"/>
          <w:lang w:val="en-US" w:eastAsia="pl-PL"/>
        </w:rPr>
        <w:t xml:space="preserve"> dealing with electricity distribution, </w:t>
      </w:r>
      <w:r w:rsidR="0090009E" w:rsidRPr="0090009E">
        <w:rPr>
          <w:rFonts w:ascii="Arial" w:hAnsi="Arial" w:cs="Arial"/>
          <w:bCs/>
          <w:color w:val="4C4C4C"/>
          <w:sz w:val="23"/>
          <w:szCs w:val="23"/>
          <w:lang w:val="en-US" w:eastAsia="pl-PL"/>
        </w:rPr>
        <w:t>TAURON Sprzedaż sp. z o.o.</w:t>
      </w:r>
      <w:r w:rsidR="0090009E" w:rsidRPr="0090009E">
        <w:rPr>
          <w:rFonts w:ascii="Arial" w:hAnsi="Arial" w:cs="Arial"/>
          <w:color w:val="4C4C4C"/>
          <w:sz w:val="23"/>
          <w:szCs w:val="23"/>
          <w:lang w:val="en-US" w:eastAsia="pl-PL"/>
        </w:rPr>
        <w:t xml:space="preserve"> dealing with electricity supply to retail customers, </w:t>
      </w:r>
      <w:r w:rsidR="0090009E" w:rsidRPr="0090009E">
        <w:rPr>
          <w:rFonts w:ascii="Arial" w:hAnsi="Arial" w:cs="Arial"/>
          <w:bCs/>
          <w:color w:val="4C4C4C"/>
          <w:sz w:val="23"/>
          <w:szCs w:val="23"/>
          <w:lang w:val="en-US" w:eastAsia="pl-PL"/>
        </w:rPr>
        <w:t>TAURON Obsługa Klienta sp. z</w:t>
      </w:r>
      <w:r w:rsidR="0090009E" w:rsidRPr="0090009E">
        <w:rPr>
          <w:rFonts w:ascii="Arial" w:hAnsi="Arial" w:cs="Arial"/>
          <w:b/>
          <w:bCs/>
          <w:color w:val="4C4C4C"/>
          <w:sz w:val="23"/>
          <w:szCs w:val="23"/>
          <w:lang w:val="en-US" w:eastAsia="pl-PL"/>
        </w:rPr>
        <w:t xml:space="preserve"> </w:t>
      </w:r>
      <w:r w:rsidR="0090009E" w:rsidRPr="0090009E">
        <w:rPr>
          <w:rFonts w:ascii="Arial" w:hAnsi="Arial" w:cs="Arial"/>
          <w:bCs/>
          <w:color w:val="4C4C4C"/>
          <w:sz w:val="23"/>
          <w:szCs w:val="23"/>
          <w:lang w:val="en-US" w:eastAsia="pl-PL"/>
        </w:rPr>
        <w:t>o.o.</w:t>
      </w:r>
      <w:r w:rsidR="0090009E" w:rsidRPr="0090009E">
        <w:rPr>
          <w:rFonts w:ascii="Arial" w:hAnsi="Arial" w:cs="Arial"/>
          <w:color w:val="4C4C4C"/>
          <w:sz w:val="23"/>
          <w:szCs w:val="23"/>
          <w:lang w:val="en-US" w:eastAsia="pl-PL"/>
        </w:rPr>
        <w:t xml:space="preserve"> dealing with customer service, </w:t>
      </w:r>
      <w:r w:rsidR="0090009E" w:rsidRPr="0090009E">
        <w:rPr>
          <w:rFonts w:ascii="Arial" w:hAnsi="Arial" w:cs="Arial"/>
          <w:bCs/>
          <w:color w:val="4C4C4C"/>
          <w:sz w:val="23"/>
          <w:szCs w:val="23"/>
          <w:lang w:val="en-US" w:eastAsia="pl-PL"/>
        </w:rPr>
        <w:t>TAURON Ciepło sp. z o.o.</w:t>
      </w:r>
      <w:r w:rsidR="0090009E" w:rsidRPr="0090009E">
        <w:rPr>
          <w:rFonts w:ascii="Arial" w:hAnsi="Arial" w:cs="Arial"/>
          <w:color w:val="4C4C4C"/>
          <w:sz w:val="23"/>
          <w:szCs w:val="23"/>
          <w:lang w:val="en-US" w:eastAsia="pl-PL"/>
        </w:rPr>
        <w:t> dealing with heat distribution.</w:t>
      </w:r>
    </w:p>
    <w:permEnd w:id="1116423547"/>
    <w:p w14:paraId="07B4553E"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D5365A">
        <w:rPr>
          <w:rFonts w:asciiTheme="minorHAnsi" w:eastAsiaTheme="minorEastAsia" w:hAnsiTheme="minorHAnsi" w:cs="Arial"/>
          <w:sz w:val="22"/>
          <w:szCs w:val="20"/>
          <w:lang w:eastAsia="en-US"/>
        </w:rPr>
        <w:t>WPR</w:t>
      </w:r>
      <w:r w:rsidRPr="00C85C8B">
        <w:rPr>
          <w:rFonts w:asciiTheme="minorHAnsi" w:eastAsiaTheme="minorEastAsia" w:hAnsiTheme="minorHAnsi" w:cstheme="minorBidi"/>
          <w:sz w:val="22"/>
          <w:szCs w:val="20"/>
          <w:lang w:eastAsia="en-US"/>
        </w:rPr>
        <w:t>_1&gt;</w:t>
      </w:r>
    </w:p>
    <w:p w14:paraId="2C36F122" w14:textId="77777777" w:rsidR="00C85C8B" w:rsidRDefault="00C85C8B" w:rsidP="00C1698A">
      <w:pPr>
        <w:spacing w:line="276" w:lineRule="auto"/>
        <w:rPr>
          <w:rFonts w:asciiTheme="minorHAnsi" w:hAnsiTheme="minorHAnsi" w:cstheme="minorHAnsi"/>
          <w:b/>
          <w:sz w:val="28"/>
          <w:szCs w:val="28"/>
        </w:rPr>
      </w:pPr>
    </w:p>
    <w:p w14:paraId="52CD7560" w14:textId="77777777" w:rsidR="00C85C8B" w:rsidRDefault="00C85C8B" w:rsidP="00C1698A">
      <w:pPr>
        <w:spacing w:line="276" w:lineRule="auto"/>
        <w:rPr>
          <w:rFonts w:asciiTheme="minorHAnsi" w:hAnsiTheme="minorHAnsi" w:cstheme="minorHAnsi"/>
          <w:b/>
          <w:sz w:val="28"/>
          <w:szCs w:val="28"/>
        </w:rPr>
      </w:pPr>
    </w:p>
    <w:p w14:paraId="2F1CBD6A" w14:textId="77777777" w:rsidR="00C85C8B" w:rsidRDefault="00C85C8B" w:rsidP="00C1698A">
      <w:pPr>
        <w:spacing w:line="276" w:lineRule="auto"/>
        <w:rPr>
          <w:rFonts w:asciiTheme="minorHAnsi" w:hAnsiTheme="minorHAnsi" w:cstheme="minorHAnsi"/>
          <w:b/>
          <w:sz w:val="28"/>
          <w:szCs w:val="28"/>
        </w:rPr>
      </w:pPr>
    </w:p>
    <w:p w14:paraId="7C9B67AB" w14:textId="77777777" w:rsidR="00C85C8B" w:rsidRDefault="00C85C8B" w:rsidP="00C1698A">
      <w:pPr>
        <w:spacing w:line="276" w:lineRule="auto"/>
        <w:rPr>
          <w:rFonts w:asciiTheme="minorHAnsi" w:hAnsiTheme="minorHAnsi" w:cstheme="minorHAnsi"/>
          <w:b/>
          <w:sz w:val="28"/>
          <w:szCs w:val="28"/>
        </w:rPr>
      </w:pPr>
    </w:p>
    <w:p w14:paraId="70E4F4FE" w14:textId="77777777" w:rsidR="00C85C8B" w:rsidRDefault="00C85C8B" w:rsidP="00C1698A">
      <w:pPr>
        <w:spacing w:line="276" w:lineRule="auto"/>
        <w:rPr>
          <w:rFonts w:asciiTheme="minorHAnsi" w:hAnsiTheme="minorHAnsi" w:cstheme="minorHAnsi"/>
          <w:b/>
          <w:sz w:val="28"/>
          <w:szCs w:val="28"/>
        </w:rPr>
      </w:pPr>
    </w:p>
    <w:p w14:paraId="1A97A771"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46FF5492" w14:textId="77777777"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4C5C398F" w14:textId="77777777" w:rsidR="00D5365A" w:rsidRDefault="00D5365A" w:rsidP="00C1698A">
      <w:pPr>
        <w:spacing w:line="276" w:lineRule="auto"/>
        <w:rPr>
          <w:rFonts w:asciiTheme="minorHAnsi" w:hAnsiTheme="minorHAnsi" w:cstheme="minorHAnsi"/>
          <w:b/>
          <w:sz w:val="28"/>
          <w:szCs w:val="28"/>
        </w:rPr>
      </w:pPr>
    </w:p>
    <w:p w14:paraId="0918F899" w14:textId="77777777" w:rsidR="00D5365A" w:rsidRPr="002847A4" w:rsidRDefault="00D5365A" w:rsidP="00D5365A">
      <w:pPr>
        <w:rPr>
          <w:b/>
        </w:rPr>
      </w:pPr>
      <w:r w:rsidRPr="002847A4">
        <w:rPr>
          <w:b/>
        </w:rPr>
        <w:t>Part I</w:t>
      </w:r>
    </w:p>
    <w:p w14:paraId="1E05AA4D" w14:textId="77777777" w:rsidR="00D5365A" w:rsidRDefault="00D5365A" w:rsidP="00C1698A">
      <w:pPr>
        <w:spacing w:line="276" w:lineRule="auto"/>
        <w:rPr>
          <w:rFonts w:asciiTheme="minorHAnsi" w:hAnsiTheme="minorHAnsi" w:cstheme="minorHAnsi"/>
          <w:b/>
          <w:sz w:val="28"/>
          <w:szCs w:val="28"/>
        </w:rPr>
      </w:pPr>
    </w:p>
    <w:p w14:paraId="5A62FF99" w14:textId="77777777" w:rsidR="00D5365A" w:rsidRDefault="00D5365A" w:rsidP="00D5365A">
      <w:pPr>
        <w:pStyle w:val="Questionstyle"/>
        <w:numPr>
          <w:ilvl w:val="0"/>
          <w:numId w:val="17"/>
        </w:numPr>
        <w:spacing w:after="250" w:line="276" w:lineRule="auto"/>
      </w:pPr>
      <w:r>
        <w:t>: Which option (Option 1 or Option 2) do you support for dealing with competing contracts? Please explain why. If you support Option 1, do you have any suggestions for amending the definition of “same contract” in Article 5(1) of RTS 21?  If you support another alternative, please explain which one and why.</w:t>
      </w:r>
    </w:p>
    <w:p w14:paraId="22F47031" w14:textId="77777777" w:rsidR="00D5365A" w:rsidRDefault="00D5365A" w:rsidP="00D5365A">
      <w:pPr>
        <w:rPr>
          <w:rFonts w:ascii="Arial" w:hAnsi="Arial" w:cs="Arial"/>
        </w:rPr>
      </w:pPr>
      <w:r>
        <w:rPr>
          <w:rFonts w:ascii="Arial" w:hAnsi="Arial" w:cs="Arial"/>
        </w:rPr>
        <w:t>&lt;ESMA_QUESTION_WPR_1&gt;</w:t>
      </w:r>
    </w:p>
    <w:p w14:paraId="1680D8F3" w14:textId="77777777" w:rsidR="00D5365A" w:rsidRDefault="00D5365A" w:rsidP="00D5365A">
      <w:pPr>
        <w:rPr>
          <w:rFonts w:ascii="Arial" w:hAnsi="Arial" w:cs="Arial"/>
        </w:rPr>
      </w:pPr>
      <w:permStart w:id="1960184171" w:edGrp="everyone"/>
      <w:r>
        <w:rPr>
          <w:rFonts w:ascii="Arial" w:hAnsi="Arial" w:cs="Arial"/>
        </w:rPr>
        <w:t>TYPE YOUR TEXT HERE</w:t>
      </w:r>
    </w:p>
    <w:permEnd w:id="1960184171"/>
    <w:p w14:paraId="680FB140" w14:textId="77777777" w:rsidR="00D5365A" w:rsidRDefault="00D5365A" w:rsidP="00D5365A">
      <w:pPr>
        <w:rPr>
          <w:rFonts w:ascii="Arial" w:hAnsi="Arial" w:cs="Arial"/>
        </w:rPr>
      </w:pPr>
      <w:r>
        <w:rPr>
          <w:rFonts w:ascii="Arial" w:hAnsi="Arial" w:cs="Arial"/>
        </w:rPr>
        <w:t>&lt;ESMA_QUESTION_WPR_1&gt;</w:t>
      </w:r>
    </w:p>
    <w:p w14:paraId="3D0FCF53" w14:textId="77777777" w:rsidR="00D5365A" w:rsidRDefault="00D5365A" w:rsidP="00D5365A">
      <w:pPr>
        <w:rPr>
          <w:rFonts w:ascii="Arial" w:hAnsi="Arial" w:cs="Arial"/>
        </w:rPr>
      </w:pPr>
    </w:p>
    <w:p w14:paraId="22916C49" w14:textId="77777777" w:rsidR="00D5365A" w:rsidRDefault="00D5365A" w:rsidP="00D5365A">
      <w:pPr>
        <w:pStyle w:val="Questionstyle"/>
        <w:numPr>
          <w:ilvl w:val="0"/>
          <w:numId w:val="17"/>
        </w:numPr>
        <w:spacing w:after="250" w:line="276" w:lineRule="auto"/>
        <w:rPr>
          <w:rFonts w:ascii="Arial" w:hAnsi="Arial" w:cs="Arial"/>
        </w:rPr>
      </w:pPr>
      <w:r>
        <w:t>: Do you agree that the C(6) carve-out creates an unlevel playing field across trading venues and should be reconsidered? If not, please explain why.</w:t>
      </w:r>
    </w:p>
    <w:p w14:paraId="3FF3EAC9" w14:textId="77777777" w:rsidR="00D5365A" w:rsidRDefault="00D5365A" w:rsidP="00D5365A">
      <w:pPr>
        <w:rPr>
          <w:rFonts w:ascii="Arial" w:hAnsi="Arial" w:cs="Arial"/>
        </w:rPr>
      </w:pPr>
      <w:r>
        <w:rPr>
          <w:rFonts w:ascii="Arial" w:hAnsi="Arial" w:cs="Arial"/>
        </w:rPr>
        <w:t>&lt;ESMA_QUESTION_WPR_2&gt;</w:t>
      </w:r>
    </w:p>
    <w:p w14:paraId="0B82F8B0" w14:textId="78A40129" w:rsidR="008A2611" w:rsidRPr="00F518D3" w:rsidRDefault="008A2611" w:rsidP="008A2611">
      <w:pPr>
        <w:jc w:val="both"/>
        <w:rPr>
          <w:rFonts w:ascii="Arial" w:hAnsi="Arial" w:cs="Arial"/>
          <w:lang w:val="en-US"/>
        </w:rPr>
      </w:pPr>
      <w:permStart w:id="439581004" w:edGrp="everyone"/>
      <w:r>
        <w:rPr>
          <w:rFonts w:ascii="Arial" w:hAnsi="Arial" w:cs="Arial"/>
          <w:lang w:val="en-US"/>
        </w:rPr>
        <w:t>TAURON Polska Energia S.A.</w:t>
      </w:r>
      <w:r w:rsidRPr="008A2611">
        <w:rPr>
          <w:rFonts w:ascii="Arial" w:hAnsi="Arial" w:cs="Arial"/>
          <w:lang w:val="en-US"/>
        </w:rPr>
        <w:t xml:space="preserve"> </w:t>
      </w:r>
      <w:r w:rsidRPr="008A2611">
        <w:rPr>
          <w:rFonts w:ascii="Arial" w:hAnsi="Arial" w:cs="Arial"/>
          <w:b/>
          <w:u w:val="single"/>
          <w:lang w:val="en-US"/>
        </w:rPr>
        <w:t>does not agree with the thesis</w:t>
      </w:r>
      <w:r w:rsidRPr="008A2611">
        <w:rPr>
          <w:rFonts w:ascii="Arial" w:hAnsi="Arial" w:cs="Arial"/>
          <w:lang w:val="en-US"/>
        </w:rPr>
        <w:t>, according to which the exception, mentioned in section C(6) of annex no. 1 to the MIFID 2 Directive (the so-called C6 Remit carve-out), created unlevel playing field across trading venues (platforms) and therefore it should be revised. Quite the contrary, the functioning within the European Union of various types of trading platforms (regulated markets, MTFs and OTFs) supports competition, enablin</w:t>
      </w:r>
      <w:r>
        <w:rPr>
          <w:rFonts w:ascii="Arial" w:hAnsi="Arial" w:cs="Arial"/>
          <w:lang w:val="en-US"/>
        </w:rPr>
        <w:t xml:space="preserve">g market participants to make a </w:t>
      </w:r>
      <w:r w:rsidRPr="008A2611">
        <w:rPr>
          <w:rFonts w:ascii="Arial" w:hAnsi="Arial" w:cs="Arial"/>
          <w:lang w:val="en-US"/>
        </w:rPr>
        <w:t>choice, on what terms and according to what rules they want to conclude commodity related derivative transactions. Similarly, entities who are intending to launch and operate a trading platform</w:t>
      </w:r>
      <w:r w:rsidRPr="00F518D3">
        <w:rPr>
          <w:rFonts w:ascii="Arial" w:hAnsi="Arial" w:cs="Arial"/>
          <w:lang w:val="en-US"/>
        </w:rPr>
        <w:t>, may decide under what regime they want to conduct such operations. The introduction of various alternatives is in line with the broadly understood f</w:t>
      </w:r>
      <w:r w:rsidR="003F2261" w:rsidRPr="00F518D3">
        <w:rPr>
          <w:rFonts w:ascii="Arial" w:hAnsi="Arial" w:cs="Arial"/>
          <w:lang w:val="en-US"/>
        </w:rPr>
        <w:t>reedom of services movement</w:t>
      </w:r>
      <w:r w:rsidRPr="00F518D3">
        <w:rPr>
          <w:rFonts w:ascii="Arial" w:hAnsi="Arial" w:cs="Arial"/>
          <w:lang w:val="en-US"/>
        </w:rPr>
        <w:t xml:space="preserve"> (free</w:t>
      </w:r>
      <w:r w:rsidR="00676FAB" w:rsidRPr="00F518D3">
        <w:rPr>
          <w:rFonts w:ascii="Arial" w:hAnsi="Arial" w:cs="Arial"/>
          <w:lang w:val="en-US"/>
        </w:rPr>
        <w:t>dom of movement</w:t>
      </w:r>
      <w:r w:rsidRPr="00F518D3">
        <w:rPr>
          <w:rFonts w:ascii="Arial" w:hAnsi="Arial" w:cs="Arial"/>
          <w:lang w:val="en-US"/>
        </w:rPr>
        <w:t xml:space="preserve"> of services) within the EU and it goes towards diverse expectations of entities dealing with professional trading in their operations.    </w:t>
      </w:r>
    </w:p>
    <w:p w14:paraId="3A8B3F58" w14:textId="77777777" w:rsidR="008A2611" w:rsidRPr="00F518D3" w:rsidRDefault="008A2611" w:rsidP="008A2611">
      <w:pPr>
        <w:jc w:val="both"/>
        <w:rPr>
          <w:rFonts w:ascii="Arial" w:hAnsi="Arial" w:cs="Arial"/>
          <w:lang w:val="en-US"/>
        </w:rPr>
      </w:pPr>
      <w:r w:rsidRPr="00F518D3">
        <w:rPr>
          <w:rFonts w:ascii="Arial" w:hAnsi="Arial" w:cs="Arial"/>
          <w:lang w:val="en-US"/>
        </w:rPr>
        <w:t xml:space="preserve">In the context of the potential revision of the </w:t>
      </w:r>
      <w:r w:rsidR="008C0D29" w:rsidRPr="00F518D3">
        <w:rPr>
          <w:rFonts w:ascii="Arial" w:hAnsi="Arial" w:cs="Arial"/>
          <w:lang w:val="en-US"/>
        </w:rPr>
        <w:t>C6 Remit carve-out</w:t>
      </w:r>
      <w:r w:rsidRPr="00F518D3">
        <w:rPr>
          <w:rFonts w:ascii="Arial" w:hAnsi="Arial" w:cs="Arial"/>
          <w:lang w:val="en-US"/>
        </w:rPr>
        <w:t xml:space="preserve">, it should </w:t>
      </w:r>
      <w:r w:rsidR="008C0D29" w:rsidRPr="00F518D3">
        <w:rPr>
          <w:rFonts w:ascii="Arial" w:hAnsi="Arial" w:cs="Arial"/>
          <w:lang w:val="en-US"/>
        </w:rPr>
        <w:t xml:space="preserve">be </w:t>
      </w:r>
      <w:r w:rsidRPr="00F518D3">
        <w:rPr>
          <w:rFonts w:ascii="Arial" w:hAnsi="Arial" w:cs="Arial"/>
          <w:lang w:val="en-US"/>
        </w:rPr>
        <w:t xml:space="preserve">emphasized that such </w:t>
      </w:r>
      <w:r w:rsidRPr="00F518D3">
        <w:rPr>
          <w:rFonts w:ascii="Arial" w:hAnsi="Arial" w:cs="Arial"/>
          <w:b/>
          <w:u w:val="single"/>
          <w:lang w:val="en-US"/>
        </w:rPr>
        <w:t xml:space="preserve">revision should in no case </w:t>
      </w:r>
      <w:r w:rsidR="00A2511C" w:rsidRPr="00F518D3">
        <w:rPr>
          <w:rFonts w:ascii="Arial" w:hAnsi="Arial" w:cs="Arial"/>
          <w:b/>
          <w:u w:val="single"/>
          <w:lang w:val="en-US"/>
        </w:rPr>
        <w:t>lead</w:t>
      </w:r>
      <w:r w:rsidRPr="00F518D3">
        <w:rPr>
          <w:rFonts w:ascii="Arial" w:hAnsi="Arial" w:cs="Arial"/>
          <w:b/>
          <w:u w:val="single"/>
          <w:lang w:val="en-US"/>
        </w:rPr>
        <w:t xml:space="preserve"> to</w:t>
      </w:r>
      <w:r w:rsidRPr="00F518D3">
        <w:rPr>
          <w:rFonts w:ascii="Arial" w:hAnsi="Arial" w:cs="Arial"/>
          <w:b/>
          <w:lang w:val="en-US"/>
        </w:rPr>
        <w:t xml:space="preserve"> an extension of the definition of a financial instrument to include products that are currently subject to </w:t>
      </w:r>
      <w:r w:rsidR="005F514F" w:rsidRPr="00F518D3">
        <w:rPr>
          <w:rFonts w:ascii="Arial" w:hAnsi="Arial" w:cs="Arial"/>
          <w:b/>
          <w:lang w:val="en-US"/>
        </w:rPr>
        <w:t>C6</w:t>
      </w:r>
      <w:r w:rsidRPr="00F518D3">
        <w:rPr>
          <w:rFonts w:ascii="Arial" w:hAnsi="Arial" w:cs="Arial"/>
          <w:b/>
          <w:lang w:val="en-US"/>
        </w:rPr>
        <w:t xml:space="preserve"> REMIT carve-out</w:t>
      </w:r>
      <w:r w:rsidRPr="00F518D3">
        <w:rPr>
          <w:rFonts w:ascii="Arial" w:hAnsi="Arial" w:cs="Arial"/>
          <w:lang w:val="en-US"/>
        </w:rPr>
        <w:t xml:space="preserve">. </w:t>
      </w:r>
    </w:p>
    <w:p w14:paraId="0B09F0C8" w14:textId="77777777" w:rsidR="008A2611" w:rsidRPr="00F518D3" w:rsidRDefault="008A2611" w:rsidP="008A2611">
      <w:pPr>
        <w:jc w:val="both"/>
        <w:rPr>
          <w:rFonts w:ascii="Arial" w:hAnsi="Arial" w:cs="Arial"/>
          <w:lang w:val="en-US"/>
        </w:rPr>
      </w:pPr>
      <w:r w:rsidRPr="00F518D3">
        <w:rPr>
          <w:rFonts w:ascii="Arial" w:hAnsi="Arial" w:cs="Arial"/>
          <w:lang w:val="en-US"/>
        </w:rPr>
        <w:t xml:space="preserve">In the opinion of TAURON Polska Energia S.A. the exclusion of the C6 Remit carve-out products from the definition of a financial instrument was due, first and foremost, to the specifics of </w:t>
      </w:r>
      <w:r w:rsidR="005F514F" w:rsidRPr="00F518D3">
        <w:rPr>
          <w:rFonts w:ascii="Arial" w:hAnsi="Arial" w:cs="Arial"/>
          <w:lang w:val="en-US"/>
        </w:rPr>
        <w:t xml:space="preserve">both </w:t>
      </w:r>
      <w:r w:rsidRPr="00F518D3">
        <w:rPr>
          <w:rFonts w:ascii="Arial" w:hAnsi="Arial" w:cs="Arial"/>
          <w:lang w:val="en-US"/>
        </w:rPr>
        <w:t>the E</w:t>
      </w:r>
      <w:r w:rsidR="005F514F" w:rsidRPr="00F518D3">
        <w:rPr>
          <w:rFonts w:ascii="Arial" w:hAnsi="Arial" w:cs="Arial"/>
          <w:lang w:val="en-US"/>
        </w:rPr>
        <w:t>uropean and</w:t>
      </w:r>
      <w:r w:rsidRPr="00F518D3">
        <w:rPr>
          <w:rFonts w:ascii="Arial" w:hAnsi="Arial" w:cs="Arial"/>
          <w:lang w:val="en-US"/>
        </w:rPr>
        <w:t xml:space="preserve"> the national electricity and gas markets. Such specifics have their source in the following features of these products and the rules of functioning of the national power and gas systems, as well as those of trading in such products (commodities):</w:t>
      </w:r>
    </w:p>
    <w:p w14:paraId="1766EC05" w14:textId="77777777" w:rsidR="008A2611" w:rsidRPr="00F518D3" w:rsidRDefault="008A2611" w:rsidP="008A2611">
      <w:pPr>
        <w:numPr>
          <w:ilvl w:val="0"/>
          <w:numId w:val="19"/>
        </w:numPr>
        <w:jc w:val="both"/>
        <w:rPr>
          <w:rFonts w:ascii="Arial" w:hAnsi="Arial" w:cs="Arial"/>
          <w:lang w:val="en-US"/>
        </w:rPr>
      </w:pPr>
      <w:r w:rsidRPr="00F518D3">
        <w:rPr>
          <w:rFonts w:ascii="Arial" w:hAnsi="Arial" w:cs="Arial"/>
          <w:b/>
          <w:lang w:val="en-US"/>
        </w:rPr>
        <w:t>status of electricity and natural gas as the so-called common goods or basic necessities</w:t>
      </w:r>
      <w:r w:rsidRPr="00F518D3">
        <w:rPr>
          <w:rFonts w:ascii="Arial" w:hAnsi="Arial" w:cs="Arial"/>
          <w:lang w:val="en-US"/>
        </w:rPr>
        <w:t xml:space="preserve"> and the need to ensure the energy security for the state and the final consumers in the </w:t>
      </w:r>
      <w:r w:rsidRPr="00F518D3">
        <w:rPr>
          <w:rFonts w:ascii="Arial" w:hAnsi="Arial" w:cs="Arial"/>
          <w:b/>
          <w:lang w:val="en-US"/>
        </w:rPr>
        <w:t>long term</w:t>
      </w:r>
      <w:r w:rsidRPr="00F518D3">
        <w:rPr>
          <w:rFonts w:ascii="Arial" w:hAnsi="Arial" w:cs="Arial"/>
          <w:lang w:val="en-US"/>
        </w:rPr>
        <w:t>,</w:t>
      </w:r>
    </w:p>
    <w:p w14:paraId="62793A9B" w14:textId="77777777" w:rsidR="008A2611" w:rsidRPr="00F518D3" w:rsidRDefault="008A2611" w:rsidP="008A2611">
      <w:pPr>
        <w:numPr>
          <w:ilvl w:val="0"/>
          <w:numId w:val="19"/>
        </w:numPr>
        <w:jc w:val="both"/>
        <w:rPr>
          <w:rFonts w:ascii="Arial" w:hAnsi="Arial" w:cs="Arial"/>
          <w:lang w:val="en-US"/>
        </w:rPr>
      </w:pPr>
      <w:r w:rsidRPr="00F518D3">
        <w:rPr>
          <w:rFonts w:ascii="Arial" w:hAnsi="Arial" w:cs="Arial"/>
          <w:lang w:val="en-US"/>
        </w:rPr>
        <w:t xml:space="preserve">need to ensure </w:t>
      </w:r>
      <w:r w:rsidRPr="00F518D3">
        <w:rPr>
          <w:rFonts w:ascii="Arial" w:hAnsi="Arial" w:cs="Arial"/>
          <w:b/>
          <w:lang w:val="en-US"/>
        </w:rPr>
        <w:t>continuous</w:t>
      </w:r>
      <w:r w:rsidRPr="00F518D3">
        <w:rPr>
          <w:rFonts w:ascii="Arial" w:hAnsi="Arial" w:cs="Arial"/>
          <w:lang w:val="en-US"/>
        </w:rPr>
        <w:t>, accurate balancing of electricity or gas demand and supply within the national power and gas systems and the additional costs, related thereto, for the participants of the market for such products due to non-balancing (lack of balancing) of their trading positions,</w:t>
      </w:r>
    </w:p>
    <w:p w14:paraId="5FCA2E63" w14:textId="77777777" w:rsidR="008A2611" w:rsidRPr="008A2611" w:rsidRDefault="008A2611" w:rsidP="008A2611">
      <w:pPr>
        <w:numPr>
          <w:ilvl w:val="0"/>
          <w:numId w:val="19"/>
        </w:numPr>
        <w:jc w:val="both"/>
        <w:rPr>
          <w:rFonts w:ascii="Arial" w:hAnsi="Arial" w:cs="Arial"/>
          <w:lang w:val="en-US"/>
        </w:rPr>
      </w:pPr>
      <w:r w:rsidRPr="008A2611">
        <w:rPr>
          <w:rFonts w:ascii="Arial" w:hAnsi="Arial" w:cs="Arial"/>
          <w:b/>
          <w:lang w:val="en-US"/>
        </w:rPr>
        <w:lastRenderedPageBreak/>
        <w:t>materially limited ability to store the products (commodities)</w:t>
      </w:r>
      <w:r w:rsidRPr="008A2611">
        <w:rPr>
          <w:rFonts w:ascii="Arial" w:hAnsi="Arial" w:cs="Arial"/>
          <w:lang w:val="en-US"/>
        </w:rPr>
        <w:t>, electricity in particular,</w:t>
      </w:r>
    </w:p>
    <w:p w14:paraId="6A628340" w14:textId="77777777" w:rsidR="008A2611" w:rsidRPr="00F518D3" w:rsidRDefault="008A2611" w:rsidP="008A2611">
      <w:pPr>
        <w:numPr>
          <w:ilvl w:val="0"/>
          <w:numId w:val="19"/>
        </w:numPr>
        <w:jc w:val="both"/>
        <w:rPr>
          <w:rFonts w:ascii="Arial" w:hAnsi="Arial" w:cs="Arial"/>
          <w:lang w:val="en-US"/>
        </w:rPr>
      </w:pPr>
      <w:r w:rsidRPr="008A2611">
        <w:rPr>
          <w:rFonts w:ascii="Arial" w:hAnsi="Arial" w:cs="Arial"/>
          <w:lang w:val="en-US"/>
        </w:rPr>
        <w:t xml:space="preserve">specific structure of the electricity generation or natural gas extraction segment in terms of entities operating therein in many European Union countries, that is characterized by a </w:t>
      </w:r>
      <w:r w:rsidRPr="00F518D3">
        <w:rPr>
          <w:rFonts w:ascii="Arial" w:hAnsi="Arial" w:cs="Arial"/>
          <w:lang w:val="en-US"/>
        </w:rPr>
        <w:t>high concentration of the generating or extraction sources in the hands of a few entities,</w:t>
      </w:r>
    </w:p>
    <w:p w14:paraId="60520EAE" w14:textId="77777777" w:rsidR="008A2611" w:rsidRPr="00F518D3" w:rsidRDefault="008A2611" w:rsidP="008A2611">
      <w:pPr>
        <w:numPr>
          <w:ilvl w:val="0"/>
          <w:numId w:val="19"/>
        </w:numPr>
        <w:jc w:val="both"/>
        <w:rPr>
          <w:rFonts w:ascii="Arial" w:hAnsi="Arial" w:cs="Arial"/>
          <w:lang w:val="en-US"/>
        </w:rPr>
      </w:pPr>
      <w:r w:rsidRPr="00F518D3">
        <w:rPr>
          <w:rFonts w:ascii="Arial" w:hAnsi="Arial" w:cs="Arial"/>
          <w:lang w:val="en-US"/>
        </w:rPr>
        <w:t xml:space="preserve">efforts seeking to </w:t>
      </w:r>
      <w:r w:rsidR="005F514F" w:rsidRPr="00F518D3">
        <w:rPr>
          <w:rFonts w:ascii="Arial" w:hAnsi="Arial" w:cs="Arial"/>
          <w:lang w:val="en-US"/>
        </w:rPr>
        <w:t>reduce</w:t>
      </w:r>
      <w:r w:rsidRPr="00F518D3">
        <w:rPr>
          <w:rFonts w:ascii="Arial" w:hAnsi="Arial" w:cs="Arial"/>
          <w:lang w:val="en-US"/>
        </w:rPr>
        <w:t xml:space="preserve"> market monopolies and promote competition, in particular aimed at developing a liquid electricity (power) or natural gas market, in particular by introducing in Poland a statutory obligation for enterprises holding a dominant position in the electricity generation or natural gas extraction segment to sell electricity or natural gas via organized multilateral trading systems (venues),</w:t>
      </w:r>
    </w:p>
    <w:p w14:paraId="470A20A6" w14:textId="77777777" w:rsidR="008A2611" w:rsidRPr="00F518D3" w:rsidRDefault="008A2611" w:rsidP="008A2611">
      <w:pPr>
        <w:numPr>
          <w:ilvl w:val="0"/>
          <w:numId w:val="19"/>
        </w:numPr>
        <w:jc w:val="both"/>
        <w:rPr>
          <w:rFonts w:ascii="Arial" w:hAnsi="Arial" w:cs="Arial"/>
          <w:lang w:val="en-US"/>
        </w:rPr>
      </w:pPr>
      <w:r w:rsidRPr="00F518D3">
        <w:rPr>
          <w:rFonts w:ascii="Arial" w:hAnsi="Arial" w:cs="Arial"/>
          <w:lang w:val="en-US"/>
        </w:rPr>
        <w:t xml:space="preserve">material reduction of the scale and scope of the operations of brokers and other intermediaries (middle men) in electricity or natural gas trading (primarily as a result of the introduction, by the MIFID II directive, of the obligation to operate multilateral commodity related derivative contract trading systems (venues) under </w:t>
      </w:r>
      <w:r w:rsidR="00B33CCF" w:rsidRPr="00F518D3">
        <w:rPr>
          <w:rFonts w:ascii="Arial" w:hAnsi="Arial" w:cs="Arial"/>
          <w:lang w:val="en-US"/>
        </w:rPr>
        <w:t>the formulas of</w:t>
      </w:r>
      <w:r w:rsidRPr="00F518D3">
        <w:rPr>
          <w:rFonts w:ascii="Arial" w:hAnsi="Arial" w:cs="Arial"/>
          <w:lang w:val="en-US"/>
        </w:rPr>
        <w:t xml:space="preserve"> regulated market, MTF or OTF) and the advancing concentration of the market of intermediaries (middle men) in trading in the above-mentioned products (commodities),  </w:t>
      </w:r>
    </w:p>
    <w:p w14:paraId="6A93484F" w14:textId="77777777" w:rsidR="008A2611" w:rsidRPr="00F518D3" w:rsidRDefault="00CA54E6" w:rsidP="008A2611">
      <w:pPr>
        <w:numPr>
          <w:ilvl w:val="0"/>
          <w:numId w:val="19"/>
        </w:numPr>
        <w:jc w:val="both"/>
        <w:rPr>
          <w:rFonts w:ascii="Arial" w:hAnsi="Arial" w:cs="Arial"/>
          <w:lang w:val="en-US"/>
        </w:rPr>
      </w:pPr>
      <w:r w:rsidRPr="00F518D3">
        <w:rPr>
          <w:rFonts w:ascii="Arial" w:hAnsi="Arial" w:cs="Arial"/>
          <w:lang w:val="en-US"/>
        </w:rPr>
        <w:t>business standards</w:t>
      </w:r>
      <w:r w:rsidR="008A2611" w:rsidRPr="00F518D3">
        <w:rPr>
          <w:rFonts w:ascii="Arial" w:hAnsi="Arial" w:cs="Arial"/>
          <w:lang w:val="en-US"/>
        </w:rPr>
        <w:t xml:space="preserve"> for contracting electricity and natural gas in the business segment, based first and foremost on </w:t>
      </w:r>
      <w:r w:rsidR="008A2611" w:rsidRPr="00F518D3">
        <w:rPr>
          <w:rFonts w:ascii="Arial" w:hAnsi="Arial" w:cs="Arial"/>
          <w:b/>
          <w:lang w:val="en-US"/>
        </w:rPr>
        <w:t>one year contracts</w:t>
      </w:r>
      <w:r w:rsidR="008A2611" w:rsidRPr="00F518D3">
        <w:rPr>
          <w:rFonts w:ascii="Arial" w:hAnsi="Arial" w:cs="Arial"/>
          <w:lang w:val="en-US"/>
        </w:rPr>
        <w:t xml:space="preserve">, </w:t>
      </w:r>
    </w:p>
    <w:p w14:paraId="2F49EDE5" w14:textId="77777777" w:rsidR="008A2611" w:rsidRPr="00F518D3" w:rsidRDefault="008A2611" w:rsidP="008A2611">
      <w:pPr>
        <w:numPr>
          <w:ilvl w:val="0"/>
          <w:numId w:val="19"/>
        </w:numPr>
        <w:jc w:val="both"/>
        <w:rPr>
          <w:rFonts w:ascii="Arial" w:hAnsi="Arial" w:cs="Arial"/>
          <w:lang w:val="en-US"/>
        </w:rPr>
      </w:pPr>
      <w:r w:rsidRPr="00F518D3">
        <w:rPr>
          <w:rFonts w:ascii="Arial" w:hAnsi="Arial" w:cs="Arial"/>
          <w:lang w:val="en-US"/>
        </w:rPr>
        <w:t xml:space="preserve">low price flexibility of demand, combined with administrative and legal instruments in the form of </w:t>
      </w:r>
      <w:r w:rsidRPr="00F518D3">
        <w:rPr>
          <w:rFonts w:ascii="Arial" w:hAnsi="Arial" w:cs="Arial"/>
          <w:b/>
          <w:lang w:val="en-US"/>
        </w:rPr>
        <w:t>annual</w:t>
      </w:r>
      <w:r w:rsidR="00CA54E6" w:rsidRPr="00F518D3">
        <w:rPr>
          <w:rFonts w:ascii="Arial" w:hAnsi="Arial" w:cs="Arial"/>
          <w:b/>
          <w:lang w:val="en-US"/>
        </w:rPr>
        <w:t xml:space="preserve"> tariffs -</w:t>
      </w:r>
      <w:r w:rsidRPr="00F518D3">
        <w:rPr>
          <w:rFonts w:ascii="Arial" w:hAnsi="Arial" w:cs="Arial"/>
          <w:lang w:val="en-US"/>
        </w:rPr>
        <w:t xml:space="preserve"> approv</w:t>
      </w:r>
      <w:r w:rsidR="00CA54E6" w:rsidRPr="00F518D3">
        <w:rPr>
          <w:rFonts w:ascii="Arial" w:hAnsi="Arial" w:cs="Arial"/>
          <w:lang w:val="en-US"/>
        </w:rPr>
        <w:t>al</w:t>
      </w:r>
      <w:r w:rsidRPr="00F518D3">
        <w:rPr>
          <w:rFonts w:ascii="Arial" w:hAnsi="Arial" w:cs="Arial"/>
          <w:lang w:val="en-US"/>
        </w:rPr>
        <w:t xml:space="preserve"> of prices applied by the largest domestic suppliers delivering electricity or natural gas to the final household consumers.</w:t>
      </w:r>
    </w:p>
    <w:p w14:paraId="423832F2" w14:textId="77777777" w:rsidR="008A2611" w:rsidRPr="00F518D3" w:rsidRDefault="008A2611" w:rsidP="008A2611">
      <w:pPr>
        <w:jc w:val="both"/>
        <w:rPr>
          <w:rFonts w:ascii="Arial" w:hAnsi="Arial" w:cs="Arial"/>
        </w:rPr>
      </w:pPr>
      <w:r w:rsidRPr="00F518D3">
        <w:rPr>
          <w:rFonts w:ascii="Arial" w:hAnsi="Arial" w:cs="Arial"/>
        </w:rPr>
        <w:t xml:space="preserve">When evaluating the scope of C6 Remit carve-out it should be noted that the need to assess a physically settled electricity or natural gas contract with respect to the definition of a financial instrument arises every time when such a contract is not a SPOT contract, i.e. a contract according to the terms of which the delivery is to take place by the longer of the following deadlines: </w:t>
      </w:r>
    </w:p>
    <w:p w14:paraId="01075612" w14:textId="77777777" w:rsidR="008A2611" w:rsidRPr="00F518D3" w:rsidRDefault="008A2611" w:rsidP="008A2611">
      <w:pPr>
        <w:jc w:val="both"/>
        <w:rPr>
          <w:rFonts w:ascii="Arial" w:hAnsi="Arial" w:cs="Arial"/>
        </w:rPr>
      </w:pPr>
      <w:r w:rsidRPr="00F518D3">
        <w:rPr>
          <w:rFonts w:ascii="Arial" w:hAnsi="Arial" w:cs="Arial"/>
        </w:rPr>
        <w:t xml:space="preserve">a) 2 trading days; </w:t>
      </w:r>
    </w:p>
    <w:p w14:paraId="117D9016" w14:textId="77777777" w:rsidR="008A2611" w:rsidRPr="00F518D3" w:rsidRDefault="008A2611" w:rsidP="008A2611">
      <w:pPr>
        <w:jc w:val="both"/>
        <w:rPr>
          <w:rFonts w:ascii="Arial" w:hAnsi="Arial" w:cs="Arial"/>
        </w:rPr>
      </w:pPr>
      <w:r w:rsidRPr="00F518D3">
        <w:rPr>
          <w:rFonts w:ascii="Arial" w:hAnsi="Arial" w:cs="Arial"/>
        </w:rPr>
        <w:t>b) generally accepted on the market for this type of commodity, assets or right as a standard delivery deadline.</w:t>
      </w:r>
    </w:p>
    <w:p w14:paraId="190D6188" w14:textId="77777777" w:rsidR="00AA6F9B" w:rsidRPr="00F518D3" w:rsidRDefault="008A2611" w:rsidP="00AA6F9B">
      <w:pPr>
        <w:jc w:val="both"/>
        <w:rPr>
          <w:rFonts w:ascii="Arial" w:hAnsi="Arial" w:cs="Arial"/>
        </w:rPr>
      </w:pPr>
      <w:r w:rsidRPr="00F518D3">
        <w:rPr>
          <w:rFonts w:ascii="Arial" w:hAnsi="Arial" w:cs="Arial"/>
        </w:rPr>
        <w:t>This means that in case of the electricity or natural gas market any contract under which the delivery of the above mentioned products exceeds the above mentioned deadlines is already a derivative contract.</w:t>
      </w:r>
      <w:r w:rsidR="00AA6F9B" w:rsidRPr="00F518D3">
        <w:rPr>
          <w:rFonts w:ascii="Arial" w:hAnsi="Arial" w:cs="Arial"/>
        </w:rPr>
        <w:t xml:space="preserve"> </w:t>
      </w:r>
    </w:p>
    <w:p w14:paraId="31634C9A" w14:textId="77777777" w:rsidR="00AA6F9B" w:rsidRPr="00AA6F9B" w:rsidRDefault="00AA6F9B" w:rsidP="00AA6F9B">
      <w:pPr>
        <w:jc w:val="both"/>
        <w:rPr>
          <w:rFonts w:ascii="Arial" w:hAnsi="Arial" w:cs="Arial"/>
          <w:lang w:val="en-US"/>
        </w:rPr>
      </w:pPr>
      <w:r w:rsidRPr="00F518D3">
        <w:rPr>
          <w:rFonts w:ascii="Arial" w:hAnsi="Arial" w:cs="Arial"/>
          <w:lang w:val="en-US"/>
        </w:rPr>
        <w:t xml:space="preserve">Subsequently, it needs to be emphasized that </w:t>
      </w:r>
      <w:r w:rsidR="000252C3" w:rsidRPr="00F518D3">
        <w:rPr>
          <w:rFonts w:ascii="Arial" w:hAnsi="Arial" w:cs="Arial"/>
          <w:lang w:val="en-US"/>
        </w:rPr>
        <w:t xml:space="preserve">it is sufficient for physically settled commodity derivative contracts to be concluded on the regulated market, MTF or OTF </w:t>
      </w:r>
      <w:r w:rsidRPr="00F518D3">
        <w:rPr>
          <w:rFonts w:ascii="Arial" w:hAnsi="Arial" w:cs="Arial"/>
          <w:lang w:val="en-US"/>
        </w:rPr>
        <w:t xml:space="preserve">to </w:t>
      </w:r>
      <w:r w:rsidR="000252C3" w:rsidRPr="00F518D3">
        <w:rPr>
          <w:rFonts w:ascii="Arial" w:hAnsi="Arial" w:cs="Arial"/>
          <w:lang w:val="en-US"/>
        </w:rPr>
        <w:t>meet</w:t>
      </w:r>
      <w:r w:rsidRPr="00F518D3">
        <w:rPr>
          <w:rFonts w:ascii="Arial" w:hAnsi="Arial" w:cs="Arial"/>
          <w:lang w:val="en-US"/>
        </w:rPr>
        <w:t xml:space="preserve"> the status of C6 contracts </w:t>
      </w:r>
      <w:r w:rsidR="00A46DF4" w:rsidRPr="00F518D3">
        <w:rPr>
          <w:rFonts w:ascii="Arial" w:hAnsi="Arial" w:cs="Arial"/>
          <w:lang w:val="en-US"/>
        </w:rPr>
        <w:t>being</w:t>
      </w:r>
      <w:r w:rsidRPr="00F518D3">
        <w:rPr>
          <w:rFonts w:ascii="Arial" w:hAnsi="Arial" w:cs="Arial"/>
          <w:lang w:val="en-US"/>
        </w:rPr>
        <w:t xml:space="preserve"> financial instruments. </w:t>
      </w:r>
      <w:r w:rsidR="00C05CCF" w:rsidRPr="00F518D3">
        <w:rPr>
          <w:rFonts w:ascii="Arial" w:hAnsi="Arial" w:cs="Arial"/>
          <w:lang w:val="en-US"/>
        </w:rPr>
        <w:t>Unlike</w:t>
      </w:r>
      <w:r w:rsidRPr="00F518D3">
        <w:rPr>
          <w:rFonts w:ascii="Arial" w:hAnsi="Arial" w:cs="Arial"/>
          <w:lang w:val="en-US"/>
        </w:rPr>
        <w:t xml:space="preserve"> derivative c</w:t>
      </w:r>
      <w:r w:rsidR="00C05CCF" w:rsidRPr="00F518D3">
        <w:rPr>
          <w:rFonts w:ascii="Arial" w:hAnsi="Arial" w:cs="Arial"/>
          <w:lang w:val="en-US"/>
        </w:rPr>
        <w:t>ontracts related to commodities</w:t>
      </w:r>
      <w:r w:rsidRPr="00F518D3">
        <w:rPr>
          <w:rFonts w:ascii="Arial" w:hAnsi="Arial" w:cs="Arial"/>
          <w:lang w:val="en-US"/>
        </w:rPr>
        <w:t xml:space="preserve"> concluded OTC,</w:t>
      </w:r>
      <w:r w:rsidR="00C05CCF" w:rsidRPr="00F518D3">
        <w:rPr>
          <w:rFonts w:ascii="Arial" w:hAnsi="Arial" w:cs="Arial"/>
          <w:lang w:val="en-US"/>
        </w:rPr>
        <w:t xml:space="preserve"> which</w:t>
      </w:r>
      <w:r w:rsidRPr="00F518D3">
        <w:rPr>
          <w:rFonts w:ascii="Arial" w:hAnsi="Arial" w:cs="Arial"/>
          <w:lang w:val="en-US"/>
        </w:rPr>
        <w:t xml:space="preserve"> </w:t>
      </w:r>
      <w:r w:rsidR="00C05CCF" w:rsidRPr="00F518D3">
        <w:rPr>
          <w:rFonts w:ascii="Arial" w:hAnsi="Arial" w:cs="Arial"/>
          <w:lang w:val="en-US"/>
        </w:rPr>
        <w:t xml:space="preserve">must additionally meet the condition of ”not being for commercial purposes” </w:t>
      </w:r>
      <w:r w:rsidRPr="00F518D3">
        <w:rPr>
          <w:rFonts w:ascii="Arial" w:hAnsi="Arial" w:cs="Arial"/>
          <w:lang w:val="en-US"/>
        </w:rPr>
        <w:t>in order to be qual</w:t>
      </w:r>
      <w:r w:rsidR="00C05CCF" w:rsidRPr="00F518D3">
        <w:rPr>
          <w:rFonts w:ascii="Arial" w:hAnsi="Arial" w:cs="Arial"/>
          <w:lang w:val="en-US"/>
        </w:rPr>
        <w:t>ified as a financial instrument</w:t>
      </w:r>
      <w:r w:rsidRPr="00F518D3">
        <w:rPr>
          <w:rFonts w:ascii="Arial" w:hAnsi="Arial" w:cs="Arial"/>
          <w:lang w:val="en-US"/>
        </w:rPr>
        <w:t xml:space="preserve"> pursuant to </w:t>
      </w:r>
      <w:r w:rsidR="00C05CCF" w:rsidRPr="00F518D3">
        <w:rPr>
          <w:rFonts w:ascii="Arial" w:hAnsi="Arial" w:cs="Arial"/>
          <w:lang w:val="en-US"/>
        </w:rPr>
        <w:t>section C7 of Annex no 1</w:t>
      </w:r>
      <w:r w:rsidRPr="00F518D3">
        <w:rPr>
          <w:rFonts w:ascii="Arial" w:hAnsi="Arial" w:cs="Arial"/>
          <w:lang w:val="en-US"/>
        </w:rPr>
        <w:t xml:space="preserve"> of the MIFID II Directive, contracts qualified under section C6 of the above-mentioned regulation do not require testing in this respect any more. Only as a side note it can be noted that the above-mentioned criterion, ”not being for commercial purposes”, is strongly restricted by th</w:t>
      </w:r>
      <w:r w:rsidR="00C05CCF" w:rsidRPr="00F518D3">
        <w:rPr>
          <w:rFonts w:ascii="Arial" w:hAnsi="Arial" w:cs="Arial"/>
          <w:lang w:val="en-US"/>
        </w:rPr>
        <w:t>e definition provided in art. 7</w:t>
      </w:r>
      <w:r w:rsidRPr="00F518D3">
        <w:rPr>
          <w:rFonts w:ascii="Arial" w:hAnsi="Arial" w:cs="Arial"/>
          <w:lang w:val="en-US"/>
        </w:rPr>
        <w:t xml:space="preserve"> clause 4 of </w:t>
      </w:r>
      <w:r w:rsidR="00C05CCF" w:rsidRPr="00F518D3">
        <w:rPr>
          <w:rFonts w:ascii="Arial" w:hAnsi="Arial" w:cs="Arial"/>
          <w:lang w:val="en-US"/>
        </w:rPr>
        <w:t>the Commission</w:t>
      </w:r>
      <w:r w:rsidRPr="00F518D3">
        <w:rPr>
          <w:rFonts w:ascii="Arial" w:hAnsi="Arial" w:cs="Arial"/>
          <w:lang w:val="en-US"/>
        </w:rPr>
        <w:t xml:space="preserve"> Delegated Regulation (EU) 2017/565 </w:t>
      </w:r>
      <w:r w:rsidR="00C05CCF" w:rsidRPr="00F518D3">
        <w:rPr>
          <w:rFonts w:ascii="Arial" w:hAnsi="Arial" w:cs="Arial"/>
          <w:lang w:val="en-US"/>
        </w:rPr>
        <w:t xml:space="preserve">of 25 April 2016 </w:t>
      </w:r>
      <w:r w:rsidRPr="00F518D3">
        <w:rPr>
          <w:rFonts w:ascii="Arial" w:hAnsi="Arial" w:cs="Arial"/>
          <w:lang w:val="en-US"/>
        </w:rPr>
        <w:t xml:space="preserve">supplementing </w:t>
      </w:r>
      <w:r w:rsidR="00C05CCF" w:rsidRPr="00F518D3">
        <w:rPr>
          <w:rFonts w:ascii="Arial" w:hAnsi="Arial" w:cs="Arial"/>
          <w:lang w:val="en-US"/>
        </w:rPr>
        <w:t>D</w:t>
      </w:r>
      <w:r w:rsidRPr="00F518D3">
        <w:rPr>
          <w:rFonts w:ascii="Arial" w:hAnsi="Arial" w:cs="Arial"/>
          <w:lang w:val="en-US"/>
        </w:rPr>
        <w:t xml:space="preserve">irective </w:t>
      </w:r>
      <w:r w:rsidR="00C05CCF" w:rsidRPr="00F518D3">
        <w:rPr>
          <w:rFonts w:ascii="Arial" w:hAnsi="Arial" w:cs="Arial"/>
          <w:lang w:val="en-US"/>
        </w:rPr>
        <w:t xml:space="preserve">2014/65/UE </w:t>
      </w:r>
      <w:r w:rsidRPr="00F518D3">
        <w:rPr>
          <w:rFonts w:ascii="Arial" w:hAnsi="Arial" w:cs="Arial"/>
          <w:lang w:val="en-US"/>
        </w:rPr>
        <w:t>of the European Parliamen</w:t>
      </w:r>
      <w:r w:rsidR="00C05CCF" w:rsidRPr="00F518D3">
        <w:rPr>
          <w:rFonts w:ascii="Arial" w:hAnsi="Arial" w:cs="Arial"/>
          <w:lang w:val="en-US"/>
        </w:rPr>
        <w:t xml:space="preserve">t and of the Council </w:t>
      </w:r>
      <w:r w:rsidRPr="00F518D3">
        <w:rPr>
          <w:rFonts w:ascii="Arial" w:hAnsi="Arial" w:cs="Arial"/>
          <w:lang w:val="en-US"/>
        </w:rPr>
        <w:t xml:space="preserve">as regards organizational requirements and operating conditions for investment firms and defined terms for </w:t>
      </w:r>
      <w:r w:rsidRPr="00AA6F9B">
        <w:rPr>
          <w:rFonts w:ascii="Arial" w:hAnsi="Arial" w:cs="Arial"/>
          <w:lang w:val="en-US"/>
        </w:rPr>
        <w:t xml:space="preserve">the purposes of that Directive. The above should be interpreted as a departure from the original intentions of the authors of the MIFID I package and CESR (the Committee of European Securities Regulators) itself </w:t>
      </w:r>
      <w:r w:rsidRPr="00AA6F9B">
        <w:rPr>
          <w:rFonts w:ascii="Arial" w:hAnsi="Arial" w:cs="Arial"/>
          <w:lang w:val="en-US"/>
        </w:rPr>
        <w:lastRenderedPageBreak/>
        <w:t xml:space="preserve">– the predecessor of ESMA, which in the ”CESR’s Technical Advice on Possible Implementing Measures of the Directive 2004/39/EC on Markets in Financial Instruments” document of April of 2005 (ref. CESR/05-290b) clearly emphasized the need to differentiate ”simple commercial contracts” and ”general commercial activities” on commodity markets from, accordingly, a financial instrument and investment operations (activities) on the financial markets. </w:t>
      </w:r>
    </w:p>
    <w:p w14:paraId="497E75E4" w14:textId="77777777" w:rsidR="00AA6F9B" w:rsidRPr="00AA6F9B" w:rsidRDefault="00AA6F9B" w:rsidP="00AA6F9B">
      <w:pPr>
        <w:jc w:val="both"/>
        <w:rPr>
          <w:rFonts w:ascii="Arial" w:hAnsi="Arial" w:cs="Arial"/>
          <w:lang w:val="en-US"/>
        </w:rPr>
      </w:pPr>
      <w:r w:rsidRPr="00AA6F9B">
        <w:rPr>
          <w:rFonts w:ascii="Arial" w:hAnsi="Arial" w:cs="Arial"/>
          <w:lang w:val="en-US"/>
        </w:rPr>
        <w:t>Taking into account:</w:t>
      </w:r>
    </w:p>
    <w:p w14:paraId="137D8808" w14:textId="77777777" w:rsidR="00AA6F9B" w:rsidRPr="00F518D3" w:rsidRDefault="00AA6F9B" w:rsidP="00AA6F9B">
      <w:pPr>
        <w:numPr>
          <w:ilvl w:val="0"/>
          <w:numId w:val="20"/>
        </w:numPr>
        <w:jc w:val="both"/>
        <w:rPr>
          <w:rFonts w:ascii="Arial" w:hAnsi="Arial" w:cs="Arial"/>
          <w:lang w:val="en-US"/>
        </w:rPr>
      </w:pPr>
      <w:r w:rsidRPr="00AA6F9B">
        <w:rPr>
          <w:rFonts w:ascii="Arial" w:hAnsi="Arial" w:cs="Arial"/>
          <w:lang w:val="en-US"/>
        </w:rPr>
        <w:t>offering of forward (futures</w:t>
      </w:r>
      <w:r w:rsidRPr="00F518D3">
        <w:rPr>
          <w:rFonts w:ascii="Arial" w:hAnsi="Arial" w:cs="Arial"/>
          <w:lang w:val="en-US"/>
        </w:rPr>
        <w:t xml:space="preserve">) contracts on electricity and natural gas by multilateral financial instruments trading systems (facilities, venues) operating not only in the European Union but also in third countries, </w:t>
      </w:r>
      <w:r w:rsidRPr="00F518D3">
        <w:rPr>
          <w:rFonts w:ascii="Arial" w:hAnsi="Arial" w:cs="Arial"/>
          <w:u w:val="single"/>
          <w:lang w:val="en-US"/>
        </w:rPr>
        <w:t xml:space="preserve">including the ones </w:t>
      </w:r>
      <w:r w:rsidR="00CA5270" w:rsidRPr="00F518D3">
        <w:rPr>
          <w:rFonts w:ascii="Arial" w:hAnsi="Arial" w:cs="Arial"/>
          <w:u w:val="single"/>
          <w:lang w:val="en-US"/>
        </w:rPr>
        <w:t xml:space="preserve">previously (prior to MIFID II) </w:t>
      </w:r>
      <w:r w:rsidRPr="00F518D3">
        <w:rPr>
          <w:rFonts w:ascii="Arial" w:hAnsi="Arial" w:cs="Arial"/>
          <w:u w:val="single"/>
          <w:lang w:val="en-US"/>
        </w:rPr>
        <w:t>operating in the form of non-MIFID platforms</w:t>
      </w:r>
      <w:r w:rsidRPr="00F518D3">
        <w:rPr>
          <w:rFonts w:ascii="Arial" w:hAnsi="Arial" w:cs="Arial"/>
          <w:lang w:val="en-US"/>
        </w:rPr>
        <w:t>,</w:t>
      </w:r>
    </w:p>
    <w:p w14:paraId="51D84EC2" w14:textId="77777777" w:rsidR="00AA6F9B" w:rsidRPr="00F518D3" w:rsidRDefault="00CA5270" w:rsidP="00AA6F9B">
      <w:pPr>
        <w:numPr>
          <w:ilvl w:val="0"/>
          <w:numId w:val="20"/>
        </w:numPr>
        <w:jc w:val="both"/>
        <w:rPr>
          <w:rFonts w:ascii="Arial" w:hAnsi="Arial" w:cs="Arial"/>
          <w:lang w:val="en-US"/>
        </w:rPr>
      </w:pPr>
      <w:r w:rsidRPr="00F518D3">
        <w:rPr>
          <w:rFonts w:ascii="Arial" w:hAnsi="Arial" w:cs="Arial"/>
          <w:lang w:val="en-US"/>
        </w:rPr>
        <w:t>qualification</w:t>
      </w:r>
      <w:r w:rsidR="00AA6F9B" w:rsidRPr="00F518D3">
        <w:rPr>
          <w:rFonts w:ascii="Arial" w:hAnsi="Arial" w:cs="Arial"/>
          <w:lang w:val="en-US"/>
        </w:rPr>
        <w:t xml:space="preserve"> of </w:t>
      </w:r>
      <w:r w:rsidRPr="00F518D3">
        <w:rPr>
          <w:rFonts w:ascii="Arial" w:hAnsi="Arial" w:cs="Arial"/>
          <w:lang w:val="en-US"/>
        </w:rPr>
        <w:t xml:space="preserve">OTC </w:t>
      </w:r>
      <w:r w:rsidR="00AA6F9B" w:rsidRPr="00F518D3">
        <w:rPr>
          <w:rFonts w:ascii="Arial" w:hAnsi="Arial" w:cs="Arial"/>
          <w:lang w:val="en-US"/>
        </w:rPr>
        <w:t xml:space="preserve">electricity and gas derivative contracts </w:t>
      </w:r>
      <w:r w:rsidRPr="00F518D3">
        <w:rPr>
          <w:rFonts w:ascii="Arial" w:hAnsi="Arial" w:cs="Arial"/>
          <w:lang w:val="en-US"/>
        </w:rPr>
        <w:t xml:space="preserve">being </w:t>
      </w:r>
      <w:r w:rsidR="00AA6F9B" w:rsidRPr="00F518D3">
        <w:rPr>
          <w:rFonts w:ascii="Arial" w:hAnsi="Arial" w:cs="Arial"/>
          <w:b/>
          <w:lang w:val="en-US"/>
        </w:rPr>
        <w:t>equivalent</w:t>
      </w:r>
      <w:r w:rsidRPr="00F518D3">
        <w:rPr>
          <w:rFonts w:ascii="Arial" w:hAnsi="Arial" w:cs="Arial"/>
          <w:b/>
          <w:lang w:val="en-US"/>
        </w:rPr>
        <w:t>s</w:t>
      </w:r>
      <w:r w:rsidR="00AA6F9B" w:rsidRPr="00F518D3">
        <w:rPr>
          <w:rFonts w:ascii="Arial" w:hAnsi="Arial" w:cs="Arial"/>
          <w:lang w:val="en-US"/>
        </w:rPr>
        <w:t xml:space="preserve"> to the products indicated in </w:t>
      </w:r>
      <w:r w:rsidRPr="00F518D3">
        <w:rPr>
          <w:rFonts w:ascii="Arial" w:hAnsi="Arial" w:cs="Arial"/>
          <w:lang w:val="en-US"/>
        </w:rPr>
        <w:t>point</w:t>
      </w:r>
      <w:r w:rsidR="00AA6F9B" w:rsidRPr="00F518D3">
        <w:rPr>
          <w:rFonts w:ascii="Arial" w:hAnsi="Arial" w:cs="Arial"/>
          <w:lang w:val="en-US"/>
        </w:rPr>
        <w:t xml:space="preserve"> 1</w:t>
      </w:r>
      <w:r w:rsidRPr="00F518D3">
        <w:rPr>
          <w:rFonts w:ascii="Arial" w:hAnsi="Arial" w:cs="Arial"/>
          <w:lang w:val="en-US"/>
        </w:rPr>
        <w:t>) above</w:t>
      </w:r>
      <w:r w:rsidR="00AA6F9B" w:rsidRPr="00F518D3">
        <w:rPr>
          <w:rFonts w:ascii="Arial" w:hAnsi="Arial" w:cs="Arial"/>
          <w:lang w:val="en-US"/>
        </w:rPr>
        <w:t xml:space="preserve"> as financial instruments, </w:t>
      </w:r>
      <w:r w:rsidRPr="00F518D3">
        <w:rPr>
          <w:rFonts w:ascii="Arial" w:hAnsi="Arial" w:cs="Arial"/>
          <w:lang w:val="en-US"/>
        </w:rPr>
        <w:t>introduced by MIFID II Dyrective,</w:t>
      </w:r>
    </w:p>
    <w:p w14:paraId="725236A0" w14:textId="77777777" w:rsidR="00AA6F9B" w:rsidRPr="00F518D3" w:rsidRDefault="00AA6F9B" w:rsidP="00AA6F9B">
      <w:pPr>
        <w:numPr>
          <w:ilvl w:val="0"/>
          <w:numId w:val="20"/>
        </w:numPr>
        <w:jc w:val="both"/>
        <w:rPr>
          <w:rFonts w:ascii="Arial" w:hAnsi="Arial" w:cs="Arial"/>
          <w:lang w:val="en-US"/>
        </w:rPr>
      </w:pPr>
      <w:r w:rsidRPr="00F518D3">
        <w:rPr>
          <w:rFonts w:ascii="Arial" w:hAnsi="Arial" w:cs="Arial"/>
          <w:lang w:val="en-US"/>
        </w:rPr>
        <w:t xml:space="preserve">above indicated concentration of the market of intermediaries (middle men) in trading in electricity and natural gas on platforms </w:t>
      </w:r>
      <w:r w:rsidR="001327C5" w:rsidRPr="00F518D3">
        <w:rPr>
          <w:rFonts w:ascii="Arial" w:hAnsi="Arial" w:cs="Arial"/>
          <w:lang w:val="en-US"/>
        </w:rPr>
        <w:t xml:space="preserve">that are </w:t>
      </w:r>
      <w:r w:rsidRPr="00F518D3">
        <w:rPr>
          <w:rFonts w:ascii="Arial" w:hAnsi="Arial" w:cs="Arial"/>
          <w:lang w:val="en-US"/>
        </w:rPr>
        <w:t>subject to the MIFID II regime, and</w:t>
      </w:r>
    </w:p>
    <w:p w14:paraId="57068345" w14:textId="77777777" w:rsidR="00AA6F9B" w:rsidRPr="00F518D3" w:rsidRDefault="00AA6F9B" w:rsidP="00AA6F9B">
      <w:pPr>
        <w:numPr>
          <w:ilvl w:val="0"/>
          <w:numId w:val="20"/>
        </w:numPr>
        <w:jc w:val="both"/>
        <w:rPr>
          <w:rFonts w:ascii="Arial" w:hAnsi="Arial" w:cs="Arial"/>
          <w:lang w:val="en-US"/>
        </w:rPr>
      </w:pPr>
      <w:r w:rsidRPr="00F518D3">
        <w:rPr>
          <w:rFonts w:ascii="Arial" w:hAnsi="Arial" w:cs="Arial"/>
          <w:lang w:val="en-US"/>
        </w:rPr>
        <w:t>statutory obligation for electricity generation enterprises or the dominant natural gas supplier in Poland to trade</w:t>
      </w:r>
      <w:r w:rsidR="001327C5" w:rsidRPr="00F518D3">
        <w:rPr>
          <w:rFonts w:ascii="Arial" w:hAnsi="Arial" w:cs="Arial"/>
          <w:lang w:val="en-US"/>
        </w:rPr>
        <w:t xml:space="preserve"> on organized trading platforms</w:t>
      </w:r>
      <w:r w:rsidRPr="00F518D3">
        <w:rPr>
          <w:rFonts w:ascii="Arial" w:hAnsi="Arial" w:cs="Arial"/>
          <w:lang w:val="en-US"/>
        </w:rPr>
        <w:t xml:space="preserve"> having the status of a regulated market or OTF, </w:t>
      </w:r>
    </w:p>
    <w:p w14:paraId="2FE6E4AE" w14:textId="77777777" w:rsidR="00AA6F9B" w:rsidRPr="00F518D3" w:rsidRDefault="00AA6F9B" w:rsidP="00AA6F9B">
      <w:pPr>
        <w:jc w:val="both"/>
        <w:rPr>
          <w:rFonts w:ascii="Arial" w:hAnsi="Arial" w:cs="Arial"/>
          <w:lang w:val="en-US"/>
        </w:rPr>
      </w:pPr>
      <w:r w:rsidRPr="00F518D3">
        <w:rPr>
          <w:rFonts w:ascii="Arial" w:hAnsi="Arial" w:cs="Arial"/>
          <w:lang w:val="en-US"/>
        </w:rPr>
        <w:t xml:space="preserve">- the change proposed by ESMA, involving deleting the C6 Remit carve-out, will mean that the core business operations of, accordingly, the generation or mining </w:t>
      </w:r>
      <w:r w:rsidR="0083483E" w:rsidRPr="00F518D3">
        <w:rPr>
          <w:rFonts w:ascii="Arial" w:hAnsi="Arial" w:cs="Arial"/>
          <w:highlight w:val="red"/>
          <w:lang w:val="en-US"/>
        </w:rPr>
        <w:t>or</w:t>
      </w:r>
      <w:r w:rsidRPr="00F518D3">
        <w:rPr>
          <w:rFonts w:ascii="Arial" w:hAnsi="Arial" w:cs="Arial"/>
          <w:lang w:val="en-US"/>
        </w:rPr>
        <w:t xml:space="preserve"> electricity or gas trading companies in Poland will cease to be their standard trading (commercial) operations with respect to ensuring liquid commodity trading, but they will become investment activities (in the form of proprietary trading on their own account) on financial instruments.</w:t>
      </w:r>
    </w:p>
    <w:p w14:paraId="47DFAF4B" w14:textId="77777777" w:rsidR="0032543D" w:rsidRPr="0032543D" w:rsidRDefault="0032543D" w:rsidP="0032543D">
      <w:pPr>
        <w:jc w:val="both"/>
        <w:rPr>
          <w:rFonts w:ascii="Arial" w:hAnsi="Arial" w:cs="Arial"/>
          <w:lang w:val="en-US"/>
        </w:rPr>
      </w:pPr>
      <w:r w:rsidRPr="00F518D3">
        <w:rPr>
          <w:rFonts w:ascii="Arial" w:hAnsi="Arial" w:cs="Arial"/>
          <w:lang w:val="en-US"/>
        </w:rPr>
        <w:t xml:space="preserve">In the opinion of TAURON Polska Energia S.A. the proposal discussed is disproportionate in relation to the above indicated potential economic (financial) consequences of such change. The situation of utilities, </w:t>
      </w:r>
      <w:r w:rsidRPr="0032543D">
        <w:rPr>
          <w:rFonts w:ascii="Arial" w:hAnsi="Arial" w:cs="Arial"/>
          <w:lang w:val="en-US"/>
        </w:rPr>
        <w:t xml:space="preserve">focusing on </w:t>
      </w:r>
      <w:r w:rsidRPr="0032543D">
        <w:rPr>
          <w:rFonts w:ascii="Arial" w:hAnsi="Arial" w:cs="Arial"/>
          <w:b/>
          <w:lang w:val="en-US"/>
        </w:rPr>
        <w:t>ensuring long term security of supply of electricity or natural gas as basic necessities for the multi-million group of their final consumers</w:t>
      </w:r>
      <w:r w:rsidRPr="0032543D">
        <w:rPr>
          <w:rFonts w:ascii="Arial" w:hAnsi="Arial" w:cs="Arial"/>
          <w:lang w:val="en-US"/>
        </w:rPr>
        <w:t>, including household consumers, is materially different from the professional investment operations conducted by the entities operating in the financial sector. While the former enterprises use derivative instruments (primarily forward (futures) contracts</w:t>
      </w:r>
      <w:r w:rsidR="008409EF" w:rsidRPr="008409EF">
        <w:rPr>
          <w:rFonts w:ascii="Arial" w:hAnsi="Arial" w:cs="Arial"/>
          <w:color w:val="FF0000"/>
          <w:lang w:val="en-US"/>
        </w:rPr>
        <w:t>)</w:t>
      </w:r>
      <w:r w:rsidRPr="0032543D">
        <w:rPr>
          <w:rFonts w:ascii="Arial" w:hAnsi="Arial" w:cs="Arial"/>
          <w:lang w:val="en-US"/>
        </w:rPr>
        <w:t xml:space="preserve"> in order to hedge long term physically settled deliveries of electricity or natural gas at stable prices (that must also enable planning, one year ahead, of the annual tariff prices, submitted for approval to the regulator), the activities on the commodity market of the entities operating in the financial sector are primarily speculative in their nature and are only </w:t>
      </w:r>
      <w:r w:rsidRPr="0032543D">
        <w:rPr>
          <w:rFonts w:ascii="Arial" w:hAnsi="Arial" w:cs="Arial"/>
          <w:b/>
          <w:lang w:val="en-US"/>
        </w:rPr>
        <w:t>one of the segments</w:t>
      </w:r>
      <w:r w:rsidRPr="0032543D">
        <w:rPr>
          <w:rFonts w:ascii="Arial" w:hAnsi="Arial" w:cs="Arial"/>
          <w:lang w:val="en-US"/>
        </w:rPr>
        <w:t xml:space="preserve"> of investment operations carried out in the form of professional trading intermediary services, besides operating on the ”classic” financial instruments. Furthermore, utilities are operating on commodity derivatives primarily on their own account (proprietary trading), engagin</w:t>
      </w:r>
      <w:r w:rsidR="008409EF">
        <w:rPr>
          <w:rFonts w:ascii="Arial" w:hAnsi="Arial" w:cs="Arial"/>
          <w:lang w:val="en-US"/>
        </w:rPr>
        <w:t>g their own financial resources and</w:t>
      </w:r>
      <w:r w:rsidRPr="0032543D">
        <w:rPr>
          <w:rFonts w:ascii="Arial" w:hAnsi="Arial" w:cs="Arial"/>
          <w:lang w:val="en-US"/>
        </w:rPr>
        <w:t xml:space="preserve"> bearing the full risk of conducting such operations, in contrast to investment companies that, to a large degree, provide intermediary services on the customers’ account using the customers’ funds (which justifies applying, with respect to investment firms, of many legal regulations, including the capital requirements, the rules regarding the management of customers’ funds entrusted with the investment firm, policies with respect to </w:t>
      </w:r>
      <w:r w:rsidRPr="0032543D">
        <w:rPr>
          <w:rFonts w:ascii="Arial" w:hAnsi="Arial" w:cs="Arial"/>
          <w:i/>
          <w:lang w:val="en-US"/>
        </w:rPr>
        <w:t>best execution,</w:t>
      </w:r>
      <w:r w:rsidRPr="0032543D">
        <w:rPr>
          <w:rFonts w:ascii="Arial" w:hAnsi="Arial" w:cs="Arial"/>
          <w:lang w:val="en-US"/>
        </w:rPr>
        <w:t xml:space="preserve"> etc.). </w:t>
      </w:r>
    </w:p>
    <w:p w14:paraId="6B54A00B" w14:textId="77777777" w:rsidR="0032543D" w:rsidRPr="0032543D" w:rsidRDefault="0032543D" w:rsidP="0032543D">
      <w:pPr>
        <w:jc w:val="both"/>
        <w:rPr>
          <w:rFonts w:ascii="Arial" w:hAnsi="Arial" w:cs="Arial"/>
          <w:lang w:val="en-US"/>
        </w:rPr>
      </w:pPr>
      <w:r w:rsidRPr="00F518D3">
        <w:rPr>
          <w:rFonts w:ascii="Arial" w:hAnsi="Arial" w:cs="Arial"/>
          <w:lang w:val="en-US"/>
        </w:rPr>
        <w:lastRenderedPageBreak/>
        <w:t xml:space="preserve">Finally, it should be emphasized that the electricity and natural gas sector is also a </w:t>
      </w:r>
      <w:r w:rsidR="005A6BD1" w:rsidRPr="00F518D3">
        <w:rPr>
          <w:rFonts w:ascii="Arial" w:hAnsi="Arial" w:cs="Arial"/>
          <w:lang w:val="en-US"/>
        </w:rPr>
        <w:t>highly</w:t>
      </w:r>
      <w:r w:rsidRPr="00F518D3">
        <w:rPr>
          <w:rFonts w:ascii="Arial" w:hAnsi="Arial" w:cs="Arial"/>
          <w:lang w:val="en-US"/>
        </w:rPr>
        <w:t xml:space="preserve"> regulated sector. Undertaking and carrying out the operations in this sector in Poland requires, as a principle, obtaining a license (besides few exceptions justified, in particular, by a small scale of the operations conducted). Such operations are conducted in compliance with the requirements stemming from the legal regulations applicable to the sector (see the new Winter Package) and are supervised by an independent regulator (in Poland – the President of the Energy Regulatory Office), equipped with the power to interfere with the operations of the given entity in case it is in breach of legal regulations or license conditions (through administrative monetary penalties or even by revoking the license). The protection against manipulation or manipulation attempts on the wholesale market and against the use of inside information, and also market transparency, including the reporting obligations, is already ensured by the EU’s REMIT regulation – Regulation of the European Parliament and of the Council (EU) no. 1227/2011 of October 25, 2011 on wholesale energy market integrity and transparency. Additionally, with respect to the required (sic!) operations on emission allowances – also traded by such entities in direct connection with their core operations – entities operating in the energy sector are forced to take (open) positions in financial </w:t>
      </w:r>
      <w:r w:rsidRPr="0032543D">
        <w:rPr>
          <w:rFonts w:ascii="Arial" w:hAnsi="Arial" w:cs="Arial"/>
          <w:lang w:val="en-US"/>
        </w:rPr>
        <w:t>instruments and – in order to prove that their investment activities in this area are of ancillary nature – conduct annually the so-called ancillary activities tests in accordance with the Commission Delegated Regulation (EU) 2017/592 of December 1, 2016, supplementing Directive 2014/65/EU of the European Parliament and of the Council with regard to regulatory technical standards for the criteria to establish when an activity is considered to be ancillary to the main business.</w:t>
      </w:r>
    </w:p>
    <w:p w14:paraId="288CB0FF" w14:textId="77777777" w:rsidR="0032543D" w:rsidRPr="0032543D" w:rsidRDefault="0032543D" w:rsidP="0032543D">
      <w:pPr>
        <w:jc w:val="both"/>
        <w:rPr>
          <w:rFonts w:ascii="Arial" w:hAnsi="Arial" w:cs="Arial"/>
          <w:lang w:val="en-US"/>
        </w:rPr>
      </w:pPr>
      <w:r w:rsidRPr="0032543D">
        <w:rPr>
          <w:rFonts w:ascii="Arial" w:hAnsi="Arial" w:cs="Arial"/>
          <w:lang w:val="en-US"/>
        </w:rPr>
        <w:t>Deleting the C6 Remit carve-out in section C6 of Annex no. 1 to the MIFID II Directive would lead to a number of below listed negative and harmful consequences, not only for the market participants themselves, but also for the national and the European Union’s energy security and the interests of the final consumers of electricity and natural gas. Such consequences shall include in particular:</w:t>
      </w:r>
    </w:p>
    <w:p w14:paraId="386EE8CD" w14:textId="77777777" w:rsidR="0032543D" w:rsidRPr="0032543D" w:rsidRDefault="0032543D" w:rsidP="0032543D">
      <w:pPr>
        <w:numPr>
          <w:ilvl w:val="0"/>
          <w:numId w:val="21"/>
        </w:numPr>
        <w:ind w:left="284" w:hanging="284"/>
        <w:jc w:val="both"/>
        <w:rPr>
          <w:rFonts w:ascii="Arial" w:hAnsi="Arial" w:cs="Arial"/>
          <w:lang w:val="en-US"/>
        </w:rPr>
      </w:pPr>
      <w:r w:rsidRPr="0032543D">
        <w:rPr>
          <w:rFonts w:ascii="Arial" w:hAnsi="Arial" w:cs="Arial"/>
          <w:b/>
          <w:lang w:val="en-US"/>
        </w:rPr>
        <w:t>threat to the national and the European Union’s energy security in connection with setting position limits for the physically settled derivative contracts related to electricity and natural gas and an increase of the cost of concluding and settling such contracts:</w:t>
      </w:r>
    </w:p>
    <w:p w14:paraId="11E5C2DD" w14:textId="77777777" w:rsidR="0032543D" w:rsidRPr="0032543D" w:rsidRDefault="0032543D" w:rsidP="0032543D">
      <w:pPr>
        <w:ind w:left="284"/>
        <w:jc w:val="both"/>
        <w:rPr>
          <w:rFonts w:ascii="Arial" w:hAnsi="Arial" w:cs="Arial"/>
          <w:bCs/>
          <w:lang w:val="en-US"/>
        </w:rPr>
      </w:pPr>
      <w:r w:rsidRPr="0032543D">
        <w:rPr>
          <w:rFonts w:ascii="Arial" w:hAnsi="Arial" w:cs="Arial"/>
          <w:bCs/>
          <w:lang w:val="en-US"/>
        </w:rPr>
        <w:t xml:space="preserve">One of the goals of Directive (EU) 2019/944 of the European Parliament and of the Council of June 5, 2019, on common rules for the internal market for electricity and amending Directive 2012/27/EU is to ”create truly integrated competitive, consumer-centered, flexible, fair and transparent electricity markets in the Union”, while maintaining a ”high degree of security of supply” and ”open access to the integrated market” (art. 1). For this purpose ”Member States shall ensure that </w:t>
      </w:r>
      <w:r w:rsidRPr="0032543D">
        <w:rPr>
          <w:rFonts w:ascii="Arial" w:hAnsi="Arial" w:cs="Arial"/>
          <w:b/>
          <w:bCs/>
          <w:lang w:val="en-US"/>
        </w:rPr>
        <w:t>no undue barriers exist within the internal market for electricity as regards market entry, operation and exit</w:t>
      </w:r>
      <w:r w:rsidRPr="0032543D">
        <w:rPr>
          <w:rFonts w:ascii="Arial" w:hAnsi="Arial" w:cs="Arial"/>
          <w:bCs/>
          <w:lang w:val="en-US"/>
        </w:rPr>
        <w:t>, without prejudice to the competence that Member States retain in relation to third countries (art. 3, clause 3 of the directive). Also Regulation (EU) 2017/1938 of the European Parliament and of the Council of October 25, 2017, concerning measures to safeguard the security of gas supply and repealing Regulation (EU) No. 994/2010</w:t>
      </w:r>
      <w:r w:rsidRPr="0032543D">
        <w:rPr>
          <w:rFonts w:ascii="Arial" w:hAnsi="Arial" w:cs="Arial"/>
          <w:lang w:val="en-US"/>
        </w:rPr>
        <w:t xml:space="preserve"> aims to ensure that all the necessary measures are taken to safeguard an uninterrupted supply of gas throughout the Union, in particular to protected customers in the event of difficult climatic conditions or disruptions of the gas supply. As part of such measures market based solutions are applied first, among others, an increase of sales and supplies (an increase of the production, external supplies, supplies from the gas storage facilities). In case gas supplies are </w:t>
      </w:r>
      <w:r w:rsidRPr="0032543D">
        <w:rPr>
          <w:rFonts w:ascii="Arial" w:hAnsi="Arial" w:cs="Arial"/>
          <w:lang w:val="en-US"/>
        </w:rPr>
        <w:lastRenderedPageBreak/>
        <w:t>disrupted the entities operating on the market should be ensured sufficient ability to respond to the situation via market measures. Predictability of measures undertaken in case of an extraordinary situation occurring shall be ensured, providing all market participants with sufficient ability to respond and prepare themselves for such circumstances. Member states, and in particular the applicable authorities, ensure that no measures are introduced that would at any time restrict gas flow on the internal market without merit. The inclusion of physically settled wholesale energy pr</w:t>
      </w:r>
      <w:r w:rsidR="00FA1D05">
        <w:rPr>
          <w:rFonts w:ascii="Arial" w:hAnsi="Arial" w:cs="Arial"/>
          <w:lang w:val="en-US"/>
        </w:rPr>
        <w:t>oducts, that are traded on OTFs</w:t>
      </w:r>
      <w:r w:rsidR="0083483E">
        <w:rPr>
          <w:rFonts w:ascii="Arial" w:hAnsi="Arial" w:cs="Arial"/>
          <w:lang w:val="en-US"/>
        </w:rPr>
        <w:t>,</w:t>
      </w:r>
      <w:r w:rsidRPr="0032543D">
        <w:rPr>
          <w:rFonts w:ascii="Arial" w:hAnsi="Arial" w:cs="Arial"/>
          <w:lang w:val="en-US"/>
        </w:rPr>
        <w:t xml:space="preserve"> in the definition (scope) of financial instruments and, as a consequence of that, setting of position limits for such products, is not only in conflict with the above mentioned regulation, but, first and foremost, poses a threat to the national and the European Union’s energy security. Additionally, an increase of the costs related to concluding and settling transactions related to physically settled wholesale energy products will lead to the decline of interest among market participants in concluding such transactions, which will result in the real threat to the energy security and the certainty of supplies of electricity or natural gas. </w:t>
      </w:r>
    </w:p>
    <w:p w14:paraId="36714937" w14:textId="77777777" w:rsidR="0032543D" w:rsidRPr="00F518D3" w:rsidRDefault="0032543D" w:rsidP="00FA1D05">
      <w:pPr>
        <w:numPr>
          <w:ilvl w:val="0"/>
          <w:numId w:val="21"/>
        </w:numPr>
        <w:ind w:left="284" w:hanging="284"/>
        <w:jc w:val="both"/>
        <w:rPr>
          <w:rFonts w:ascii="Arial" w:hAnsi="Arial" w:cs="Arial"/>
          <w:lang w:val="en-US"/>
        </w:rPr>
      </w:pPr>
      <w:r w:rsidRPr="0032543D">
        <w:rPr>
          <w:rFonts w:ascii="Arial" w:hAnsi="Arial" w:cs="Arial"/>
          <w:b/>
          <w:lang w:val="en-US"/>
        </w:rPr>
        <w:t xml:space="preserve">increase of the costs of functioning of utilities and the withdrawal, related thereto, of the market participants from concluding transactions on organized platforms in favor of bilateral contracts concluded on the OTC market, which does </w:t>
      </w:r>
      <w:r w:rsidRPr="00F518D3">
        <w:rPr>
          <w:rFonts w:ascii="Arial" w:hAnsi="Arial" w:cs="Arial"/>
          <w:b/>
          <w:lang w:val="en-US"/>
        </w:rPr>
        <w:t>not support transparency of transactions and market based pricing:</w:t>
      </w:r>
      <w:r w:rsidRPr="00F518D3">
        <w:rPr>
          <w:rFonts w:ascii="Arial" w:hAnsi="Arial" w:cs="Arial"/>
          <w:lang w:val="en-US"/>
        </w:rPr>
        <w:t xml:space="preserve"> </w:t>
      </w:r>
    </w:p>
    <w:p w14:paraId="33128DE9" w14:textId="77777777" w:rsidR="0032543D" w:rsidRPr="0032543D" w:rsidRDefault="0032543D" w:rsidP="00FA1D05">
      <w:pPr>
        <w:ind w:left="284"/>
        <w:jc w:val="both"/>
        <w:rPr>
          <w:rFonts w:ascii="Arial" w:hAnsi="Arial" w:cs="Arial"/>
          <w:lang w:val="en-US"/>
        </w:rPr>
      </w:pPr>
      <w:r w:rsidRPr="00F518D3">
        <w:rPr>
          <w:rFonts w:ascii="Arial" w:hAnsi="Arial" w:cs="Arial"/>
          <w:lang w:val="en-US"/>
        </w:rPr>
        <w:t xml:space="preserve">An increase of the costs of functioning of utilities, in case contracts subject to the </w:t>
      </w:r>
      <w:r w:rsidR="0083483E" w:rsidRPr="00F518D3">
        <w:rPr>
          <w:rFonts w:ascii="Arial" w:hAnsi="Arial" w:cs="Arial"/>
          <w:lang w:val="en-US"/>
        </w:rPr>
        <w:t xml:space="preserve">C6 </w:t>
      </w:r>
      <w:r w:rsidRPr="00F518D3">
        <w:rPr>
          <w:rFonts w:ascii="Arial" w:hAnsi="Arial" w:cs="Arial"/>
          <w:lang w:val="en-US"/>
        </w:rPr>
        <w:t xml:space="preserve">REMIT carve-out are included in the definition (scope) of financial instruments, will be related, in particular, to the costs of handling the hedging of open financial positions, and also the organizational changes required to be implemented, regarding IT, as well as accounting and reporting. The above will lead to an outflow of entities from organized trading platforms in favor of bilateral contracts concluded on the OTC market or it will force utilities to use investment companies as intermediaries in order to ensure access to the products that are core for their operations, which will </w:t>
      </w:r>
      <w:r w:rsidRPr="00F518D3">
        <w:rPr>
          <w:rFonts w:ascii="Arial" w:hAnsi="Arial" w:cs="Arial"/>
          <w:i/>
          <w:lang w:val="en-US"/>
        </w:rPr>
        <w:t>de facto</w:t>
      </w:r>
      <w:r w:rsidRPr="00F518D3">
        <w:rPr>
          <w:rFonts w:ascii="Arial" w:hAnsi="Arial" w:cs="Arial"/>
          <w:lang w:val="en-US"/>
        </w:rPr>
        <w:t xml:space="preserve"> represent a step back in the process of developing a transparent, open and competitive </w:t>
      </w:r>
      <w:r w:rsidRPr="0032543D">
        <w:rPr>
          <w:rFonts w:ascii="Arial" w:hAnsi="Arial" w:cs="Arial"/>
          <w:lang w:val="en-US"/>
        </w:rPr>
        <w:t>energy market</w:t>
      </w:r>
      <w:r w:rsidR="00FA1D05">
        <w:rPr>
          <w:rFonts w:ascii="Arial" w:hAnsi="Arial" w:cs="Arial"/>
          <w:lang w:val="en-US"/>
        </w:rPr>
        <w:t xml:space="preserve">. </w:t>
      </w:r>
    </w:p>
    <w:p w14:paraId="69DAEFB2" w14:textId="77777777" w:rsidR="0032543D" w:rsidRPr="00FA1D05" w:rsidRDefault="0032543D" w:rsidP="00FA1D05">
      <w:pPr>
        <w:numPr>
          <w:ilvl w:val="0"/>
          <w:numId w:val="21"/>
        </w:numPr>
        <w:ind w:left="284" w:hanging="284"/>
        <w:jc w:val="both"/>
        <w:rPr>
          <w:rFonts w:ascii="Arial" w:hAnsi="Arial" w:cs="Arial"/>
          <w:lang w:val="en-US"/>
        </w:rPr>
      </w:pPr>
      <w:r w:rsidRPr="0032543D">
        <w:rPr>
          <w:rFonts w:ascii="Arial" w:hAnsi="Arial" w:cs="Arial"/>
          <w:b/>
          <w:lang w:val="en-US"/>
        </w:rPr>
        <w:t xml:space="preserve">increase of electricity prices for the final consumers </w:t>
      </w:r>
      <w:r w:rsidRPr="0032543D">
        <w:rPr>
          <w:rFonts w:ascii="Arial" w:hAnsi="Arial" w:cs="Arial"/>
          <w:lang w:val="en-US"/>
        </w:rPr>
        <w:t>caused by the passing on, of the increased costs of the functioning of the enterprises mentioned in section 2 above, to final consumers, and in view of the continued process of administrative price approvals for the household segment – a further outflow of utilities from this sector and the restriction of competition on the retail market, to the detriment of the final consumers,</w:t>
      </w:r>
    </w:p>
    <w:p w14:paraId="0F2A6785" w14:textId="77777777" w:rsidR="0032543D" w:rsidRPr="00FA1D05" w:rsidRDefault="0032543D" w:rsidP="00FA1D05">
      <w:pPr>
        <w:numPr>
          <w:ilvl w:val="0"/>
          <w:numId w:val="21"/>
        </w:numPr>
        <w:ind w:left="284" w:hanging="284"/>
        <w:jc w:val="both"/>
        <w:rPr>
          <w:rFonts w:ascii="Arial" w:hAnsi="Arial" w:cs="Arial"/>
          <w:lang w:val="en-US"/>
        </w:rPr>
      </w:pPr>
      <w:r w:rsidRPr="0032543D">
        <w:rPr>
          <w:rFonts w:ascii="Arial" w:hAnsi="Arial" w:cs="Arial"/>
          <w:b/>
          <w:lang w:val="en-US"/>
        </w:rPr>
        <w:t>negative impact on competitiveness</w:t>
      </w:r>
      <w:r w:rsidRPr="0032543D">
        <w:rPr>
          <w:rFonts w:ascii="Arial" w:hAnsi="Arial" w:cs="Arial"/>
          <w:lang w:val="en-US"/>
        </w:rPr>
        <w:t xml:space="preserve"> related to the outflow of small businesses from organized trading platforms in connection with an increase of the costs of their functioning, mentioned in section 2 above,</w:t>
      </w:r>
    </w:p>
    <w:p w14:paraId="68D20359" w14:textId="77777777" w:rsidR="0032543D" w:rsidRPr="00FA1D05" w:rsidRDefault="0032543D" w:rsidP="0032543D">
      <w:pPr>
        <w:numPr>
          <w:ilvl w:val="0"/>
          <w:numId w:val="21"/>
        </w:numPr>
        <w:ind w:left="284" w:hanging="284"/>
        <w:jc w:val="both"/>
        <w:rPr>
          <w:rFonts w:ascii="Arial" w:hAnsi="Arial" w:cs="Arial"/>
          <w:lang w:val="en-US"/>
        </w:rPr>
      </w:pPr>
      <w:r w:rsidRPr="0032543D">
        <w:rPr>
          <w:rFonts w:ascii="Arial" w:hAnsi="Arial" w:cs="Arial"/>
          <w:b/>
          <w:lang w:val="en-US"/>
        </w:rPr>
        <w:t>transfer of the supervision (oversight) function from the specialized regulator (ACER) to the regulator that does not cover all of the energy market issues that are interrelated to one another</w:t>
      </w:r>
      <w:r w:rsidRPr="0032543D">
        <w:rPr>
          <w:rFonts w:ascii="Arial" w:hAnsi="Arial" w:cs="Arial"/>
          <w:lang w:val="en-US"/>
        </w:rPr>
        <w:t xml:space="preserve">, which may result in negative consequences with regard to the supervision (oversight) conducted, in particular lead to a decline of its effectiveness and thus threaten the achievement of the EU targets, especially with regard to ensuring a ”high degree of security of supply of electricity and gas throughout the </w:t>
      </w:r>
      <w:r w:rsidRPr="0032543D">
        <w:rPr>
          <w:rFonts w:ascii="Arial" w:hAnsi="Arial" w:cs="Arial"/>
          <w:bCs/>
          <w:lang w:val="en-US"/>
        </w:rPr>
        <w:t>European Union”,</w:t>
      </w:r>
    </w:p>
    <w:p w14:paraId="5BD769B6" w14:textId="77777777" w:rsidR="0032543D" w:rsidRPr="00FA1D05" w:rsidRDefault="0032543D" w:rsidP="00FA1D05">
      <w:pPr>
        <w:numPr>
          <w:ilvl w:val="0"/>
          <w:numId w:val="21"/>
        </w:numPr>
        <w:ind w:left="284" w:hanging="284"/>
        <w:jc w:val="both"/>
        <w:rPr>
          <w:rFonts w:ascii="Arial" w:hAnsi="Arial" w:cs="Arial"/>
          <w:b/>
          <w:lang w:val="en-US"/>
        </w:rPr>
      </w:pPr>
      <w:r w:rsidRPr="0032543D">
        <w:rPr>
          <w:rFonts w:ascii="Arial" w:hAnsi="Arial" w:cs="Arial"/>
          <w:b/>
          <w:lang w:val="en-US"/>
        </w:rPr>
        <w:t>increase of the systemic risk in the financial sector:</w:t>
      </w:r>
    </w:p>
    <w:p w14:paraId="71FF5909" w14:textId="77777777" w:rsidR="0032543D" w:rsidRPr="0032543D" w:rsidRDefault="0032543D" w:rsidP="00FA1D05">
      <w:pPr>
        <w:ind w:left="284"/>
        <w:jc w:val="both"/>
        <w:rPr>
          <w:rFonts w:ascii="Arial" w:hAnsi="Arial" w:cs="Arial"/>
          <w:b/>
          <w:lang w:val="en-US"/>
        </w:rPr>
      </w:pPr>
      <w:r w:rsidRPr="0032543D">
        <w:rPr>
          <w:rFonts w:ascii="Arial" w:hAnsi="Arial" w:cs="Arial"/>
          <w:lang w:val="en-US"/>
        </w:rPr>
        <w:t xml:space="preserve">In case of the regulated markets – a clearing obligation, in accordance with art. 29 of MiFIR, by a CCP, would lead to a further increase of the transaction costs, but </w:t>
      </w:r>
      <w:r w:rsidRPr="0032543D">
        <w:rPr>
          <w:rFonts w:ascii="Arial" w:hAnsi="Arial" w:cs="Arial"/>
          <w:lang w:val="en-US"/>
        </w:rPr>
        <w:lastRenderedPageBreak/>
        <w:t>also, as a result of a forcefully imposed two stage intermediary role of financial institutions (that are not interested in products with an obligatory physical settlement), to deeming another material area of real economy to be a financial market. Taking into account the way financial institutions are operating (using leverage for speculative purposes), this could also lead to an increase of the systemic risk in the financial sector.</w:t>
      </w:r>
    </w:p>
    <w:p w14:paraId="6C079A04" w14:textId="77777777" w:rsidR="0032543D" w:rsidRPr="00FA1D05" w:rsidRDefault="00FA1D05" w:rsidP="0032543D">
      <w:pPr>
        <w:numPr>
          <w:ilvl w:val="0"/>
          <w:numId w:val="21"/>
        </w:numPr>
        <w:ind w:left="284" w:hanging="284"/>
        <w:jc w:val="both"/>
        <w:rPr>
          <w:rFonts w:ascii="Arial" w:hAnsi="Arial" w:cs="Arial"/>
          <w:lang w:val="en-US"/>
        </w:rPr>
      </w:pPr>
      <w:r>
        <w:rPr>
          <w:rFonts w:ascii="Arial" w:hAnsi="Arial" w:cs="Arial"/>
          <w:b/>
          <w:lang w:val="en-US"/>
        </w:rPr>
        <w:t>c</w:t>
      </w:r>
      <w:r w:rsidR="0032543D" w:rsidRPr="0032543D">
        <w:rPr>
          <w:rFonts w:ascii="Arial" w:hAnsi="Arial" w:cs="Arial"/>
          <w:b/>
          <w:lang w:val="en-US"/>
        </w:rPr>
        <w:t>onflict with</w:t>
      </w:r>
      <w:r>
        <w:rPr>
          <w:rFonts w:ascii="Arial" w:hAnsi="Arial" w:cs="Arial"/>
          <w:b/>
          <w:lang w:val="en-US"/>
        </w:rPr>
        <w:t xml:space="preserve"> the national legal regulations:</w:t>
      </w:r>
    </w:p>
    <w:p w14:paraId="7AAC6D15" w14:textId="77777777" w:rsidR="0032543D" w:rsidRPr="0032543D" w:rsidRDefault="0032543D" w:rsidP="00FA1D05">
      <w:pPr>
        <w:ind w:left="284"/>
        <w:jc w:val="both"/>
        <w:rPr>
          <w:rFonts w:ascii="Arial" w:hAnsi="Arial" w:cs="Arial"/>
          <w:lang w:val="en-US"/>
        </w:rPr>
      </w:pPr>
      <w:r w:rsidRPr="0032543D">
        <w:rPr>
          <w:rFonts w:ascii="Arial" w:hAnsi="Arial" w:cs="Arial"/>
          <w:lang w:val="en-US"/>
        </w:rPr>
        <w:t xml:space="preserve">The Polish act of April 10, 1997 – Energy Law imposes on utilities that bring electricity or natural gas into the national power system an obligation to sell it as part of the so-called exchange obligation (art. 49a and 49b). The inclusion of the wholesale energy products, that are traded on an OTF and must be physically settled, in the definition of financial instruments and, as a consequence, setting of position limits for such products, would, as a result, lead to a situation where the achievement of compliance with the above mentioned obligations would be put in jeopardy. </w:t>
      </w:r>
    </w:p>
    <w:p w14:paraId="43E1B28B" w14:textId="6875D926" w:rsidR="00FA1D05" w:rsidRPr="00F518D3" w:rsidRDefault="00FA1D05" w:rsidP="00FA1D05">
      <w:pPr>
        <w:jc w:val="both"/>
        <w:rPr>
          <w:rFonts w:ascii="Arial" w:hAnsi="Arial" w:cs="Arial"/>
          <w:lang w:val="en-US"/>
        </w:rPr>
      </w:pPr>
      <w:r w:rsidRPr="00FA1D05">
        <w:rPr>
          <w:rFonts w:ascii="Arial" w:hAnsi="Arial" w:cs="Arial"/>
          <w:lang w:val="en-US"/>
        </w:rPr>
        <w:t>Irrespective of the above it should be emphasized that ESMA’s concerns regarding an unlevel playing field across trading platforms (venues) are exaggerated in a situation where operators of regulated markets and MTFs are able to operate OTFs. Therefore, the only form of a relatively rational equaling of the treatment of instruments is an exclusion from the definition of financial in</w:t>
      </w:r>
      <w:r w:rsidRPr="00F518D3">
        <w:rPr>
          <w:rFonts w:ascii="Arial" w:hAnsi="Arial" w:cs="Arial"/>
          <w:lang w:val="en-US"/>
        </w:rPr>
        <w:t>struments of all physically settled wholesale energy products, irrespective of the trading platform</w:t>
      </w:r>
      <w:r w:rsidR="00935FAC" w:rsidRPr="00F518D3">
        <w:rPr>
          <w:rFonts w:ascii="Arial" w:hAnsi="Arial" w:cs="Arial"/>
          <w:lang w:val="en-US"/>
        </w:rPr>
        <w:t xml:space="preserve"> they are concluded on</w:t>
      </w:r>
      <w:r w:rsidRPr="00F518D3">
        <w:rPr>
          <w:rFonts w:ascii="Arial" w:hAnsi="Arial" w:cs="Arial"/>
          <w:lang w:val="en-US"/>
        </w:rPr>
        <w:t xml:space="preserve">. It is important that physically settled derivative contracts on electricity or natural gas, traded by the utilities, are not used for speculative purposes, while the intention and history behind the entry into force of the MIFID II Directive was the wish to place speculative instruments under special supervision (oversight) in order to prevent creating complex financial products. </w:t>
      </w:r>
    </w:p>
    <w:p w14:paraId="448B5856" w14:textId="77777777" w:rsidR="006359AA" w:rsidRPr="006359AA" w:rsidRDefault="006359AA" w:rsidP="006359AA">
      <w:pPr>
        <w:jc w:val="both"/>
        <w:rPr>
          <w:rFonts w:ascii="Arial" w:hAnsi="Arial" w:cs="Arial"/>
          <w:lang w:val="en-US"/>
        </w:rPr>
      </w:pPr>
      <w:r w:rsidRPr="00F518D3">
        <w:rPr>
          <w:rFonts w:ascii="Arial" w:hAnsi="Arial" w:cs="Arial"/>
          <w:lang w:val="en-US"/>
        </w:rPr>
        <w:t xml:space="preserve">In connection with the above, in the opinion of TAURON Polska Energia S.A., a correct (and purposeful) revision of the exception indicated in section C(6) </w:t>
      </w:r>
      <w:r w:rsidR="0007333D" w:rsidRPr="00F518D3">
        <w:rPr>
          <w:rFonts w:ascii="Arial" w:hAnsi="Arial" w:cs="Arial"/>
          <w:lang w:val="en-US"/>
        </w:rPr>
        <w:t xml:space="preserve">of Annex no 1. of </w:t>
      </w:r>
      <w:r w:rsidRPr="00F518D3">
        <w:rPr>
          <w:rFonts w:ascii="Arial" w:hAnsi="Arial" w:cs="Arial"/>
          <w:lang w:val="en-US"/>
        </w:rPr>
        <w:t xml:space="preserve">MIFID II (provided that ESMA deems it necessary at all) should go towards </w:t>
      </w:r>
      <w:r w:rsidRPr="00F518D3">
        <w:rPr>
          <w:rFonts w:ascii="Arial" w:hAnsi="Arial" w:cs="Arial"/>
          <w:b/>
          <w:lang w:val="en-US"/>
        </w:rPr>
        <w:t>extending its scope to include all the contracts subject to REMIT, irrespective of the venue they are traded at.</w:t>
      </w:r>
      <w:r w:rsidRPr="00F518D3">
        <w:rPr>
          <w:rFonts w:ascii="Arial" w:hAnsi="Arial" w:cs="Arial"/>
          <w:lang w:val="en-US"/>
        </w:rPr>
        <w:t xml:space="preserve"> TAURON Polska Energia S.A. also requests that the definition of ”not being for commercial purposes” should be reconsidered so that it would also include commercial (trading) operations of entities whose core operations involve generation or extraction or trading in electricity and natural gas, </w:t>
      </w:r>
      <w:r w:rsidRPr="006359AA">
        <w:rPr>
          <w:rFonts w:ascii="Arial" w:hAnsi="Arial" w:cs="Arial"/>
          <w:lang w:val="en-US"/>
        </w:rPr>
        <w:t>in particular carried out in the form of hedging contracts for the above mentioned products, contracts used to achieve compliance with the statutory obligation to sell such products on liquid markets in order to protect or increase competition on the market or contracts aimed at ensuring and maintaining such market liquidity.</w:t>
      </w:r>
    </w:p>
    <w:p w14:paraId="30C8ACEA" w14:textId="77777777" w:rsidR="006359AA" w:rsidRPr="006359AA" w:rsidRDefault="006359AA" w:rsidP="006359AA">
      <w:pPr>
        <w:jc w:val="both"/>
        <w:rPr>
          <w:rFonts w:ascii="Arial" w:hAnsi="Arial" w:cs="Arial"/>
          <w:b/>
          <w:u w:val="single"/>
          <w:lang w:val="en-US"/>
        </w:rPr>
      </w:pPr>
      <w:r w:rsidRPr="006359AA">
        <w:rPr>
          <w:rFonts w:ascii="Arial" w:hAnsi="Arial" w:cs="Arial"/>
          <w:b/>
          <w:u w:val="single"/>
          <w:lang w:val="en-US"/>
        </w:rPr>
        <w:t xml:space="preserve">In conclusion: </w:t>
      </w:r>
    </w:p>
    <w:p w14:paraId="1D9E6666" w14:textId="77777777" w:rsidR="006359AA" w:rsidRPr="006359AA" w:rsidRDefault="006359AA" w:rsidP="006359AA">
      <w:pPr>
        <w:numPr>
          <w:ilvl w:val="0"/>
          <w:numId w:val="22"/>
        </w:numPr>
        <w:jc w:val="both"/>
        <w:rPr>
          <w:rFonts w:ascii="Arial" w:hAnsi="Arial" w:cs="Arial"/>
          <w:lang w:val="en-US"/>
        </w:rPr>
      </w:pPr>
      <w:r>
        <w:rPr>
          <w:rFonts w:ascii="Arial" w:hAnsi="Arial" w:cs="Arial"/>
          <w:lang w:val="en-US"/>
        </w:rPr>
        <w:t>TAURON Polska Energia S.A.</w:t>
      </w:r>
      <w:r w:rsidRPr="006359AA">
        <w:rPr>
          <w:rFonts w:ascii="Arial" w:hAnsi="Arial" w:cs="Arial"/>
          <w:lang w:val="en-US"/>
        </w:rPr>
        <w:t xml:space="preserve"> </w:t>
      </w:r>
      <w:r w:rsidRPr="006359AA">
        <w:rPr>
          <w:rFonts w:ascii="Arial" w:hAnsi="Arial" w:cs="Arial"/>
          <w:b/>
          <w:lang w:val="en-US"/>
        </w:rPr>
        <w:t xml:space="preserve">supports keeping the Remit Carve-out exception </w:t>
      </w:r>
      <w:r w:rsidRPr="006359AA">
        <w:rPr>
          <w:rFonts w:ascii="Arial" w:hAnsi="Arial" w:cs="Arial"/>
          <w:b/>
          <w:u w:val="single"/>
          <w:lang w:val="en-US"/>
        </w:rPr>
        <w:t>unchanged</w:t>
      </w:r>
      <w:r w:rsidRPr="006359AA">
        <w:rPr>
          <w:rFonts w:ascii="Arial" w:hAnsi="Arial" w:cs="Arial"/>
          <w:b/>
          <w:lang w:val="en-US"/>
        </w:rPr>
        <w:t>,</w:t>
      </w:r>
      <w:r w:rsidRPr="006359AA">
        <w:rPr>
          <w:rFonts w:ascii="Arial" w:hAnsi="Arial" w:cs="Arial"/>
          <w:lang w:val="en-US"/>
        </w:rPr>
        <w:t xml:space="preserve"> in particular (for the reasons outlined above) it </w:t>
      </w:r>
      <w:r w:rsidRPr="006359AA">
        <w:rPr>
          <w:rFonts w:ascii="Arial" w:hAnsi="Arial" w:cs="Arial"/>
          <w:b/>
          <w:lang w:val="en-US"/>
        </w:rPr>
        <w:t xml:space="preserve">definitely </w:t>
      </w:r>
      <w:r w:rsidRPr="006359AA">
        <w:rPr>
          <w:rFonts w:ascii="Arial" w:hAnsi="Arial" w:cs="Arial"/>
          <w:b/>
          <w:u w:val="single"/>
          <w:lang w:val="en-US"/>
        </w:rPr>
        <w:t>objects to</w:t>
      </w:r>
      <w:r w:rsidRPr="006359AA">
        <w:rPr>
          <w:rFonts w:ascii="Arial" w:hAnsi="Arial" w:cs="Arial"/>
          <w:b/>
          <w:lang w:val="en-US"/>
        </w:rPr>
        <w:t xml:space="preserve"> extending of the definition of a financial</w:t>
      </w:r>
      <w:r w:rsidRPr="006359AA">
        <w:rPr>
          <w:rFonts w:ascii="Arial" w:hAnsi="Arial" w:cs="Arial"/>
          <w:lang w:val="en-US"/>
        </w:rPr>
        <w:t xml:space="preserve"> </w:t>
      </w:r>
      <w:r w:rsidRPr="006359AA">
        <w:rPr>
          <w:rFonts w:ascii="Arial" w:hAnsi="Arial" w:cs="Arial"/>
          <w:b/>
          <w:lang w:val="en-US"/>
        </w:rPr>
        <w:t>instrument</w:t>
      </w:r>
      <w:r w:rsidRPr="006359AA">
        <w:rPr>
          <w:rFonts w:ascii="Arial" w:hAnsi="Arial" w:cs="Arial"/>
          <w:lang w:val="en-US"/>
        </w:rPr>
        <w:t xml:space="preserve"> and having it include physically settled wholesale energy products traded on an OTF   </w:t>
      </w:r>
    </w:p>
    <w:p w14:paraId="60CB2547" w14:textId="77777777" w:rsidR="00D5365A" w:rsidRPr="006359AA" w:rsidRDefault="006359AA" w:rsidP="008A2611">
      <w:pPr>
        <w:numPr>
          <w:ilvl w:val="0"/>
          <w:numId w:val="22"/>
        </w:numPr>
        <w:jc w:val="both"/>
        <w:rPr>
          <w:rFonts w:ascii="Arial" w:hAnsi="Arial" w:cs="Arial"/>
          <w:lang w:val="en-US"/>
        </w:rPr>
      </w:pPr>
      <w:r w:rsidRPr="006359AA">
        <w:rPr>
          <w:rFonts w:ascii="Arial" w:hAnsi="Arial" w:cs="Arial"/>
          <w:lang w:val="en-US"/>
        </w:rPr>
        <w:t>in the opinion of</w:t>
      </w:r>
      <w:r>
        <w:rPr>
          <w:rFonts w:ascii="Arial" w:hAnsi="Arial" w:cs="Arial"/>
          <w:lang w:val="en-US"/>
        </w:rPr>
        <w:t xml:space="preserve"> TAURON Polska Energia S.A.</w:t>
      </w:r>
      <w:r w:rsidRPr="006359AA">
        <w:rPr>
          <w:rFonts w:ascii="Arial" w:hAnsi="Arial" w:cs="Arial"/>
          <w:lang w:val="en-US"/>
        </w:rPr>
        <w:t xml:space="preserve">, in case </w:t>
      </w:r>
      <w:r w:rsidRPr="006359AA">
        <w:rPr>
          <w:rFonts w:ascii="Arial" w:hAnsi="Arial" w:cs="Arial"/>
          <w:b/>
          <w:lang w:val="en-US"/>
        </w:rPr>
        <w:t xml:space="preserve">ESMA decides that a revision of the Remit Carve-out is justified, such a revision should be aimed at </w:t>
      </w:r>
      <w:r w:rsidRPr="006359AA">
        <w:rPr>
          <w:rFonts w:ascii="Arial" w:hAnsi="Arial" w:cs="Arial"/>
          <w:b/>
          <w:u w:val="single"/>
          <w:lang w:val="en-US"/>
        </w:rPr>
        <w:t>excluding</w:t>
      </w:r>
      <w:r w:rsidRPr="006359AA">
        <w:rPr>
          <w:rFonts w:ascii="Arial" w:hAnsi="Arial" w:cs="Arial"/>
          <w:b/>
          <w:lang w:val="en-US"/>
        </w:rPr>
        <w:t xml:space="preserve"> from the definition of financial instruments of </w:t>
      </w:r>
      <w:r w:rsidRPr="006359AA">
        <w:rPr>
          <w:rFonts w:ascii="Arial" w:hAnsi="Arial" w:cs="Arial"/>
          <w:b/>
          <w:u w:val="single"/>
          <w:lang w:val="en-US"/>
        </w:rPr>
        <w:t>all physically settled wholesale energy products irrespective of the trading platform</w:t>
      </w:r>
      <w:r w:rsidRPr="006359AA">
        <w:rPr>
          <w:rFonts w:ascii="Arial" w:hAnsi="Arial" w:cs="Arial"/>
          <w:b/>
          <w:lang w:val="en-US"/>
        </w:rPr>
        <w:t xml:space="preserve"> they are concluded on. </w:t>
      </w:r>
      <w:r w:rsidRPr="006359AA">
        <w:rPr>
          <w:rFonts w:ascii="Arial" w:hAnsi="Arial" w:cs="Arial"/>
          <w:lang w:val="en-US"/>
        </w:rPr>
        <w:t xml:space="preserve">In this case such a revision could, in </w:t>
      </w:r>
      <w:r w:rsidRPr="006359AA">
        <w:rPr>
          <w:rFonts w:ascii="Arial" w:hAnsi="Arial" w:cs="Arial"/>
          <w:lang w:val="en-US"/>
        </w:rPr>
        <w:lastRenderedPageBreak/>
        <w:t>particular, involve extending the definition of ”not being for commercial purposes”, so that it should also include commercial (trading) operations of entities whose core operations involve generation or extraction or trading in electricity and natural gas, in particular carried out in the form of hedging contracts</w:t>
      </w:r>
      <w:r>
        <w:rPr>
          <w:rFonts w:ascii="Arial" w:hAnsi="Arial" w:cs="Arial"/>
          <w:lang w:val="en-US"/>
        </w:rPr>
        <w:t>.</w:t>
      </w:r>
    </w:p>
    <w:permEnd w:id="439581004"/>
    <w:p w14:paraId="6C6206E8" w14:textId="77777777" w:rsidR="00D5365A" w:rsidRDefault="00D5365A" w:rsidP="00D5365A">
      <w:pPr>
        <w:rPr>
          <w:rFonts w:ascii="Arial" w:hAnsi="Arial" w:cs="Arial"/>
        </w:rPr>
      </w:pPr>
      <w:r>
        <w:rPr>
          <w:rFonts w:ascii="Arial" w:hAnsi="Arial" w:cs="Arial"/>
        </w:rPr>
        <w:t>&lt;ESMA_QUESTION_WPR_2&gt;</w:t>
      </w:r>
    </w:p>
    <w:p w14:paraId="07AFE4A0" w14:textId="77777777" w:rsidR="00D5365A" w:rsidRDefault="00D5365A" w:rsidP="00D5365A">
      <w:pPr>
        <w:rPr>
          <w:rFonts w:ascii="Arial" w:hAnsi="Arial" w:cs="Arial"/>
        </w:rPr>
      </w:pPr>
    </w:p>
    <w:p w14:paraId="01E288CC" w14:textId="77777777" w:rsidR="00D5365A" w:rsidRDefault="00D5365A" w:rsidP="00D5365A">
      <w:pPr>
        <w:pStyle w:val="Questionstyle"/>
        <w:numPr>
          <w:ilvl w:val="0"/>
          <w:numId w:val="17"/>
        </w:numPr>
        <w:spacing w:after="250" w:line="276" w:lineRule="auto"/>
        <w:rPr>
          <w:rFonts w:ascii="Arial" w:hAnsi="Arial" w:cs="Arial"/>
        </w:rPr>
      </w:pPr>
      <w:r>
        <w:t>: Do you agree that the position limit framework should not apply to securitised derivatives? If not, please explain why.</w:t>
      </w:r>
    </w:p>
    <w:p w14:paraId="6AA6B633" w14:textId="77777777" w:rsidR="00D5365A" w:rsidRDefault="00D5365A" w:rsidP="00D5365A">
      <w:pPr>
        <w:rPr>
          <w:rFonts w:ascii="Arial" w:hAnsi="Arial" w:cs="Arial"/>
        </w:rPr>
      </w:pPr>
      <w:r>
        <w:rPr>
          <w:rFonts w:ascii="Arial" w:hAnsi="Arial" w:cs="Arial"/>
        </w:rPr>
        <w:t>&lt;ESMA_QUESTION_WPR_3&gt;</w:t>
      </w:r>
    </w:p>
    <w:p w14:paraId="18A8B64C" w14:textId="77777777" w:rsidR="00D5365A" w:rsidRDefault="00D5365A" w:rsidP="00D5365A">
      <w:pPr>
        <w:rPr>
          <w:rFonts w:ascii="Arial" w:hAnsi="Arial" w:cs="Arial"/>
        </w:rPr>
      </w:pPr>
      <w:permStart w:id="1048534537" w:edGrp="everyone"/>
      <w:r>
        <w:rPr>
          <w:rFonts w:ascii="Arial" w:hAnsi="Arial" w:cs="Arial"/>
        </w:rPr>
        <w:t>TYPE YOUR TEXT HERE</w:t>
      </w:r>
    </w:p>
    <w:permEnd w:id="1048534537"/>
    <w:p w14:paraId="1B663E14" w14:textId="77777777" w:rsidR="00D5365A" w:rsidRDefault="00D5365A" w:rsidP="00D5365A">
      <w:pPr>
        <w:rPr>
          <w:rFonts w:ascii="Arial" w:hAnsi="Arial" w:cs="Arial"/>
        </w:rPr>
      </w:pPr>
      <w:r>
        <w:rPr>
          <w:rFonts w:ascii="Arial" w:hAnsi="Arial" w:cs="Arial"/>
        </w:rPr>
        <w:t>&lt;ESMA_QUESTION_WPR_3&gt;</w:t>
      </w:r>
    </w:p>
    <w:p w14:paraId="3C684F25" w14:textId="77777777" w:rsidR="00D5365A" w:rsidRDefault="00D5365A" w:rsidP="00D5365A">
      <w:pPr>
        <w:rPr>
          <w:rFonts w:ascii="Arial" w:hAnsi="Arial" w:cs="Arial"/>
        </w:rPr>
      </w:pPr>
    </w:p>
    <w:p w14:paraId="08B11C08" w14:textId="77777777" w:rsidR="00D5365A" w:rsidRDefault="00D5365A" w:rsidP="00D5365A">
      <w:pPr>
        <w:pStyle w:val="Questionstyle"/>
        <w:numPr>
          <w:ilvl w:val="0"/>
          <w:numId w:val="17"/>
        </w:numPr>
        <w:spacing w:after="250" w:line="276" w:lineRule="auto"/>
        <w:rPr>
          <w:rFonts w:ascii="Arial" w:hAnsi="Arial" w:cs="Arial"/>
        </w:rPr>
      </w:pPr>
      <w:r>
        <w:t xml:space="preserve">: Which option do you support to address the negative impact of position limits on new and illiquid commodity derivatives: Option 1 or Option 2? Please explain why. If you support another alternative, please explain which one and why. </w:t>
      </w:r>
    </w:p>
    <w:p w14:paraId="0D8D0D5D" w14:textId="77777777" w:rsidR="00D5365A" w:rsidRDefault="00D5365A" w:rsidP="00D5365A">
      <w:pPr>
        <w:rPr>
          <w:rFonts w:ascii="Arial" w:hAnsi="Arial" w:cs="Arial"/>
        </w:rPr>
      </w:pPr>
      <w:r>
        <w:rPr>
          <w:rFonts w:ascii="Arial" w:hAnsi="Arial" w:cs="Arial"/>
        </w:rPr>
        <w:t>&lt;ESMA_QUESTION_WPR_4&gt;</w:t>
      </w:r>
    </w:p>
    <w:p w14:paraId="774673EF" w14:textId="77777777" w:rsidR="00D5365A" w:rsidRDefault="00D5365A" w:rsidP="00D5365A">
      <w:pPr>
        <w:rPr>
          <w:rFonts w:ascii="Arial" w:hAnsi="Arial" w:cs="Arial"/>
        </w:rPr>
      </w:pPr>
      <w:permStart w:id="140332277" w:edGrp="everyone"/>
      <w:r>
        <w:rPr>
          <w:rFonts w:ascii="Arial" w:hAnsi="Arial" w:cs="Arial"/>
        </w:rPr>
        <w:t>TYPE YOUR TEXT HERE</w:t>
      </w:r>
    </w:p>
    <w:permEnd w:id="140332277"/>
    <w:p w14:paraId="64DA9F25" w14:textId="77777777" w:rsidR="00D5365A" w:rsidRDefault="00D5365A" w:rsidP="00D5365A">
      <w:pPr>
        <w:rPr>
          <w:rFonts w:ascii="Arial" w:hAnsi="Arial" w:cs="Arial"/>
        </w:rPr>
      </w:pPr>
      <w:r>
        <w:rPr>
          <w:rFonts w:ascii="Arial" w:hAnsi="Arial" w:cs="Arial"/>
        </w:rPr>
        <w:t>&lt;ESMA_QUESTION_WPR_4&gt;</w:t>
      </w:r>
    </w:p>
    <w:p w14:paraId="32182A14" w14:textId="77777777" w:rsidR="00D5365A" w:rsidRDefault="00D5365A" w:rsidP="00D5365A">
      <w:pPr>
        <w:rPr>
          <w:rFonts w:ascii="Arial" w:hAnsi="Arial" w:cs="Arial"/>
        </w:rPr>
      </w:pPr>
    </w:p>
    <w:p w14:paraId="641320B9" w14:textId="77777777" w:rsidR="00D5365A" w:rsidRDefault="00D5365A" w:rsidP="00D5365A">
      <w:pPr>
        <w:pStyle w:val="Questionstyle"/>
        <w:numPr>
          <w:ilvl w:val="0"/>
          <w:numId w:val="17"/>
        </w:numPr>
        <w:spacing w:after="250" w:line="276" w:lineRule="auto"/>
        <w:rPr>
          <w:rFonts w:ascii="Arial" w:hAnsi="Arial" w:cs="Arial"/>
        </w:rPr>
      </w:pPr>
      <w:r>
        <w:t xml:space="preserve">: If you support Option 1 and would suggest different or additional criteria to determine whether a contract qualifies as a critical contract, please explain which ones.  </w:t>
      </w:r>
    </w:p>
    <w:p w14:paraId="4CDB42C8" w14:textId="77777777" w:rsidR="00D5365A" w:rsidRDefault="00D5365A" w:rsidP="00D5365A">
      <w:pPr>
        <w:rPr>
          <w:rFonts w:ascii="Arial" w:hAnsi="Arial" w:cs="Arial"/>
        </w:rPr>
      </w:pPr>
      <w:r>
        <w:rPr>
          <w:rFonts w:ascii="Arial" w:hAnsi="Arial" w:cs="Arial"/>
        </w:rPr>
        <w:t>&lt;ESMA_QUESTION_WPR_5&gt;</w:t>
      </w:r>
    </w:p>
    <w:p w14:paraId="129DC9E0" w14:textId="77777777" w:rsidR="00D5365A" w:rsidRDefault="00D5365A" w:rsidP="00D5365A">
      <w:pPr>
        <w:rPr>
          <w:rFonts w:ascii="Arial" w:hAnsi="Arial" w:cs="Arial"/>
        </w:rPr>
      </w:pPr>
      <w:permStart w:id="822218553" w:edGrp="everyone"/>
      <w:r>
        <w:rPr>
          <w:rFonts w:ascii="Arial" w:hAnsi="Arial" w:cs="Arial"/>
        </w:rPr>
        <w:t>TYPE YOUR TEXT HERE</w:t>
      </w:r>
    </w:p>
    <w:permEnd w:id="822218553"/>
    <w:p w14:paraId="4A565A56" w14:textId="77777777" w:rsidR="00D5365A" w:rsidRDefault="00D5365A" w:rsidP="00D5365A">
      <w:pPr>
        <w:rPr>
          <w:rFonts w:ascii="Arial" w:hAnsi="Arial" w:cs="Arial"/>
        </w:rPr>
      </w:pPr>
      <w:r>
        <w:rPr>
          <w:rFonts w:ascii="Arial" w:hAnsi="Arial" w:cs="Arial"/>
        </w:rPr>
        <w:t>&lt;ESMA_QUESTION_WPR_5&gt;</w:t>
      </w:r>
    </w:p>
    <w:p w14:paraId="6DD4656A" w14:textId="77777777" w:rsidR="00D5365A" w:rsidRDefault="00D5365A" w:rsidP="00D5365A">
      <w:pPr>
        <w:rPr>
          <w:rFonts w:ascii="Arial" w:hAnsi="Arial" w:cs="Arial"/>
        </w:rPr>
      </w:pPr>
    </w:p>
    <w:p w14:paraId="08437AFD" w14:textId="77777777" w:rsidR="00D5365A" w:rsidRDefault="00D5365A" w:rsidP="00D5365A">
      <w:pPr>
        <w:pStyle w:val="Questionstyle"/>
        <w:numPr>
          <w:ilvl w:val="0"/>
          <w:numId w:val="17"/>
        </w:numPr>
        <w:spacing w:after="250" w:line="276" w:lineRule="auto"/>
        <w:rPr>
          <w:rFonts w:ascii="Arial" w:hAnsi="Arial" w:cs="Arial"/>
        </w:rPr>
      </w:pPr>
      <w:r>
        <w:t>: Which open interest and participant threshold would you suggest for qualifying a commodity derivative as a critical one?</w:t>
      </w:r>
    </w:p>
    <w:p w14:paraId="1FD1E98B" w14:textId="77777777" w:rsidR="00D5365A" w:rsidRDefault="00D5365A" w:rsidP="00D5365A">
      <w:pPr>
        <w:rPr>
          <w:rFonts w:ascii="Arial" w:hAnsi="Arial" w:cs="Arial"/>
        </w:rPr>
      </w:pPr>
      <w:r>
        <w:rPr>
          <w:rFonts w:ascii="Arial" w:hAnsi="Arial" w:cs="Arial"/>
        </w:rPr>
        <w:t>&lt;ESMA_QUESTION_WPR_6&gt;</w:t>
      </w:r>
    </w:p>
    <w:p w14:paraId="52F944B9" w14:textId="77777777" w:rsidR="00D5365A" w:rsidRDefault="00D5365A" w:rsidP="00D5365A">
      <w:pPr>
        <w:rPr>
          <w:rFonts w:ascii="Arial" w:hAnsi="Arial" w:cs="Arial"/>
        </w:rPr>
      </w:pPr>
      <w:permStart w:id="1358581800" w:edGrp="everyone"/>
      <w:r>
        <w:rPr>
          <w:rFonts w:ascii="Arial" w:hAnsi="Arial" w:cs="Arial"/>
        </w:rPr>
        <w:t>TYPE YOUR TEXT HERE</w:t>
      </w:r>
    </w:p>
    <w:permEnd w:id="1358581800"/>
    <w:p w14:paraId="3FCE5522" w14:textId="77777777" w:rsidR="00D5365A" w:rsidRDefault="00D5365A" w:rsidP="00D5365A">
      <w:pPr>
        <w:rPr>
          <w:rFonts w:ascii="Arial" w:hAnsi="Arial" w:cs="Arial"/>
        </w:rPr>
      </w:pPr>
      <w:r>
        <w:rPr>
          <w:rFonts w:ascii="Arial" w:hAnsi="Arial" w:cs="Arial"/>
        </w:rPr>
        <w:t>&lt;ESMA_QUESTION_WPR_6&gt;</w:t>
      </w:r>
    </w:p>
    <w:p w14:paraId="69A4D0B7" w14:textId="77777777" w:rsidR="00D5365A" w:rsidRDefault="00D5365A" w:rsidP="00D5365A">
      <w:pPr>
        <w:rPr>
          <w:rFonts w:ascii="Arial" w:hAnsi="Arial" w:cs="Arial"/>
        </w:rPr>
      </w:pPr>
    </w:p>
    <w:p w14:paraId="72E7F4BD" w14:textId="77777777" w:rsidR="00D5365A" w:rsidRDefault="00D5365A" w:rsidP="00D5365A">
      <w:pPr>
        <w:pStyle w:val="Questionstyle"/>
        <w:numPr>
          <w:ilvl w:val="0"/>
          <w:numId w:val="17"/>
        </w:numPr>
        <w:spacing w:after="250" w:line="276" w:lineRule="auto"/>
        <w:rPr>
          <w:rFonts w:ascii="Arial" w:hAnsi="Arial" w:cs="Arial"/>
        </w:rPr>
      </w:pPr>
      <w:r>
        <w:t>: Would you support a position limit exemption for financial counterparties under mandatory liquidity provision obligations? If not, please explain why.</w:t>
      </w:r>
    </w:p>
    <w:p w14:paraId="47A4E4F4" w14:textId="77777777" w:rsidR="00D5365A" w:rsidRDefault="00D5365A" w:rsidP="00D5365A">
      <w:pPr>
        <w:rPr>
          <w:rFonts w:ascii="Arial" w:hAnsi="Arial" w:cs="Arial"/>
        </w:rPr>
      </w:pPr>
      <w:r>
        <w:rPr>
          <w:rFonts w:ascii="Arial" w:hAnsi="Arial" w:cs="Arial"/>
        </w:rPr>
        <w:t>&lt;ESMA_QUESTION_WPR_7&gt;</w:t>
      </w:r>
    </w:p>
    <w:p w14:paraId="1BF04CDE" w14:textId="77777777" w:rsidR="00D5365A" w:rsidRDefault="00D5365A" w:rsidP="00D5365A">
      <w:pPr>
        <w:rPr>
          <w:rFonts w:ascii="Arial" w:hAnsi="Arial" w:cs="Arial"/>
        </w:rPr>
      </w:pPr>
      <w:permStart w:id="1909214118" w:edGrp="everyone"/>
      <w:r>
        <w:rPr>
          <w:rFonts w:ascii="Arial" w:hAnsi="Arial" w:cs="Arial"/>
        </w:rPr>
        <w:t>TYPE YOUR TEXT HERE</w:t>
      </w:r>
    </w:p>
    <w:permEnd w:id="1909214118"/>
    <w:p w14:paraId="6CC1AD86" w14:textId="77777777" w:rsidR="00D5365A" w:rsidRDefault="00D5365A" w:rsidP="00D5365A">
      <w:pPr>
        <w:rPr>
          <w:rFonts w:ascii="Arial" w:hAnsi="Arial" w:cs="Arial"/>
        </w:rPr>
      </w:pPr>
      <w:r>
        <w:rPr>
          <w:rFonts w:ascii="Arial" w:hAnsi="Arial" w:cs="Arial"/>
        </w:rPr>
        <w:t>&lt;ESMA_QUESTION_WPR_7&gt;</w:t>
      </w:r>
    </w:p>
    <w:p w14:paraId="5D2AD574" w14:textId="77777777" w:rsidR="00D5365A" w:rsidRDefault="00D5365A" w:rsidP="00D5365A">
      <w:pPr>
        <w:rPr>
          <w:rFonts w:ascii="Arial" w:hAnsi="Arial" w:cs="Arial"/>
        </w:rPr>
      </w:pPr>
    </w:p>
    <w:p w14:paraId="4F4BB302" w14:textId="77777777" w:rsidR="00D5365A" w:rsidRDefault="00D5365A" w:rsidP="00D5365A">
      <w:pPr>
        <w:pStyle w:val="Questionstyle"/>
        <w:numPr>
          <w:ilvl w:val="0"/>
          <w:numId w:val="17"/>
        </w:numPr>
        <w:spacing w:after="250" w:line="276" w:lineRule="auto"/>
        <w:rPr>
          <w:rFonts w:ascii="Arial" w:hAnsi="Arial" w:cs="Arial"/>
        </w:rPr>
      </w:pPr>
      <w:r>
        <w:t>: Would you support introducing a hedging exemption for financial counterparties along the lines described above? If not, please explain why.</w:t>
      </w:r>
    </w:p>
    <w:p w14:paraId="261F34D6" w14:textId="77777777" w:rsidR="00D5365A" w:rsidRDefault="00D5365A" w:rsidP="00D5365A">
      <w:pPr>
        <w:rPr>
          <w:rFonts w:ascii="Arial" w:hAnsi="Arial" w:cs="Arial"/>
        </w:rPr>
      </w:pPr>
      <w:r>
        <w:rPr>
          <w:rFonts w:ascii="Arial" w:hAnsi="Arial" w:cs="Arial"/>
        </w:rPr>
        <w:t>&lt;ESMA_QUESTION_WPR_8&gt;</w:t>
      </w:r>
    </w:p>
    <w:p w14:paraId="163AB8CE" w14:textId="77777777" w:rsidR="00D5365A" w:rsidRDefault="00D5365A" w:rsidP="00D5365A">
      <w:pPr>
        <w:rPr>
          <w:rFonts w:ascii="Arial" w:hAnsi="Arial" w:cs="Arial"/>
        </w:rPr>
      </w:pPr>
      <w:permStart w:id="1895523404" w:edGrp="everyone"/>
      <w:r>
        <w:rPr>
          <w:rFonts w:ascii="Arial" w:hAnsi="Arial" w:cs="Arial"/>
        </w:rPr>
        <w:t>TYPE YOUR TEXT HERE</w:t>
      </w:r>
    </w:p>
    <w:permEnd w:id="1895523404"/>
    <w:p w14:paraId="65D0801D" w14:textId="77777777" w:rsidR="00D5365A" w:rsidRDefault="00D5365A" w:rsidP="00D5365A">
      <w:pPr>
        <w:rPr>
          <w:rFonts w:ascii="Arial" w:hAnsi="Arial" w:cs="Arial"/>
        </w:rPr>
      </w:pPr>
      <w:r>
        <w:rPr>
          <w:rFonts w:ascii="Arial" w:hAnsi="Arial" w:cs="Arial"/>
        </w:rPr>
        <w:t>&lt;ESMA_QUESTION_WPR_8&gt;</w:t>
      </w:r>
    </w:p>
    <w:p w14:paraId="0ACFCB1B" w14:textId="77777777" w:rsidR="00D5365A" w:rsidRDefault="00D5365A" w:rsidP="00D5365A">
      <w:pPr>
        <w:rPr>
          <w:rFonts w:ascii="Arial" w:hAnsi="Arial" w:cs="Arial"/>
        </w:rPr>
      </w:pPr>
    </w:p>
    <w:p w14:paraId="60AF73DE" w14:textId="77777777" w:rsidR="00D5365A" w:rsidRDefault="00D5365A" w:rsidP="00D5365A">
      <w:pPr>
        <w:pStyle w:val="Questionstyle"/>
        <w:numPr>
          <w:ilvl w:val="0"/>
          <w:numId w:val="17"/>
        </w:numPr>
        <w:spacing w:after="250" w:line="276" w:lineRule="auto"/>
        <w:rPr>
          <w:rFonts w:ascii="Arial" w:hAnsi="Arial" w:cs="Arial"/>
        </w:rPr>
      </w:pPr>
      <w:r>
        <w:t xml:space="preserve">: Do you agree with ESMA’s proposals to amend Article 57(8)(b) of MiFID II and to introduce Level 2 measures on position management controls? If not, please explain why. </w:t>
      </w:r>
    </w:p>
    <w:p w14:paraId="45FCFA2B" w14:textId="77777777" w:rsidR="00D5365A" w:rsidRDefault="00D5365A" w:rsidP="00D5365A">
      <w:pPr>
        <w:rPr>
          <w:rFonts w:ascii="Arial" w:hAnsi="Arial" w:cs="Arial"/>
        </w:rPr>
      </w:pPr>
      <w:r>
        <w:rPr>
          <w:rFonts w:ascii="Arial" w:hAnsi="Arial" w:cs="Arial"/>
        </w:rPr>
        <w:t>&lt;ESMA_QUESTION_WPR_9&gt;</w:t>
      </w:r>
    </w:p>
    <w:p w14:paraId="15161A64" w14:textId="77777777" w:rsidR="00D5365A" w:rsidRDefault="00D5365A" w:rsidP="00D5365A">
      <w:pPr>
        <w:rPr>
          <w:rFonts w:ascii="Arial" w:hAnsi="Arial" w:cs="Arial"/>
        </w:rPr>
      </w:pPr>
      <w:permStart w:id="1616582088" w:edGrp="everyone"/>
      <w:r>
        <w:rPr>
          <w:rFonts w:ascii="Arial" w:hAnsi="Arial" w:cs="Arial"/>
        </w:rPr>
        <w:t>TYPE YOUR TEXT HERE</w:t>
      </w:r>
    </w:p>
    <w:permEnd w:id="1616582088"/>
    <w:p w14:paraId="0BFF2ED8" w14:textId="77777777" w:rsidR="00D5365A" w:rsidRDefault="00D5365A" w:rsidP="00D5365A">
      <w:pPr>
        <w:rPr>
          <w:rFonts w:ascii="Arial" w:hAnsi="Arial" w:cs="Arial"/>
        </w:rPr>
      </w:pPr>
      <w:r>
        <w:rPr>
          <w:rFonts w:ascii="Arial" w:hAnsi="Arial" w:cs="Arial"/>
        </w:rPr>
        <w:t>&lt;ESMA_QUESTION_WPR_9&gt;</w:t>
      </w:r>
    </w:p>
    <w:p w14:paraId="57B4D701" w14:textId="77777777" w:rsidR="00D5365A" w:rsidRDefault="00D5365A" w:rsidP="00D5365A">
      <w:pPr>
        <w:rPr>
          <w:rFonts w:ascii="Arial" w:hAnsi="Arial" w:cs="Arial"/>
        </w:rPr>
      </w:pPr>
    </w:p>
    <w:p w14:paraId="4FA92697" w14:textId="77777777" w:rsidR="00D5365A" w:rsidRDefault="00D5365A" w:rsidP="00D5365A">
      <w:pPr>
        <w:rPr>
          <w:rFonts w:ascii="Arial" w:hAnsi="Arial" w:cs="Arial"/>
        </w:rPr>
      </w:pPr>
    </w:p>
    <w:p w14:paraId="273A57E8" w14:textId="77777777" w:rsidR="00D5365A" w:rsidRPr="002847A4" w:rsidRDefault="00D5365A" w:rsidP="00D5365A">
      <w:pPr>
        <w:rPr>
          <w:b/>
        </w:rPr>
      </w:pPr>
      <w:r w:rsidRPr="002847A4">
        <w:rPr>
          <w:b/>
        </w:rPr>
        <w:t>Part II</w:t>
      </w:r>
    </w:p>
    <w:p w14:paraId="044B2C16" w14:textId="77777777" w:rsidR="00D5365A" w:rsidRDefault="00D5365A" w:rsidP="00D5365A">
      <w:pPr>
        <w:rPr>
          <w:rFonts w:ascii="Arial" w:hAnsi="Arial" w:cs="Arial"/>
        </w:rPr>
      </w:pPr>
    </w:p>
    <w:p w14:paraId="52E7026F" w14:textId="77777777" w:rsidR="00D5365A" w:rsidRDefault="00D5365A" w:rsidP="00D5365A">
      <w:pPr>
        <w:pStyle w:val="Questionstyle"/>
        <w:numPr>
          <w:ilvl w:val="0"/>
          <w:numId w:val="17"/>
        </w:numPr>
        <w:spacing w:after="250" w:line="276" w:lineRule="auto"/>
        <w:rPr>
          <w:rFonts w:ascii="Arial" w:hAnsi="Arial" w:cs="Arial"/>
        </w:rPr>
      </w:pPr>
      <w:r>
        <w:t xml:space="preserve">: Do you agree with the revised proposed minimum threshold level for the open interest criterion for the publication of weekly position reports? If not, please state your preferred alternative for the definition of this threshold and explain why. </w:t>
      </w:r>
    </w:p>
    <w:p w14:paraId="0355503E" w14:textId="77777777" w:rsidR="00D5365A" w:rsidRDefault="00D5365A" w:rsidP="00D5365A">
      <w:pPr>
        <w:rPr>
          <w:rFonts w:ascii="Arial" w:hAnsi="Arial" w:cs="Arial"/>
        </w:rPr>
      </w:pPr>
      <w:r>
        <w:rPr>
          <w:rFonts w:ascii="Arial" w:hAnsi="Arial" w:cs="Arial"/>
        </w:rPr>
        <w:t>&lt;ESMA_QUESTION_WPR_10&gt;</w:t>
      </w:r>
    </w:p>
    <w:p w14:paraId="7AF40DEC" w14:textId="77777777" w:rsidR="00D5365A" w:rsidRDefault="00D5365A" w:rsidP="00D5365A">
      <w:pPr>
        <w:rPr>
          <w:rFonts w:ascii="Arial" w:hAnsi="Arial" w:cs="Arial"/>
        </w:rPr>
      </w:pPr>
      <w:permStart w:id="405881176" w:edGrp="everyone"/>
      <w:r>
        <w:rPr>
          <w:rFonts w:ascii="Arial" w:hAnsi="Arial" w:cs="Arial"/>
        </w:rPr>
        <w:t>TYPE YOUR TEXT HERE</w:t>
      </w:r>
    </w:p>
    <w:permEnd w:id="405881176"/>
    <w:p w14:paraId="7FC707CD" w14:textId="77777777" w:rsidR="00D5365A" w:rsidRDefault="00D5365A" w:rsidP="00D5365A">
      <w:pPr>
        <w:rPr>
          <w:rFonts w:ascii="Arial" w:hAnsi="Arial" w:cs="Arial"/>
        </w:rPr>
      </w:pPr>
      <w:r>
        <w:rPr>
          <w:rFonts w:ascii="Arial" w:hAnsi="Arial" w:cs="Arial"/>
        </w:rPr>
        <w:t>&lt;ESMA_QUESTION_WPR_10&gt;</w:t>
      </w:r>
    </w:p>
    <w:p w14:paraId="118337FD" w14:textId="77777777" w:rsidR="00D5365A" w:rsidRDefault="00D5365A" w:rsidP="00D5365A">
      <w:pPr>
        <w:rPr>
          <w:rFonts w:ascii="Arial" w:hAnsi="Arial" w:cs="Arial"/>
        </w:rPr>
      </w:pPr>
    </w:p>
    <w:p w14:paraId="7207A9C4" w14:textId="77777777" w:rsidR="00D5365A" w:rsidRDefault="00D5365A" w:rsidP="00D5365A">
      <w:pPr>
        <w:pStyle w:val="Questionstyle"/>
        <w:numPr>
          <w:ilvl w:val="0"/>
          <w:numId w:val="17"/>
        </w:numPr>
        <w:spacing w:after="250" w:line="276" w:lineRule="auto"/>
        <w:rPr>
          <w:rFonts w:ascii="Arial" w:hAnsi="Arial" w:cs="Arial"/>
        </w:rPr>
      </w:pPr>
      <w:r>
        <w:t>: Do you have any comment on the current number of position holders required for the publication of weekly position reports?</w:t>
      </w:r>
    </w:p>
    <w:p w14:paraId="2B08C1A2" w14:textId="77777777" w:rsidR="00D5365A" w:rsidRDefault="00D5365A" w:rsidP="00D5365A">
      <w:pPr>
        <w:rPr>
          <w:rFonts w:ascii="Arial" w:hAnsi="Arial" w:cs="Arial"/>
        </w:rPr>
      </w:pPr>
      <w:r>
        <w:rPr>
          <w:rFonts w:ascii="Arial" w:hAnsi="Arial" w:cs="Arial"/>
        </w:rPr>
        <w:t>&lt;ESMA_QUESTION_WPR_11&gt;</w:t>
      </w:r>
    </w:p>
    <w:p w14:paraId="09F94064" w14:textId="77777777" w:rsidR="00D5365A" w:rsidRDefault="00D5365A" w:rsidP="00D5365A">
      <w:pPr>
        <w:rPr>
          <w:rFonts w:ascii="Arial" w:hAnsi="Arial" w:cs="Arial"/>
        </w:rPr>
      </w:pPr>
      <w:permStart w:id="616060100" w:edGrp="everyone"/>
      <w:r>
        <w:rPr>
          <w:rFonts w:ascii="Arial" w:hAnsi="Arial" w:cs="Arial"/>
        </w:rPr>
        <w:t>TYPE YOUR TEXT HERE</w:t>
      </w:r>
    </w:p>
    <w:permEnd w:id="616060100"/>
    <w:p w14:paraId="3A27FC51" w14:textId="77777777" w:rsidR="00D5365A" w:rsidRDefault="00D5365A" w:rsidP="00D5365A">
      <w:pPr>
        <w:rPr>
          <w:rFonts w:ascii="Arial" w:hAnsi="Arial" w:cs="Arial"/>
        </w:rPr>
      </w:pPr>
      <w:r>
        <w:rPr>
          <w:rFonts w:ascii="Arial" w:hAnsi="Arial" w:cs="Arial"/>
        </w:rPr>
        <w:t>&lt;ESMA_QUESTION_WPR_11&gt;</w:t>
      </w:r>
    </w:p>
    <w:p w14:paraId="2B078DE9" w14:textId="77777777" w:rsidR="00D5365A" w:rsidRDefault="00D5365A" w:rsidP="00D5365A">
      <w:pPr>
        <w:rPr>
          <w:rFonts w:ascii="Arial" w:hAnsi="Arial" w:cs="Arial"/>
        </w:rPr>
      </w:pPr>
    </w:p>
    <w:p w14:paraId="5BDBFF5B" w14:textId="77777777" w:rsidR="00D5365A" w:rsidRDefault="00D5365A" w:rsidP="00D5365A">
      <w:pPr>
        <w:rPr>
          <w:rFonts w:ascii="Arial" w:hAnsi="Arial" w:cs="Arial"/>
        </w:rPr>
      </w:pPr>
    </w:p>
    <w:bookmarkEnd w:id="1"/>
    <w:p w14:paraId="21E02C7D" w14:textId="77777777" w:rsidR="00AB6157" w:rsidRDefault="00AB6157" w:rsidP="00C1698A">
      <w:pPr>
        <w:spacing w:line="276" w:lineRule="auto"/>
        <w:rPr>
          <w:rFonts w:asciiTheme="minorHAnsi" w:hAnsiTheme="minorHAnsi" w:cstheme="minorHAnsi"/>
          <w:b/>
          <w:sz w:val="28"/>
          <w:szCs w:val="28"/>
        </w:rPr>
      </w:pPr>
    </w:p>
    <w:sectPr w:rsidR="00AB6157"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D4D67" w14:textId="77777777" w:rsidR="00716278" w:rsidRDefault="00716278" w:rsidP="007E7997">
      <w:r>
        <w:separator/>
      </w:r>
    </w:p>
  </w:endnote>
  <w:endnote w:type="continuationSeparator" w:id="0">
    <w:p w14:paraId="416DAFA6" w14:textId="77777777" w:rsidR="00716278" w:rsidRDefault="00716278" w:rsidP="007E7997">
      <w:r>
        <w:continuationSeparator/>
      </w:r>
    </w:p>
  </w:endnote>
  <w:endnote w:type="continuationNotice" w:id="1">
    <w:p w14:paraId="7BA3225A" w14:textId="77777777" w:rsidR="00716278" w:rsidRDefault="007162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752671"/>
      <w:docPartObj>
        <w:docPartGallery w:val="Page Numbers (Bottom of Page)"/>
        <w:docPartUnique/>
      </w:docPartObj>
    </w:sdtPr>
    <w:sdtEndPr>
      <w:rPr>
        <w:noProof/>
      </w:rPr>
    </w:sdtEndPr>
    <w:sdtContent>
      <w:p w14:paraId="23EDAB5F" w14:textId="77777777" w:rsidR="00FA1D05" w:rsidRDefault="00FA1D05">
        <w:pPr>
          <w:pStyle w:val="Stopka"/>
          <w:jc w:val="center"/>
        </w:pPr>
        <w:r>
          <w:fldChar w:fldCharType="begin"/>
        </w:r>
        <w:r>
          <w:instrText xml:space="preserve"> PAGE   \* MERGEFORMAT </w:instrText>
        </w:r>
        <w:r>
          <w:fldChar w:fldCharType="separate"/>
        </w:r>
        <w:r>
          <w:rPr>
            <w:noProof/>
          </w:rPr>
          <w:t>3</w:t>
        </w:r>
        <w:r>
          <w:rPr>
            <w:noProof/>
          </w:rPr>
          <w:fldChar w:fldCharType="end"/>
        </w:r>
      </w:p>
    </w:sdtContent>
  </w:sdt>
  <w:p w14:paraId="6FD40EC3" w14:textId="77777777" w:rsidR="00FA1D05" w:rsidRDefault="00FA1D0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03A09" w14:textId="77777777" w:rsidR="00FA1D05" w:rsidRDefault="00FA1D05" w:rsidP="007A160F">
    <w:pPr>
      <w:pStyle w:val="Stopka"/>
    </w:pPr>
    <w:r>
      <w:rPr>
        <w:rFonts w:asciiTheme="majorHAnsi" w:hAnsiTheme="majorHAnsi"/>
        <w:color w:val="FFFFFF" w:themeColor="background1"/>
      </w:rPr>
      <w:tab/>
    </w:r>
    <w:r>
      <w:rPr>
        <w:rFonts w:asciiTheme="majorHAnsi" w:hAnsiTheme="majorHAnsi"/>
        <w:color w:val="FFFFFF" w:themeColor="background1"/>
      </w:rPr>
      <w:tab/>
      <w:t xml:space="preserve">5 November 2019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752247"/>
      <w:docPartObj>
        <w:docPartGallery w:val="Page Numbers (Bottom of Page)"/>
        <w:docPartUnique/>
      </w:docPartObj>
    </w:sdtPr>
    <w:sdtEndPr>
      <w:rPr>
        <w:noProof/>
      </w:rPr>
    </w:sdtEndPr>
    <w:sdtContent>
      <w:p w14:paraId="6C7B0D70" w14:textId="49597D11" w:rsidR="00FA1D05" w:rsidRDefault="00FA1D05">
        <w:pPr>
          <w:pStyle w:val="Stopka"/>
          <w:jc w:val="center"/>
        </w:pPr>
        <w:r>
          <w:fldChar w:fldCharType="begin"/>
        </w:r>
        <w:r>
          <w:instrText xml:space="preserve"> PAGE   \* MERGEFORMAT </w:instrText>
        </w:r>
        <w:r>
          <w:fldChar w:fldCharType="separate"/>
        </w:r>
        <w:r w:rsidR="00CD692B">
          <w:rPr>
            <w:noProof/>
          </w:rPr>
          <w:t>3</w:t>
        </w:r>
        <w:r>
          <w:rPr>
            <w:noProof/>
          </w:rPr>
          <w:fldChar w:fldCharType="end"/>
        </w:r>
      </w:p>
    </w:sdtContent>
  </w:sdt>
  <w:p w14:paraId="47BF7AD9" w14:textId="77777777" w:rsidR="00FA1D05" w:rsidRDefault="00FA1D05" w:rsidP="00FB24ED">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164D7" w14:textId="77777777" w:rsidR="00716278" w:rsidRDefault="00716278" w:rsidP="007E7997">
      <w:r>
        <w:separator/>
      </w:r>
    </w:p>
  </w:footnote>
  <w:footnote w:type="continuationSeparator" w:id="0">
    <w:p w14:paraId="3469674A" w14:textId="77777777" w:rsidR="00716278" w:rsidRDefault="00716278" w:rsidP="007E7997">
      <w:r>
        <w:continuationSeparator/>
      </w:r>
    </w:p>
  </w:footnote>
  <w:footnote w:type="continuationNotice" w:id="1">
    <w:p w14:paraId="513C1A65" w14:textId="77777777" w:rsidR="00716278" w:rsidRDefault="0071627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5538F" w14:textId="77777777" w:rsidR="00FA1D05" w:rsidRDefault="00FA1D05">
    <w:pPr>
      <w:pStyle w:val="Nagwek"/>
    </w:pPr>
  </w:p>
  <w:p w14:paraId="17E38FC2" w14:textId="77777777" w:rsidR="00FA1D05" w:rsidRDefault="00FA1D0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4DCED" w14:textId="77777777" w:rsidR="00FA1D05" w:rsidRDefault="00FA1D05">
    <w:pPr>
      <w:pStyle w:val="Nagwek"/>
    </w:pPr>
    <w:r>
      <w:rPr>
        <w:noProof/>
        <w:lang w:val="pl-PL" w:eastAsia="pl-PL"/>
      </w:rPr>
      <w:drawing>
        <wp:anchor distT="0" distB="0" distL="114300" distR="114300" simplePos="0" relativeHeight="251658752" behindDoc="0" locked="0" layoutInCell="1" allowOverlap="1" wp14:anchorId="5191DBE2" wp14:editId="63AD516E">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val="pl-PL" w:eastAsia="pl-PL"/>
      </w:rPr>
      <w:drawing>
        <wp:anchor distT="0" distB="0" distL="114300" distR="114300" simplePos="0" relativeHeight="251657728" behindDoc="1" locked="0" layoutInCell="1" allowOverlap="1" wp14:anchorId="0B19CB1F" wp14:editId="779215C9">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9A5DB" w14:textId="77777777" w:rsidR="00FA1D05" w:rsidRDefault="00FA1D05" w:rsidP="00B50534">
    <w:pPr>
      <w:pStyle w:val="Nagwek"/>
      <w:jc w:val="right"/>
      <w:rPr>
        <w:b/>
        <w:color w:val="FF0000"/>
      </w:rPr>
    </w:pPr>
    <w:r w:rsidRPr="008D5F86">
      <w:rPr>
        <w:rFonts w:ascii="Arial" w:hAnsi="Arial" w:cs="Arial"/>
        <w:noProof/>
        <w:lang w:val="pl-PL" w:eastAsia="pl-PL"/>
      </w:rPr>
      <mc:AlternateContent>
        <mc:Choice Requires="wps">
          <w:drawing>
            <wp:anchor distT="0" distB="0" distL="114300" distR="114300" simplePos="0" relativeHeight="251656704" behindDoc="0" locked="0" layoutInCell="1" allowOverlap="1" wp14:anchorId="3A5AC2B2" wp14:editId="46EBF81C">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143BF"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61ACB74C" w14:textId="77777777" w:rsidR="00FA1D05" w:rsidRPr="00D13661" w:rsidRDefault="00FA1D05" w:rsidP="00B50534">
    <w:pPr>
      <w:pStyle w:val="Nagwek"/>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lang w:val="pl-PL" w:eastAsia="pl-PL"/>
      </w:rPr>
      <w:drawing>
        <wp:anchor distT="0" distB="0" distL="114300" distR="114300" simplePos="0" relativeHeight="251655680" behindDoc="0" locked="0" layoutInCell="1" allowOverlap="1" wp14:anchorId="659A3505" wp14:editId="67F0DB67">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3A00B84D" w14:textId="77777777" w:rsidR="00FA1D05" w:rsidRPr="00C3170E" w:rsidRDefault="00FA1D05" w:rsidP="00B50534">
    <w:pPr>
      <w:pStyle w:val="Nagwek"/>
      <w:jc w:val="right"/>
      <w:rPr>
        <w:color w:val="2F5496" w:themeColor="accent5" w:themeShade="BF"/>
        <w:sz w:val="20"/>
      </w:rPr>
    </w:pPr>
  </w:p>
  <w:p w14:paraId="48AB25B5" w14:textId="77777777" w:rsidR="00FA1D05" w:rsidRPr="00B50534" w:rsidRDefault="00FA1D05" w:rsidP="00B50534">
    <w:pPr>
      <w:pStyle w:val="Nagwek"/>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3in;height:3in" o:bullet="t"/>
    </w:pict>
  </w:numPicBullet>
  <w:numPicBullet w:numPicBulletId="1">
    <w:pict>
      <v:shape id="_x0000_i1048" type="#_x0000_t75" style="width:3in;height:3in" o:bullet="t"/>
    </w:pict>
  </w:numPicBullet>
  <w:numPicBullet w:numPicBulletId="2">
    <w:pict>
      <v:shape id="_x0000_i1049" type="#_x0000_t75" style="width:3in;height:3in" o:bullet="t"/>
    </w:pict>
  </w:numPicBullet>
  <w:numPicBullet w:numPicBulletId="3">
    <w:pict>
      <v:shape id="_x0000_i1050" type="#_x0000_t75" style="width:3in;height:3in" o:bullet="t"/>
    </w:pict>
  </w:numPicBullet>
  <w:abstractNum w:abstractNumId="0"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505EC4"/>
    <w:multiLevelType w:val="multilevel"/>
    <w:tmpl w:val="F09C13EC"/>
    <w:lvl w:ilvl="0">
      <w:start w:val="1"/>
      <w:numFmt w:val="decimal"/>
      <w:lvlText w:val="%1)"/>
      <w:lvlJc w:val="left"/>
      <w:pPr>
        <w:tabs>
          <w:tab w:val="num" w:pos="360"/>
        </w:tabs>
        <w:ind w:left="360" w:hanging="360"/>
      </w:pPr>
      <w:rPr>
        <w:rFonts w:asciiTheme="minorHAnsi" w:eastAsiaTheme="minorHAnsi" w:hAnsiTheme="minorHAnsi" w:cstheme="minorBidi"/>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B9E089E"/>
    <w:multiLevelType w:val="hybridMultilevel"/>
    <w:tmpl w:val="87960D64"/>
    <w:lvl w:ilvl="0" w:tplc="4F30587E">
      <w:start w:val="1"/>
      <w:numFmt w:val="lowerLetter"/>
      <w:pStyle w:val="Nagwek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D181D69"/>
    <w:multiLevelType w:val="hybridMultilevel"/>
    <w:tmpl w:val="0A189E10"/>
    <w:lvl w:ilvl="0" w:tplc="52DE78C0">
      <w:start w:val="1"/>
      <w:numFmt w:val="upperLetter"/>
      <w:pStyle w:val="Akapitzlist"/>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 w15:restartNumberingAfterBreak="0">
    <w:nsid w:val="3039321B"/>
    <w:multiLevelType w:val="hybridMultilevel"/>
    <w:tmpl w:val="9892B63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4C617321"/>
    <w:multiLevelType w:val="multilevel"/>
    <w:tmpl w:val="EDD81DE8"/>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5B0A1E"/>
    <w:multiLevelType w:val="hybridMultilevel"/>
    <w:tmpl w:val="C9E62A86"/>
    <w:lvl w:ilvl="0" w:tplc="C1603160">
      <w:start w:val="1"/>
      <w:numFmt w:val="decimal"/>
      <w:lvlText w:val="%1)"/>
      <w:lvlJc w:val="left"/>
      <w:pPr>
        <w:ind w:left="720" w:hanging="360"/>
      </w:pPr>
      <w:rPr>
        <w:rFonts w:hint="default"/>
        <w:lang w:val="en-U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BAD1101"/>
    <w:multiLevelType w:val="multilevel"/>
    <w:tmpl w:val="766C753E"/>
    <w:lvl w:ilvl="0">
      <w:start w:val="1"/>
      <w:numFmt w:val="upperRoman"/>
      <w:pStyle w:val="Nagwek1"/>
      <w:lvlText w:val="%1."/>
      <w:lvlJc w:val="righ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4"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7ED0126"/>
    <w:multiLevelType w:val="hybridMultilevel"/>
    <w:tmpl w:val="0CC66BEE"/>
    <w:lvl w:ilvl="0" w:tplc="02C462C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0"/>
  </w:num>
  <w:num w:numId="3">
    <w:abstractNumId w:val="13"/>
  </w:num>
  <w:num w:numId="4">
    <w:abstractNumId w:val="2"/>
  </w:num>
  <w:num w:numId="5">
    <w:abstractNumId w:val="9"/>
  </w:num>
  <w:num w:numId="6">
    <w:abstractNumId w:val="15"/>
  </w:num>
  <w:num w:numId="7">
    <w:abstractNumId w:val="8"/>
  </w:num>
  <w:num w:numId="8">
    <w:abstractNumId w:val="3"/>
  </w:num>
  <w:num w:numId="9">
    <w:abstractNumId w:val="7"/>
  </w:num>
  <w:num w:numId="10">
    <w:abstractNumId w:val="6"/>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2"/>
  </w:num>
  <w:num w:numId="16">
    <w:abstractNumId w:val="14"/>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
  </w:num>
  <w:num w:numId="20">
    <w:abstractNumId w:val="4"/>
  </w:num>
  <w:num w:numId="21">
    <w:abstractNumId w:val="17"/>
  </w:num>
  <w:num w:numId="2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ttachedTemplate r:id="rId1"/>
  <w:documentProtection w:edit="readOnly" w:enforcement="1" w:cryptProviderType="rsaAES" w:cryptAlgorithmClass="hash" w:cryptAlgorithmType="typeAny" w:cryptAlgorithmSid="14" w:cryptSpinCount="100000" w:hash="3T4gHCw/36fZJqGjBpVdxSvdxJQQuQQ0Z20mR1FA0lQXwCE12LqF/2U4umVg3AevknaitzM/1I4cfr8FMyFGGw==" w:salt="5FaIoUXA3WEmdJfgWb4/l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52C3"/>
    <w:rsid w:val="00026327"/>
    <w:rsid w:val="00027EC9"/>
    <w:rsid w:val="00033934"/>
    <w:rsid w:val="00036C09"/>
    <w:rsid w:val="000372BF"/>
    <w:rsid w:val="00040A52"/>
    <w:rsid w:val="00044C5A"/>
    <w:rsid w:val="00044E0A"/>
    <w:rsid w:val="000461AB"/>
    <w:rsid w:val="00054E00"/>
    <w:rsid w:val="00061B2B"/>
    <w:rsid w:val="0006448C"/>
    <w:rsid w:val="0006449B"/>
    <w:rsid w:val="000655AD"/>
    <w:rsid w:val="00066FD1"/>
    <w:rsid w:val="00072BF9"/>
    <w:rsid w:val="0007333D"/>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4C4"/>
    <w:rsid w:val="000F7998"/>
    <w:rsid w:val="00100ADC"/>
    <w:rsid w:val="0010429A"/>
    <w:rsid w:val="00105424"/>
    <w:rsid w:val="001075EC"/>
    <w:rsid w:val="00113D82"/>
    <w:rsid w:val="00120F0D"/>
    <w:rsid w:val="001214DA"/>
    <w:rsid w:val="0012722A"/>
    <w:rsid w:val="00130EF9"/>
    <w:rsid w:val="001319C7"/>
    <w:rsid w:val="001327C5"/>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3999"/>
    <w:rsid w:val="001F3D9D"/>
    <w:rsid w:val="00200894"/>
    <w:rsid w:val="00202333"/>
    <w:rsid w:val="00202FA8"/>
    <w:rsid w:val="002034B8"/>
    <w:rsid w:val="00205922"/>
    <w:rsid w:val="00206FB8"/>
    <w:rsid w:val="0020766F"/>
    <w:rsid w:val="00207A07"/>
    <w:rsid w:val="00210498"/>
    <w:rsid w:val="0021147A"/>
    <w:rsid w:val="00213BFB"/>
    <w:rsid w:val="00217478"/>
    <w:rsid w:val="00223F79"/>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0B7C"/>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1A78"/>
    <w:rsid w:val="002B53F3"/>
    <w:rsid w:val="002C03FD"/>
    <w:rsid w:val="002C044D"/>
    <w:rsid w:val="002C1AA5"/>
    <w:rsid w:val="002C2A46"/>
    <w:rsid w:val="002C3048"/>
    <w:rsid w:val="002C56FD"/>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2543D"/>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3C4B"/>
    <w:rsid w:val="003545A6"/>
    <w:rsid w:val="00356C60"/>
    <w:rsid w:val="003578D1"/>
    <w:rsid w:val="00366D42"/>
    <w:rsid w:val="0036748C"/>
    <w:rsid w:val="00372615"/>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5A90"/>
    <w:rsid w:val="003D7C07"/>
    <w:rsid w:val="003E13FD"/>
    <w:rsid w:val="003E1C24"/>
    <w:rsid w:val="003E61FC"/>
    <w:rsid w:val="003E77BC"/>
    <w:rsid w:val="003F0EDF"/>
    <w:rsid w:val="003F20C7"/>
    <w:rsid w:val="003F2261"/>
    <w:rsid w:val="003F30CC"/>
    <w:rsid w:val="003F39B1"/>
    <w:rsid w:val="00400D9C"/>
    <w:rsid w:val="00400FBE"/>
    <w:rsid w:val="004022CF"/>
    <w:rsid w:val="004029B1"/>
    <w:rsid w:val="004038F1"/>
    <w:rsid w:val="00404282"/>
    <w:rsid w:val="0040743A"/>
    <w:rsid w:val="00407623"/>
    <w:rsid w:val="00407A74"/>
    <w:rsid w:val="00412B54"/>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1D9E"/>
    <w:rsid w:val="00455577"/>
    <w:rsid w:val="00456795"/>
    <w:rsid w:val="00461CC8"/>
    <w:rsid w:val="00462B2F"/>
    <w:rsid w:val="00465EAA"/>
    <w:rsid w:val="004708CA"/>
    <w:rsid w:val="004709E7"/>
    <w:rsid w:val="00470ADE"/>
    <w:rsid w:val="004712C7"/>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31432"/>
    <w:rsid w:val="00532BC8"/>
    <w:rsid w:val="005333E8"/>
    <w:rsid w:val="00534912"/>
    <w:rsid w:val="005370E7"/>
    <w:rsid w:val="005409B7"/>
    <w:rsid w:val="00545E62"/>
    <w:rsid w:val="00551070"/>
    <w:rsid w:val="00552C8A"/>
    <w:rsid w:val="0055356D"/>
    <w:rsid w:val="00555156"/>
    <w:rsid w:val="0055535B"/>
    <w:rsid w:val="00560A96"/>
    <w:rsid w:val="005619CB"/>
    <w:rsid w:val="00561B71"/>
    <w:rsid w:val="00561F98"/>
    <w:rsid w:val="00564607"/>
    <w:rsid w:val="00565193"/>
    <w:rsid w:val="00570896"/>
    <w:rsid w:val="005725BD"/>
    <w:rsid w:val="005730B0"/>
    <w:rsid w:val="00573D4C"/>
    <w:rsid w:val="00575DCC"/>
    <w:rsid w:val="005821B0"/>
    <w:rsid w:val="0059175F"/>
    <w:rsid w:val="00591AAC"/>
    <w:rsid w:val="00595F08"/>
    <w:rsid w:val="00595FBE"/>
    <w:rsid w:val="005A1C55"/>
    <w:rsid w:val="005A6BD1"/>
    <w:rsid w:val="005B169D"/>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DA3"/>
    <w:rsid w:val="005E306B"/>
    <w:rsid w:val="005E53D0"/>
    <w:rsid w:val="005E5785"/>
    <w:rsid w:val="005E6098"/>
    <w:rsid w:val="005E7969"/>
    <w:rsid w:val="005F0C93"/>
    <w:rsid w:val="005F3F22"/>
    <w:rsid w:val="005F4FC0"/>
    <w:rsid w:val="005F514F"/>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070E"/>
    <w:rsid w:val="0063565E"/>
    <w:rsid w:val="006359AA"/>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6FAB"/>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2FC5"/>
    <w:rsid w:val="00713644"/>
    <w:rsid w:val="00716278"/>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6765F"/>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3059"/>
    <w:rsid w:val="008173E2"/>
    <w:rsid w:val="008201C3"/>
    <w:rsid w:val="00820422"/>
    <w:rsid w:val="00820655"/>
    <w:rsid w:val="008227D7"/>
    <w:rsid w:val="008249A1"/>
    <w:rsid w:val="00825D43"/>
    <w:rsid w:val="0082632D"/>
    <w:rsid w:val="00832500"/>
    <w:rsid w:val="00832787"/>
    <w:rsid w:val="0083483E"/>
    <w:rsid w:val="00835805"/>
    <w:rsid w:val="0083595F"/>
    <w:rsid w:val="008372B6"/>
    <w:rsid w:val="008409EF"/>
    <w:rsid w:val="00843A1A"/>
    <w:rsid w:val="00846433"/>
    <w:rsid w:val="008472C2"/>
    <w:rsid w:val="008510D9"/>
    <w:rsid w:val="00851EE3"/>
    <w:rsid w:val="00853121"/>
    <w:rsid w:val="008555E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611"/>
    <w:rsid w:val="008A2C86"/>
    <w:rsid w:val="008A6000"/>
    <w:rsid w:val="008A70A8"/>
    <w:rsid w:val="008A7FAC"/>
    <w:rsid w:val="008B1FD9"/>
    <w:rsid w:val="008B2AF1"/>
    <w:rsid w:val="008B5191"/>
    <w:rsid w:val="008B710D"/>
    <w:rsid w:val="008B7CA1"/>
    <w:rsid w:val="008C0389"/>
    <w:rsid w:val="008C0D29"/>
    <w:rsid w:val="008C27D3"/>
    <w:rsid w:val="008C4B2B"/>
    <w:rsid w:val="008C5E91"/>
    <w:rsid w:val="008C686D"/>
    <w:rsid w:val="008C6B18"/>
    <w:rsid w:val="008C75E6"/>
    <w:rsid w:val="008C767A"/>
    <w:rsid w:val="008C7A73"/>
    <w:rsid w:val="008D0569"/>
    <w:rsid w:val="008D5C28"/>
    <w:rsid w:val="008E2D26"/>
    <w:rsid w:val="008E4076"/>
    <w:rsid w:val="008E7DBA"/>
    <w:rsid w:val="008F3386"/>
    <w:rsid w:val="008F3AD9"/>
    <w:rsid w:val="008F4642"/>
    <w:rsid w:val="008F4E00"/>
    <w:rsid w:val="008F761D"/>
    <w:rsid w:val="0090009E"/>
    <w:rsid w:val="00900D44"/>
    <w:rsid w:val="00902520"/>
    <w:rsid w:val="00906DC4"/>
    <w:rsid w:val="0091457F"/>
    <w:rsid w:val="0091729E"/>
    <w:rsid w:val="00935FAC"/>
    <w:rsid w:val="0094008E"/>
    <w:rsid w:val="00941C0C"/>
    <w:rsid w:val="009437F2"/>
    <w:rsid w:val="0094528B"/>
    <w:rsid w:val="00960A8B"/>
    <w:rsid w:val="00961EE5"/>
    <w:rsid w:val="00965128"/>
    <w:rsid w:val="00973F43"/>
    <w:rsid w:val="0097785D"/>
    <w:rsid w:val="0098011D"/>
    <w:rsid w:val="00981912"/>
    <w:rsid w:val="009819C0"/>
    <w:rsid w:val="00987A75"/>
    <w:rsid w:val="00991A8A"/>
    <w:rsid w:val="00992611"/>
    <w:rsid w:val="00994303"/>
    <w:rsid w:val="0099526D"/>
    <w:rsid w:val="009A0054"/>
    <w:rsid w:val="009A0F6E"/>
    <w:rsid w:val="009A5548"/>
    <w:rsid w:val="009B25C1"/>
    <w:rsid w:val="009B7B79"/>
    <w:rsid w:val="009C0383"/>
    <w:rsid w:val="009C145B"/>
    <w:rsid w:val="009C3E04"/>
    <w:rsid w:val="009C3F1A"/>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6579"/>
    <w:rsid w:val="00A24843"/>
    <w:rsid w:val="00A2511C"/>
    <w:rsid w:val="00A26D48"/>
    <w:rsid w:val="00A31C7C"/>
    <w:rsid w:val="00A367AA"/>
    <w:rsid w:val="00A378DF"/>
    <w:rsid w:val="00A37AC6"/>
    <w:rsid w:val="00A410CC"/>
    <w:rsid w:val="00A42B43"/>
    <w:rsid w:val="00A42BD0"/>
    <w:rsid w:val="00A433DC"/>
    <w:rsid w:val="00A460CD"/>
    <w:rsid w:val="00A46DF4"/>
    <w:rsid w:val="00A50761"/>
    <w:rsid w:val="00A51DF2"/>
    <w:rsid w:val="00A53AF0"/>
    <w:rsid w:val="00A54ED7"/>
    <w:rsid w:val="00A61561"/>
    <w:rsid w:val="00A63249"/>
    <w:rsid w:val="00A6691F"/>
    <w:rsid w:val="00A67E6A"/>
    <w:rsid w:val="00A70F49"/>
    <w:rsid w:val="00A72203"/>
    <w:rsid w:val="00A7281F"/>
    <w:rsid w:val="00A73949"/>
    <w:rsid w:val="00A7697E"/>
    <w:rsid w:val="00A76E20"/>
    <w:rsid w:val="00A8284E"/>
    <w:rsid w:val="00A870EE"/>
    <w:rsid w:val="00A91D91"/>
    <w:rsid w:val="00A96F81"/>
    <w:rsid w:val="00A9709D"/>
    <w:rsid w:val="00AA054E"/>
    <w:rsid w:val="00AA0A10"/>
    <w:rsid w:val="00AA2094"/>
    <w:rsid w:val="00AA2947"/>
    <w:rsid w:val="00AA6F9B"/>
    <w:rsid w:val="00AA7A61"/>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7BC"/>
    <w:rsid w:val="00B26EBB"/>
    <w:rsid w:val="00B27499"/>
    <w:rsid w:val="00B335C4"/>
    <w:rsid w:val="00B3369E"/>
    <w:rsid w:val="00B33CCF"/>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253"/>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D6F04"/>
    <w:rsid w:val="00BE225E"/>
    <w:rsid w:val="00BE237E"/>
    <w:rsid w:val="00BE3703"/>
    <w:rsid w:val="00BE567F"/>
    <w:rsid w:val="00BF0A29"/>
    <w:rsid w:val="00BF25CD"/>
    <w:rsid w:val="00BF5553"/>
    <w:rsid w:val="00BF75CD"/>
    <w:rsid w:val="00C00F1C"/>
    <w:rsid w:val="00C0346D"/>
    <w:rsid w:val="00C0358F"/>
    <w:rsid w:val="00C03BB0"/>
    <w:rsid w:val="00C041CF"/>
    <w:rsid w:val="00C05CCF"/>
    <w:rsid w:val="00C0696A"/>
    <w:rsid w:val="00C12034"/>
    <w:rsid w:val="00C1396B"/>
    <w:rsid w:val="00C1698A"/>
    <w:rsid w:val="00C17E6C"/>
    <w:rsid w:val="00C249CC"/>
    <w:rsid w:val="00C24E5F"/>
    <w:rsid w:val="00C255B6"/>
    <w:rsid w:val="00C2680B"/>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3A70"/>
    <w:rsid w:val="00C76054"/>
    <w:rsid w:val="00C779A2"/>
    <w:rsid w:val="00C80546"/>
    <w:rsid w:val="00C81B36"/>
    <w:rsid w:val="00C83CAD"/>
    <w:rsid w:val="00C8419E"/>
    <w:rsid w:val="00C851D7"/>
    <w:rsid w:val="00C85C8B"/>
    <w:rsid w:val="00C867AD"/>
    <w:rsid w:val="00C87F9F"/>
    <w:rsid w:val="00C9545D"/>
    <w:rsid w:val="00C9625C"/>
    <w:rsid w:val="00C978C6"/>
    <w:rsid w:val="00C97F2A"/>
    <w:rsid w:val="00CA112D"/>
    <w:rsid w:val="00CA1F9F"/>
    <w:rsid w:val="00CA2179"/>
    <w:rsid w:val="00CA3D8A"/>
    <w:rsid w:val="00CA5270"/>
    <w:rsid w:val="00CA54E6"/>
    <w:rsid w:val="00CB4B3E"/>
    <w:rsid w:val="00CB50EF"/>
    <w:rsid w:val="00CB623F"/>
    <w:rsid w:val="00CB791A"/>
    <w:rsid w:val="00CB7D1B"/>
    <w:rsid w:val="00CC11DF"/>
    <w:rsid w:val="00CC1A6E"/>
    <w:rsid w:val="00CC3F62"/>
    <w:rsid w:val="00CC536E"/>
    <w:rsid w:val="00CC59DD"/>
    <w:rsid w:val="00CC7FC6"/>
    <w:rsid w:val="00CD47B2"/>
    <w:rsid w:val="00CD5AFD"/>
    <w:rsid w:val="00CD692B"/>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365A"/>
    <w:rsid w:val="00D54FC4"/>
    <w:rsid w:val="00D574C1"/>
    <w:rsid w:val="00D57615"/>
    <w:rsid w:val="00D577C9"/>
    <w:rsid w:val="00D606B7"/>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236F"/>
    <w:rsid w:val="00EB237E"/>
    <w:rsid w:val="00EC1546"/>
    <w:rsid w:val="00EC5B23"/>
    <w:rsid w:val="00EC5DED"/>
    <w:rsid w:val="00EC66BF"/>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6236"/>
    <w:rsid w:val="00F37236"/>
    <w:rsid w:val="00F44634"/>
    <w:rsid w:val="00F505EC"/>
    <w:rsid w:val="00F5088F"/>
    <w:rsid w:val="00F51657"/>
    <w:rsid w:val="00F518D3"/>
    <w:rsid w:val="00F5223C"/>
    <w:rsid w:val="00F57787"/>
    <w:rsid w:val="00F61E82"/>
    <w:rsid w:val="00F6243A"/>
    <w:rsid w:val="00F63323"/>
    <w:rsid w:val="00F636FE"/>
    <w:rsid w:val="00F648B2"/>
    <w:rsid w:val="00F67EBD"/>
    <w:rsid w:val="00F70EA4"/>
    <w:rsid w:val="00F7241C"/>
    <w:rsid w:val="00F77851"/>
    <w:rsid w:val="00F80FAB"/>
    <w:rsid w:val="00F81E3B"/>
    <w:rsid w:val="00F827E1"/>
    <w:rsid w:val="00F927B5"/>
    <w:rsid w:val="00F94BD0"/>
    <w:rsid w:val="00F95403"/>
    <w:rsid w:val="00F96705"/>
    <w:rsid w:val="00F96750"/>
    <w:rsid w:val="00F9704D"/>
    <w:rsid w:val="00FA0166"/>
    <w:rsid w:val="00FA1D05"/>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E7B44"/>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56C1E"/>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Nagwek1">
    <w:name w:val="heading 1"/>
    <w:basedOn w:val="Normalny"/>
    <w:next w:val="Normalny"/>
    <w:link w:val="Nagwek1Znak"/>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Nagwek2">
    <w:name w:val="heading 2"/>
    <w:basedOn w:val="Normalny"/>
    <w:next w:val="Normalny"/>
    <w:link w:val="Nagwek2Znak"/>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Nagwek3">
    <w:name w:val="heading 3"/>
    <w:basedOn w:val="Normalny"/>
    <w:next w:val="Normalny"/>
    <w:link w:val="Nagwek3Znak"/>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Nagwek4">
    <w:name w:val="heading 4"/>
    <w:basedOn w:val="Normalny"/>
    <w:next w:val="Normalny"/>
    <w:link w:val="Nagwek4Znak"/>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Nagwek5">
    <w:name w:val="heading 5"/>
    <w:basedOn w:val="Normalny"/>
    <w:next w:val="Normalny"/>
    <w:link w:val="Nagwek5Znak"/>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Nagwek6">
    <w:name w:val="heading 6"/>
    <w:basedOn w:val="Normalny"/>
    <w:next w:val="Normalny"/>
    <w:link w:val="Nagwek6Znak"/>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Nagwek7">
    <w:name w:val="heading 7"/>
    <w:basedOn w:val="Normalny"/>
    <w:next w:val="Normalny"/>
    <w:link w:val="Nagwek7Znak"/>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Nagwek8">
    <w:name w:val="heading 8"/>
    <w:basedOn w:val="Normalny"/>
    <w:next w:val="Normalny"/>
    <w:link w:val="Nagwek8Znak"/>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Nagwek9">
    <w:name w:val="heading 9"/>
    <w:basedOn w:val="Normalny"/>
    <w:next w:val="Normalny"/>
    <w:link w:val="Nagwek9Znak"/>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5B6B12"/>
    <w:pPr>
      <w:spacing w:after="0" w:line="240" w:lineRule="auto"/>
    </w:pPr>
    <w:rPr>
      <w:lang w:val="en-GB"/>
    </w:rPr>
  </w:style>
  <w:style w:type="character" w:customStyle="1" w:styleId="Nagwek4Znak">
    <w:name w:val="Nagłówek 4 Znak"/>
    <w:basedOn w:val="Domylnaczcionkaakapitu"/>
    <w:link w:val="Nagwek4"/>
    <w:rsid w:val="00020300"/>
    <w:rPr>
      <w:rFonts w:asciiTheme="majorHAnsi" w:eastAsiaTheme="majorEastAsia" w:hAnsiTheme="majorHAnsi" w:cstheme="majorBidi"/>
      <w:sz w:val="24"/>
      <w:szCs w:val="22"/>
      <w:lang w:val="en-GB" w:eastAsia="en-GB"/>
    </w:rPr>
  </w:style>
  <w:style w:type="character" w:customStyle="1" w:styleId="Nagwek3Znak">
    <w:name w:val="Nagłówek 3 Znak"/>
    <w:basedOn w:val="Domylnaczcionkaakapitu"/>
    <w:link w:val="Nagwek3"/>
    <w:rsid w:val="00020300"/>
    <w:rPr>
      <w:rFonts w:asciiTheme="majorHAnsi" w:eastAsiaTheme="majorEastAsia" w:hAnsiTheme="majorHAnsi" w:cstheme="majorBidi"/>
      <w:sz w:val="24"/>
      <w:szCs w:val="24"/>
      <w:lang w:val="en-GB" w:eastAsia="en-GB"/>
    </w:rPr>
  </w:style>
  <w:style w:type="character" w:customStyle="1" w:styleId="Nagwek1Znak">
    <w:name w:val="Nagłówek 1 Znak"/>
    <w:basedOn w:val="Domylnaczcionkaakapitu"/>
    <w:link w:val="Nagwek1"/>
    <w:rsid w:val="00FE0BD8"/>
    <w:rPr>
      <w:rFonts w:asciiTheme="majorHAnsi" w:eastAsiaTheme="majorEastAsia" w:hAnsiTheme="majorHAnsi" w:cstheme="majorBidi"/>
      <w:b/>
      <w:sz w:val="32"/>
      <w:szCs w:val="32"/>
      <w:lang w:val="en-GB" w:eastAsia="en-GB"/>
    </w:rPr>
  </w:style>
  <w:style w:type="character" w:customStyle="1" w:styleId="Nagwek2Znak">
    <w:name w:val="Nagłówek 2 Znak"/>
    <w:basedOn w:val="Domylnaczcionkaakapitu"/>
    <w:link w:val="Nagwek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ny"/>
    <w:link w:val="Subtitle1Char"/>
    <w:autoRedefine/>
    <w:rsid w:val="003C4EB5"/>
    <w:pPr>
      <w:tabs>
        <w:tab w:val="left" w:pos="414"/>
      </w:tabs>
    </w:pPr>
    <w:rPr>
      <w:b/>
    </w:rPr>
  </w:style>
  <w:style w:type="character" w:customStyle="1" w:styleId="Subtitle1Char">
    <w:name w:val="Subtitle1 Char"/>
    <w:basedOn w:val="Domylnaczcionkaakapitu"/>
    <w:link w:val="Subtitle1"/>
    <w:rsid w:val="003C4EB5"/>
    <w:rPr>
      <w:rFonts w:cs="Times New Roman"/>
      <w:b/>
      <w:sz w:val="20"/>
      <w:szCs w:val="24"/>
      <w:lang w:val="en-GB" w:eastAsia="de-DE"/>
    </w:rPr>
  </w:style>
  <w:style w:type="paragraph" w:customStyle="1" w:styleId="Title1">
    <w:name w:val="Title 1"/>
    <w:basedOn w:val="Akapitzlist"/>
    <w:link w:val="Title1Char"/>
    <w:autoRedefine/>
    <w:rsid w:val="002574D1"/>
    <w:pPr>
      <w:numPr>
        <w:numId w:val="2"/>
      </w:numPr>
    </w:pPr>
    <w:rPr>
      <w:b/>
      <w:sz w:val="28"/>
    </w:rPr>
  </w:style>
  <w:style w:type="character" w:customStyle="1" w:styleId="Title1Char">
    <w:name w:val="Title 1 Char"/>
    <w:basedOn w:val="Domylnaczcionkaakapitu"/>
    <w:link w:val="Title1"/>
    <w:rsid w:val="003C4EB5"/>
    <w:rPr>
      <w:rFonts w:eastAsiaTheme="majorEastAsia" w:cstheme="minorHAnsi"/>
      <w:b/>
      <w:sz w:val="28"/>
      <w:szCs w:val="22"/>
      <w:lang w:val="en-GB" w:eastAsia="en-GB"/>
    </w:rPr>
  </w:style>
  <w:style w:type="paragraph" w:styleId="Akapitzlist">
    <w:name w:val="List Paragraph"/>
    <w:aliases w:val="Paragraphe EI,Paragraphe de liste1,EC,Paragraphe de liste,Normal Nivel 1,List Paragraph Main,List first level,List Paragraph_Sections"/>
    <w:basedOn w:val="Normalny"/>
    <w:link w:val="AkapitzlistZnak"/>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Akapitzlist"/>
    <w:link w:val="Title3Char"/>
    <w:autoRedefine/>
    <w:rsid w:val="002574D1"/>
    <w:pPr>
      <w:numPr>
        <w:ilvl w:val="3"/>
        <w:numId w:val="2"/>
      </w:numPr>
    </w:pPr>
  </w:style>
  <w:style w:type="character" w:customStyle="1" w:styleId="Title3Char">
    <w:name w:val="Title 3 Char"/>
    <w:basedOn w:val="Domylnaczcionkaakapitu"/>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ny"/>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omylnaczcionkaakapitu"/>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ny"/>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omylnaczcionkaakapitu"/>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ny"/>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omylnaczcionkaakapitu"/>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ny"/>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omylnaczcionkaakapitu"/>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ny"/>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omylnaczcionkaakapitu"/>
    <w:link w:val="Introductionheading"/>
    <w:rsid w:val="00044C5A"/>
    <w:rPr>
      <w:rFonts w:ascii="Arial" w:eastAsia="Times New Roman" w:hAnsi="Arial" w:cs="Times New Roman"/>
      <w:b/>
      <w:sz w:val="28"/>
      <w:szCs w:val="24"/>
      <w:lang w:val="en-GB" w:eastAsia="de-DE"/>
    </w:rPr>
  </w:style>
  <w:style w:type="character" w:customStyle="1" w:styleId="Nagwek5Znak">
    <w:name w:val="Nagłówek 5 Znak"/>
    <w:basedOn w:val="Domylnaczcionkaakapitu"/>
    <w:link w:val="Nagwek5"/>
    <w:uiPriority w:val="9"/>
    <w:rsid w:val="007E7997"/>
    <w:rPr>
      <w:rFonts w:asciiTheme="majorHAnsi" w:eastAsiaTheme="majorEastAsia" w:hAnsiTheme="majorHAnsi" w:cstheme="majorBidi"/>
      <w:sz w:val="24"/>
      <w:szCs w:val="22"/>
      <w:lang w:val="en-GB" w:eastAsia="en-GB"/>
    </w:rPr>
  </w:style>
  <w:style w:type="paragraph" w:styleId="Tekstpodstawowy">
    <w:name w:val="Body Text"/>
    <w:basedOn w:val="Normalny"/>
    <w:link w:val="TekstpodstawowyZnak"/>
    <w:uiPriority w:val="99"/>
    <w:semiHidden/>
    <w:unhideWhenUsed/>
    <w:rsid w:val="00044C5A"/>
  </w:style>
  <w:style w:type="character" w:customStyle="1" w:styleId="TekstpodstawowyZnak">
    <w:name w:val="Tekst podstawowy Znak"/>
    <w:basedOn w:val="Domylnaczcionkaakapitu"/>
    <w:link w:val="Tekstpodstawowy"/>
    <w:uiPriority w:val="99"/>
    <w:semiHidden/>
    <w:rsid w:val="00044C5A"/>
    <w:rPr>
      <w:rFonts w:ascii="Arial" w:eastAsiaTheme="minorEastAsia" w:hAnsi="Arial"/>
    </w:rPr>
  </w:style>
  <w:style w:type="paragraph" w:styleId="Tekstpodstawowyzwciciem">
    <w:name w:val="Body Text First Indent"/>
    <w:basedOn w:val="Tekstpodstawowy"/>
    <w:link w:val="TekstpodstawowyzwciciemZnak"/>
    <w:uiPriority w:val="99"/>
    <w:semiHidden/>
    <w:unhideWhenUsed/>
    <w:rsid w:val="00044C5A"/>
    <w:pPr>
      <w:ind w:firstLine="360"/>
    </w:pPr>
  </w:style>
  <w:style w:type="character" w:customStyle="1" w:styleId="TekstpodstawowyzwciciemZnak">
    <w:name w:val="Tekst podstawowy z wcięciem Znak"/>
    <w:basedOn w:val="TekstpodstawowyZnak"/>
    <w:link w:val="Tekstpodstawowyzwciciem"/>
    <w:uiPriority w:val="99"/>
    <w:semiHidden/>
    <w:rsid w:val="00044C5A"/>
    <w:rPr>
      <w:rFonts w:ascii="Arial" w:eastAsiaTheme="minorEastAsia" w:hAnsi="Arial"/>
    </w:rPr>
  </w:style>
  <w:style w:type="character" w:customStyle="1" w:styleId="Nagwek6Znak">
    <w:name w:val="Nagłówek 6 Znak"/>
    <w:basedOn w:val="Domylnaczcionkaakapitu"/>
    <w:link w:val="Nagwek6"/>
    <w:rsid w:val="00AA054E"/>
    <w:rPr>
      <w:rFonts w:asciiTheme="majorHAnsi" w:eastAsiaTheme="majorEastAsia" w:hAnsiTheme="majorHAnsi" w:cstheme="majorBidi"/>
      <w:i/>
      <w:iCs/>
      <w:color w:val="44546A" w:themeColor="text2"/>
      <w:sz w:val="21"/>
      <w:szCs w:val="21"/>
      <w:lang w:val="en-GB" w:eastAsia="en-GB"/>
    </w:rPr>
  </w:style>
  <w:style w:type="paragraph" w:styleId="Tytu">
    <w:name w:val="Title"/>
    <w:basedOn w:val="Normalny"/>
    <w:next w:val="Normalny"/>
    <w:link w:val="TytuZnak"/>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ytuZnak">
    <w:name w:val="Tytuł Znak"/>
    <w:basedOn w:val="Domylnaczcionkaakapitu"/>
    <w:link w:val="Tytu"/>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Podtytu">
    <w:name w:val="Subtitle"/>
    <w:basedOn w:val="Normalny"/>
    <w:next w:val="Normalny"/>
    <w:link w:val="PodtytuZnak"/>
    <w:uiPriority w:val="11"/>
    <w:qFormat/>
    <w:rsid w:val="00366D42"/>
    <w:pPr>
      <w:numPr>
        <w:ilvl w:val="1"/>
      </w:numPr>
    </w:pPr>
    <w:rPr>
      <w:rFonts w:asciiTheme="majorHAnsi" w:eastAsiaTheme="majorEastAsia" w:hAnsiTheme="majorHAnsi" w:cstheme="majorBidi"/>
      <w:b/>
      <w:sz w:val="28"/>
    </w:rPr>
  </w:style>
  <w:style w:type="character" w:customStyle="1" w:styleId="PodtytuZnak">
    <w:name w:val="Podtytuł Znak"/>
    <w:basedOn w:val="Domylnaczcionkaakapitu"/>
    <w:link w:val="Podtytu"/>
    <w:uiPriority w:val="11"/>
    <w:rsid w:val="00366D42"/>
    <w:rPr>
      <w:rFonts w:asciiTheme="majorHAnsi" w:eastAsiaTheme="majorEastAsia" w:hAnsiTheme="majorHAnsi" w:cstheme="majorBidi"/>
      <w:b/>
      <w:sz w:val="28"/>
      <w:szCs w:val="24"/>
      <w:lang w:val="en-GB"/>
    </w:rPr>
  </w:style>
  <w:style w:type="character" w:customStyle="1" w:styleId="Nagwek7Znak">
    <w:name w:val="Nagłówek 7 Znak"/>
    <w:basedOn w:val="Domylnaczcionkaakapitu"/>
    <w:link w:val="Nagwek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Nagwek8Znak">
    <w:name w:val="Nagłówek 8 Znak"/>
    <w:basedOn w:val="Domylnaczcionkaakapitu"/>
    <w:link w:val="Nagwek8"/>
    <w:rsid w:val="00AA054E"/>
    <w:rPr>
      <w:rFonts w:asciiTheme="majorHAnsi" w:eastAsiaTheme="majorEastAsia" w:hAnsiTheme="majorHAnsi" w:cstheme="majorBidi"/>
      <w:b/>
      <w:bCs/>
      <w:color w:val="44546A" w:themeColor="text2"/>
      <w:sz w:val="24"/>
      <w:szCs w:val="24"/>
      <w:lang w:val="en-GB" w:eastAsia="en-GB"/>
    </w:rPr>
  </w:style>
  <w:style w:type="character" w:customStyle="1" w:styleId="Nagwek9Znak">
    <w:name w:val="Nagłówek 9 Znak"/>
    <w:basedOn w:val="Domylnaczcionkaakapitu"/>
    <w:link w:val="Nagwek9"/>
    <w:rsid w:val="00AA054E"/>
    <w:rPr>
      <w:rFonts w:asciiTheme="majorHAnsi" w:eastAsiaTheme="majorEastAsia" w:hAnsiTheme="majorHAnsi" w:cstheme="majorBidi"/>
      <w:b/>
      <w:bCs/>
      <w:i/>
      <w:iCs/>
      <w:color w:val="44546A" w:themeColor="text2"/>
      <w:sz w:val="24"/>
      <w:szCs w:val="24"/>
      <w:lang w:val="en-GB" w:eastAsia="en-GB"/>
    </w:rPr>
  </w:style>
  <w:style w:type="paragraph" w:styleId="Legenda">
    <w:name w:val="caption"/>
    <w:basedOn w:val="Normalny"/>
    <w:next w:val="Normalny"/>
    <w:uiPriority w:val="35"/>
    <w:semiHidden/>
    <w:unhideWhenUsed/>
    <w:qFormat/>
    <w:rsid w:val="00AA054E"/>
    <w:rPr>
      <w:b/>
      <w:bCs/>
      <w:smallCaps/>
      <w:color w:val="595959" w:themeColor="text1" w:themeTint="A6"/>
      <w:spacing w:val="6"/>
    </w:rPr>
  </w:style>
  <w:style w:type="character" w:styleId="Pogrubienie">
    <w:name w:val="Strong"/>
    <w:basedOn w:val="Domylnaczcionkaakapitu"/>
    <w:uiPriority w:val="22"/>
    <w:qFormat/>
    <w:rsid w:val="00AA054E"/>
    <w:rPr>
      <w:b/>
      <w:bCs/>
    </w:rPr>
  </w:style>
  <w:style w:type="character" w:styleId="Uwydatnienie">
    <w:name w:val="Emphasis"/>
    <w:basedOn w:val="Domylnaczcionkaakapitu"/>
    <w:uiPriority w:val="20"/>
    <w:qFormat/>
    <w:rsid w:val="00AA054E"/>
    <w:rPr>
      <w:i/>
      <w:iCs/>
    </w:rPr>
  </w:style>
  <w:style w:type="paragraph" w:styleId="Cytat">
    <w:name w:val="Quote"/>
    <w:basedOn w:val="Normalny"/>
    <w:next w:val="Normalny"/>
    <w:link w:val="CytatZnak"/>
    <w:uiPriority w:val="29"/>
    <w:qFormat/>
    <w:rsid w:val="00AA054E"/>
    <w:pPr>
      <w:spacing w:before="160"/>
      <w:ind w:left="720" w:right="720"/>
    </w:pPr>
    <w:rPr>
      <w:i/>
      <w:iCs/>
      <w:color w:val="404040" w:themeColor="text1" w:themeTint="BF"/>
    </w:rPr>
  </w:style>
  <w:style w:type="character" w:customStyle="1" w:styleId="CytatZnak">
    <w:name w:val="Cytat Znak"/>
    <w:basedOn w:val="Domylnaczcionkaakapitu"/>
    <w:link w:val="Cytat"/>
    <w:uiPriority w:val="29"/>
    <w:rsid w:val="00AA054E"/>
    <w:rPr>
      <w:i/>
      <w:iCs/>
      <w:color w:val="404040" w:themeColor="text1" w:themeTint="BF"/>
    </w:rPr>
  </w:style>
  <w:style w:type="paragraph" w:styleId="Cytatintensywny">
    <w:name w:val="Intense Quote"/>
    <w:basedOn w:val="Normalny"/>
    <w:next w:val="Normalny"/>
    <w:link w:val="CytatintensywnyZnak"/>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ytatintensywnyZnak">
    <w:name w:val="Cytat intensywny Znak"/>
    <w:basedOn w:val="Domylnaczcionkaakapitu"/>
    <w:link w:val="Cytatintensywny"/>
    <w:uiPriority w:val="30"/>
    <w:rsid w:val="00AA054E"/>
    <w:rPr>
      <w:rFonts w:asciiTheme="majorHAnsi" w:eastAsiaTheme="majorEastAsia" w:hAnsiTheme="majorHAnsi" w:cstheme="majorBidi"/>
      <w:color w:val="5B9BD5" w:themeColor="accent1"/>
      <w:sz w:val="28"/>
      <w:szCs w:val="28"/>
    </w:rPr>
  </w:style>
  <w:style w:type="character" w:styleId="Wyrnieniedelikatne">
    <w:name w:val="Subtle Emphasis"/>
    <w:basedOn w:val="Domylnaczcionkaakapitu"/>
    <w:uiPriority w:val="19"/>
    <w:qFormat/>
    <w:rsid w:val="00287C8F"/>
    <w:rPr>
      <w:rFonts w:asciiTheme="majorHAnsi" w:hAnsiTheme="majorHAnsi"/>
      <w:i/>
      <w:iCs/>
      <w:color w:val="auto"/>
      <w:sz w:val="22"/>
    </w:rPr>
  </w:style>
  <w:style w:type="character" w:styleId="Wyrnienieintensywne">
    <w:name w:val="Intense Emphasis"/>
    <w:basedOn w:val="Domylnaczcionkaakapitu"/>
    <w:uiPriority w:val="21"/>
    <w:qFormat/>
    <w:rsid w:val="00AA054E"/>
    <w:rPr>
      <w:b/>
      <w:bCs/>
      <w:i/>
      <w:iCs/>
    </w:rPr>
  </w:style>
  <w:style w:type="character" w:styleId="Odwoaniedelikatne">
    <w:name w:val="Subtle Reference"/>
    <w:basedOn w:val="Domylnaczcionkaakapitu"/>
    <w:uiPriority w:val="31"/>
    <w:qFormat/>
    <w:rsid w:val="00AA054E"/>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AA054E"/>
    <w:rPr>
      <w:b/>
      <w:bCs/>
      <w:smallCaps/>
      <w:spacing w:val="5"/>
      <w:u w:val="single"/>
    </w:rPr>
  </w:style>
  <w:style w:type="character" w:styleId="Tytuksiki">
    <w:name w:val="Book Title"/>
    <w:basedOn w:val="Domylnaczcionkaakapitu"/>
    <w:uiPriority w:val="33"/>
    <w:qFormat/>
    <w:rsid w:val="00AA054E"/>
    <w:rPr>
      <w:b/>
      <w:bCs/>
      <w:smallCaps/>
    </w:rPr>
  </w:style>
  <w:style w:type="paragraph" w:styleId="Nagwekspisutreci">
    <w:name w:val="TOC Heading"/>
    <w:basedOn w:val="Nagwek1"/>
    <w:next w:val="Normalny"/>
    <w:uiPriority w:val="39"/>
    <w:unhideWhenUsed/>
    <w:qFormat/>
    <w:rsid w:val="00AA054E"/>
    <w:pPr>
      <w:outlineLvl w:val="9"/>
    </w:pPr>
  </w:style>
  <w:style w:type="character" w:customStyle="1" w:styleId="BezodstpwZnak">
    <w:name w:val="Bez odstępów Znak"/>
    <w:basedOn w:val="Domylnaczcionkaakapitu"/>
    <w:link w:val="Bezodstpw"/>
    <w:uiPriority w:val="1"/>
    <w:rsid w:val="005B6B12"/>
    <w:rPr>
      <w:lang w:val="en-GB"/>
    </w:rPr>
  </w:style>
  <w:style w:type="paragraph" w:styleId="Nagwek">
    <w:name w:val="header"/>
    <w:basedOn w:val="Normalny"/>
    <w:link w:val="NagwekZnak"/>
    <w:unhideWhenUsed/>
    <w:rsid w:val="007E7997"/>
    <w:pPr>
      <w:tabs>
        <w:tab w:val="center" w:pos="4536"/>
        <w:tab w:val="right" w:pos="9072"/>
      </w:tabs>
    </w:pPr>
  </w:style>
  <w:style w:type="character" w:customStyle="1" w:styleId="NagwekZnak">
    <w:name w:val="Nagłówek Znak"/>
    <w:basedOn w:val="Domylnaczcionkaakapitu"/>
    <w:link w:val="Nagwek"/>
    <w:uiPriority w:val="99"/>
    <w:rsid w:val="007E7997"/>
    <w:rPr>
      <w:sz w:val="22"/>
    </w:rPr>
  </w:style>
  <w:style w:type="paragraph" w:styleId="Stopka">
    <w:name w:val="footer"/>
    <w:basedOn w:val="Normalny"/>
    <w:link w:val="StopkaZnak"/>
    <w:uiPriority w:val="99"/>
    <w:unhideWhenUsed/>
    <w:rsid w:val="007E7997"/>
    <w:pPr>
      <w:tabs>
        <w:tab w:val="center" w:pos="4536"/>
        <w:tab w:val="right" w:pos="9072"/>
      </w:tabs>
    </w:pPr>
  </w:style>
  <w:style w:type="character" w:customStyle="1" w:styleId="StopkaZnak">
    <w:name w:val="Stopka Znak"/>
    <w:basedOn w:val="Domylnaczcionkaakapitu"/>
    <w:link w:val="Stopka"/>
    <w:uiPriority w:val="99"/>
    <w:rsid w:val="007E7997"/>
    <w:rPr>
      <w:sz w:val="22"/>
    </w:rPr>
  </w:style>
  <w:style w:type="paragraph" w:customStyle="1" w:styleId="00aPagenumber">
    <w:name w:val="00a_Page number"/>
    <w:basedOn w:val="Normalny"/>
    <w:rsid w:val="007E7997"/>
    <w:pPr>
      <w:spacing w:line="280" w:lineRule="atLeast"/>
      <w:jc w:val="right"/>
    </w:pPr>
    <w:rPr>
      <w:rFonts w:ascii="Georgia" w:hAnsi="Georgia"/>
      <w:color w:val="000000"/>
      <w:lang w:eastAsia="de-DE"/>
    </w:rPr>
  </w:style>
  <w:style w:type="paragraph" w:customStyle="1" w:styleId="02Date">
    <w:name w:val="02_Date"/>
    <w:basedOn w:val="Normalny"/>
    <w:rsid w:val="00636E02"/>
    <w:pPr>
      <w:spacing w:line="220" w:lineRule="exact"/>
    </w:pPr>
    <w:rPr>
      <w:rFonts w:ascii="Georgia" w:hAnsi="Georgia"/>
      <w:sz w:val="17"/>
      <w:lang w:eastAsia="de-DE"/>
    </w:rPr>
  </w:style>
  <w:style w:type="paragraph" w:styleId="Spistreci1">
    <w:name w:val="toc 1"/>
    <w:basedOn w:val="Normalny"/>
    <w:next w:val="Normalny"/>
    <w:autoRedefine/>
    <w:uiPriority w:val="39"/>
    <w:unhideWhenUsed/>
    <w:rsid w:val="00B81A44"/>
    <w:pPr>
      <w:tabs>
        <w:tab w:val="left" w:pos="440"/>
        <w:tab w:val="right" w:leader="dot" w:pos="9062"/>
      </w:tabs>
      <w:spacing w:after="100"/>
    </w:pPr>
  </w:style>
  <w:style w:type="paragraph" w:styleId="Spistreci2">
    <w:name w:val="toc 2"/>
    <w:basedOn w:val="Normalny"/>
    <w:next w:val="Normalny"/>
    <w:autoRedefine/>
    <w:uiPriority w:val="39"/>
    <w:unhideWhenUsed/>
    <w:rsid w:val="00BC422A"/>
    <w:pPr>
      <w:spacing w:after="100"/>
      <w:ind w:left="220"/>
    </w:pPr>
  </w:style>
  <w:style w:type="paragraph" w:styleId="Spistreci3">
    <w:name w:val="toc 3"/>
    <w:basedOn w:val="Normalny"/>
    <w:next w:val="Normalny"/>
    <w:autoRedefine/>
    <w:uiPriority w:val="39"/>
    <w:unhideWhenUsed/>
    <w:rsid w:val="00BC422A"/>
    <w:pPr>
      <w:spacing w:after="100"/>
      <w:ind w:left="440"/>
    </w:pPr>
  </w:style>
  <w:style w:type="character" w:styleId="Hipercze">
    <w:name w:val="Hyperlink"/>
    <w:basedOn w:val="Domylnaczcionkaakapitu"/>
    <w:uiPriority w:val="99"/>
    <w:unhideWhenUsed/>
    <w:rsid w:val="00BC422A"/>
    <w:rPr>
      <w:color w:val="0563C1" w:themeColor="hyperlink"/>
      <w:u w:val="single"/>
    </w:rPr>
  </w:style>
  <w:style w:type="paragraph" w:customStyle="1" w:styleId="Questionstyle">
    <w:name w:val="Question style"/>
    <w:basedOn w:val="Normalny"/>
    <w:next w:val="Normalny"/>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omylnaczcionkaakapitu"/>
    <w:link w:val="Questionstyle"/>
    <w:rsid w:val="00F77851"/>
    <w:rPr>
      <w:rFonts w:eastAsia="Times New Roman" w:cstheme="minorHAnsi"/>
      <w:sz w:val="22"/>
      <w:szCs w:val="22"/>
      <w:lang w:val="en-GB" w:eastAsia="en-GB"/>
    </w:rPr>
  </w:style>
  <w:style w:type="paragraph" w:customStyle="1" w:styleId="Listing2">
    <w:name w:val="Listing2"/>
    <w:basedOn w:val="Normalny"/>
    <w:link w:val="Listing2Char"/>
    <w:autoRedefine/>
    <w:rsid w:val="00DF3785"/>
  </w:style>
  <w:style w:type="character" w:customStyle="1" w:styleId="Listing2Char">
    <w:name w:val="Listing2 Char"/>
    <w:basedOn w:val="Domylnaczcionkaakapitu"/>
    <w:link w:val="Listing2"/>
    <w:rsid w:val="00DF3785"/>
    <w:rPr>
      <w:lang w:val="en-GB"/>
    </w:rPr>
  </w:style>
  <w:style w:type="table" w:styleId="Tabela-Siatka">
    <w:name w:val="Table Grid"/>
    <w:basedOn w:val="Standardowy"/>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B50534"/>
  </w:style>
  <w:style w:type="character" w:customStyle="1" w:styleId="TekstprzypisukocowegoZnak">
    <w:name w:val="Tekst przypisu końcowego Znak"/>
    <w:basedOn w:val="Domylnaczcionkaakapitu"/>
    <w:link w:val="Tekstprzypisukocowego"/>
    <w:uiPriority w:val="99"/>
    <w:semiHidden/>
    <w:rsid w:val="00B50534"/>
    <w:rPr>
      <w:lang w:val="en-GB"/>
    </w:rPr>
  </w:style>
  <w:style w:type="character" w:styleId="Odwoanieprzypisukocowego">
    <w:name w:val="endnote reference"/>
    <w:basedOn w:val="Domylnaczcionkaakapitu"/>
    <w:uiPriority w:val="99"/>
    <w:semiHidden/>
    <w:unhideWhenUsed/>
    <w:rsid w:val="00B50534"/>
    <w:rPr>
      <w:vertAlign w:val="superscript"/>
    </w:rPr>
  </w:style>
  <w:style w:type="paragraph" w:styleId="Tekstprzypisudolnego">
    <w:name w:val="footnote text"/>
    <w:basedOn w:val="Normalny"/>
    <w:link w:val="TekstprzypisudolnegoZnak"/>
    <w:autoRedefine/>
    <w:uiPriority w:val="99"/>
    <w:semiHidden/>
    <w:unhideWhenUsed/>
    <w:qFormat/>
    <w:rsid w:val="006F53E8"/>
    <w:rPr>
      <w:sz w:val="16"/>
    </w:rPr>
  </w:style>
  <w:style w:type="character" w:customStyle="1" w:styleId="TekstprzypisudolnegoZnak">
    <w:name w:val="Tekst przypisu dolnego Znak"/>
    <w:basedOn w:val="Domylnaczcionkaakapitu"/>
    <w:link w:val="Tekstprzypisudolnego"/>
    <w:uiPriority w:val="99"/>
    <w:semiHidden/>
    <w:rsid w:val="006F53E8"/>
    <w:rPr>
      <w:sz w:val="16"/>
      <w:lang w:val="en-GB"/>
    </w:rPr>
  </w:style>
  <w:style w:type="character" w:styleId="Odwoanieprzypisudolnego">
    <w:name w:val="footnote reference"/>
    <w:aliases w:val="SUPERS,Footnote reference number,Footnote symbol,note TESI,-E Fußnotenzeichen,number,BVI fnr,Footnote Reference Superscript,(Footnote Reference),EN Footnote Reference,Voetnootverwijzing,Times 10 Point,Exposant 3 Poi,16 Point"/>
    <w:basedOn w:val="Domylnaczcionkaakapitu"/>
    <w:uiPriority w:val="99"/>
    <w:unhideWhenUsed/>
    <w:qFormat/>
    <w:rsid w:val="00A91D91"/>
    <w:rPr>
      <w:rFonts w:asciiTheme="majorHAnsi" w:hAnsiTheme="majorHAnsi"/>
      <w:sz w:val="16"/>
      <w:vertAlign w:val="superscript"/>
    </w:rPr>
  </w:style>
  <w:style w:type="paragraph" w:customStyle="1" w:styleId="Footnote">
    <w:name w:val="Footnote"/>
    <w:basedOn w:val="Tekstprzypisudolnego"/>
    <w:link w:val="FootnoteChar"/>
    <w:rsid w:val="00B50534"/>
    <w:rPr>
      <w:lang w:val="nl-BE"/>
    </w:rPr>
  </w:style>
  <w:style w:type="character" w:customStyle="1" w:styleId="FootnoteChar">
    <w:name w:val="Footnote Char"/>
    <w:basedOn w:val="TekstprzypisudolnegoZnak"/>
    <w:link w:val="Footnote"/>
    <w:rsid w:val="00B50534"/>
    <w:rPr>
      <w:sz w:val="16"/>
      <w:lang w:val="en-GB"/>
    </w:rPr>
  </w:style>
  <w:style w:type="table" w:customStyle="1" w:styleId="GridTable4-Accent11">
    <w:name w:val="Grid Table 4 - Accent 11"/>
    <w:basedOn w:val="Standardowy"/>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ny"/>
    <w:rsid w:val="00287C8F"/>
    <w:pPr>
      <w:numPr>
        <w:numId w:val="5"/>
      </w:numPr>
      <w:tabs>
        <w:tab w:val="clear" w:pos="284"/>
        <w:tab w:val="num" w:pos="567"/>
      </w:tabs>
      <w:ind w:left="567" w:hanging="454"/>
    </w:pPr>
    <w:rPr>
      <w:rFonts w:ascii="Georgia" w:hAnsi="Georgia"/>
      <w:sz w:val="20"/>
      <w:lang w:eastAsia="de-DE"/>
    </w:rPr>
  </w:style>
  <w:style w:type="paragraph" w:styleId="Tekstdymka">
    <w:name w:val="Balloon Text"/>
    <w:basedOn w:val="Normalny"/>
    <w:link w:val="TekstdymkaZnak"/>
    <w:uiPriority w:val="99"/>
    <w:semiHidden/>
    <w:unhideWhenUsed/>
    <w:rsid w:val="003C167E"/>
    <w:rPr>
      <w:rFonts w:ascii="Tahoma" w:hAnsi="Tahoma" w:cs="Tahoma"/>
      <w:sz w:val="16"/>
      <w:szCs w:val="16"/>
    </w:rPr>
  </w:style>
  <w:style w:type="character" w:customStyle="1" w:styleId="TekstdymkaZnak">
    <w:name w:val="Tekst dymka Znak"/>
    <w:basedOn w:val="Domylnaczcionkaakapitu"/>
    <w:link w:val="Tekstdymka"/>
    <w:uiPriority w:val="99"/>
    <w:semiHidden/>
    <w:rsid w:val="003C167E"/>
    <w:rPr>
      <w:rFonts w:ascii="Tahoma" w:hAnsi="Tahoma" w:cs="Tahoma"/>
      <w:sz w:val="16"/>
      <w:szCs w:val="16"/>
      <w:lang w:val="en-GB"/>
    </w:rPr>
  </w:style>
  <w:style w:type="character" w:styleId="Odwoaniedokomentarza">
    <w:name w:val="annotation reference"/>
    <w:basedOn w:val="Domylnaczcionkaakapitu"/>
    <w:uiPriority w:val="99"/>
    <w:semiHidden/>
    <w:unhideWhenUsed/>
    <w:rsid w:val="00FA2400"/>
    <w:rPr>
      <w:sz w:val="16"/>
      <w:szCs w:val="16"/>
    </w:rPr>
  </w:style>
  <w:style w:type="paragraph" w:styleId="Tekstkomentarza">
    <w:name w:val="annotation text"/>
    <w:basedOn w:val="Normalny"/>
    <w:link w:val="TekstkomentarzaZnak"/>
    <w:uiPriority w:val="99"/>
    <w:unhideWhenUsed/>
    <w:rsid w:val="00FA2400"/>
    <w:rPr>
      <w:sz w:val="20"/>
    </w:rPr>
  </w:style>
  <w:style w:type="character" w:customStyle="1" w:styleId="TekstkomentarzaZnak">
    <w:name w:val="Tekst komentarza Znak"/>
    <w:basedOn w:val="Domylnaczcionkaakapitu"/>
    <w:link w:val="Tekstkomentarza"/>
    <w:uiPriority w:val="99"/>
    <w:rsid w:val="00FA2400"/>
    <w:rPr>
      <w:lang w:val="en-GB"/>
    </w:rPr>
  </w:style>
  <w:style w:type="paragraph" w:styleId="Tematkomentarza">
    <w:name w:val="annotation subject"/>
    <w:basedOn w:val="Tekstkomentarza"/>
    <w:next w:val="Tekstkomentarza"/>
    <w:link w:val="TematkomentarzaZnak"/>
    <w:uiPriority w:val="99"/>
    <w:semiHidden/>
    <w:unhideWhenUsed/>
    <w:rsid w:val="00FA2400"/>
    <w:rPr>
      <w:b/>
      <w:bCs/>
    </w:rPr>
  </w:style>
  <w:style w:type="character" w:customStyle="1" w:styleId="TematkomentarzaZnak">
    <w:name w:val="Temat komentarza Znak"/>
    <w:basedOn w:val="TekstkomentarzaZnak"/>
    <w:link w:val="Tematkomentarza"/>
    <w:uiPriority w:val="99"/>
    <w:semiHidden/>
    <w:rsid w:val="00FA2400"/>
    <w:rPr>
      <w:b/>
      <w:bCs/>
      <w:lang w:val="en-GB"/>
    </w:rPr>
  </w:style>
  <w:style w:type="paragraph" w:styleId="Poprawka">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UyteHipercze">
    <w:name w:val="FollowedHyperlink"/>
    <w:basedOn w:val="Domylnaczcionkaakapitu"/>
    <w:uiPriority w:val="99"/>
    <w:semiHidden/>
    <w:unhideWhenUsed/>
    <w:rsid w:val="007B354B"/>
    <w:rPr>
      <w:color w:val="954F72" w:themeColor="followedHyperlink"/>
      <w:u w:val="single"/>
    </w:rPr>
  </w:style>
  <w:style w:type="paragraph" w:styleId="NormalnyWeb">
    <w:name w:val="Normal (Web)"/>
    <w:basedOn w:val="Normalny"/>
    <w:uiPriority w:val="99"/>
    <w:semiHidden/>
    <w:unhideWhenUsed/>
    <w:rsid w:val="00B424F5"/>
    <w:pPr>
      <w:spacing w:before="100" w:beforeAutospacing="1" w:after="100" w:afterAutospacing="1"/>
    </w:pPr>
  </w:style>
  <w:style w:type="character" w:customStyle="1" w:styleId="outputecliaff">
    <w:name w:val="outputecliaff"/>
    <w:basedOn w:val="Domylnaczcionkaakapitu"/>
    <w:rsid w:val="00595F08"/>
  </w:style>
  <w:style w:type="paragraph" w:customStyle="1" w:styleId="05HeadlinenoIndex">
    <w:name w:val="05_Headline no Index"/>
    <w:basedOn w:val="Normalny"/>
    <w:rsid w:val="005C7E1F"/>
    <w:pPr>
      <w:spacing w:after="250" w:line="300" w:lineRule="exact"/>
      <w:jc w:val="both"/>
    </w:pPr>
    <w:rPr>
      <w:rFonts w:ascii="Georgia" w:hAnsi="Georgia"/>
      <w:b/>
      <w:lang w:eastAsia="de-DE"/>
    </w:rPr>
  </w:style>
  <w:style w:type="paragraph" w:customStyle="1" w:styleId="04BodyText">
    <w:name w:val="04_Body Text"/>
    <w:basedOn w:val="Normalny"/>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Standardowy"/>
    <w:next w:val="Tabela-Siatka"/>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Standardowy"/>
    <w:next w:val="Tabela-Siatka"/>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aragraphe EI Znak,Paragraphe de liste1 Znak,EC Znak,Paragraphe de liste Znak,Normal Nivel 1 Znak,List Paragraph Main Znak,List first level Znak,List Paragraph_Sections Znak"/>
    <w:basedOn w:val="Domylnaczcionkaakapitu"/>
    <w:link w:val="Akapitzlist"/>
    <w:uiPriority w:val="34"/>
    <w:rsid w:val="00695AF2"/>
    <w:rPr>
      <w:rFonts w:eastAsiaTheme="majorEastAsia" w:cstheme="minorHAnsi"/>
      <w:sz w:val="22"/>
      <w:szCs w:val="22"/>
      <w:lang w:val="en-GB" w:eastAsia="en-GB"/>
    </w:rPr>
  </w:style>
  <w:style w:type="table" w:customStyle="1" w:styleId="TableGrid3">
    <w:name w:val="Table Grid3"/>
    <w:basedOn w:val="Standardowy"/>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Standardowy"/>
    <w:next w:val="Tabela-Siatka"/>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505886">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847287915">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20fbe147-bbda-4e53-b6b1-7e8bbff3fe19">ESMA70-156-1933</_dlc_DocId>
    <TaxCatchAll xmlns="20fbe147-bbda-4e53-b6b1-7e8bbff3fe19">
      <Value>474</Value>
      <Value>5</Value>
      <Value>91</Value>
      <Value>2</Value>
      <Value>434</Value>
    </TaxCatchAll>
    <_dlc_DocIdUrl xmlns="20fbe147-bbda-4e53-b6b1-7e8bbff3fe19">
      <Url>https://sherpa.esma.europa.eu/sites/MKT/SMK/_layouts/15/DocIdRedir.aspx?ID=ESMA70-156-1933</Url>
      <Description>ESMA70-156-1933</Description>
    </_dlc_DocIdUrl>
    <Year xmlns="20fbe147-bbda-4e53-b6b1-7e8bbff3fe19">2019</Year>
    <MeetingDate xmlns="20fbe147-bbda-4e53-b6b1-7e8bbff3fe19"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MiFID II 90(1)(f) - Position limits</TermName>
          <TermId xmlns="http://schemas.microsoft.com/office/infopath/2007/PartnerControls">e81dbf1e-3064-4884-a3c8-df0a9f8119ae</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documentManagement>
</p:properties>
</file>

<file path=customXml/item2.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http://schemas.microsoft.com/sharepoint/v4"/>
    <ds:schemaRef ds:uri="20fbe147-bbda-4e53-b6b1-7e8bbff3fe19"/>
  </ds:schemaRefs>
</ds:datastoreItem>
</file>

<file path=customXml/itemProps2.xml><?xml version="1.0" encoding="utf-8"?>
<ds:datastoreItem xmlns:ds="http://schemas.openxmlformats.org/officeDocument/2006/customXml" ds:itemID="{C4A87B1C-94F7-4601-8DD2-296DC1F53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4.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5.xml><?xml version="1.0" encoding="utf-8"?>
<ds:datastoreItem xmlns:ds="http://schemas.openxmlformats.org/officeDocument/2006/customXml" ds:itemID="{6F6F72AD-C309-4CAE-B5A0-83DD4608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0</TotalTime>
  <Pages>13</Pages>
  <Words>4146</Words>
  <Characters>24877</Characters>
  <Application>Microsoft Office Word</Application>
  <DocSecurity>8</DocSecurity>
  <Lines>207</Lines>
  <Paragraphs>57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ESMA</Company>
  <LinksUpToDate>false</LinksUpToDate>
  <CharactersWithSpaces>28966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Czopik-Barecka Aleksandra</cp:lastModifiedBy>
  <cp:revision>2</cp:revision>
  <cp:lastPrinted>2017-07-24T14:47:00Z</cp:lastPrinted>
  <dcterms:created xsi:type="dcterms:W3CDTF">2020-01-08T09:19:00Z</dcterms:created>
  <dcterms:modified xsi:type="dcterms:W3CDTF">2020-01-08T09:19:00Z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2;#Restricted|187aa7e6-627f-4951-b138-6ff841dc883d</vt:lpwstr>
  </property>
  <property fmtid="{D5CDD505-2E9C-101B-9397-08002B2CF9AE}" pid="4" name="ContentTypeId">
    <vt:lpwstr>0x01010001BD15C3986B91498E0AE644B715B9EE010D00757D222C6B0DA241B5F74437644107D4</vt:lpwstr>
  </property>
  <property fmtid="{D5CDD505-2E9C-101B-9397-08002B2CF9AE}" pid="5" name="_dlc_DocIdItemGuid">
    <vt:lpwstr>155ab378-0408-4a09-bf77-47f9e5213ee4</vt:lpwstr>
  </property>
  <property fmtid="{D5CDD505-2E9C-101B-9397-08002B2CF9AE}" pid="6" name="DocumentType">
    <vt:lpwstr>91;#Consultation Paper|c6238baf-c3d7-4bb8-8cf2-f28a89601f52</vt:lpwstr>
  </property>
  <property fmtid="{D5CDD505-2E9C-101B-9397-08002B2CF9AE}" pid="7" name="Topic">
    <vt:lpwstr>434;#MiFID reports|3c5cc422-10d2-4956-abed-da9583ea216a</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5;#Secondary Markets|64c18f63-8e0f-46d8-84d6-b5a5f7a39938</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474;#MiFID reports - MiFID II 90(1)(f) - Position limits|e81dbf1e-3064-4884-a3c8-df0a9f8119ae</vt:lpwstr>
  </property>
</Properties>
</file>