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heme="minorHAnsi" w:hAnsiTheme="minorHAnsi" w:cstheme="minorHAnsi"/>
        </w:rPr>
        <w:id w:val="-973058580"/>
        <w:docPartObj>
          <w:docPartGallery w:val="Cover Pages"/>
          <w:docPartUnique/>
        </w:docPartObj>
      </w:sdtPr>
      <w:sdtEndPr/>
      <w:sdtContent>
        <w:p w14:paraId="61BFF4B7" w14:textId="77777777" w:rsidR="00AF2EF7" w:rsidRPr="00B8572C" w:rsidRDefault="00AF2EF7" w:rsidP="00AF2EF7">
          <w:pPr>
            <w:spacing w:line="276" w:lineRule="auto"/>
            <w:rPr>
              <w:rFonts w:asciiTheme="minorHAnsi" w:hAnsiTheme="minorHAnsi" w:cstheme="minorHAnsi"/>
              <w:color w:val="FF0000"/>
            </w:rPr>
          </w:pPr>
        </w:p>
        <w:p w14:paraId="1C1BFAE2" w14:textId="77777777" w:rsidR="00AF2EF7" w:rsidRPr="00B8572C" w:rsidRDefault="00AF2EF7" w:rsidP="00AF2EF7">
          <w:pPr>
            <w:spacing w:after="120" w:line="276" w:lineRule="auto"/>
            <w:rPr>
              <w:rFonts w:asciiTheme="minorHAnsi" w:hAnsiTheme="minorHAnsi" w:cstheme="minorHAnsi"/>
            </w:rPr>
          </w:pPr>
        </w:p>
        <w:p w14:paraId="787460E0" w14:textId="77777777" w:rsidR="00AF2EF7" w:rsidRPr="00B8572C" w:rsidRDefault="00AF2EF7" w:rsidP="00AF2EF7">
          <w:pPr>
            <w:spacing w:line="276" w:lineRule="auto"/>
            <w:rPr>
              <w:rFonts w:asciiTheme="minorHAnsi" w:hAnsiTheme="minorHAnsi" w:cstheme="minorHAnsi"/>
            </w:rPr>
          </w:pPr>
        </w:p>
        <w:p w14:paraId="23B57B18" w14:textId="77777777" w:rsidR="00AF2EF7" w:rsidRPr="00B8572C" w:rsidRDefault="00AF2EF7" w:rsidP="00AF2EF7">
          <w:pPr>
            <w:spacing w:line="276" w:lineRule="auto"/>
            <w:rPr>
              <w:rFonts w:asciiTheme="minorHAnsi" w:hAnsiTheme="minorHAnsi" w:cstheme="minorHAnsi"/>
            </w:rPr>
          </w:pPr>
        </w:p>
        <w:p w14:paraId="04401C2B" w14:textId="77777777" w:rsidR="00AF2EF7" w:rsidRPr="00B8572C" w:rsidRDefault="00AF2EF7" w:rsidP="00AF2EF7">
          <w:pPr>
            <w:spacing w:line="276" w:lineRule="auto"/>
            <w:rPr>
              <w:rFonts w:asciiTheme="minorHAnsi" w:hAnsiTheme="minorHAnsi" w:cstheme="minorHAnsi"/>
            </w:rPr>
          </w:pPr>
        </w:p>
        <w:tbl>
          <w:tblPr>
            <w:tblpPr w:leftFromText="8505" w:vertAnchor="page" w:horzAnchor="margin" w:tblpX="-426" w:tblpY="3444"/>
            <w:tblW w:w="10490" w:type="dxa"/>
            <w:tblLayout w:type="fixed"/>
            <w:tblCellMar>
              <w:left w:w="0" w:type="dxa"/>
              <w:right w:w="0" w:type="dxa"/>
            </w:tblCellMar>
            <w:tblLook w:val="01E0" w:firstRow="1" w:lastRow="1" w:firstColumn="1" w:lastColumn="1" w:noHBand="0" w:noVBand="0"/>
          </w:tblPr>
          <w:tblGrid>
            <w:gridCol w:w="10490"/>
          </w:tblGrid>
          <w:tr w:rsidR="00AF2EF7" w:rsidRPr="00B8572C" w14:paraId="55D8B106" w14:textId="77777777" w:rsidTr="00D13661">
            <w:trPr>
              <w:trHeight w:hRule="exact" w:val="1492"/>
            </w:trPr>
            <w:tc>
              <w:tcPr>
                <w:tcW w:w="10490" w:type="dxa"/>
                <w:vAlign w:val="bottom"/>
              </w:tcPr>
              <w:p w14:paraId="2A8545EF" w14:textId="08848791" w:rsidR="00AF2EF7" w:rsidRPr="00B8572C" w:rsidRDefault="00C1698A" w:rsidP="00D13661">
                <w:pPr>
                  <w:pStyle w:val="Title"/>
                  <w:spacing w:line="276" w:lineRule="auto"/>
                  <w:ind w:right="854"/>
                  <w:rPr>
                    <w:rFonts w:asciiTheme="minorHAnsi" w:hAnsiTheme="minorHAnsi" w:cstheme="minorHAnsi"/>
                    <w:sz w:val="48"/>
                    <w:szCs w:val="48"/>
                  </w:rPr>
                </w:pPr>
                <w:r>
                  <w:rPr>
                    <w:rFonts w:asciiTheme="minorHAnsi" w:hAnsiTheme="minorHAnsi" w:cstheme="minorHAnsi"/>
                    <w:sz w:val="48"/>
                    <w:szCs w:val="48"/>
                  </w:rPr>
                  <w:t>Re</w:t>
                </w:r>
                <w:r w:rsidR="00961EE5">
                  <w:rPr>
                    <w:rFonts w:asciiTheme="minorHAnsi" w:hAnsiTheme="minorHAnsi" w:cstheme="minorHAnsi"/>
                    <w:sz w:val="48"/>
                    <w:szCs w:val="48"/>
                  </w:rPr>
                  <w:t xml:space="preserve">ply </w:t>
                </w:r>
                <w:r>
                  <w:rPr>
                    <w:rFonts w:asciiTheme="minorHAnsi" w:hAnsiTheme="minorHAnsi" w:cstheme="minorHAnsi"/>
                    <w:sz w:val="48"/>
                    <w:szCs w:val="48"/>
                  </w:rPr>
                  <w:t xml:space="preserve">Form to the </w:t>
                </w:r>
                <w:r w:rsidR="008B2AF1">
                  <w:rPr>
                    <w:rFonts w:asciiTheme="minorHAnsi" w:hAnsiTheme="minorHAnsi" w:cstheme="minorHAnsi"/>
                    <w:sz w:val="48"/>
                    <w:szCs w:val="48"/>
                  </w:rPr>
                  <w:t>C</w:t>
                </w:r>
                <w:r w:rsidR="0063070E">
                  <w:rPr>
                    <w:rFonts w:asciiTheme="minorHAnsi" w:hAnsiTheme="minorHAnsi" w:cstheme="minorHAnsi"/>
                    <w:sz w:val="48"/>
                    <w:szCs w:val="48"/>
                  </w:rPr>
                  <w:t>onsultation Paper</w:t>
                </w:r>
                <w:r w:rsidR="000F74C4">
                  <w:rPr>
                    <w:rFonts w:asciiTheme="minorHAnsi" w:hAnsiTheme="minorHAnsi" w:cstheme="minorHAnsi"/>
                    <w:sz w:val="48"/>
                    <w:szCs w:val="48"/>
                  </w:rPr>
                  <w:t xml:space="preserve"> </w:t>
                </w:r>
              </w:p>
            </w:tc>
          </w:tr>
          <w:tr w:rsidR="00AB6157" w:rsidRPr="00B8572C" w14:paraId="76D253F5" w14:textId="77777777" w:rsidTr="00D13661">
            <w:trPr>
              <w:trHeight w:hRule="exact" w:val="747"/>
            </w:trPr>
            <w:tc>
              <w:tcPr>
                <w:tcW w:w="10490" w:type="dxa"/>
                <w:tcMar>
                  <w:top w:w="142" w:type="dxa"/>
                </w:tcMar>
              </w:tcPr>
              <w:p w14:paraId="1317ADC8" w14:textId="2C37C777" w:rsidR="0063070E" w:rsidRDefault="0063070E" w:rsidP="0063070E">
                <w:pPr>
                  <w:pStyle w:val="Subtitle"/>
                  <w:rPr>
                    <w:rFonts w:cs="Arial"/>
                  </w:rPr>
                </w:pPr>
                <w:r>
                  <w:rPr>
                    <w:rFonts w:cs="Arial"/>
                  </w:rPr>
                  <w:t xml:space="preserve">MiFID II review report on position limits and position management </w:t>
                </w:r>
              </w:p>
              <w:p w14:paraId="2CBF8F9B" w14:textId="2B39453C" w:rsidR="0063070E" w:rsidRDefault="0063070E" w:rsidP="0063070E">
                <w:pPr>
                  <w:pStyle w:val="Subtitle"/>
                  <w:rPr>
                    <w:rFonts w:cs="Arial"/>
                  </w:rPr>
                </w:pPr>
                <w:r>
                  <w:rPr>
                    <w:rFonts w:cs="Arial"/>
                  </w:rPr>
                  <w:t>Draft Technical Advice on weekly position reports</w:t>
                </w:r>
              </w:p>
              <w:p w14:paraId="72EBF426" w14:textId="641E1005" w:rsidR="0063070E" w:rsidRPr="0063070E" w:rsidRDefault="0063070E" w:rsidP="0063070E"/>
              <w:p w14:paraId="26CF3934" w14:textId="5F517F25" w:rsidR="00AB6157" w:rsidRPr="00B8572C" w:rsidRDefault="00AB6157" w:rsidP="00AB6157">
                <w:pPr>
                  <w:pStyle w:val="Heading2"/>
                  <w:numPr>
                    <w:ilvl w:val="0"/>
                    <w:numId w:val="0"/>
                  </w:numPr>
                  <w:ind w:left="576" w:hanging="576"/>
                </w:pPr>
              </w:p>
            </w:tc>
          </w:tr>
        </w:tbl>
        <w:p w14:paraId="7DEBD68F" w14:textId="77777777" w:rsidR="00AF2EF7" w:rsidRPr="00B8572C" w:rsidRDefault="00AF2EF7" w:rsidP="00AF2EF7">
          <w:pPr>
            <w:spacing w:line="276" w:lineRule="auto"/>
            <w:rPr>
              <w:rFonts w:asciiTheme="minorHAnsi" w:hAnsiTheme="minorHAnsi" w:cstheme="minorHAnsi"/>
            </w:rPr>
          </w:pPr>
        </w:p>
        <w:p w14:paraId="5B933631" w14:textId="77777777" w:rsidR="00AF2EF7" w:rsidRPr="00B8572C" w:rsidRDefault="00AF2EF7" w:rsidP="00AF2EF7">
          <w:pPr>
            <w:spacing w:line="276" w:lineRule="auto"/>
            <w:rPr>
              <w:rFonts w:asciiTheme="minorHAnsi" w:hAnsiTheme="minorHAnsi" w:cstheme="minorHAnsi"/>
            </w:rPr>
            <w:sectPr w:rsidR="00AF2EF7" w:rsidRPr="00B8572C" w:rsidSect="007E7997">
              <w:headerReference w:type="default" r:id="rId12"/>
              <w:footerReference w:type="default" r:id="rId13"/>
              <w:headerReference w:type="first" r:id="rId14"/>
              <w:footerReference w:type="first" r:id="rId15"/>
              <w:pgSz w:w="11906" w:h="16838"/>
              <w:pgMar w:top="1417" w:right="1417" w:bottom="1417" w:left="1417" w:header="708" w:footer="708" w:gutter="0"/>
              <w:pgNumType w:start="0"/>
              <w:cols w:space="708"/>
              <w:titlePg/>
              <w:docGrid w:linePitch="360"/>
            </w:sectPr>
          </w:pPr>
        </w:p>
        <w:p w14:paraId="3992D496" w14:textId="77777777" w:rsidR="00AF2EF7" w:rsidRPr="00B8572C" w:rsidRDefault="00AF2EF7" w:rsidP="00AF2EF7">
          <w:pPr>
            <w:numPr>
              <w:ilvl w:val="1"/>
              <w:numId w:val="0"/>
            </w:numPr>
            <w:spacing w:after="250" w:line="276" w:lineRule="auto"/>
            <w:jc w:val="both"/>
            <w:rPr>
              <w:rFonts w:asciiTheme="majorHAnsi" w:eastAsiaTheme="majorEastAsia" w:hAnsiTheme="majorHAnsi" w:cstheme="majorBidi"/>
              <w:b/>
              <w:sz w:val="28"/>
              <w:lang w:eastAsia="en-US"/>
            </w:rPr>
          </w:pPr>
        </w:p>
        <w:p w14:paraId="50F24FB7" w14:textId="77777777" w:rsidR="00AF2EF7" w:rsidRPr="00B8572C" w:rsidRDefault="00AF2EF7" w:rsidP="00AF2EF7">
          <w:pPr>
            <w:numPr>
              <w:ilvl w:val="1"/>
              <w:numId w:val="0"/>
            </w:numPr>
            <w:spacing w:after="250" w:line="276" w:lineRule="auto"/>
            <w:jc w:val="both"/>
            <w:rPr>
              <w:rFonts w:asciiTheme="majorHAnsi" w:eastAsiaTheme="majorEastAsia" w:hAnsiTheme="majorHAnsi" w:cstheme="majorBidi"/>
              <w:b/>
              <w:sz w:val="28"/>
              <w:lang w:eastAsia="en-US"/>
            </w:rPr>
          </w:pPr>
          <w:r w:rsidRPr="00B8572C">
            <w:rPr>
              <w:rFonts w:asciiTheme="majorHAnsi" w:eastAsiaTheme="majorEastAsia" w:hAnsiTheme="majorHAnsi" w:cstheme="majorBidi"/>
              <w:b/>
              <w:sz w:val="28"/>
              <w:lang w:eastAsia="en-US"/>
            </w:rPr>
            <w:t xml:space="preserve">Responding to this paper </w:t>
          </w:r>
        </w:p>
        <w:p w14:paraId="46CF9AD5" w14:textId="7777777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ESMA invites comments on all matters in this paper and in particular on the specific questions summarised in Annex 1. Comments are most helpful if they:</w:t>
          </w:r>
        </w:p>
        <w:p w14:paraId="2573C72E"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respond to the question stated;</w:t>
          </w:r>
        </w:p>
        <w:p w14:paraId="65ACF578"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indicate the specific question to which the comment relates;</w:t>
          </w:r>
        </w:p>
        <w:p w14:paraId="3751DA8E"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contain a clear rationale; and</w:t>
          </w:r>
        </w:p>
        <w:p w14:paraId="5A3A4AE2"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describe any alternatives ESMA should consider.</w:t>
          </w:r>
        </w:p>
        <w:p w14:paraId="09579D04" w14:textId="19490734"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ESMA will consider all comments </w:t>
          </w:r>
          <w:r w:rsidRPr="002C56FD">
            <w:rPr>
              <w:rFonts w:asciiTheme="minorHAnsi" w:eastAsiaTheme="minorEastAsia" w:hAnsiTheme="minorHAnsi" w:cstheme="minorBidi"/>
              <w:sz w:val="22"/>
              <w:szCs w:val="20"/>
              <w:lang w:eastAsia="en-US"/>
            </w:rPr>
            <w:t>received by</w:t>
          </w:r>
          <w:r w:rsidRPr="002C56FD">
            <w:rPr>
              <w:rFonts w:asciiTheme="minorHAnsi" w:eastAsiaTheme="minorEastAsia" w:hAnsiTheme="minorHAnsi" w:cstheme="minorBidi"/>
              <w:b/>
              <w:sz w:val="22"/>
              <w:szCs w:val="20"/>
              <w:lang w:eastAsia="en-US"/>
            </w:rPr>
            <w:t xml:space="preserve"> </w:t>
          </w:r>
          <w:r w:rsidR="00223F79" w:rsidRPr="002C56FD">
            <w:rPr>
              <w:rFonts w:asciiTheme="minorHAnsi" w:eastAsiaTheme="minorEastAsia" w:hAnsiTheme="minorHAnsi" w:cstheme="minorBidi"/>
              <w:b/>
              <w:sz w:val="22"/>
              <w:szCs w:val="20"/>
              <w:lang w:eastAsia="en-US"/>
            </w:rPr>
            <w:t>8</w:t>
          </w:r>
          <w:r w:rsidR="009C3F1A" w:rsidRPr="002C56FD">
            <w:rPr>
              <w:rFonts w:asciiTheme="minorHAnsi" w:eastAsiaTheme="minorEastAsia" w:hAnsiTheme="minorHAnsi" w:cstheme="minorBidi"/>
              <w:b/>
              <w:sz w:val="22"/>
              <w:szCs w:val="20"/>
              <w:lang w:eastAsia="en-US"/>
            </w:rPr>
            <w:t xml:space="preserve"> January </w:t>
          </w:r>
          <w:r w:rsidRPr="002C56FD">
            <w:rPr>
              <w:rFonts w:asciiTheme="minorHAnsi" w:eastAsiaTheme="minorEastAsia" w:hAnsiTheme="minorHAnsi" w:cstheme="minorBidi"/>
              <w:b/>
              <w:sz w:val="22"/>
              <w:szCs w:val="20"/>
              <w:lang w:eastAsia="en-US"/>
            </w:rPr>
            <w:t>20</w:t>
          </w:r>
          <w:r w:rsidR="009C3F1A" w:rsidRPr="002C56FD">
            <w:rPr>
              <w:rFonts w:asciiTheme="minorHAnsi" w:eastAsiaTheme="minorEastAsia" w:hAnsiTheme="minorHAnsi" w:cstheme="minorBidi"/>
              <w:b/>
              <w:sz w:val="22"/>
              <w:szCs w:val="20"/>
              <w:lang w:eastAsia="en-US"/>
            </w:rPr>
            <w:t>20</w:t>
          </w:r>
          <w:r w:rsidRPr="002C56FD">
            <w:rPr>
              <w:rFonts w:asciiTheme="minorHAnsi" w:eastAsiaTheme="minorEastAsia" w:hAnsiTheme="minorHAnsi" w:cstheme="minorBidi"/>
              <w:b/>
              <w:sz w:val="22"/>
              <w:szCs w:val="20"/>
              <w:lang w:eastAsia="en-US"/>
            </w:rPr>
            <w:t>.</w:t>
          </w:r>
          <w:r w:rsidRPr="00AB6157">
            <w:rPr>
              <w:rFonts w:asciiTheme="minorHAnsi" w:eastAsiaTheme="minorEastAsia" w:hAnsiTheme="minorHAnsi" w:cstheme="minorBidi"/>
              <w:b/>
              <w:sz w:val="22"/>
              <w:szCs w:val="20"/>
              <w:lang w:eastAsia="en-US"/>
            </w:rPr>
            <w:t xml:space="preserve"> </w:t>
          </w:r>
        </w:p>
        <w:p w14:paraId="6ABAAC1F" w14:textId="209BDB6C"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All contributions should be submitted online at </w:t>
          </w:r>
          <w:hyperlink r:id="rId16" w:history="1">
            <w:r w:rsidRPr="00AB6157">
              <w:rPr>
                <w:rFonts w:asciiTheme="minorHAnsi" w:eastAsiaTheme="minorEastAsia" w:hAnsiTheme="minorHAnsi" w:cstheme="minorBidi"/>
                <w:color w:val="0563C1" w:themeColor="hyperlink"/>
                <w:sz w:val="22"/>
                <w:szCs w:val="20"/>
                <w:u w:val="single"/>
                <w:lang w:eastAsia="en-US"/>
              </w:rPr>
              <w:t>www.esma.europa.eu</w:t>
            </w:r>
          </w:hyperlink>
          <w:r w:rsidRPr="00AB6157">
            <w:rPr>
              <w:rFonts w:asciiTheme="minorHAnsi" w:eastAsiaTheme="minorEastAsia" w:hAnsiTheme="minorHAnsi" w:cstheme="minorBidi"/>
              <w:sz w:val="22"/>
              <w:szCs w:val="20"/>
              <w:lang w:eastAsia="en-US"/>
            </w:rPr>
            <w:t xml:space="preserve"> under the heading ‘Your input - Consultations’. Please follow the instructions given in the document ‘Reply form for the </w:t>
          </w:r>
          <w:r w:rsidR="009C3F1A">
            <w:rPr>
              <w:rFonts w:asciiTheme="minorHAnsi" w:eastAsiaTheme="minorEastAsia" w:hAnsiTheme="minorHAnsi" w:cstheme="minorBidi"/>
              <w:sz w:val="22"/>
              <w:szCs w:val="20"/>
              <w:lang w:eastAsia="en-US"/>
            </w:rPr>
            <w:t>consultation paper o</w:t>
          </w:r>
          <w:r w:rsidRPr="00AB6157">
            <w:rPr>
              <w:rFonts w:asciiTheme="minorHAnsi" w:eastAsiaTheme="minorEastAsia" w:hAnsiTheme="minorHAnsi" w:cstheme="minorBidi"/>
              <w:sz w:val="22"/>
              <w:szCs w:val="20"/>
              <w:lang w:eastAsia="en-US"/>
            </w:rPr>
            <w:t xml:space="preserve">n </w:t>
          </w:r>
          <w:r w:rsidR="009C3F1A">
            <w:rPr>
              <w:rFonts w:asciiTheme="minorHAnsi" w:eastAsiaTheme="minorEastAsia" w:hAnsiTheme="minorHAnsi" w:cstheme="minorBidi"/>
              <w:sz w:val="22"/>
              <w:szCs w:val="20"/>
              <w:lang w:eastAsia="en-US"/>
            </w:rPr>
            <w:t>“</w:t>
          </w:r>
          <w:r w:rsidR="009C3F1A" w:rsidRPr="009C3F1A">
            <w:rPr>
              <w:rFonts w:asciiTheme="minorHAnsi" w:eastAsiaTheme="minorEastAsia" w:hAnsiTheme="minorHAnsi" w:cstheme="minorBidi"/>
              <w:color w:val="2F5496" w:themeColor="accent5" w:themeShade="BF"/>
              <w:sz w:val="22"/>
              <w:szCs w:val="20"/>
              <w:lang w:eastAsia="en-US"/>
            </w:rPr>
            <w:t xml:space="preserve">MiFID II review report on position limits and position management and </w:t>
          </w:r>
          <w:r w:rsidR="009C3F1A">
            <w:rPr>
              <w:rFonts w:asciiTheme="minorHAnsi" w:eastAsiaTheme="minorEastAsia" w:hAnsiTheme="minorHAnsi" w:cstheme="minorBidi"/>
              <w:color w:val="2F5496" w:themeColor="accent5" w:themeShade="BF"/>
              <w:sz w:val="22"/>
              <w:szCs w:val="20"/>
              <w:lang w:eastAsia="en-US"/>
            </w:rPr>
            <w:t>draft technical advice on weekly position reports</w:t>
          </w:r>
          <w:r w:rsidRPr="00AB6157">
            <w:rPr>
              <w:rFonts w:asciiTheme="minorHAnsi" w:eastAsiaTheme="minorEastAsia" w:hAnsiTheme="minorHAnsi" w:cstheme="minorBidi"/>
              <w:sz w:val="22"/>
              <w:szCs w:val="20"/>
              <w:lang w:eastAsia="en-US"/>
            </w:rPr>
            <w:t>’ also published on the ESMA website.</w:t>
          </w:r>
        </w:p>
        <w:p w14:paraId="71848F2A" w14:textId="77777777" w:rsidR="00C85C8B" w:rsidRPr="00C85C8B" w:rsidRDefault="00C85C8B" w:rsidP="00C85C8B">
          <w:pPr>
            <w:spacing w:after="250" w:line="276" w:lineRule="auto"/>
            <w:jc w:val="both"/>
            <w:rPr>
              <w:rFonts w:asciiTheme="minorHAnsi" w:eastAsiaTheme="minorEastAsia" w:hAnsiTheme="minorHAnsi" w:cstheme="minorBidi"/>
              <w:b/>
              <w:sz w:val="22"/>
              <w:szCs w:val="20"/>
              <w:lang w:eastAsia="en-US"/>
            </w:rPr>
          </w:pPr>
          <w:r w:rsidRPr="00C85C8B">
            <w:rPr>
              <w:rFonts w:asciiTheme="minorHAnsi" w:eastAsiaTheme="minorEastAsia" w:hAnsiTheme="minorHAnsi" w:cstheme="minorBidi"/>
              <w:b/>
              <w:sz w:val="22"/>
              <w:szCs w:val="20"/>
              <w:lang w:eastAsia="en-US"/>
            </w:rPr>
            <w:t>Instructions</w:t>
          </w:r>
        </w:p>
        <w:p w14:paraId="057542CF" w14:textId="334CF29B"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In order to facilitate analysis of responses to the</w:t>
          </w:r>
          <w:r w:rsidR="009C3F1A">
            <w:rPr>
              <w:rFonts w:asciiTheme="minorHAnsi" w:eastAsiaTheme="minorEastAsia" w:hAnsiTheme="minorHAnsi" w:cstheme="minorBidi"/>
              <w:sz w:val="22"/>
              <w:szCs w:val="20"/>
              <w:lang w:eastAsia="en-US"/>
            </w:rPr>
            <w:t xml:space="preserve"> </w:t>
          </w:r>
          <w:r w:rsidR="00223F79">
            <w:rPr>
              <w:rFonts w:asciiTheme="minorHAnsi" w:eastAsiaTheme="minorEastAsia" w:hAnsiTheme="minorHAnsi" w:cstheme="minorBidi"/>
              <w:sz w:val="22"/>
              <w:szCs w:val="20"/>
              <w:lang w:eastAsia="en-US"/>
            </w:rPr>
            <w:t>C</w:t>
          </w:r>
          <w:r w:rsidR="009C3F1A">
            <w:rPr>
              <w:rFonts w:asciiTheme="minorHAnsi" w:eastAsiaTheme="minorEastAsia" w:hAnsiTheme="minorHAnsi" w:cstheme="minorBidi"/>
              <w:sz w:val="22"/>
              <w:szCs w:val="20"/>
              <w:lang w:eastAsia="en-US"/>
            </w:rPr>
            <w:t>onsultation paper</w:t>
          </w:r>
          <w:r w:rsidRPr="00C85C8B">
            <w:rPr>
              <w:rFonts w:asciiTheme="minorHAnsi" w:eastAsiaTheme="minorEastAsia" w:hAnsiTheme="minorHAnsi" w:cstheme="minorBidi"/>
              <w:sz w:val="22"/>
              <w:szCs w:val="20"/>
              <w:lang w:eastAsia="en-US"/>
            </w:rPr>
            <w:t>, respondents are requested to follow the below steps when preparing and submitting their response:</w:t>
          </w:r>
        </w:p>
        <w:p w14:paraId="1200930E" w14:textId="7324BCF9" w:rsidR="00C85C8B" w:rsidRPr="00C85C8B" w:rsidRDefault="00C85C8B" w:rsidP="00E7297E">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 xml:space="preserve">Insert your responses to the questions in the </w:t>
          </w:r>
          <w:r w:rsidR="00223F79">
            <w:rPr>
              <w:rFonts w:eastAsiaTheme="minorEastAsia" w:cstheme="minorBidi"/>
              <w:szCs w:val="20"/>
              <w:lang w:eastAsia="en-US"/>
            </w:rPr>
            <w:t>C</w:t>
          </w:r>
          <w:r w:rsidR="009C3F1A">
            <w:rPr>
              <w:rFonts w:eastAsiaTheme="minorEastAsia" w:cstheme="minorBidi"/>
              <w:szCs w:val="20"/>
              <w:lang w:eastAsia="en-US"/>
            </w:rPr>
            <w:t xml:space="preserve">onsultation paper </w:t>
          </w:r>
          <w:r w:rsidRPr="00C85C8B">
            <w:rPr>
              <w:rFonts w:eastAsiaTheme="minorEastAsia" w:cstheme="minorBidi"/>
              <w:szCs w:val="20"/>
              <w:lang w:eastAsia="en-US"/>
            </w:rPr>
            <w:t xml:space="preserve">in the present response form. </w:t>
          </w:r>
        </w:p>
        <w:p w14:paraId="3B16398E" w14:textId="1D970CA3"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Please do not remove t</w:t>
          </w:r>
          <w:r>
            <w:rPr>
              <w:rFonts w:eastAsiaTheme="minorEastAsia" w:cstheme="minorBidi"/>
              <w:szCs w:val="20"/>
              <w:lang w:eastAsia="en-US"/>
            </w:rPr>
            <w:t>ags of the type &lt;ESMA_QUESTION_</w:t>
          </w:r>
          <w:r w:rsidR="00D5365A">
            <w:rPr>
              <w:rFonts w:eastAsiaTheme="minorEastAsia" w:cstheme="minorBidi"/>
              <w:szCs w:val="20"/>
              <w:lang w:eastAsia="en-US"/>
            </w:rPr>
            <w:t>WPR</w:t>
          </w:r>
          <w:r w:rsidRPr="00C85C8B">
            <w:rPr>
              <w:rFonts w:eastAsiaTheme="minorEastAsia" w:cstheme="minorBidi"/>
              <w:szCs w:val="20"/>
              <w:lang w:eastAsia="en-US"/>
            </w:rPr>
            <w:t>_1&gt;. Your response to each question has to be framed by the two tags corresponding to the question.</w:t>
          </w:r>
        </w:p>
        <w:p w14:paraId="5CC57030" w14:textId="77777777"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If you do not wish to respond to a given question, please do not delete it but simply leave the text “TYPE YOUR TEXT HERE” between the tags.</w:t>
          </w:r>
        </w:p>
        <w:p w14:paraId="1876A4C8" w14:textId="0E8DA51F"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 xml:space="preserve">When you have drafted your response, name your response form according to </w:t>
          </w:r>
          <w:r>
            <w:rPr>
              <w:rFonts w:eastAsiaTheme="minorEastAsia" w:cstheme="minorBidi"/>
              <w:szCs w:val="20"/>
              <w:lang w:eastAsia="en-US"/>
            </w:rPr>
            <w:t>the following convention: ESMA_</w:t>
          </w:r>
          <w:r w:rsidR="00D5365A">
            <w:rPr>
              <w:rFonts w:eastAsiaTheme="minorEastAsia" w:cstheme="minorBidi"/>
              <w:szCs w:val="20"/>
              <w:lang w:eastAsia="en-US"/>
            </w:rPr>
            <w:t>WPR</w:t>
          </w:r>
          <w:r w:rsidRPr="00C85C8B">
            <w:rPr>
              <w:rFonts w:eastAsiaTheme="minorEastAsia" w:cstheme="minorBidi"/>
              <w:szCs w:val="20"/>
              <w:lang w:eastAsia="en-US"/>
            </w:rPr>
            <w:t>_nameofrespondent_RESPONSEFORM. For example, for a respondent named ABCD, the response</w:t>
          </w:r>
          <w:r>
            <w:rPr>
              <w:rFonts w:eastAsiaTheme="minorEastAsia" w:cstheme="minorBidi"/>
              <w:szCs w:val="20"/>
              <w:lang w:eastAsia="en-US"/>
            </w:rPr>
            <w:t xml:space="preserve"> form would be entitled ESMA_</w:t>
          </w:r>
          <w:r w:rsidR="00D5365A">
            <w:rPr>
              <w:rFonts w:eastAsiaTheme="minorEastAsia" w:cstheme="minorBidi"/>
              <w:szCs w:val="20"/>
              <w:lang w:eastAsia="en-US"/>
            </w:rPr>
            <w:t>WPR</w:t>
          </w:r>
          <w:r w:rsidRPr="00C85C8B">
            <w:rPr>
              <w:rFonts w:eastAsiaTheme="minorEastAsia" w:cstheme="minorBidi"/>
              <w:szCs w:val="20"/>
              <w:lang w:eastAsia="en-US"/>
            </w:rPr>
            <w:t>_ABCD_RESPONSEFORM.</w:t>
          </w:r>
        </w:p>
        <w:p w14:paraId="1A9C59D6" w14:textId="013251ED"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Upload the form containing your responses, in Word format, to ESMA’s website (</w:t>
          </w:r>
          <w:hyperlink r:id="rId17" w:history="1">
            <w:r w:rsidRPr="00C85C8B">
              <w:rPr>
                <w:rFonts w:eastAsiaTheme="minorEastAsia" w:cstheme="minorBidi"/>
                <w:szCs w:val="20"/>
                <w:lang w:eastAsia="en-US"/>
              </w:rPr>
              <w:t>www.esma.europa.eu</w:t>
            </w:r>
          </w:hyperlink>
          <w:r w:rsidRPr="00C85C8B">
            <w:rPr>
              <w:rFonts w:eastAsiaTheme="minorEastAsia" w:cstheme="minorBidi"/>
              <w:szCs w:val="20"/>
              <w:lang w:eastAsia="en-US"/>
            </w:rPr>
            <w:t xml:space="preserve"> under the heading “Your input – Open consultations” </w:t>
          </w:r>
          <w:r w:rsidRPr="00C85C8B">
            <w:rPr>
              <w:rFonts w:eastAsiaTheme="minorEastAsia"/>
              <w:lang w:eastAsia="en-US"/>
            </w:rPr>
            <w:sym w:font="Wingdings" w:char="F0E0"/>
          </w:r>
          <w:r w:rsidRPr="00C85C8B">
            <w:rPr>
              <w:rFonts w:eastAsiaTheme="minorEastAsia" w:cstheme="minorBidi"/>
              <w:szCs w:val="20"/>
              <w:lang w:eastAsia="en-US"/>
            </w:rPr>
            <w:t xml:space="preserve"> “C</w:t>
          </w:r>
          <w:r w:rsidR="000F74C4">
            <w:rPr>
              <w:rFonts w:eastAsiaTheme="minorEastAsia" w:cstheme="minorBidi"/>
              <w:szCs w:val="20"/>
              <w:lang w:eastAsia="en-US"/>
            </w:rPr>
            <w:t xml:space="preserve">all for Evidence </w:t>
          </w:r>
          <w:r w:rsidRPr="00C85C8B">
            <w:rPr>
              <w:rFonts w:eastAsiaTheme="minorEastAsia" w:cstheme="minorBidi"/>
              <w:szCs w:val="20"/>
              <w:lang w:eastAsia="en-US"/>
            </w:rPr>
            <w:t xml:space="preserve">on </w:t>
          </w:r>
          <w:r w:rsidR="00AB6157">
            <w:rPr>
              <w:rFonts w:eastAsiaTheme="minorEastAsia" w:cstheme="minorBidi"/>
              <w:szCs w:val="20"/>
              <w:lang w:eastAsia="en-US"/>
            </w:rPr>
            <w:t>Position limits and position management in commodities derivatives</w:t>
          </w:r>
          <w:r w:rsidRPr="00C85C8B">
            <w:rPr>
              <w:rFonts w:eastAsiaTheme="minorEastAsia" w:cstheme="minorBidi"/>
              <w:szCs w:val="20"/>
              <w:lang w:eastAsia="en-US"/>
            </w:rPr>
            <w:t>”).</w:t>
          </w:r>
        </w:p>
        <w:p w14:paraId="078FF80C" w14:textId="145F522B" w:rsidR="00C85C8B" w:rsidRDefault="00C85C8B" w:rsidP="00AF2EF7">
          <w:pPr>
            <w:spacing w:after="250" w:line="276" w:lineRule="auto"/>
            <w:jc w:val="both"/>
            <w:rPr>
              <w:rFonts w:asciiTheme="minorHAnsi" w:eastAsiaTheme="minorEastAsia" w:hAnsiTheme="minorHAnsi" w:cstheme="minorBidi"/>
              <w:sz w:val="22"/>
              <w:szCs w:val="20"/>
              <w:lang w:eastAsia="en-US"/>
            </w:rPr>
          </w:pPr>
        </w:p>
        <w:p w14:paraId="27DFECB3" w14:textId="3EF3C58E" w:rsidR="00A02199" w:rsidRDefault="00A02199" w:rsidP="00AF2EF7">
          <w:pPr>
            <w:spacing w:after="250" w:line="276" w:lineRule="auto"/>
            <w:jc w:val="both"/>
            <w:rPr>
              <w:rFonts w:asciiTheme="minorHAnsi" w:eastAsiaTheme="minorEastAsia" w:hAnsiTheme="minorHAnsi" w:cstheme="minorBidi"/>
              <w:sz w:val="22"/>
              <w:szCs w:val="20"/>
              <w:lang w:eastAsia="en-US"/>
            </w:rPr>
          </w:pPr>
        </w:p>
        <w:p w14:paraId="28EEA743" w14:textId="77777777" w:rsidR="00A02199" w:rsidRPr="00C1698A" w:rsidRDefault="00A02199" w:rsidP="00AF2EF7">
          <w:pPr>
            <w:spacing w:after="250" w:line="276" w:lineRule="auto"/>
            <w:jc w:val="both"/>
            <w:rPr>
              <w:rFonts w:asciiTheme="minorHAnsi" w:eastAsiaTheme="minorEastAsia" w:hAnsiTheme="minorHAnsi" w:cstheme="minorBidi"/>
              <w:sz w:val="22"/>
              <w:szCs w:val="20"/>
              <w:lang w:eastAsia="en-US"/>
            </w:rPr>
          </w:pPr>
        </w:p>
        <w:p w14:paraId="6BB993D0" w14:textId="77777777" w:rsidR="00AF2EF7" w:rsidRPr="00B8572C" w:rsidRDefault="00AF2EF7" w:rsidP="00AF2EF7">
          <w:pPr>
            <w:spacing w:after="250" w:line="276" w:lineRule="auto"/>
            <w:jc w:val="both"/>
            <w:rPr>
              <w:rFonts w:asciiTheme="minorHAnsi" w:eastAsiaTheme="minorEastAsia" w:hAnsiTheme="minorHAnsi" w:cstheme="minorBidi"/>
              <w:b/>
              <w:sz w:val="22"/>
              <w:szCs w:val="20"/>
              <w:lang w:eastAsia="en-US"/>
            </w:rPr>
          </w:pPr>
          <w:r w:rsidRPr="00B8572C">
            <w:rPr>
              <w:rFonts w:asciiTheme="minorHAnsi" w:eastAsiaTheme="minorEastAsia" w:hAnsiTheme="minorHAnsi" w:cstheme="minorBidi"/>
              <w:b/>
              <w:sz w:val="22"/>
              <w:szCs w:val="20"/>
              <w:lang w:eastAsia="en-US"/>
            </w:rPr>
            <w:t>Publication of responses</w:t>
          </w:r>
        </w:p>
        <w:p w14:paraId="214D8BBA" w14:textId="7777777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All contributions received will be published following the close of the consultation, unless you request otherwise. Please clearly and prominently indicate in your submission any part you do not wish to be publically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144C43BA" w14:textId="4C539C0B" w:rsidR="00AF2EF7" w:rsidRPr="00B8572C" w:rsidRDefault="00AF2EF7" w:rsidP="00AF2EF7">
          <w:pPr>
            <w:spacing w:after="250" w:line="276" w:lineRule="auto"/>
            <w:jc w:val="both"/>
            <w:rPr>
              <w:rFonts w:asciiTheme="minorHAnsi" w:eastAsiaTheme="minorEastAsia" w:hAnsiTheme="minorHAnsi" w:cstheme="minorBidi"/>
              <w:b/>
              <w:sz w:val="22"/>
              <w:szCs w:val="20"/>
              <w:lang w:eastAsia="en-US"/>
            </w:rPr>
          </w:pPr>
          <w:r w:rsidRPr="00B8572C">
            <w:rPr>
              <w:rFonts w:asciiTheme="minorHAnsi" w:eastAsiaTheme="minorEastAsia" w:hAnsiTheme="minorHAnsi" w:cstheme="minorBidi"/>
              <w:b/>
              <w:sz w:val="22"/>
              <w:szCs w:val="20"/>
              <w:lang w:eastAsia="en-US"/>
            </w:rPr>
            <w:t>Data protection</w:t>
          </w:r>
        </w:p>
        <w:p w14:paraId="1D46B82F" w14:textId="7777777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Information on data protection can be found at </w:t>
          </w:r>
          <w:hyperlink r:id="rId18" w:history="1">
            <w:r w:rsidRPr="00AB6157">
              <w:rPr>
                <w:rFonts w:asciiTheme="minorHAnsi" w:eastAsiaTheme="minorEastAsia" w:hAnsiTheme="minorHAnsi" w:cstheme="minorBidi"/>
                <w:color w:val="0563C1" w:themeColor="hyperlink"/>
                <w:sz w:val="22"/>
                <w:szCs w:val="20"/>
                <w:u w:val="single"/>
                <w:lang w:eastAsia="en-US"/>
              </w:rPr>
              <w:t>www.esma.europa.eu</w:t>
            </w:r>
          </w:hyperlink>
          <w:r w:rsidRPr="00AB6157">
            <w:rPr>
              <w:rFonts w:asciiTheme="minorHAnsi" w:eastAsiaTheme="minorEastAsia" w:hAnsiTheme="minorHAnsi" w:cstheme="minorBidi"/>
              <w:sz w:val="22"/>
              <w:szCs w:val="20"/>
              <w:lang w:eastAsia="en-US"/>
            </w:rPr>
            <w:t xml:space="preserve"> under the heading </w:t>
          </w:r>
          <w:hyperlink r:id="rId19" w:history="1">
            <w:r w:rsidRPr="00AB6157">
              <w:rPr>
                <w:rFonts w:asciiTheme="minorHAnsi" w:eastAsiaTheme="minorEastAsia" w:hAnsiTheme="minorHAnsi" w:cstheme="minorBidi"/>
                <w:color w:val="0563C1" w:themeColor="hyperlink"/>
                <w:sz w:val="22"/>
                <w:szCs w:val="20"/>
                <w:u w:val="single"/>
                <w:lang w:eastAsia="en-US"/>
              </w:rPr>
              <w:t>Legal Notice</w:t>
            </w:r>
          </w:hyperlink>
          <w:r w:rsidRPr="00AB6157">
            <w:rPr>
              <w:rFonts w:asciiTheme="minorHAnsi" w:eastAsiaTheme="minorEastAsia" w:hAnsiTheme="minorHAnsi" w:cstheme="minorBidi"/>
              <w:sz w:val="22"/>
              <w:szCs w:val="20"/>
              <w:lang w:eastAsia="en-US"/>
            </w:rPr>
            <w:t>.</w:t>
          </w:r>
        </w:p>
        <w:p w14:paraId="7C02CD7B" w14:textId="77777777" w:rsidR="00AF2EF7" w:rsidRPr="00B8572C" w:rsidRDefault="00AF2EF7" w:rsidP="00AF2EF7">
          <w:pPr>
            <w:spacing w:after="250" w:line="276" w:lineRule="auto"/>
            <w:jc w:val="both"/>
            <w:rPr>
              <w:rFonts w:asciiTheme="minorHAnsi" w:eastAsiaTheme="minorEastAsia" w:hAnsiTheme="minorHAnsi" w:cstheme="minorBidi"/>
              <w:sz w:val="22"/>
              <w:szCs w:val="20"/>
              <w:lang w:eastAsia="en-US"/>
            </w:rPr>
          </w:pPr>
          <w:r w:rsidRPr="00B8572C">
            <w:rPr>
              <w:rFonts w:asciiTheme="minorHAnsi" w:eastAsiaTheme="minorEastAsia" w:hAnsiTheme="minorHAnsi" w:cstheme="minorBidi"/>
              <w:b/>
              <w:sz w:val="22"/>
              <w:szCs w:val="20"/>
              <w:lang w:eastAsia="en-US"/>
            </w:rPr>
            <w:t>Who should read this paper</w:t>
          </w:r>
        </w:p>
        <w:p w14:paraId="5B44E0DB" w14:textId="7777777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All interested stakeholders are invited to respond to this consultation paper. This consultation paper is primarily of interest to trading venues, investment firms and non-financial counterparties trading in commodity derivatives, but responses are also sought from any other market participant including trade associations, industry bodies and investors.</w:t>
          </w:r>
        </w:p>
        <w:p w14:paraId="14912E5E" w14:textId="1CE85474" w:rsidR="00AF2EF7" w:rsidRPr="00B8572C" w:rsidRDefault="00F367F2" w:rsidP="00AF2EF7">
          <w:pPr>
            <w:spacing w:after="120" w:line="276" w:lineRule="auto"/>
            <w:rPr>
              <w:rFonts w:asciiTheme="minorHAnsi" w:hAnsiTheme="minorHAnsi" w:cstheme="minorHAnsi"/>
            </w:rPr>
          </w:pPr>
        </w:p>
      </w:sdtContent>
    </w:sdt>
    <w:p w14:paraId="20AC791C" w14:textId="77777777" w:rsidR="00AF2EF7" w:rsidRPr="00B8572C" w:rsidRDefault="00AF2EF7" w:rsidP="00AF2EF7">
      <w:pPr>
        <w:spacing w:after="120" w:line="276" w:lineRule="auto"/>
        <w:rPr>
          <w:rFonts w:asciiTheme="minorHAnsi" w:hAnsiTheme="minorHAnsi" w:cstheme="minorHAnsi"/>
        </w:rPr>
      </w:pPr>
    </w:p>
    <w:p w14:paraId="13AEDA0D" w14:textId="77777777" w:rsidR="00AF2EF7" w:rsidRPr="00B8572C" w:rsidRDefault="00AF2EF7" w:rsidP="00AF2EF7">
      <w:pPr>
        <w:spacing w:after="120" w:line="276" w:lineRule="auto"/>
        <w:rPr>
          <w:rFonts w:asciiTheme="minorHAnsi" w:hAnsiTheme="minorHAnsi" w:cstheme="minorHAnsi"/>
        </w:rPr>
      </w:pPr>
    </w:p>
    <w:p w14:paraId="4F317815" w14:textId="669653C1" w:rsidR="00AF2EF7" w:rsidRPr="00C1698A" w:rsidRDefault="00AF2EF7" w:rsidP="00C1698A">
      <w:pPr>
        <w:pStyle w:val="Heading1"/>
        <w:numPr>
          <w:ilvl w:val="0"/>
          <w:numId w:val="0"/>
        </w:numPr>
        <w:spacing w:line="276" w:lineRule="auto"/>
        <w:rPr>
          <w:rFonts w:asciiTheme="minorHAnsi" w:hAnsiTheme="minorHAnsi" w:cstheme="minorHAnsi"/>
          <w:sz w:val="24"/>
          <w:szCs w:val="24"/>
        </w:rPr>
      </w:pPr>
      <w:r w:rsidRPr="00B8572C">
        <w:rPr>
          <w:rFonts w:asciiTheme="minorHAnsi" w:hAnsiTheme="minorHAnsi" w:cstheme="minorHAnsi"/>
          <w:sz w:val="24"/>
          <w:szCs w:val="24"/>
        </w:rPr>
        <w:br w:type="page"/>
      </w:r>
    </w:p>
    <w:p w14:paraId="54809E84" w14:textId="38073B1E" w:rsidR="00C85C8B" w:rsidRDefault="00C85C8B" w:rsidP="00C1698A">
      <w:pPr>
        <w:spacing w:line="276" w:lineRule="auto"/>
        <w:rPr>
          <w:rFonts w:asciiTheme="minorHAnsi" w:hAnsiTheme="minorHAnsi" w:cstheme="minorHAnsi"/>
          <w:b/>
          <w:sz w:val="28"/>
          <w:szCs w:val="28"/>
        </w:rPr>
      </w:pPr>
      <w:bookmarkStart w:id="0" w:name="_Toc515564428"/>
    </w:p>
    <w:p w14:paraId="0873C4E5" w14:textId="49BAD52B" w:rsidR="00C85C8B" w:rsidRDefault="00C85C8B" w:rsidP="00C1698A">
      <w:pPr>
        <w:spacing w:line="276" w:lineRule="auto"/>
        <w:rPr>
          <w:rFonts w:asciiTheme="minorHAnsi" w:hAnsiTheme="minorHAnsi" w:cstheme="minorHAnsi"/>
          <w:b/>
          <w:sz w:val="28"/>
          <w:szCs w:val="28"/>
        </w:rPr>
      </w:pPr>
    </w:p>
    <w:p w14:paraId="1F90B8D3" w14:textId="77777777" w:rsidR="00C85C8B" w:rsidRDefault="00C85C8B" w:rsidP="00C1698A">
      <w:pPr>
        <w:spacing w:line="276" w:lineRule="auto"/>
        <w:rPr>
          <w:rFonts w:asciiTheme="minorHAnsi" w:hAnsiTheme="minorHAnsi" w:cstheme="minorHAnsi"/>
          <w:b/>
          <w:sz w:val="28"/>
          <w:szCs w:val="28"/>
        </w:rPr>
      </w:pPr>
    </w:p>
    <w:p w14:paraId="622C18E8" w14:textId="77777777" w:rsidR="00C85C8B" w:rsidRPr="00C85C8B" w:rsidRDefault="00C85C8B" w:rsidP="00C85C8B">
      <w:pPr>
        <w:keepNext/>
        <w:keepLines/>
        <w:spacing w:before="320" w:after="250" w:line="276" w:lineRule="auto"/>
        <w:jc w:val="both"/>
        <w:outlineLvl w:val="0"/>
        <w:rPr>
          <w:rFonts w:asciiTheme="majorHAnsi" w:eastAsiaTheme="majorEastAsia" w:hAnsiTheme="majorHAnsi" w:cstheme="majorBidi"/>
          <w:b/>
          <w:sz w:val="32"/>
          <w:szCs w:val="32"/>
          <w:lang w:eastAsia="en-US"/>
        </w:rPr>
      </w:pPr>
      <w:r w:rsidRPr="00C85C8B">
        <w:rPr>
          <w:rFonts w:asciiTheme="majorHAnsi" w:eastAsiaTheme="majorEastAsia" w:hAnsiTheme="majorHAnsi" w:cstheme="majorBidi"/>
          <w:b/>
          <w:sz w:val="32"/>
          <w:szCs w:val="32"/>
          <w:lang w:eastAsia="en-US"/>
        </w:rPr>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85C8B" w:rsidRPr="00C85C8B" w14:paraId="63AA68E2" w14:textId="77777777" w:rsidTr="00B76FB7">
        <w:tc>
          <w:tcPr>
            <w:tcW w:w="3929" w:type="dxa"/>
            <w:shd w:val="clear" w:color="auto" w:fill="auto"/>
          </w:tcPr>
          <w:p w14:paraId="50C47271" w14:textId="77777777" w:rsidR="00C85C8B" w:rsidRPr="00C85C8B" w:rsidRDefault="00C85C8B" w:rsidP="00C85C8B">
            <w:pPr>
              <w:rPr>
                <w:rFonts w:ascii="Arial" w:hAnsi="Arial" w:cs="Arial"/>
                <w:sz w:val="22"/>
                <w:lang w:eastAsia="de-DE"/>
              </w:rPr>
            </w:pPr>
            <w:permStart w:id="108885406" w:edGrp="everyone" w:colFirst="1" w:colLast="1"/>
            <w:r w:rsidRPr="00C85C8B">
              <w:rPr>
                <w:rFonts w:ascii="Arial" w:hAnsi="Arial" w:cs="Arial"/>
                <w:sz w:val="22"/>
                <w:lang w:eastAsia="de-DE"/>
              </w:rPr>
              <w:t>Name of the company / organisation</w:t>
            </w:r>
          </w:p>
        </w:tc>
        <w:sdt>
          <w:sdtPr>
            <w:rPr>
              <w:rFonts w:ascii="Arial" w:hAnsi="Arial" w:cs="Arial"/>
              <w:color w:val="808080"/>
              <w:sz w:val="20"/>
              <w:lang w:eastAsia="de-DE"/>
            </w:rPr>
            <w:id w:val="-1905066999"/>
            <w:text/>
          </w:sdtPr>
          <w:sdtEndPr/>
          <w:sdtContent>
            <w:tc>
              <w:tcPr>
                <w:tcW w:w="5595" w:type="dxa"/>
                <w:shd w:val="clear" w:color="auto" w:fill="auto"/>
              </w:tcPr>
              <w:p w14:paraId="1B67440D" w14:textId="01042010" w:rsidR="00C85C8B" w:rsidRPr="00C85C8B" w:rsidRDefault="0040322C" w:rsidP="0040322C">
                <w:pPr>
                  <w:rPr>
                    <w:rFonts w:ascii="Arial" w:hAnsi="Arial" w:cs="Arial"/>
                    <w:color w:val="808080"/>
                    <w:sz w:val="20"/>
                    <w:lang w:eastAsia="de-DE"/>
                  </w:rPr>
                </w:pPr>
                <w:r>
                  <w:rPr>
                    <w:rFonts w:ascii="Arial" w:hAnsi="Arial" w:cs="Arial"/>
                    <w:color w:val="808080"/>
                    <w:sz w:val="20"/>
                    <w:lang w:eastAsia="de-DE"/>
                  </w:rPr>
                  <w:t>Nasdaq</w:t>
                </w:r>
              </w:p>
            </w:tc>
          </w:sdtContent>
        </w:sdt>
      </w:tr>
      <w:tr w:rsidR="00C85C8B" w:rsidRPr="00C85C8B" w14:paraId="216F3E57" w14:textId="77777777" w:rsidTr="00B76FB7">
        <w:tc>
          <w:tcPr>
            <w:tcW w:w="3929" w:type="dxa"/>
            <w:shd w:val="clear" w:color="auto" w:fill="auto"/>
          </w:tcPr>
          <w:p w14:paraId="1B868EDB" w14:textId="77777777" w:rsidR="00C85C8B" w:rsidRPr="00C85C8B" w:rsidRDefault="00C85C8B" w:rsidP="00C85C8B">
            <w:pPr>
              <w:rPr>
                <w:rFonts w:ascii="Arial" w:hAnsi="Arial" w:cs="Arial"/>
                <w:sz w:val="22"/>
                <w:lang w:eastAsia="de-DE"/>
              </w:rPr>
            </w:pPr>
            <w:permStart w:id="11734600" w:edGrp="everyone" w:colFirst="1" w:colLast="1"/>
            <w:permEnd w:id="108885406"/>
            <w:r w:rsidRPr="00C85C8B">
              <w:rPr>
                <w:rFonts w:ascii="Arial" w:hAnsi="Arial" w:cs="Arial"/>
                <w:sz w:val="22"/>
                <w:lang w:eastAsia="de-DE"/>
              </w:rPr>
              <w:t>Activity</w:t>
            </w:r>
          </w:p>
        </w:tc>
        <w:tc>
          <w:tcPr>
            <w:tcW w:w="5595" w:type="dxa"/>
            <w:shd w:val="clear" w:color="auto" w:fill="auto"/>
          </w:tcPr>
          <w:p w14:paraId="1423187D" w14:textId="0CEF41D7" w:rsidR="00C85C8B" w:rsidRPr="00C85C8B" w:rsidRDefault="00F367F2" w:rsidP="00C85C8B">
            <w:pPr>
              <w:rPr>
                <w:rFonts w:ascii="Arial" w:hAnsi="Arial" w:cs="Arial"/>
                <w:sz w:val="20"/>
                <w:lang w:eastAsia="de-DE"/>
              </w:rPr>
            </w:pPr>
            <w:sdt>
              <w:sdtPr>
                <w:rPr>
                  <w:rFonts w:ascii="Arial" w:hAnsi="Arial" w:cs="Arial"/>
                  <w:sz w:val="20"/>
                  <w:lang w:eastAsia="de-DE"/>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40322C">
                  <w:rPr>
                    <w:rFonts w:ascii="Arial" w:hAnsi="Arial" w:cs="Arial"/>
                    <w:sz w:val="20"/>
                    <w:lang w:eastAsia="de-DE"/>
                  </w:rPr>
                  <w:t>Regulated markets/Exchanges/Trading Systems</w:t>
                </w:r>
              </w:sdtContent>
            </w:sdt>
          </w:p>
        </w:tc>
      </w:tr>
      <w:tr w:rsidR="00C85C8B" w:rsidRPr="00C85C8B" w14:paraId="0D216581" w14:textId="77777777" w:rsidTr="00B76FB7">
        <w:tc>
          <w:tcPr>
            <w:tcW w:w="3929" w:type="dxa"/>
            <w:shd w:val="clear" w:color="auto" w:fill="auto"/>
          </w:tcPr>
          <w:p w14:paraId="43B75BA8" w14:textId="77777777" w:rsidR="00C85C8B" w:rsidRPr="00C85C8B" w:rsidRDefault="00C85C8B" w:rsidP="00C85C8B">
            <w:pPr>
              <w:rPr>
                <w:rFonts w:ascii="Arial" w:hAnsi="Arial" w:cs="Arial"/>
                <w:sz w:val="22"/>
                <w:lang w:eastAsia="de-DE"/>
              </w:rPr>
            </w:pPr>
            <w:permStart w:id="310511986" w:edGrp="everyone" w:colFirst="1" w:colLast="1"/>
            <w:permEnd w:id="11734600"/>
            <w:r w:rsidRPr="00C85C8B">
              <w:rPr>
                <w:rFonts w:ascii="Arial" w:hAnsi="Arial" w:cs="Arial"/>
                <w:sz w:val="22"/>
                <w:lang w:eastAsia="de-DE"/>
              </w:rPr>
              <w:t>Are you representing an association?</w:t>
            </w:r>
          </w:p>
        </w:tc>
        <w:sdt>
          <w:sdtPr>
            <w:rPr>
              <w:rFonts w:ascii="Arial" w:hAnsi="Arial" w:cs="Arial"/>
              <w:sz w:val="20"/>
              <w:lang w:eastAsia="de-DE"/>
            </w:rPr>
            <w:id w:val="-242871467"/>
            <w14:checkbox>
              <w14:checked w14:val="0"/>
              <w14:checkedState w14:val="2612" w14:font="MS Gothic"/>
              <w14:uncheckedState w14:val="2610" w14:font="MS Gothic"/>
            </w14:checkbox>
          </w:sdtPr>
          <w:sdtEndPr/>
          <w:sdtContent>
            <w:tc>
              <w:tcPr>
                <w:tcW w:w="5595" w:type="dxa"/>
                <w:shd w:val="clear" w:color="auto" w:fill="auto"/>
              </w:tcPr>
              <w:p w14:paraId="6C4423E1" w14:textId="77777777" w:rsidR="00C85C8B" w:rsidRPr="00C85C8B" w:rsidRDefault="00C85C8B" w:rsidP="00C85C8B">
                <w:pPr>
                  <w:rPr>
                    <w:rFonts w:ascii="Arial" w:hAnsi="Arial" w:cs="Arial"/>
                    <w:sz w:val="20"/>
                    <w:lang w:eastAsia="de-DE"/>
                  </w:rPr>
                </w:pPr>
                <w:r w:rsidRPr="00C85C8B">
                  <w:rPr>
                    <w:rFonts w:ascii="Segoe UI Symbol" w:hAnsi="Segoe UI Symbol" w:cs="Segoe UI Symbol"/>
                    <w:sz w:val="20"/>
                    <w:lang w:eastAsia="de-DE"/>
                  </w:rPr>
                  <w:t>☐</w:t>
                </w:r>
              </w:p>
            </w:tc>
          </w:sdtContent>
        </w:sdt>
      </w:tr>
      <w:tr w:rsidR="00C85C8B" w:rsidRPr="00C85C8B" w14:paraId="41DA9EA6" w14:textId="77777777" w:rsidTr="00B76FB7">
        <w:tc>
          <w:tcPr>
            <w:tcW w:w="3929" w:type="dxa"/>
            <w:shd w:val="clear" w:color="auto" w:fill="auto"/>
          </w:tcPr>
          <w:p w14:paraId="553FB597" w14:textId="77777777" w:rsidR="00C85C8B" w:rsidRPr="00C85C8B" w:rsidRDefault="00C85C8B" w:rsidP="00C85C8B">
            <w:pPr>
              <w:rPr>
                <w:rFonts w:ascii="Arial" w:hAnsi="Arial" w:cs="Arial"/>
                <w:sz w:val="22"/>
                <w:lang w:eastAsia="de-DE"/>
              </w:rPr>
            </w:pPr>
            <w:permStart w:id="1269442871" w:edGrp="everyone" w:colFirst="1" w:colLast="1"/>
            <w:permEnd w:id="310511986"/>
            <w:r w:rsidRPr="00C85C8B">
              <w:rPr>
                <w:rFonts w:ascii="Arial" w:hAnsi="Arial" w:cs="Arial"/>
                <w:sz w:val="22"/>
                <w:lang w:eastAsia="de-DE"/>
              </w:rPr>
              <w:t>Country/Region</w:t>
            </w:r>
          </w:p>
        </w:tc>
        <w:sdt>
          <w:sdtPr>
            <w:rPr>
              <w:rFonts w:ascii="Arial" w:hAnsi="Arial" w:cs="Arial"/>
              <w:sz w:val="20"/>
              <w:lang w:eastAsia="de-DE"/>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082656BF" w14:textId="7BD6D892" w:rsidR="00C85C8B" w:rsidRPr="00C85C8B" w:rsidRDefault="0040322C" w:rsidP="00C85C8B">
                <w:pPr>
                  <w:rPr>
                    <w:rFonts w:ascii="Arial" w:hAnsi="Arial" w:cs="Arial"/>
                    <w:sz w:val="20"/>
                    <w:lang w:eastAsia="de-DE"/>
                  </w:rPr>
                </w:pPr>
                <w:r>
                  <w:rPr>
                    <w:rFonts w:ascii="Arial" w:hAnsi="Arial" w:cs="Arial"/>
                    <w:sz w:val="20"/>
                    <w:lang w:eastAsia="de-DE"/>
                  </w:rPr>
                  <w:t>Europe</w:t>
                </w:r>
              </w:p>
            </w:tc>
          </w:sdtContent>
        </w:sdt>
      </w:tr>
      <w:permEnd w:id="1269442871"/>
    </w:tbl>
    <w:p w14:paraId="7B052828"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0FE28F47"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019F5D4E"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59CB29E3" w14:textId="77777777" w:rsidR="00C85C8B" w:rsidRPr="00C85C8B" w:rsidRDefault="00C85C8B" w:rsidP="00C85C8B">
      <w:pPr>
        <w:keepNext/>
        <w:keepLines/>
        <w:spacing w:before="320" w:after="250" w:line="276" w:lineRule="auto"/>
        <w:ind w:left="431" w:hanging="431"/>
        <w:jc w:val="both"/>
        <w:outlineLvl w:val="0"/>
        <w:rPr>
          <w:rFonts w:asciiTheme="majorHAnsi" w:eastAsiaTheme="majorEastAsia" w:hAnsiTheme="majorHAnsi" w:cstheme="majorBidi"/>
          <w:b/>
          <w:sz w:val="32"/>
          <w:szCs w:val="32"/>
          <w:lang w:eastAsia="en-US"/>
        </w:rPr>
      </w:pPr>
      <w:r w:rsidRPr="00C85C8B">
        <w:rPr>
          <w:rFonts w:asciiTheme="majorHAnsi" w:eastAsiaTheme="majorEastAsia" w:hAnsiTheme="majorHAnsi" w:cstheme="majorBidi"/>
          <w:b/>
          <w:sz w:val="32"/>
          <w:szCs w:val="32"/>
          <w:lang w:eastAsia="en-US"/>
        </w:rPr>
        <w:t>Introduction</w:t>
      </w:r>
    </w:p>
    <w:p w14:paraId="6212DE47" w14:textId="77777777" w:rsidR="00C85C8B" w:rsidRPr="00C85C8B" w:rsidRDefault="00C85C8B" w:rsidP="00C85C8B">
      <w:pPr>
        <w:spacing w:after="250" w:line="276" w:lineRule="auto"/>
        <w:jc w:val="both"/>
        <w:rPr>
          <w:rFonts w:asciiTheme="minorHAnsi" w:eastAsiaTheme="minorEastAsia" w:hAnsiTheme="minorHAnsi" w:cstheme="minorBidi"/>
          <w:b/>
          <w:bCs/>
          <w:i/>
          <w:iCs/>
          <w:sz w:val="22"/>
          <w:szCs w:val="20"/>
          <w:lang w:eastAsia="en-US"/>
        </w:rPr>
      </w:pPr>
      <w:r w:rsidRPr="00C85C8B">
        <w:rPr>
          <w:rFonts w:asciiTheme="minorHAnsi" w:eastAsiaTheme="minorEastAsia" w:hAnsiTheme="minorHAnsi" w:cstheme="minorBidi"/>
          <w:b/>
          <w:bCs/>
          <w:i/>
          <w:iCs/>
          <w:sz w:val="22"/>
          <w:szCs w:val="20"/>
          <w:lang w:eastAsia="en-US"/>
        </w:rPr>
        <w:t>Please make your introductory comments below, if any</w:t>
      </w:r>
    </w:p>
    <w:p w14:paraId="08E635EB" w14:textId="21EEEC92"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&lt;ESMA_COMMENT_</w:t>
      </w:r>
      <w:r w:rsidR="00D5365A">
        <w:rPr>
          <w:rFonts w:asciiTheme="minorHAnsi" w:eastAsiaTheme="minorEastAsia" w:hAnsiTheme="minorHAnsi" w:cstheme="minorBidi"/>
          <w:sz w:val="22"/>
          <w:szCs w:val="20"/>
          <w:lang w:eastAsia="en-US"/>
        </w:rPr>
        <w:t>WPR</w:t>
      </w:r>
      <w:r w:rsidRPr="00C85C8B">
        <w:rPr>
          <w:rFonts w:asciiTheme="minorHAnsi" w:eastAsiaTheme="minorEastAsia" w:hAnsiTheme="minorHAnsi" w:cstheme="minorBidi"/>
          <w:sz w:val="22"/>
          <w:szCs w:val="20"/>
          <w:lang w:eastAsia="en-US"/>
        </w:rPr>
        <w:t>_1&gt;</w:t>
      </w:r>
    </w:p>
    <w:p w14:paraId="45CD48E3" w14:textId="7CEB8AF0" w:rsidR="00C50F7B" w:rsidRDefault="00C50F7B" w:rsidP="00C50F7B">
      <w:pPr>
        <w:pStyle w:val="NoSpacing"/>
        <w:spacing w:line="304" w:lineRule="atLeast"/>
        <w:rPr>
          <w:rFonts w:cs="Times New Roman"/>
          <w:color w:val="0070C0"/>
          <w:lang w:eastAsia="en-CA"/>
        </w:rPr>
      </w:pPr>
      <w:permStart w:id="885457707" w:edGrp="everyone"/>
      <w:proofErr w:type="gramStart"/>
      <w:r>
        <w:rPr>
          <w:rFonts w:cs="Times New Roman"/>
          <w:color w:val="0070C0"/>
          <w:lang w:eastAsia="en-CA"/>
        </w:rPr>
        <w:t>Nasdaq</w:t>
      </w:r>
      <w:proofErr w:type="gramEnd"/>
      <w:r>
        <w:rPr>
          <w:rFonts w:cs="Times New Roman"/>
          <w:color w:val="0070C0"/>
          <w:lang w:eastAsia="en-CA"/>
        </w:rPr>
        <w:t xml:space="preserve"> appreciate</w:t>
      </w:r>
      <w:r>
        <w:rPr>
          <w:rFonts w:cs="Times New Roman"/>
          <w:color w:val="0070C0"/>
          <w:lang w:eastAsia="en-CA"/>
        </w:rPr>
        <w:t>s</w:t>
      </w:r>
      <w:r>
        <w:rPr>
          <w:rFonts w:cs="Times New Roman"/>
          <w:color w:val="0070C0"/>
          <w:lang w:eastAsia="en-CA"/>
        </w:rPr>
        <w:t xml:space="preserve"> the opportunity to provide comments to the ESMA consultation paper on MiFID II review report on position limits and position management in commodity derivatives. We welcome ESMA</w:t>
      </w:r>
      <w:r>
        <w:rPr>
          <w:rFonts w:cs="Times New Roman"/>
          <w:color w:val="0070C0"/>
          <w:lang w:eastAsia="en-CA"/>
        </w:rPr>
        <w:t>’</w:t>
      </w:r>
      <w:r>
        <w:rPr>
          <w:rFonts w:cs="Times New Roman"/>
          <w:color w:val="0070C0"/>
          <w:lang w:eastAsia="en-CA"/>
        </w:rPr>
        <w:t xml:space="preserve">s proposals in order to improve the current regime. </w:t>
      </w:r>
    </w:p>
    <w:p w14:paraId="6F72118A" w14:textId="77777777" w:rsidR="00C50F7B" w:rsidRDefault="00C50F7B" w:rsidP="00C50F7B">
      <w:pPr>
        <w:pStyle w:val="NoSpacing"/>
        <w:spacing w:line="304" w:lineRule="atLeast"/>
        <w:rPr>
          <w:rFonts w:cs="Times New Roman"/>
          <w:color w:val="0070C0"/>
          <w:lang w:eastAsia="en-CA"/>
        </w:rPr>
      </w:pPr>
    </w:p>
    <w:p w14:paraId="0617DC9D" w14:textId="4E16DA16" w:rsidR="00C50F7B" w:rsidRDefault="00C50F7B" w:rsidP="00C50F7B">
      <w:pPr>
        <w:pStyle w:val="NoSpacing"/>
        <w:spacing w:line="304" w:lineRule="atLeast"/>
        <w:rPr>
          <w:rFonts w:cs="Times New Roman"/>
          <w:color w:val="0070C0"/>
          <w:lang w:eastAsia="en-CA"/>
        </w:rPr>
      </w:pPr>
      <w:r>
        <w:rPr>
          <w:rFonts w:cs="Times New Roman"/>
          <w:color w:val="0070C0"/>
          <w:lang w:eastAsia="en-CA"/>
        </w:rPr>
        <w:t>As argued in our response to ESMA</w:t>
      </w:r>
      <w:r>
        <w:rPr>
          <w:rFonts w:cs="Times New Roman"/>
          <w:color w:val="0070C0"/>
          <w:lang w:eastAsia="en-CA"/>
        </w:rPr>
        <w:t>’</w:t>
      </w:r>
      <w:r>
        <w:rPr>
          <w:rFonts w:cs="Times New Roman"/>
          <w:color w:val="0070C0"/>
          <w:lang w:eastAsia="en-CA"/>
        </w:rPr>
        <w:t>s Call for evidence</w:t>
      </w:r>
      <w:r>
        <w:rPr>
          <w:rFonts w:cs="Times New Roman"/>
          <w:color w:val="0070C0"/>
          <w:lang w:eastAsia="en-CA"/>
        </w:rPr>
        <w:t xml:space="preserve"> in this topic</w:t>
      </w:r>
      <w:r>
        <w:rPr>
          <w:rFonts w:cs="Times New Roman"/>
          <w:color w:val="0070C0"/>
          <w:lang w:eastAsia="en-CA"/>
        </w:rPr>
        <w:t xml:space="preserve"> in July 2019, </w:t>
      </w:r>
      <w:proofErr w:type="gramStart"/>
      <w:r>
        <w:rPr>
          <w:rFonts w:cs="Times New Roman"/>
          <w:color w:val="0070C0"/>
          <w:lang w:eastAsia="en-CA"/>
        </w:rPr>
        <w:t>Nasdaq</w:t>
      </w:r>
      <w:proofErr w:type="gramEnd"/>
      <w:r>
        <w:rPr>
          <w:rFonts w:cs="Times New Roman"/>
          <w:color w:val="0070C0"/>
          <w:lang w:eastAsia="en-CA"/>
        </w:rPr>
        <w:t xml:space="preserve"> believes that the current position limit regime is creating barriers to competition between European exchanges listing liquid commodity derivatives with the same physical underlying. We therefore support to amend and broaden the definition of the</w:t>
      </w:r>
      <w:r w:rsidRPr="00B63EB8">
        <w:rPr>
          <w:rFonts w:cs="Times New Roman"/>
          <w:color w:val="0070C0"/>
          <w:lang w:eastAsia="en-CA"/>
        </w:rPr>
        <w:t xml:space="preserve"> “same contract” </w:t>
      </w:r>
      <w:r>
        <w:rPr>
          <w:rFonts w:cs="Times New Roman"/>
          <w:color w:val="0070C0"/>
          <w:lang w:eastAsia="en-CA"/>
        </w:rPr>
        <w:t>and to introduce the more pragmatic approach for setting the other month limits as proposed by ESMA under section 5.1.1 in the consultation paper. One of the key ambitions of the regulation is to ensure orderly pricing and settlement conditions, both for the derivative and the underlying commodity market. To achieve this</w:t>
      </w:r>
      <w:r>
        <w:rPr>
          <w:rFonts w:cs="Times New Roman"/>
          <w:color w:val="0070C0"/>
          <w:lang w:eastAsia="en-CA"/>
        </w:rPr>
        <w:t>,</w:t>
      </w:r>
      <w:r>
        <w:rPr>
          <w:rFonts w:cs="Times New Roman"/>
          <w:color w:val="0070C0"/>
          <w:lang w:eastAsia="en-CA"/>
        </w:rPr>
        <w:t xml:space="preserve"> small differences in the derivatives contracts traded on different venues are not relevant. To remove barriers to competition</w:t>
      </w:r>
      <w:r>
        <w:rPr>
          <w:rFonts w:cs="Times New Roman"/>
          <w:color w:val="0070C0"/>
          <w:lang w:eastAsia="en-CA"/>
        </w:rPr>
        <w:t>,</w:t>
      </w:r>
      <w:r>
        <w:rPr>
          <w:rFonts w:cs="Times New Roman"/>
          <w:color w:val="0070C0"/>
          <w:lang w:eastAsia="en-CA"/>
        </w:rPr>
        <w:t xml:space="preserve"> we believe same position limit should be set on all trading venues listing derivatives classified as liquid market with the same physical underlying.</w:t>
      </w:r>
    </w:p>
    <w:p w14:paraId="5C7721B7" w14:textId="77777777" w:rsidR="00C50F7B" w:rsidRDefault="00C50F7B" w:rsidP="00C50F7B">
      <w:pPr>
        <w:pStyle w:val="NoSpacing"/>
        <w:spacing w:line="304" w:lineRule="atLeast"/>
        <w:rPr>
          <w:rFonts w:cs="Times New Roman"/>
          <w:color w:val="0070C0"/>
          <w:lang w:eastAsia="en-CA"/>
        </w:rPr>
      </w:pPr>
    </w:p>
    <w:p w14:paraId="61554989" w14:textId="4406A5A3" w:rsidR="00C50F7B" w:rsidRDefault="00C50F7B" w:rsidP="00C50F7B">
      <w:pPr>
        <w:pStyle w:val="NoSpacing"/>
        <w:spacing w:line="304" w:lineRule="atLeast"/>
        <w:rPr>
          <w:rFonts w:cs="Times New Roman"/>
          <w:color w:val="0070C0"/>
          <w:lang w:eastAsia="en-CA"/>
        </w:rPr>
      </w:pPr>
      <w:r>
        <w:rPr>
          <w:rFonts w:cs="Times New Roman"/>
          <w:color w:val="0070C0"/>
          <w:lang w:eastAsia="en-CA"/>
        </w:rPr>
        <w:t>Further</w:t>
      </w:r>
      <w:r>
        <w:rPr>
          <w:rFonts w:cs="Times New Roman"/>
          <w:color w:val="0070C0"/>
          <w:lang w:eastAsia="en-CA"/>
        </w:rPr>
        <w:t>,</w:t>
      </w:r>
      <w:r>
        <w:rPr>
          <w:rFonts w:cs="Times New Roman"/>
          <w:color w:val="0070C0"/>
          <w:lang w:eastAsia="en-CA"/>
        </w:rPr>
        <w:t xml:space="preserve"> </w:t>
      </w:r>
      <w:proofErr w:type="gramStart"/>
      <w:r>
        <w:rPr>
          <w:rFonts w:cs="Times New Roman"/>
          <w:color w:val="0070C0"/>
          <w:lang w:eastAsia="en-CA"/>
        </w:rPr>
        <w:t>Nasdaq</w:t>
      </w:r>
      <w:proofErr w:type="gramEnd"/>
      <w:r>
        <w:rPr>
          <w:rFonts w:cs="Times New Roman"/>
          <w:color w:val="0070C0"/>
          <w:lang w:eastAsia="en-CA"/>
        </w:rPr>
        <w:t xml:space="preserve"> supports the move towards a reduced scope of commodity derivatives under the position limit regime. </w:t>
      </w:r>
      <w:r w:rsidRPr="00D6024E">
        <w:rPr>
          <w:rFonts w:cs="Times New Roman"/>
          <w:color w:val="0070C0"/>
          <w:lang w:eastAsia="en-CA"/>
        </w:rPr>
        <w:t xml:space="preserve"> </w:t>
      </w:r>
    </w:p>
    <w:p w14:paraId="1FF307BB" w14:textId="77777777" w:rsidR="00C50F7B" w:rsidRDefault="00C50F7B" w:rsidP="00C50F7B">
      <w:pPr>
        <w:pStyle w:val="NoSpacing"/>
        <w:spacing w:line="304" w:lineRule="atLeast"/>
        <w:rPr>
          <w:rFonts w:cs="Times New Roman"/>
          <w:color w:val="0070C0"/>
          <w:lang w:eastAsia="en-CA"/>
        </w:rPr>
      </w:pPr>
    </w:p>
    <w:p w14:paraId="02AF2FF9" w14:textId="70F10ADE" w:rsidR="00C85C8B" w:rsidRPr="00C50F7B" w:rsidRDefault="00C50F7B" w:rsidP="00A338B1">
      <w:pPr>
        <w:spacing w:after="250" w:line="360" w:lineRule="auto"/>
        <w:jc w:val="both"/>
        <w:rPr>
          <w:rFonts w:asciiTheme="minorHAnsi" w:eastAsiaTheme="minorEastAsia" w:hAnsiTheme="minorHAnsi" w:cstheme="minorHAnsi"/>
          <w:sz w:val="20"/>
          <w:szCs w:val="20"/>
          <w:lang w:eastAsia="en-US"/>
        </w:rPr>
      </w:pPr>
      <w:r w:rsidRPr="00C50F7B">
        <w:rPr>
          <w:rFonts w:asciiTheme="minorHAnsi" w:hAnsiTheme="minorHAnsi" w:cstheme="minorHAnsi"/>
          <w:color w:val="0070C0"/>
          <w:sz w:val="20"/>
          <w:szCs w:val="20"/>
          <w:lang w:eastAsia="en-CA"/>
        </w:rPr>
        <w:t xml:space="preserve">Amending and broadening the definition of “same contract” and limiting the scope of commodity derivatives is </w:t>
      </w:r>
      <w:r>
        <w:rPr>
          <w:rFonts w:asciiTheme="minorHAnsi" w:hAnsiTheme="minorHAnsi" w:cstheme="minorHAnsi"/>
          <w:color w:val="0070C0"/>
          <w:sz w:val="20"/>
          <w:szCs w:val="20"/>
          <w:lang w:eastAsia="en-CA"/>
        </w:rPr>
        <w:t>urgently needed to allow e</w:t>
      </w:r>
      <w:r w:rsidRPr="00C50F7B">
        <w:rPr>
          <w:rFonts w:asciiTheme="minorHAnsi" w:hAnsiTheme="minorHAnsi" w:cstheme="minorHAnsi"/>
          <w:color w:val="0070C0"/>
          <w:sz w:val="20"/>
          <w:szCs w:val="20"/>
          <w:lang w:eastAsia="en-CA"/>
        </w:rPr>
        <w:t xml:space="preserve">xchanges in Europe to </w:t>
      </w:r>
      <w:r>
        <w:rPr>
          <w:rFonts w:asciiTheme="minorHAnsi" w:hAnsiTheme="minorHAnsi" w:cstheme="minorHAnsi"/>
          <w:color w:val="0070C0"/>
          <w:sz w:val="20"/>
          <w:szCs w:val="20"/>
          <w:lang w:eastAsia="en-CA"/>
        </w:rPr>
        <w:t xml:space="preserve">both </w:t>
      </w:r>
      <w:r w:rsidRPr="00C50F7B">
        <w:rPr>
          <w:rFonts w:asciiTheme="minorHAnsi" w:hAnsiTheme="minorHAnsi" w:cstheme="minorHAnsi"/>
          <w:color w:val="0070C0"/>
          <w:sz w:val="20"/>
          <w:szCs w:val="20"/>
          <w:lang w:eastAsia="en-CA"/>
        </w:rPr>
        <w:t xml:space="preserve">compete in liquid </w:t>
      </w:r>
      <w:r>
        <w:rPr>
          <w:rFonts w:asciiTheme="minorHAnsi" w:hAnsiTheme="minorHAnsi" w:cstheme="minorHAnsi"/>
          <w:color w:val="0070C0"/>
          <w:sz w:val="20"/>
          <w:szCs w:val="20"/>
          <w:lang w:eastAsia="en-CA"/>
        </w:rPr>
        <w:t>markets as well as</w:t>
      </w:r>
      <w:r w:rsidRPr="00C50F7B">
        <w:rPr>
          <w:rFonts w:asciiTheme="minorHAnsi" w:hAnsiTheme="minorHAnsi" w:cstheme="minorHAnsi"/>
          <w:color w:val="0070C0"/>
          <w:sz w:val="20"/>
          <w:szCs w:val="20"/>
          <w:lang w:eastAsia="en-CA"/>
        </w:rPr>
        <w:t xml:space="preserve"> to develop </w:t>
      </w:r>
      <w:r>
        <w:rPr>
          <w:rFonts w:asciiTheme="minorHAnsi" w:hAnsiTheme="minorHAnsi" w:cstheme="minorHAnsi"/>
          <w:color w:val="0070C0"/>
          <w:sz w:val="20"/>
          <w:szCs w:val="20"/>
          <w:lang w:eastAsia="en-CA"/>
        </w:rPr>
        <w:t xml:space="preserve">the markets for </w:t>
      </w:r>
      <w:r w:rsidRPr="00C50F7B">
        <w:rPr>
          <w:rFonts w:asciiTheme="minorHAnsi" w:hAnsiTheme="minorHAnsi" w:cstheme="minorHAnsi"/>
          <w:color w:val="0070C0"/>
          <w:sz w:val="20"/>
          <w:szCs w:val="20"/>
          <w:lang w:eastAsia="en-CA"/>
        </w:rPr>
        <w:t>new and illiquid contracts</w:t>
      </w:r>
      <w:r>
        <w:rPr>
          <w:rFonts w:asciiTheme="minorHAnsi" w:hAnsiTheme="minorHAnsi" w:cstheme="minorHAnsi"/>
          <w:color w:val="0070C0"/>
          <w:sz w:val="20"/>
          <w:szCs w:val="20"/>
          <w:lang w:eastAsia="en-CA"/>
        </w:rPr>
        <w:t>,</w:t>
      </w:r>
      <w:r w:rsidRPr="00C50F7B">
        <w:rPr>
          <w:rFonts w:asciiTheme="minorHAnsi" w:hAnsiTheme="minorHAnsi" w:cstheme="minorHAnsi"/>
          <w:color w:val="0070C0"/>
          <w:sz w:val="20"/>
          <w:szCs w:val="20"/>
          <w:lang w:eastAsia="en-CA"/>
        </w:rPr>
        <w:t xml:space="preserve"> to successfully compete globally.</w:t>
      </w:r>
    </w:p>
    <w:permEnd w:id="885457707"/>
    <w:p w14:paraId="15D00E65" w14:textId="12BB6964"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&lt;ESMA_COMMENT_</w:t>
      </w:r>
      <w:r w:rsidR="00D5365A">
        <w:rPr>
          <w:rFonts w:asciiTheme="minorHAnsi" w:eastAsiaTheme="minorEastAsia" w:hAnsiTheme="minorHAnsi" w:cs="Arial"/>
          <w:sz w:val="22"/>
          <w:szCs w:val="20"/>
          <w:lang w:eastAsia="en-US"/>
        </w:rPr>
        <w:t>WPR</w:t>
      </w:r>
      <w:r w:rsidRPr="00C85C8B">
        <w:rPr>
          <w:rFonts w:asciiTheme="minorHAnsi" w:eastAsiaTheme="minorEastAsia" w:hAnsiTheme="minorHAnsi" w:cstheme="minorBidi"/>
          <w:sz w:val="22"/>
          <w:szCs w:val="20"/>
          <w:lang w:eastAsia="en-US"/>
        </w:rPr>
        <w:t>_1&gt;</w:t>
      </w:r>
    </w:p>
    <w:p w14:paraId="58C2F704" w14:textId="77777777" w:rsidR="00C85C8B" w:rsidRDefault="00C85C8B" w:rsidP="00C1698A">
      <w:pPr>
        <w:spacing w:line="276" w:lineRule="auto"/>
        <w:rPr>
          <w:rFonts w:asciiTheme="minorHAnsi" w:hAnsiTheme="minorHAnsi" w:cstheme="minorHAnsi"/>
          <w:b/>
          <w:sz w:val="28"/>
          <w:szCs w:val="28"/>
        </w:rPr>
      </w:pPr>
    </w:p>
    <w:p w14:paraId="4218CA54" w14:textId="77777777" w:rsidR="00C85C8B" w:rsidRDefault="00C85C8B" w:rsidP="00C1698A">
      <w:pPr>
        <w:spacing w:line="276" w:lineRule="auto"/>
        <w:rPr>
          <w:rFonts w:asciiTheme="minorHAnsi" w:hAnsiTheme="minorHAnsi" w:cstheme="minorHAnsi"/>
          <w:b/>
          <w:sz w:val="28"/>
          <w:szCs w:val="28"/>
        </w:rPr>
      </w:pPr>
    </w:p>
    <w:p w14:paraId="0CE5A6A7" w14:textId="77777777" w:rsidR="00C85C8B" w:rsidRDefault="00C85C8B" w:rsidP="00C1698A">
      <w:pPr>
        <w:spacing w:line="276" w:lineRule="auto"/>
        <w:rPr>
          <w:rFonts w:asciiTheme="minorHAnsi" w:hAnsiTheme="minorHAnsi" w:cstheme="minorHAnsi"/>
          <w:b/>
          <w:sz w:val="28"/>
          <w:szCs w:val="28"/>
        </w:rPr>
      </w:pPr>
    </w:p>
    <w:p w14:paraId="0D73DA59" w14:textId="77777777" w:rsidR="00C85C8B" w:rsidRDefault="00C85C8B" w:rsidP="00C1698A">
      <w:pPr>
        <w:spacing w:line="276" w:lineRule="auto"/>
        <w:rPr>
          <w:rFonts w:asciiTheme="minorHAnsi" w:hAnsiTheme="minorHAnsi" w:cstheme="minorHAnsi"/>
          <w:b/>
          <w:sz w:val="28"/>
          <w:szCs w:val="28"/>
        </w:rPr>
      </w:pPr>
    </w:p>
    <w:p w14:paraId="0C037628" w14:textId="77777777" w:rsidR="00C85C8B" w:rsidRDefault="00C85C8B" w:rsidP="00C1698A">
      <w:pPr>
        <w:spacing w:line="276" w:lineRule="auto"/>
        <w:rPr>
          <w:rFonts w:asciiTheme="minorHAnsi" w:hAnsiTheme="minorHAnsi" w:cstheme="minorHAnsi"/>
          <w:b/>
          <w:sz w:val="28"/>
          <w:szCs w:val="28"/>
        </w:rPr>
      </w:pPr>
    </w:p>
    <w:p w14:paraId="1D0DAFF5" w14:textId="77777777" w:rsidR="00C85C8B" w:rsidRDefault="00C85C8B">
      <w:pPr>
        <w:spacing w:after="120" w:line="264" w:lineRule="auto"/>
        <w:rPr>
          <w:rFonts w:asciiTheme="minorHAnsi" w:hAnsiTheme="minorHAnsi" w:cstheme="minorHAnsi"/>
          <w:b/>
          <w:sz w:val="28"/>
          <w:szCs w:val="28"/>
        </w:rPr>
      </w:pPr>
      <w:r>
        <w:rPr>
          <w:rFonts w:asciiTheme="minorHAnsi" w:hAnsiTheme="minorHAnsi" w:cstheme="minorHAnsi"/>
          <w:b/>
          <w:sz w:val="28"/>
          <w:szCs w:val="28"/>
        </w:rPr>
        <w:br w:type="page"/>
      </w:r>
    </w:p>
    <w:p w14:paraId="005F1C41" w14:textId="6708E7F3" w:rsidR="00C1698A" w:rsidRDefault="00C1698A" w:rsidP="00C1698A">
      <w:pPr>
        <w:spacing w:line="276" w:lineRule="auto"/>
        <w:rPr>
          <w:rFonts w:asciiTheme="minorHAnsi" w:hAnsiTheme="minorHAnsi" w:cstheme="minorHAnsi"/>
          <w:b/>
          <w:sz w:val="28"/>
          <w:szCs w:val="28"/>
        </w:rPr>
      </w:pPr>
      <w:r w:rsidRPr="00C1698A">
        <w:rPr>
          <w:rFonts w:asciiTheme="minorHAnsi" w:hAnsiTheme="minorHAnsi" w:cstheme="minorHAnsi"/>
          <w:b/>
          <w:sz w:val="28"/>
          <w:szCs w:val="28"/>
        </w:rPr>
        <w:lastRenderedPageBreak/>
        <w:t xml:space="preserve">Questions </w:t>
      </w:r>
    </w:p>
    <w:p w14:paraId="5BB748F7" w14:textId="18FE1F4F" w:rsidR="00D5365A" w:rsidRDefault="00D5365A" w:rsidP="00C1698A">
      <w:pPr>
        <w:spacing w:line="276" w:lineRule="auto"/>
        <w:rPr>
          <w:rFonts w:asciiTheme="minorHAnsi" w:hAnsiTheme="minorHAnsi" w:cstheme="minorHAnsi"/>
          <w:b/>
          <w:sz w:val="28"/>
          <w:szCs w:val="28"/>
        </w:rPr>
      </w:pPr>
    </w:p>
    <w:p w14:paraId="78C87C24" w14:textId="77777777" w:rsidR="00D5365A" w:rsidRPr="002847A4" w:rsidRDefault="00D5365A" w:rsidP="00D5365A">
      <w:pPr>
        <w:rPr>
          <w:b/>
        </w:rPr>
      </w:pPr>
      <w:r w:rsidRPr="002847A4">
        <w:rPr>
          <w:b/>
        </w:rPr>
        <w:t>Part I</w:t>
      </w:r>
    </w:p>
    <w:p w14:paraId="6803E72C" w14:textId="77777777" w:rsidR="00D5365A" w:rsidRDefault="00D5365A" w:rsidP="00C1698A">
      <w:pPr>
        <w:spacing w:line="276" w:lineRule="auto"/>
        <w:rPr>
          <w:rFonts w:asciiTheme="minorHAnsi" w:hAnsiTheme="minorHAnsi" w:cstheme="minorHAnsi"/>
          <w:b/>
          <w:sz w:val="28"/>
          <w:szCs w:val="28"/>
        </w:rPr>
      </w:pPr>
    </w:p>
    <w:p w14:paraId="31CCCD1B" w14:textId="77777777" w:rsidR="00D5365A" w:rsidRDefault="00D5365A" w:rsidP="00D5365A">
      <w:pPr>
        <w:pStyle w:val="Questionstyle"/>
        <w:numPr>
          <w:ilvl w:val="0"/>
          <w:numId w:val="17"/>
        </w:numPr>
        <w:spacing w:after="250" w:line="276" w:lineRule="auto"/>
      </w:pPr>
      <w:r>
        <w:t>: Which option (Option 1 or Option 2) do you support for dealing with competing contracts? Please explain why. If you support Option 1, do you have any suggestions for amending the definition of “same contract” in Article 5(1) of RTS 21?  If you support another alternative, please explain which one and why.</w:t>
      </w:r>
    </w:p>
    <w:p w14:paraId="18E545B3" w14:textId="77777777" w:rsidR="00D5365A" w:rsidRDefault="00D5365A" w:rsidP="00D5365A">
      <w:pPr>
        <w:rPr>
          <w:rFonts w:ascii="Arial" w:hAnsi="Arial" w:cs="Arial"/>
        </w:rPr>
      </w:pPr>
      <w:r>
        <w:rPr>
          <w:rFonts w:ascii="Arial" w:hAnsi="Arial" w:cs="Arial"/>
        </w:rPr>
        <w:t>&lt;ESMA_QUESTION_WPR_1&gt;</w:t>
      </w:r>
    </w:p>
    <w:p w14:paraId="5FD09B40" w14:textId="21C0EA0E" w:rsidR="00C50F7B" w:rsidRDefault="00C50F7B" w:rsidP="00C50F7B">
      <w:pPr>
        <w:pStyle w:val="NoSpacing"/>
        <w:spacing w:line="304" w:lineRule="atLeast"/>
        <w:rPr>
          <w:rFonts w:cs="Times New Roman"/>
          <w:color w:val="0070C0"/>
          <w:lang w:eastAsia="en-CA"/>
        </w:rPr>
      </w:pPr>
      <w:permStart w:id="1245597596" w:edGrp="everyone"/>
      <w:proofErr w:type="gramStart"/>
      <w:r w:rsidRPr="00C91D81">
        <w:rPr>
          <w:rFonts w:cs="Times New Roman"/>
          <w:color w:val="0070C0"/>
          <w:lang w:eastAsia="en-CA"/>
        </w:rPr>
        <w:t>Nasdaq</w:t>
      </w:r>
      <w:proofErr w:type="gramEnd"/>
      <w:r w:rsidRPr="00C91D81">
        <w:rPr>
          <w:rFonts w:cs="Times New Roman"/>
          <w:color w:val="0070C0"/>
          <w:lang w:eastAsia="en-CA"/>
        </w:rPr>
        <w:t xml:space="preserve"> </w:t>
      </w:r>
      <w:r>
        <w:rPr>
          <w:rFonts w:cs="Times New Roman"/>
          <w:color w:val="0070C0"/>
          <w:lang w:eastAsia="en-CA"/>
        </w:rPr>
        <w:t xml:space="preserve">welcomes </w:t>
      </w:r>
      <w:r w:rsidRPr="005E59A9">
        <w:rPr>
          <w:rFonts w:cs="Times New Roman"/>
          <w:color w:val="0070C0"/>
          <w:lang w:eastAsia="en-CA"/>
        </w:rPr>
        <w:t xml:space="preserve">ESMA’s proposals </w:t>
      </w:r>
      <w:r>
        <w:rPr>
          <w:rFonts w:cs="Times New Roman"/>
          <w:color w:val="0070C0"/>
          <w:lang w:eastAsia="en-CA"/>
        </w:rPr>
        <w:t>and support</w:t>
      </w:r>
      <w:r>
        <w:rPr>
          <w:rFonts w:cs="Times New Roman"/>
          <w:color w:val="0070C0"/>
          <w:lang w:eastAsia="en-CA"/>
        </w:rPr>
        <w:t>s</w:t>
      </w:r>
      <w:r w:rsidRPr="00C91D81">
        <w:rPr>
          <w:rFonts w:cs="Times New Roman"/>
          <w:color w:val="0070C0"/>
          <w:lang w:eastAsia="en-CA"/>
        </w:rPr>
        <w:t xml:space="preserve"> both Option 1 and Option 2</w:t>
      </w:r>
      <w:r>
        <w:rPr>
          <w:rFonts w:cs="Times New Roman"/>
          <w:color w:val="0070C0"/>
          <w:lang w:eastAsia="en-CA"/>
        </w:rPr>
        <w:t>,</w:t>
      </w:r>
      <w:r w:rsidRPr="00C91D81">
        <w:rPr>
          <w:rFonts w:cs="Times New Roman"/>
          <w:color w:val="0070C0"/>
          <w:lang w:eastAsia="en-CA"/>
        </w:rPr>
        <w:t xml:space="preserve"> as both are improving the current regime</w:t>
      </w:r>
      <w:r>
        <w:rPr>
          <w:rFonts w:cs="Times New Roman"/>
          <w:color w:val="0070C0"/>
          <w:lang w:eastAsia="en-CA"/>
        </w:rPr>
        <w:t xml:space="preserve"> by ensuring a fair level playing field across trading venues. </w:t>
      </w:r>
      <w:r w:rsidRPr="00EE425F">
        <w:rPr>
          <w:rFonts w:cs="Times New Roman"/>
          <w:color w:val="0070C0"/>
          <w:lang w:eastAsia="en-CA"/>
        </w:rPr>
        <w:t xml:space="preserve">We believe there is an urgent need to limit the negative impact </w:t>
      </w:r>
      <w:r>
        <w:rPr>
          <w:rFonts w:cs="Times New Roman"/>
          <w:color w:val="0070C0"/>
          <w:lang w:eastAsia="en-CA"/>
        </w:rPr>
        <w:t xml:space="preserve">created by </w:t>
      </w:r>
      <w:r w:rsidRPr="00EE425F">
        <w:rPr>
          <w:rFonts w:cs="Times New Roman"/>
          <w:color w:val="0070C0"/>
          <w:lang w:eastAsia="en-CA"/>
        </w:rPr>
        <w:t xml:space="preserve">the current position limit regime and therefore recommend that Level 2 (and, accordingly, the ESMA Q&amp;A) is amended immediately for both Option 1 and Option </w:t>
      </w:r>
      <w:r>
        <w:rPr>
          <w:rFonts w:cs="Times New Roman"/>
          <w:color w:val="0070C0"/>
          <w:lang w:eastAsia="en-CA"/>
        </w:rPr>
        <w:t xml:space="preserve">2, while a more </w:t>
      </w:r>
      <w:r w:rsidRPr="00EE425F">
        <w:rPr>
          <w:rFonts w:cs="Times New Roman"/>
          <w:color w:val="0070C0"/>
          <w:lang w:eastAsia="en-CA"/>
        </w:rPr>
        <w:t>fundamental reform is dealt with as part of the Level 1 review.</w:t>
      </w:r>
      <w:r>
        <w:rPr>
          <w:rFonts w:cs="Times New Roman"/>
          <w:color w:val="0070C0"/>
          <w:lang w:eastAsia="en-CA"/>
        </w:rPr>
        <w:t xml:space="preserve"> </w:t>
      </w:r>
    </w:p>
    <w:p w14:paraId="60E0C8C7" w14:textId="77777777" w:rsidR="00C50F7B" w:rsidRDefault="00C50F7B" w:rsidP="00C50F7B">
      <w:pPr>
        <w:pStyle w:val="NoSpacing"/>
        <w:spacing w:line="304" w:lineRule="atLeast"/>
        <w:rPr>
          <w:rFonts w:cs="Times New Roman"/>
          <w:color w:val="0070C0"/>
          <w:lang w:eastAsia="en-CA"/>
        </w:rPr>
      </w:pPr>
    </w:p>
    <w:p w14:paraId="2A837507" w14:textId="3CD67D1A" w:rsidR="00C50F7B" w:rsidRDefault="00C50F7B" w:rsidP="00C50F7B">
      <w:pPr>
        <w:pStyle w:val="NoSpacing"/>
        <w:spacing w:line="304" w:lineRule="atLeast"/>
        <w:rPr>
          <w:rFonts w:cs="Times New Roman"/>
          <w:color w:val="0070C0"/>
          <w:lang w:eastAsia="en-CA"/>
        </w:rPr>
      </w:pPr>
      <w:r w:rsidRPr="007C721C">
        <w:rPr>
          <w:rFonts w:cs="Times New Roman"/>
          <w:b/>
          <w:color w:val="0070C0"/>
          <w:lang w:eastAsia="en-CA"/>
        </w:rPr>
        <w:t>We s</w:t>
      </w:r>
      <w:r>
        <w:rPr>
          <w:rFonts w:cs="Times New Roman"/>
          <w:b/>
          <w:color w:val="0070C0"/>
          <w:lang w:eastAsia="en-CA"/>
        </w:rPr>
        <w:t>upport</w:t>
      </w:r>
      <w:r w:rsidRPr="007C721C">
        <w:rPr>
          <w:rFonts w:cs="Times New Roman"/>
          <w:b/>
          <w:color w:val="0070C0"/>
          <w:lang w:eastAsia="en-CA"/>
        </w:rPr>
        <w:t xml:space="preserve"> Option 1</w:t>
      </w:r>
      <w:r>
        <w:rPr>
          <w:rFonts w:cs="Times New Roman"/>
          <w:color w:val="0070C0"/>
          <w:lang w:eastAsia="en-CA"/>
        </w:rPr>
        <w:t xml:space="preserve"> to broaden the “same contract” definition in Article 5 (1) of RTS 21. The current definition of “same contract” needs to be broadened since it may hinder competition between trading venues listing contracts that share the same underlying and characteristics. One of the key ambitions of the regulation is to ensure orderly pricing and settlement conditions, both for the derivative and the underlying commodity market. To achieve this purpose</w:t>
      </w:r>
      <w:r>
        <w:rPr>
          <w:rFonts w:cs="Times New Roman"/>
          <w:color w:val="0070C0"/>
          <w:lang w:eastAsia="en-CA"/>
        </w:rPr>
        <w:t>,</w:t>
      </w:r>
      <w:r>
        <w:rPr>
          <w:rFonts w:cs="Times New Roman"/>
          <w:color w:val="0070C0"/>
          <w:lang w:eastAsia="en-CA"/>
        </w:rPr>
        <w:t xml:space="preserve"> small differences in the derivatives contracts traded on different venues are not relevant. The purpose of including EEOTC in the position limit</w:t>
      </w:r>
      <w:r>
        <w:rPr>
          <w:rFonts w:cs="Times New Roman"/>
          <w:color w:val="0070C0"/>
          <w:lang w:eastAsia="en-CA"/>
        </w:rPr>
        <w:t xml:space="preserve"> regime</w:t>
      </w:r>
      <w:r>
        <w:rPr>
          <w:rFonts w:cs="Times New Roman"/>
          <w:color w:val="0070C0"/>
          <w:lang w:eastAsia="en-CA"/>
        </w:rPr>
        <w:t xml:space="preserve"> is equally relevant for contracts listed on different trading venues. </w:t>
      </w:r>
    </w:p>
    <w:p w14:paraId="102D5541" w14:textId="77777777" w:rsidR="00C50F7B" w:rsidRDefault="00C50F7B" w:rsidP="00C50F7B">
      <w:pPr>
        <w:pStyle w:val="NoSpacing"/>
        <w:spacing w:line="304" w:lineRule="atLeast"/>
        <w:rPr>
          <w:rFonts w:cs="Times New Roman"/>
          <w:color w:val="0070C0"/>
          <w:lang w:eastAsia="en-CA"/>
        </w:rPr>
      </w:pPr>
    </w:p>
    <w:p w14:paraId="362C4B92" w14:textId="3510BF87" w:rsidR="00C50F7B" w:rsidRDefault="00C50F7B" w:rsidP="00C50F7B">
      <w:pPr>
        <w:pStyle w:val="NoSpacing"/>
        <w:spacing w:line="304" w:lineRule="atLeast"/>
        <w:rPr>
          <w:rFonts w:cs="Times New Roman"/>
          <w:color w:val="0070C0"/>
          <w:lang w:eastAsia="en-CA"/>
        </w:rPr>
      </w:pPr>
      <w:r>
        <w:rPr>
          <w:rFonts w:cs="Times New Roman"/>
          <w:color w:val="0070C0"/>
          <w:lang w:eastAsia="en-CA"/>
        </w:rPr>
        <w:t>We do not see a risk for “inappropriate netting of positions” in terms of position limits by broadening the definition of “same contract”. The term netting in this respect does not relate to financial positions on venue level (which will obviously have to be dealt with within the respective clearing venues)</w:t>
      </w:r>
      <w:r>
        <w:rPr>
          <w:rFonts w:cs="Times New Roman"/>
          <w:color w:val="0070C0"/>
          <w:lang w:eastAsia="en-CA"/>
        </w:rPr>
        <w:t>,</w:t>
      </w:r>
      <w:r>
        <w:rPr>
          <w:rFonts w:cs="Times New Roman"/>
          <w:color w:val="0070C0"/>
          <w:lang w:eastAsia="en-CA"/>
        </w:rPr>
        <w:t xml:space="preserve"> but to the overall positions in a market abuse perspective. In order to be efficient</w:t>
      </w:r>
      <w:r>
        <w:rPr>
          <w:rFonts w:cs="Times New Roman"/>
          <w:color w:val="0070C0"/>
          <w:lang w:eastAsia="en-CA"/>
        </w:rPr>
        <w:t>,</w:t>
      </w:r>
      <w:r>
        <w:rPr>
          <w:rFonts w:cs="Times New Roman"/>
          <w:color w:val="0070C0"/>
          <w:lang w:eastAsia="en-CA"/>
        </w:rPr>
        <w:t xml:space="preserve"> the position limit regime should aim at covering as big a picture of the market as possible. </w:t>
      </w:r>
    </w:p>
    <w:p w14:paraId="5C5BF947" w14:textId="77777777" w:rsidR="00C50F7B" w:rsidRDefault="00C50F7B" w:rsidP="00C50F7B">
      <w:pPr>
        <w:pStyle w:val="NoSpacing"/>
        <w:spacing w:line="304" w:lineRule="atLeast"/>
        <w:rPr>
          <w:rFonts w:cs="Times New Roman"/>
          <w:color w:val="0070C0"/>
          <w:lang w:eastAsia="en-CA"/>
        </w:rPr>
      </w:pPr>
    </w:p>
    <w:p w14:paraId="4F76FF72" w14:textId="52F0C824" w:rsidR="00C50F7B" w:rsidRDefault="00C50F7B" w:rsidP="00C50F7B">
      <w:pPr>
        <w:pStyle w:val="NoSpacing"/>
        <w:spacing w:line="304" w:lineRule="atLeast"/>
        <w:rPr>
          <w:rFonts w:cs="Times New Roman"/>
          <w:color w:val="0070C0"/>
          <w:lang w:eastAsia="en-CA"/>
        </w:rPr>
      </w:pPr>
      <w:r>
        <w:rPr>
          <w:rFonts w:cs="Times New Roman"/>
          <w:color w:val="0070C0"/>
          <w:lang w:eastAsia="en-CA"/>
        </w:rPr>
        <w:t xml:space="preserve">To give an example: Comparing the German power contracts listed by </w:t>
      </w:r>
      <w:proofErr w:type="gramStart"/>
      <w:r>
        <w:rPr>
          <w:rFonts w:cs="Times New Roman"/>
          <w:color w:val="0070C0"/>
          <w:lang w:eastAsia="en-CA"/>
        </w:rPr>
        <w:t>Nasdaq</w:t>
      </w:r>
      <w:proofErr w:type="gramEnd"/>
      <w:r>
        <w:rPr>
          <w:rFonts w:cs="Times New Roman"/>
          <w:color w:val="0070C0"/>
          <w:lang w:eastAsia="en-CA"/>
        </w:rPr>
        <w:t xml:space="preserve"> and the German power contracts listed by EEX</w:t>
      </w:r>
      <w:r w:rsidR="008D72DF">
        <w:rPr>
          <w:rFonts w:cs="Times New Roman"/>
          <w:color w:val="0070C0"/>
          <w:lang w:eastAsia="en-CA"/>
        </w:rPr>
        <w:t>,</w:t>
      </w:r>
      <w:r>
        <w:rPr>
          <w:rFonts w:cs="Times New Roman"/>
          <w:color w:val="0070C0"/>
          <w:lang w:eastAsia="en-CA"/>
        </w:rPr>
        <w:t xml:space="preserve"> both contracts should in our opinion be defined as the “same contract”. Both contracts are valued on the same underlying commodity that is deliverable at the same location, with similar contractual conditions and it is having a highly correlated economic outcome. It is our understanding that market participants consider these contracts as fungible in real terms. Small differences in contractual specifications or risk management arrangements should not be barriers to declare these as “same contract”. </w:t>
      </w:r>
    </w:p>
    <w:p w14:paraId="23328C69" w14:textId="77777777" w:rsidR="00C50F7B" w:rsidRDefault="00C50F7B" w:rsidP="00C50F7B">
      <w:pPr>
        <w:pStyle w:val="NoSpacing"/>
        <w:spacing w:line="304" w:lineRule="atLeast"/>
        <w:rPr>
          <w:rFonts w:cs="Times New Roman"/>
          <w:color w:val="0070C0"/>
          <w:lang w:eastAsia="en-CA"/>
        </w:rPr>
      </w:pPr>
    </w:p>
    <w:p w14:paraId="6541635F" w14:textId="1032EA5B" w:rsidR="00C50F7B" w:rsidRDefault="00C50F7B" w:rsidP="00C50F7B">
      <w:pPr>
        <w:pStyle w:val="NoSpacing"/>
        <w:spacing w:line="304" w:lineRule="atLeast"/>
        <w:rPr>
          <w:rFonts w:cs="Times New Roman"/>
          <w:color w:val="0070C0"/>
          <w:lang w:eastAsia="en-CA"/>
        </w:rPr>
      </w:pPr>
      <w:r w:rsidRPr="00FB0D83">
        <w:rPr>
          <w:rFonts w:cs="Times New Roman"/>
          <w:color w:val="0070C0"/>
          <w:lang w:eastAsia="en-CA"/>
        </w:rPr>
        <w:t>If a market participant has several open positions on EEX German power</w:t>
      </w:r>
      <w:r w:rsidR="008D72DF">
        <w:rPr>
          <w:rFonts w:cs="Times New Roman"/>
          <w:color w:val="0070C0"/>
          <w:lang w:eastAsia="en-CA"/>
        </w:rPr>
        <w:t>,</w:t>
      </w:r>
      <w:r w:rsidRPr="00FB0D83">
        <w:rPr>
          <w:rFonts w:cs="Times New Roman"/>
          <w:color w:val="0070C0"/>
          <w:lang w:eastAsia="en-CA"/>
        </w:rPr>
        <w:t xml:space="preserve"> the position limits regime should not in effect prevent him from opening a new position on Nasdaq German power. The current methodology pushes the liquidity to the largest exchange with the highest Open Interest (OI) where market participants have to continue to trade on the trading venue where they have the majority of their positions.</w:t>
      </w:r>
      <w:r>
        <w:rPr>
          <w:rFonts w:cs="Times New Roman"/>
          <w:color w:val="0070C0"/>
          <w:lang w:eastAsia="en-CA"/>
        </w:rPr>
        <w:t xml:space="preserve"> </w:t>
      </w:r>
    </w:p>
    <w:p w14:paraId="188E1B71" w14:textId="77777777" w:rsidR="00C50F7B" w:rsidRDefault="00C50F7B" w:rsidP="00C50F7B">
      <w:pPr>
        <w:pStyle w:val="NoSpacing"/>
        <w:spacing w:line="304" w:lineRule="atLeast"/>
        <w:rPr>
          <w:rFonts w:cs="Times New Roman"/>
          <w:color w:val="0070C0"/>
          <w:lang w:eastAsia="en-CA"/>
        </w:rPr>
      </w:pPr>
    </w:p>
    <w:p w14:paraId="1EBF6F0E" w14:textId="06E865E2" w:rsidR="00C50F7B" w:rsidRDefault="00C50F7B" w:rsidP="00C50F7B">
      <w:pPr>
        <w:pStyle w:val="NoSpacing"/>
        <w:spacing w:line="304" w:lineRule="atLeast"/>
        <w:rPr>
          <w:rFonts w:cs="Times New Roman"/>
          <w:color w:val="0070C0"/>
          <w:lang w:eastAsia="en-CA"/>
        </w:rPr>
      </w:pPr>
      <w:r>
        <w:rPr>
          <w:rFonts w:cs="Times New Roman"/>
          <w:color w:val="0070C0"/>
          <w:lang w:eastAsia="en-CA"/>
        </w:rPr>
        <w:lastRenderedPageBreak/>
        <w:t xml:space="preserve">The current regime furthermore creates a </w:t>
      </w:r>
      <w:r w:rsidRPr="00F52B18">
        <w:rPr>
          <w:rFonts w:cs="Times New Roman"/>
          <w:color w:val="0070C0"/>
          <w:lang w:eastAsia="en-CA"/>
        </w:rPr>
        <w:t xml:space="preserve">risk </w:t>
      </w:r>
      <w:r>
        <w:rPr>
          <w:rFonts w:cs="Times New Roman"/>
          <w:color w:val="0070C0"/>
          <w:lang w:eastAsia="en-CA"/>
        </w:rPr>
        <w:t xml:space="preserve">that </w:t>
      </w:r>
      <w:r w:rsidRPr="00F52B18">
        <w:rPr>
          <w:rFonts w:cs="Times New Roman"/>
          <w:color w:val="0070C0"/>
          <w:lang w:eastAsia="en-CA"/>
        </w:rPr>
        <w:t xml:space="preserve">market participants </w:t>
      </w:r>
      <w:r>
        <w:rPr>
          <w:rFonts w:cs="Times New Roman"/>
          <w:color w:val="0070C0"/>
          <w:lang w:eastAsia="en-CA"/>
        </w:rPr>
        <w:t>may build undesirable one-way (buy or sell) positions in what is effectively the same contract</w:t>
      </w:r>
      <w:r w:rsidR="008D72DF">
        <w:rPr>
          <w:rFonts w:cs="Times New Roman"/>
          <w:color w:val="0070C0"/>
          <w:lang w:eastAsia="en-CA"/>
        </w:rPr>
        <w:t>,</w:t>
      </w:r>
      <w:r>
        <w:rPr>
          <w:rFonts w:cs="Times New Roman"/>
          <w:color w:val="0070C0"/>
          <w:lang w:eastAsia="en-CA"/>
        </w:rPr>
        <w:t xml:space="preserve"> by trading </w:t>
      </w:r>
      <w:r w:rsidRPr="00F52B18">
        <w:rPr>
          <w:rFonts w:cs="Times New Roman"/>
          <w:color w:val="0070C0"/>
          <w:lang w:eastAsia="en-CA"/>
        </w:rPr>
        <w:t xml:space="preserve">on </w:t>
      </w:r>
      <w:r>
        <w:rPr>
          <w:rFonts w:cs="Times New Roman"/>
          <w:color w:val="0070C0"/>
          <w:lang w:eastAsia="en-CA"/>
        </w:rPr>
        <w:t>several venues without breaching the limit on one venue. This is contrary to the objective of the position limits regime. Potential market abuse will be more efficiently supervised when seeing these positions as a whole and not per trading venue. All contracts would remain subject to position monitoring and management by the trading venues and respective market surveillance procedures aimed at preventing market abuse.</w:t>
      </w:r>
    </w:p>
    <w:p w14:paraId="31143DFC" w14:textId="77777777" w:rsidR="00C50F7B" w:rsidRDefault="00C50F7B" w:rsidP="00C50F7B">
      <w:pPr>
        <w:pStyle w:val="NoSpacing"/>
        <w:spacing w:line="304" w:lineRule="atLeast"/>
        <w:rPr>
          <w:rFonts w:cs="Times New Roman"/>
          <w:color w:val="0070C0"/>
          <w:lang w:eastAsia="en-CA"/>
        </w:rPr>
      </w:pPr>
    </w:p>
    <w:p w14:paraId="709AB47A" w14:textId="06D7EC4A" w:rsidR="00C50F7B" w:rsidRDefault="00C50F7B" w:rsidP="00C50F7B">
      <w:pPr>
        <w:pStyle w:val="NoSpacing"/>
        <w:spacing w:line="304" w:lineRule="atLeast"/>
        <w:rPr>
          <w:rFonts w:cs="Times New Roman"/>
          <w:color w:val="0070C0"/>
          <w:lang w:eastAsia="en-CA"/>
        </w:rPr>
      </w:pPr>
      <w:proofErr w:type="gramStart"/>
      <w:r>
        <w:rPr>
          <w:rFonts w:cs="Times New Roman"/>
          <w:b/>
          <w:color w:val="0070C0"/>
          <w:lang w:eastAsia="en-CA"/>
        </w:rPr>
        <w:t>Nasdaq</w:t>
      </w:r>
      <w:proofErr w:type="gramEnd"/>
      <w:r w:rsidRPr="00035A88">
        <w:rPr>
          <w:rFonts w:cs="Times New Roman"/>
          <w:b/>
          <w:color w:val="0070C0"/>
          <w:lang w:eastAsia="en-CA"/>
        </w:rPr>
        <w:t xml:space="preserve"> </w:t>
      </w:r>
      <w:r>
        <w:rPr>
          <w:rFonts w:cs="Times New Roman"/>
          <w:b/>
          <w:color w:val="0070C0"/>
          <w:lang w:eastAsia="en-CA"/>
        </w:rPr>
        <w:t xml:space="preserve">also </w:t>
      </w:r>
      <w:r w:rsidRPr="00035A88">
        <w:rPr>
          <w:rFonts w:cs="Times New Roman"/>
          <w:b/>
          <w:color w:val="0070C0"/>
          <w:lang w:eastAsia="en-CA"/>
        </w:rPr>
        <w:t>welcom</w:t>
      </w:r>
      <w:r>
        <w:rPr>
          <w:rFonts w:cs="Times New Roman"/>
          <w:b/>
          <w:color w:val="0070C0"/>
          <w:lang w:eastAsia="en-CA"/>
        </w:rPr>
        <w:t>es</w:t>
      </w:r>
      <w:r w:rsidRPr="00035A88">
        <w:rPr>
          <w:rFonts w:cs="Times New Roman"/>
          <w:b/>
          <w:color w:val="0070C0"/>
          <w:lang w:eastAsia="en-CA"/>
        </w:rPr>
        <w:t xml:space="preserve"> ESMA</w:t>
      </w:r>
      <w:r w:rsidR="008D72DF">
        <w:rPr>
          <w:rFonts w:cs="Times New Roman"/>
          <w:b/>
          <w:color w:val="0070C0"/>
          <w:lang w:eastAsia="en-CA"/>
        </w:rPr>
        <w:t>’</w:t>
      </w:r>
      <w:r w:rsidRPr="00035A88">
        <w:rPr>
          <w:rFonts w:cs="Times New Roman"/>
          <w:b/>
          <w:color w:val="0070C0"/>
          <w:lang w:eastAsia="en-CA"/>
        </w:rPr>
        <w:t>s proposal under Option 2</w:t>
      </w:r>
      <w:r>
        <w:rPr>
          <w:rFonts w:cs="Times New Roman"/>
          <w:color w:val="0070C0"/>
          <w:lang w:eastAsia="en-CA"/>
        </w:rPr>
        <w:t xml:space="preserve"> to r</w:t>
      </w:r>
      <w:r w:rsidRPr="00AB03E6">
        <w:rPr>
          <w:rFonts w:cs="Times New Roman"/>
          <w:color w:val="0070C0"/>
          <w:lang w:eastAsia="en-CA"/>
        </w:rPr>
        <w:t>emove competition b</w:t>
      </w:r>
      <w:r>
        <w:rPr>
          <w:rFonts w:cs="Times New Roman"/>
          <w:color w:val="0070C0"/>
          <w:lang w:eastAsia="en-CA"/>
        </w:rPr>
        <w:t>a</w:t>
      </w:r>
      <w:r w:rsidRPr="00AB03E6">
        <w:rPr>
          <w:rFonts w:cs="Times New Roman"/>
          <w:color w:val="0070C0"/>
          <w:lang w:eastAsia="en-CA"/>
        </w:rPr>
        <w:t>rrie</w:t>
      </w:r>
      <w:r>
        <w:rPr>
          <w:rFonts w:cs="Times New Roman"/>
          <w:color w:val="0070C0"/>
          <w:lang w:eastAsia="en-CA"/>
        </w:rPr>
        <w:t>r</w:t>
      </w:r>
      <w:r w:rsidRPr="00AB03E6">
        <w:rPr>
          <w:rFonts w:cs="Times New Roman"/>
          <w:color w:val="0070C0"/>
          <w:lang w:eastAsia="en-CA"/>
        </w:rPr>
        <w:t xml:space="preserve">s between exchanges and </w:t>
      </w:r>
      <w:r>
        <w:rPr>
          <w:rFonts w:cs="Times New Roman"/>
          <w:color w:val="0070C0"/>
          <w:lang w:eastAsia="en-CA"/>
        </w:rPr>
        <w:t xml:space="preserve">give </w:t>
      </w:r>
      <w:r w:rsidRPr="00AB03E6">
        <w:rPr>
          <w:rFonts w:cs="Times New Roman"/>
          <w:color w:val="0070C0"/>
          <w:lang w:eastAsia="en-CA"/>
        </w:rPr>
        <w:t>trading flexibility for market participants</w:t>
      </w:r>
      <w:r>
        <w:rPr>
          <w:rFonts w:cs="Times New Roman"/>
          <w:color w:val="0070C0"/>
          <w:lang w:eastAsia="en-CA"/>
        </w:rPr>
        <w:t xml:space="preserve"> to freely trade commodity derivatives on various exchanges. </w:t>
      </w:r>
      <w:proofErr w:type="gramStart"/>
      <w:r>
        <w:rPr>
          <w:rFonts w:cs="Times New Roman"/>
          <w:color w:val="0070C0"/>
          <w:lang w:eastAsia="en-CA"/>
        </w:rPr>
        <w:t>Nasdaq</w:t>
      </w:r>
      <w:proofErr w:type="gramEnd"/>
      <w:r>
        <w:rPr>
          <w:rFonts w:cs="Times New Roman"/>
          <w:color w:val="0070C0"/>
          <w:lang w:eastAsia="en-CA"/>
        </w:rPr>
        <w:t xml:space="preserve"> </w:t>
      </w:r>
      <w:r w:rsidRPr="00EE425F">
        <w:rPr>
          <w:rFonts w:cs="Times New Roman"/>
          <w:color w:val="0070C0"/>
          <w:lang w:eastAsia="en-CA"/>
        </w:rPr>
        <w:t>support</w:t>
      </w:r>
      <w:r w:rsidR="008D72DF">
        <w:rPr>
          <w:rFonts w:cs="Times New Roman"/>
          <w:color w:val="0070C0"/>
          <w:lang w:eastAsia="en-CA"/>
        </w:rPr>
        <w:t>s</w:t>
      </w:r>
      <w:r w:rsidRPr="00C04D15">
        <w:rPr>
          <w:rFonts w:cs="Times New Roman"/>
          <w:color w:val="0070C0"/>
          <w:lang w:eastAsia="en-CA"/>
        </w:rPr>
        <w:t xml:space="preserve"> </w:t>
      </w:r>
      <w:r>
        <w:rPr>
          <w:rFonts w:cs="Times New Roman"/>
          <w:color w:val="0070C0"/>
          <w:lang w:eastAsia="en-CA"/>
        </w:rPr>
        <w:t xml:space="preserve">the approach where two or more trading venues listing commodity derivatives being deemed liquid, the other months limit of the most liquid market for these commodity derivatives should be applied identically to all competing contracts. This is an efficient mechanism to promote a level playing field between trading venues and an adequate choice to market participants. In our opinion this approach </w:t>
      </w:r>
      <w:r w:rsidR="008D72DF">
        <w:rPr>
          <w:rFonts w:cs="Times New Roman"/>
          <w:color w:val="0070C0"/>
          <w:lang w:eastAsia="en-CA"/>
        </w:rPr>
        <w:t>implies</w:t>
      </w:r>
      <w:r w:rsidRPr="008D181F">
        <w:rPr>
          <w:rFonts w:cs="Times New Roman"/>
          <w:color w:val="0070C0"/>
          <w:lang w:eastAsia="en-CA"/>
        </w:rPr>
        <w:t xml:space="preserve"> that </w:t>
      </w:r>
      <w:r>
        <w:rPr>
          <w:rFonts w:cs="Times New Roman"/>
          <w:color w:val="0070C0"/>
          <w:lang w:eastAsia="en-CA"/>
        </w:rPr>
        <w:t>competing contracts</w:t>
      </w:r>
      <w:r w:rsidRPr="008D181F">
        <w:rPr>
          <w:rFonts w:cs="Times New Roman"/>
          <w:color w:val="0070C0"/>
          <w:lang w:eastAsia="en-CA"/>
        </w:rPr>
        <w:t xml:space="preserve"> traded on </w:t>
      </w:r>
      <w:r>
        <w:rPr>
          <w:rFonts w:cs="Times New Roman"/>
          <w:color w:val="0070C0"/>
          <w:lang w:eastAsia="en-CA"/>
        </w:rPr>
        <w:t xml:space="preserve">different </w:t>
      </w:r>
      <w:r w:rsidRPr="008D181F">
        <w:rPr>
          <w:rFonts w:cs="Times New Roman"/>
          <w:color w:val="0070C0"/>
          <w:lang w:eastAsia="en-CA"/>
        </w:rPr>
        <w:t>venues are considere</w:t>
      </w:r>
      <w:r>
        <w:rPr>
          <w:rFonts w:cs="Times New Roman"/>
          <w:color w:val="0070C0"/>
          <w:lang w:eastAsia="en-CA"/>
        </w:rPr>
        <w:t xml:space="preserve">d “same contracts” since the open interest on the most liquid market should be used </w:t>
      </w:r>
      <w:r w:rsidRPr="008D181F">
        <w:rPr>
          <w:rFonts w:cs="Times New Roman"/>
          <w:color w:val="0070C0"/>
          <w:lang w:eastAsia="en-CA"/>
        </w:rPr>
        <w:t>for setting other month</w:t>
      </w:r>
      <w:r w:rsidR="008D72DF">
        <w:rPr>
          <w:rFonts w:cs="Times New Roman"/>
          <w:color w:val="0070C0"/>
          <w:lang w:eastAsia="en-CA"/>
        </w:rPr>
        <w:t>’</w:t>
      </w:r>
      <w:r>
        <w:rPr>
          <w:rFonts w:cs="Times New Roman"/>
          <w:color w:val="0070C0"/>
          <w:lang w:eastAsia="en-CA"/>
        </w:rPr>
        <w:t xml:space="preserve">s position limit for the competing contracts on other venues. Similar to remedies under Option 1, the impact on the definition of EEOTC contracts will have to be taken into consideration. </w:t>
      </w:r>
    </w:p>
    <w:p w14:paraId="7A0A948B" w14:textId="77777777" w:rsidR="00C50F7B" w:rsidRDefault="00C50F7B" w:rsidP="00C50F7B">
      <w:pPr>
        <w:pStyle w:val="NoSpacing"/>
        <w:spacing w:line="304" w:lineRule="atLeast"/>
        <w:rPr>
          <w:rFonts w:cs="Times New Roman"/>
          <w:color w:val="0070C0"/>
          <w:lang w:eastAsia="en-CA"/>
        </w:rPr>
      </w:pPr>
    </w:p>
    <w:p w14:paraId="2EAFA30B" w14:textId="02F18BD1" w:rsidR="00D5365A" w:rsidRDefault="00C50F7B" w:rsidP="00A338B1">
      <w:pPr>
        <w:spacing w:line="360" w:lineRule="auto"/>
        <w:rPr>
          <w:rFonts w:ascii="Arial" w:hAnsi="Arial" w:cs="Arial"/>
        </w:rPr>
      </w:pPr>
      <w:r>
        <w:rPr>
          <w:rFonts w:ascii="Arial" w:hAnsi="Arial"/>
          <w:color w:val="0070C0"/>
          <w:sz w:val="20"/>
          <w:szCs w:val="20"/>
          <w:lang w:eastAsia="en-CA"/>
        </w:rPr>
        <w:t>I</w:t>
      </w:r>
      <w:r w:rsidRPr="008F7127">
        <w:rPr>
          <w:rFonts w:ascii="Arial" w:hAnsi="Arial"/>
          <w:color w:val="0070C0"/>
          <w:sz w:val="20"/>
          <w:szCs w:val="20"/>
          <w:lang w:eastAsia="en-CA"/>
        </w:rPr>
        <w:t xml:space="preserve">t </w:t>
      </w:r>
      <w:r>
        <w:rPr>
          <w:rFonts w:ascii="Arial" w:hAnsi="Arial"/>
          <w:color w:val="0070C0"/>
          <w:sz w:val="20"/>
          <w:szCs w:val="20"/>
          <w:lang w:eastAsia="en-CA"/>
        </w:rPr>
        <w:t xml:space="preserve">should be stressed that </w:t>
      </w:r>
      <w:proofErr w:type="gramStart"/>
      <w:r>
        <w:rPr>
          <w:rFonts w:ascii="Arial" w:hAnsi="Arial"/>
          <w:color w:val="0070C0"/>
          <w:sz w:val="20"/>
          <w:szCs w:val="20"/>
          <w:lang w:eastAsia="en-CA"/>
        </w:rPr>
        <w:t>Nasdaq</w:t>
      </w:r>
      <w:proofErr w:type="gramEnd"/>
      <w:r>
        <w:rPr>
          <w:rFonts w:ascii="Arial" w:hAnsi="Arial"/>
          <w:color w:val="0070C0"/>
          <w:sz w:val="20"/>
          <w:szCs w:val="20"/>
          <w:lang w:eastAsia="en-CA"/>
        </w:rPr>
        <w:t xml:space="preserve"> presuppose that the different CA under such a pragmatic approach should operate under a firm European framework promoting a level playing field.</w:t>
      </w:r>
    </w:p>
    <w:permEnd w:id="1245597596"/>
    <w:p w14:paraId="230EAD9F" w14:textId="77777777" w:rsidR="00D5365A" w:rsidRDefault="00D5365A" w:rsidP="00D5365A">
      <w:pPr>
        <w:rPr>
          <w:rFonts w:ascii="Arial" w:hAnsi="Arial" w:cs="Arial"/>
        </w:rPr>
      </w:pPr>
      <w:r>
        <w:rPr>
          <w:rFonts w:ascii="Arial" w:hAnsi="Arial" w:cs="Arial"/>
        </w:rPr>
        <w:t>&lt;ESMA_QUESTION_WPR_1&gt;</w:t>
      </w:r>
    </w:p>
    <w:p w14:paraId="05277153" w14:textId="77777777" w:rsidR="00D5365A" w:rsidRDefault="00D5365A" w:rsidP="00D5365A">
      <w:pPr>
        <w:rPr>
          <w:rFonts w:ascii="Arial" w:hAnsi="Arial" w:cs="Arial"/>
        </w:rPr>
      </w:pPr>
    </w:p>
    <w:p w14:paraId="55333858" w14:textId="77777777" w:rsidR="00D5365A" w:rsidRDefault="00D5365A" w:rsidP="00D5365A">
      <w:pPr>
        <w:pStyle w:val="Questionstyle"/>
        <w:numPr>
          <w:ilvl w:val="0"/>
          <w:numId w:val="17"/>
        </w:numPr>
        <w:spacing w:after="250" w:line="276" w:lineRule="auto"/>
        <w:rPr>
          <w:rFonts w:ascii="Arial" w:hAnsi="Arial" w:cs="Arial"/>
        </w:rPr>
      </w:pPr>
      <w:r>
        <w:t>: Do you agree that the C(6) carve-out creates an unlevel playing field across trading venues and should be reconsidered? If not, please explain why.</w:t>
      </w:r>
    </w:p>
    <w:p w14:paraId="290574D7" w14:textId="77777777" w:rsidR="00D5365A" w:rsidRDefault="00D5365A" w:rsidP="00D5365A">
      <w:pPr>
        <w:rPr>
          <w:rFonts w:ascii="Arial" w:hAnsi="Arial" w:cs="Arial"/>
        </w:rPr>
      </w:pPr>
      <w:r>
        <w:rPr>
          <w:rFonts w:ascii="Arial" w:hAnsi="Arial" w:cs="Arial"/>
        </w:rPr>
        <w:t>&lt;ESMA_QUESTION_WPR_2&gt;</w:t>
      </w:r>
    </w:p>
    <w:p w14:paraId="62623D1E" w14:textId="77777777" w:rsidR="008D72DF" w:rsidRPr="0038007D" w:rsidRDefault="008D72DF" w:rsidP="008D72DF">
      <w:pPr>
        <w:pStyle w:val="NoSpacing"/>
        <w:spacing w:line="304" w:lineRule="atLeast"/>
        <w:rPr>
          <w:rFonts w:cs="Times New Roman"/>
          <w:b/>
          <w:bCs/>
          <w:color w:val="0070C0"/>
          <w:lang w:eastAsia="en-CA"/>
        </w:rPr>
      </w:pPr>
      <w:permStart w:id="311558394" w:edGrp="everyone"/>
      <w:r w:rsidRPr="0038007D">
        <w:rPr>
          <w:rFonts w:cs="Times New Roman"/>
          <w:color w:val="0070C0"/>
          <w:lang w:eastAsia="en-CA"/>
        </w:rPr>
        <w:t xml:space="preserve">The </w:t>
      </w:r>
      <w:proofErr w:type="gramStart"/>
      <w:r w:rsidRPr="0038007D">
        <w:rPr>
          <w:rFonts w:cs="Times New Roman"/>
          <w:color w:val="0070C0"/>
          <w:lang w:eastAsia="en-CA"/>
        </w:rPr>
        <w:t>C(</w:t>
      </w:r>
      <w:proofErr w:type="gramEnd"/>
      <w:r w:rsidRPr="0038007D">
        <w:rPr>
          <w:rFonts w:cs="Times New Roman"/>
          <w:color w:val="0070C0"/>
          <w:lang w:eastAsia="en-CA"/>
        </w:rPr>
        <w:t xml:space="preserve">6) carve-out plays an important role in the structure and functioning of the continental European energy markets. </w:t>
      </w:r>
      <w:proofErr w:type="gramStart"/>
      <w:r w:rsidRPr="0038007D">
        <w:rPr>
          <w:rFonts w:cs="Times New Roman"/>
          <w:color w:val="0070C0"/>
          <w:lang w:eastAsia="en-CA"/>
        </w:rPr>
        <w:t>Nasdaq</w:t>
      </w:r>
      <w:proofErr w:type="gramEnd"/>
      <w:r w:rsidRPr="0038007D">
        <w:rPr>
          <w:rFonts w:cs="Times New Roman"/>
          <w:color w:val="0070C0"/>
          <w:lang w:eastAsia="en-CA"/>
        </w:rPr>
        <w:t xml:space="preserve"> therefore supports the continuation of the carve-out and believes a removal will have negative consequences for the continental market similar to those we have seen in the Nordic area.  </w:t>
      </w:r>
      <w:r w:rsidRPr="0038007D">
        <w:rPr>
          <w:rFonts w:cs="Times New Roman"/>
          <w:b/>
          <w:bCs/>
          <w:color w:val="0070C0"/>
          <w:lang w:eastAsia="en-CA"/>
        </w:rPr>
        <w:t> </w:t>
      </w:r>
    </w:p>
    <w:p w14:paraId="6DCFA2B4" w14:textId="77777777" w:rsidR="008D72DF" w:rsidRPr="0038007D" w:rsidRDefault="008D72DF" w:rsidP="008D72DF">
      <w:pPr>
        <w:pStyle w:val="NoSpacing"/>
        <w:spacing w:line="304" w:lineRule="atLeast"/>
        <w:rPr>
          <w:rFonts w:cs="Times New Roman"/>
          <w:color w:val="0070C0"/>
          <w:lang w:eastAsia="en-CA"/>
        </w:rPr>
      </w:pPr>
    </w:p>
    <w:p w14:paraId="51A1C86E" w14:textId="394B0AE2" w:rsidR="008D72DF" w:rsidRPr="0038007D" w:rsidRDefault="008D72DF" w:rsidP="008D72DF">
      <w:pPr>
        <w:pStyle w:val="NoSpacing"/>
        <w:spacing w:line="304" w:lineRule="atLeast"/>
        <w:rPr>
          <w:rFonts w:cs="Times New Roman"/>
          <w:color w:val="0070C0"/>
          <w:lang w:eastAsia="en-CA"/>
        </w:rPr>
      </w:pPr>
      <w:r w:rsidRPr="0038007D">
        <w:rPr>
          <w:rFonts w:cs="Times New Roman"/>
          <w:color w:val="0070C0"/>
          <w:lang w:eastAsia="en-CA"/>
        </w:rPr>
        <w:t>The Nordic power market has for decades had a strong preference for trading on the regulated market</w:t>
      </w:r>
      <w:r>
        <w:rPr>
          <w:rFonts w:cs="Times New Roman"/>
          <w:color w:val="0070C0"/>
          <w:lang w:eastAsia="en-CA"/>
        </w:rPr>
        <w:t>,</w:t>
      </w:r>
      <w:r w:rsidRPr="0038007D">
        <w:rPr>
          <w:rFonts w:cs="Times New Roman"/>
          <w:color w:val="0070C0"/>
          <w:lang w:eastAsia="en-CA"/>
        </w:rPr>
        <w:t xml:space="preserve"> also before the implementation of </w:t>
      </w:r>
      <w:proofErr w:type="gramStart"/>
      <w:r w:rsidRPr="0038007D">
        <w:rPr>
          <w:rFonts w:cs="Times New Roman"/>
          <w:color w:val="0070C0"/>
          <w:lang w:eastAsia="en-CA"/>
        </w:rPr>
        <w:t>C(</w:t>
      </w:r>
      <w:proofErr w:type="gramEnd"/>
      <w:r w:rsidRPr="0038007D">
        <w:rPr>
          <w:rFonts w:cs="Times New Roman"/>
          <w:color w:val="0070C0"/>
          <w:lang w:eastAsia="en-CA"/>
        </w:rPr>
        <w:t xml:space="preserve">6). There has not been any demand for OTF venues (requiring physical settlement) listing Nordic Power as the Nordic system price is a reference price and not a physical area price. The Nordic market consists of 12 price areas and in order to build a liquid market, there is a need to have a common Nordic system price as reference to secure a transparent and well-functioning liquid market with solid competition within the regulated market structure. </w:t>
      </w:r>
    </w:p>
    <w:p w14:paraId="4692F34F" w14:textId="77777777" w:rsidR="008D72DF" w:rsidRDefault="008D72DF" w:rsidP="008D72DF">
      <w:pPr>
        <w:pStyle w:val="NoSpacing"/>
        <w:spacing w:line="304" w:lineRule="atLeast"/>
        <w:rPr>
          <w:rFonts w:cs="Times New Roman"/>
          <w:color w:val="0070C0"/>
          <w:lang w:eastAsia="en-CA"/>
        </w:rPr>
      </w:pPr>
    </w:p>
    <w:p w14:paraId="0E8D0541" w14:textId="20614233" w:rsidR="008D72DF" w:rsidRDefault="008D72DF" w:rsidP="008D72DF">
      <w:pPr>
        <w:pStyle w:val="NoSpacing"/>
        <w:spacing w:line="304" w:lineRule="atLeast"/>
        <w:rPr>
          <w:rFonts w:cs="Times New Roman"/>
          <w:color w:val="0070C0"/>
          <w:lang w:eastAsia="en-CA"/>
        </w:rPr>
      </w:pPr>
      <w:r w:rsidRPr="003032F7">
        <w:rPr>
          <w:rFonts w:cs="Times New Roman"/>
          <w:color w:val="0070C0"/>
          <w:lang w:eastAsia="en-CA"/>
        </w:rPr>
        <w:t xml:space="preserve">It is evident that the liquidity in the Nordic market has suffered significantly from the regulatory requirements. Since there are no active OTF venues with a liquid Nordic power offering, the </w:t>
      </w:r>
      <w:proofErr w:type="gramStart"/>
      <w:r w:rsidRPr="003032F7">
        <w:rPr>
          <w:rFonts w:cs="Times New Roman"/>
          <w:color w:val="0070C0"/>
          <w:lang w:eastAsia="en-CA"/>
        </w:rPr>
        <w:t>C(</w:t>
      </w:r>
      <w:proofErr w:type="gramEnd"/>
      <w:r w:rsidRPr="003032F7">
        <w:rPr>
          <w:rFonts w:cs="Times New Roman"/>
          <w:color w:val="0070C0"/>
          <w:lang w:eastAsia="en-CA"/>
        </w:rPr>
        <w:t xml:space="preserve">6) carve-out hasn’t been the reason for the drop in liquidity. The consequence of the overall increased regulatory requirements </w:t>
      </w:r>
      <w:r>
        <w:rPr>
          <w:rFonts w:cs="Times New Roman"/>
          <w:color w:val="0070C0"/>
          <w:lang w:eastAsia="en-CA"/>
        </w:rPr>
        <w:t xml:space="preserve">is what </w:t>
      </w:r>
      <w:r w:rsidRPr="003032F7">
        <w:rPr>
          <w:rFonts w:cs="Times New Roman"/>
          <w:color w:val="0070C0"/>
          <w:lang w:eastAsia="en-CA"/>
        </w:rPr>
        <w:t>has been driving the Nordic market development towards “true” bilateral trading outside the regulated market.</w:t>
      </w:r>
    </w:p>
    <w:p w14:paraId="530F4323" w14:textId="77777777" w:rsidR="008D72DF" w:rsidRDefault="008D72DF" w:rsidP="008D72DF">
      <w:pPr>
        <w:pStyle w:val="NoSpacing"/>
        <w:spacing w:line="304" w:lineRule="atLeast"/>
        <w:rPr>
          <w:rFonts w:cs="Times New Roman"/>
          <w:color w:val="0070C0"/>
          <w:lang w:eastAsia="en-CA"/>
        </w:rPr>
      </w:pPr>
    </w:p>
    <w:p w14:paraId="0B8F7C38" w14:textId="531CFB0D" w:rsidR="008D72DF" w:rsidRPr="0038007D" w:rsidRDefault="008D72DF" w:rsidP="008D72DF">
      <w:pPr>
        <w:pStyle w:val="NoSpacing"/>
        <w:spacing w:line="304" w:lineRule="atLeast"/>
        <w:rPr>
          <w:rFonts w:cs="Times New Roman"/>
          <w:color w:val="0070C0"/>
          <w:lang w:eastAsia="en-CA"/>
        </w:rPr>
      </w:pPr>
      <w:r w:rsidRPr="0038007D">
        <w:rPr>
          <w:rFonts w:cs="Times New Roman"/>
          <w:color w:val="0070C0"/>
          <w:lang w:eastAsia="en-CA"/>
        </w:rPr>
        <w:lastRenderedPageBreak/>
        <w:t xml:space="preserve">After the introduction of MiFID II and EMIR, the liquidity in the Nordic regulated marked has decreased dramatically: Traded and cleared volumes have decreased from 1.432 </w:t>
      </w:r>
      <w:proofErr w:type="spellStart"/>
      <w:r w:rsidRPr="0038007D">
        <w:rPr>
          <w:rFonts w:cs="Times New Roman"/>
          <w:color w:val="0070C0"/>
          <w:lang w:eastAsia="en-CA"/>
        </w:rPr>
        <w:t>TWh</w:t>
      </w:r>
      <w:proofErr w:type="spellEnd"/>
      <w:r w:rsidRPr="0038007D">
        <w:rPr>
          <w:rFonts w:cs="Times New Roman"/>
          <w:color w:val="0070C0"/>
          <w:lang w:eastAsia="en-CA"/>
        </w:rPr>
        <w:t xml:space="preserve"> in 2016 to 952 </w:t>
      </w:r>
      <w:proofErr w:type="spellStart"/>
      <w:r w:rsidRPr="0038007D">
        <w:rPr>
          <w:rFonts w:cs="Times New Roman"/>
          <w:color w:val="0070C0"/>
          <w:lang w:eastAsia="en-CA"/>
        </w:rPr>
        <w:t>TWh</w:t>
      </w:r>
      <w:proofErr w:type="spellEnd"/>
      <w:r w:rsidRPr="0038007D">
        <w:rPr>
          <w:rFonts w:cs="Times New Roman"/>
          <w:color w:val="0070C0"/>
          <w:lang w:eastAsia="en-CA"/>
        </w:rPr>
        <w:t xml:space="preserve"> in 2018 and further down during 2019 where we expect total traded volumes to be around 800 </w:t>
      </w:r>
      <w:proofErr w:type="spellStart"/>
      <w:r w:rsidRPr="0038007D">
        <w:rPr>
          <w:rFonts w:cs="Times New Roman"/>
          <w:color w:val="0070C0"/>
          <w:lang w:eastAsia="en-CA"/>
        </w:rPr>
        <w:t>TWh</w:t>
      </w:r>
      <w:proofErr w:type="spellEnd"/>
      <w:r w:rsidRPr="0038007D">
        <w:rPr>
          <w:rFonts w:cs="Times New Roman"/>
          <w:color w:val="0070C0"/>
          <w:lang w:eastAsia="en-CA"/>
        </w:rPr>
        <w:t>. At the same time, the level of bilateral trading outside the regulated framework has increased significantly, and we observe that several "semi-organized" trading venues ha</w:t>
      </w:r>
      <w:r>
        <w:rPr>
          <w:rFonts w:cs="Times New Roman"/>
          <w:color w:val="0070C0"/>
          <w:lang w:eastAsia="en-CA"/>
        </w:rPr>
        <w:t>ve</w:t>
      </w:r>
      <w:r w:rsidRPr="0038007D">
        <w:rPr>
          <w:rFonts w:cs="Times New Roman"/>
          <w:color w:val="0070C0"/>
          <w:lang w:eastAsia="en-CA"/>
        </w:rPr>
        <w:t xml:space="preserve"> been established – fully outside the scope of MiFID II and also outside the scope of the </w:t>
      </w:r>
      <w:proofErr w:type="gramStart"/>
      <w:r w:rsidRPr="0038007D">
        <w:rPr>
          <w:rFonts w:cs="Times New Roman"/>
          <w:color w:val="0070C0"/>
          <w:lang w:eastAsia="en-CA"/>
        </w:rPr>
        <w:t>C(</w:t>
      </w:r>
      <w:proofErr w:type="gramEnd"/>
      <w:r w:rsidRPr="0038007D">
        <w:rPr>
          <w:rFonts w:cs="Times New Roman"/>
          <w:color w:val="0070C0"/>
          <w:lang w:eastAsia="en-CA"/>
        </w:rPr>
        <w:t xml:space="preserve">6) carve out. </w:t>
      </w:r>
    </w:p>
    <w:p w14:paraId="1A9D3668" w14:textId="77777777" w:rsidR="008D72DF" w:rsidRPr="0038007D" w:rsidRDefault="008D72DF" w:rsidP="008D72DF">
      <w:pPr>
        <w:pStyle w:val="NoSpacing"/>
        <w:spacing w:line="304" w:lineRule="atLeast"/>
        <w:rPr>
          <w:rFonts w:cs="Times New Roman"/>
          <w:color w:val="0070C0"/>
          <w:lang w:eastAsia="en-CA"/>
        </w:rPr>
      </w:pPr>
    </w:p>
    <w:p w14:paraId="1C3CE0E4" w14:textId="77777777" w:rsidR="008D72DF" w:rsidRPr="0038007D" w:rsidRDefault="008D72DF" w:rsidP="008D72DF">
      <w:pPr>
        <w:pStyle w:val="NoSpacing"/>
        <w:spacing w:line="304" w:lineRule="atLeast"/>
        <w:rPr>
          <w:rFonts w:cs="Times New Roman"/>
          <w:color w:val="0070C0"/>
          <w:lang w:eastAsia="en-CA"/>
        </w:rPr>
      </w:pPr>
      <w:r w:rsidRPr="0038007D">
        <w:rPr>
          <w:rFonts w:cs="Times New Roman"/>
          <w:color w:val="0070C0"/>
          <w:lang w:eastAsia="en-CA"/>
        </w:rPr>
        <w:t xml:space="preserve">The dramatic consequences of the increased regulatory requirements are documented by the fact that more than 100 clearing members have terminated their membership with Nasdaq Clearing since 2016. These 100 former members are primarily fundamental players that have moved their trading to the non-regulated bilateral market. Further remaining fundamental players within the regulated market are reducing their long term hedging. They all argue that the cost for long term hedging and the burden of operating within the regulated framework has increased to a level where they benefit from trading bilateral instead. </w:t>
      </w:r>
    </w:p>
    <w:p w14:paraId="668C4BA4" w14:textId="77777777" w:rsidR="008D72DF" w:rsidRPr="0038007D" w:rsidRDefault="008D72DF" w:rsidP="008D72DF">
      <w:pPr>
        <w:pStyle w:val="NoSpacing"/>
        <w:spacing w:line="304" w:lineRule="atLeast"/>
        <w:rPr>
          <w:rFonts w:cs="Times New Roman"/>
          <w:color w:val="0070C0"/>
          <w:lang w:eastAsia="en-CA"/>
        </w:rPr>
      </w:pPr>
    </w:p>
    <w:p w14:paraId="2F3EB0FD" w14:textId="76D80FED" w:rsidR="008D72DF" w:rsidRPr="0038007D" w:rsidRDefault="008D72DF" w:rsidP="008D72DF">
      <w:pPr>
        <w:pStyle w:val="NoSpacing"/>
        <w:spacing w:line="304" w:lineRule="atLeast"/>
        <w:rPr>
          <w:rFonts w:cs="Times New Roman"/>
          <w:color w:val="0070C0"/>
          <w:lang w:eastAsia="en-CA"/>
        </w:rPr>
      </w:pPr>
      <w:r w:rsidRPr="0038007D">
        <w:rPr>
          <w:rFonts w:cs="Times New Roman"/>
          <w:color w:val="0070C0"/>
          <w:lang w:eastAsia="en-CA"/>
        </w:rPr>
        <w:t xml:space="preserve">The above development proves the importance of continuing the </w:t>
      </w:r>
      <w:proofErr w:type="gramStart"/>
      <w:r w:rsidRPr="0038007D">
        <w:rPr>
          <w:rFonts w:cs="Times New Roman"/>
          <w:color w:val="0070C0"/>
          <w:lang w:eastAsia="en-CA"/>
        </w:rPr>
        <w:t>C(</w:t>
      </w:r>
      <w:proofErr w:type="gramEnd"/>
      <w:r w:rsidRPr="0038007D">
        <w:rPr>
          <w:rFonts w:cs="Times New Roman"/>
          <w:color w:val="0070C0"/>
          <w:lang w:eastAsia="en-CA"/>
        </w:rPr>
        <w:t xml:space="preserve">6) in order to prevent a reduction of fundamental players ability to hedge their long term needs. A removal will risk a move of the continental energy markets traded within the well-established REMIT carve-out structure towards the non-regulated bilateral market as seen in the Nordic area. </w:t>
      </w:r>
    </w:p>
    <w:p w14:paraId="1318AEA8" w14:textId="77777777" w:rsidR="008D72DF" w:rsidRPr="0038007D" w:rsidRDefault="008D72DF" w:rsidP="008D72DF">
      <w:pPr>
        <w:pStyle w:val="NoSpacing"/>
        <w:spacing w:line="304" w:lineRule="atLeast"/>
        <w:rPr>
          <w:rFonts w:cs="Times New Roman"/>
          <w:color w:val="0070C0"/>
          <w:lang w:eastAsia="en-CA"/>
        </w:rPr>
      </w:pPr>
    </w:p>
    <w:p w14:paraId="34F12738" w14:textId="77777777" w:rsidR="008D72DF" w:rsidRDefault="008D72DF" w:rsidP="008D72DF">
      <w:pPr>
        <w:pStyle w:val="NoSpacing"/>
        <w:spacing w:line="304" w:lineRule="atLeast"/>
        <w:rPr>
          <w:rFonts w:cs="Times New Roman"/>
          <w:color w:val="0070C0"/>
          <w:lang w:eastAsia="en-CA"/>
        </w:rPr>
      </w:pPr>
      <w:proofErr w:type="gramStart"/>
      <w:r w:rsidRPr="0038007D">
        <w:rPr>
          <w:rFonts w:cs="Times New Roman"/>
          <w:color w:val="0070C0"/>
          <w:lang w:eastAsia="en-CA"/>
        </w:rPr>
        <w:t>Nasdaq</w:t>
      </w:r>
      <w:proofErr w:type="gramEnd"/>
      <w:r w:rsidRPr="0038007D">
        <w:rPr>
          <w:rFonts w:cs="Times New Roman"/>
          <w:color w:val="0070C0"/>
          <w:lang w:eastAsia="en-CA"/>
        </w:rPr>
        <w:t xml:space="preserve"> also takes this opportunity to highlight the need to consider adequate adjustments to the regulatory regime of MIFID, EMIR and CRD IV. If the liquidity continues to decrease in the Nordic power market, it will become even more disconnected from the physical demand and supply. This will result in continued reduction of liquidity, less transparency and lack of accurate and relevant l</w:t>
      </w:r>
      <w:r>
        <w:rPr>
          <w:rFonts w:cs="Times New Roman"/>
          <w:color w:val="0070C0"/>
          <w:lang w:eastAsia="en-CA"/>
        </w:rPr>
        <w:t>ong-</w:t>
      </w:r>
      <w:r w:rsidRPr="0038007D">
        <w:rPr>
          <w:rFonts w:cs="Times New Roman"/>
          <w:color w:val="0070C0"/>
          <w:lang w:eastAsia="en-CA"/>
        </w:rPr>
        <w:t xml:space="preserve">term price signals used for long term hedging and investments, consequently impacting the true economy. </w:t>
      </w:r>
    </w:p>
    <w:p w14:paraId="227A4E10" w14:textId="77777777" w:rsidR="008D72DF" w:rsidRDefault="008D72DF" w:rsidP="008D72DF">
      <w:pPr>
        <w:pStyle w:val="NoSpacing"/>
        <w:spacing w:line="304" w:lineRule="atLeast"/>
        <w:rPr>
          <w:rFonts w:cs="Times New Roman"/>
          <w:color w:val="0070C0"/>
          <w:lang w:eastAsia="en-CA"/>
        </w:rPr>
      </w:pPr>
    </w:p>
    <w:p w14:paraId="51603306" w14:textId="49117090" w:rsidR="00D5365A" w:rsidRPr="008D72DF" w:rsidRDefault="008D72DF" w:rsidP="00A338B1">
      <w:pPr>
        <w:spacing w:line="360" w:lineRule="auto"/>
        <w:rPr>
          <w:rFonts w:asciiTheme="minorHAnsi" w:hAnsiTheme="minorHAnsi" w:cstheme="minorHAnsi"/>
          <w:sz w:val="20"/>
          <w:szCs w:val="20"/>
        </w:rPr>
      </w:pPr>
      <w:r w:rsidRPr="008D72DF">
        <w:rPr>
          <w:rFonts w:asciiTheme="minorHAnsi" w:hAnsiTheme="minorHAnsi" w:cstheme="minorHAnsi"/>
          <w:color w:val="0070C0"/>
          <w:sz w:val="20"/>
          <w:szCs w:val="20"/>
          <w:lang w:eastAsia="en-CA"/>
        </w:rPr>
        <w:t>The current discussion relates to the scope of exemptions, but it is equally important to look into the main rules. It is a documented fact that the current regulatory requirements drive market players to venues outside the scope of the regulation – effectively reducing rather than increasing or preserving the role and effect of the regulation.</w:t>
      </w:r>
    </w:p>
    <w:permEnd w:id="311558394"/>
    <w:p w14:paraId="72923BA0" w14:textId="77777777" w:rsidR="00D5365A" w:rsidRDefault="00D5365A" w:rsidP="00D5365A">
      <w:pPr>
        <w:rPr>
          <w:rFonts w:ascii="Arial" w:hAnsi="Arial" w:cs="Arial"/>
        </w:rPr>
      </w:pPr>
      <w:r>
        <w:rPr>
          <w:rFonts w:ascii="Arial" w:hAnsi="Arial" w:cs="Arial"/>
        </w:rPr>
        <w:t>&lt;ESMA_QUESTION_WPR_2&gt;</w:t>
      </w:r>
    </w:p>
    <w:p w14:paraId="6F067025" w14:textId="77777777" w:rsidR="00D5365A" w:rsidRDefault="00D5365A" w:rsidP="00D5365A">
      <w:pPr>
        <w:rPr>
          <w:rFonts w:ascii="Arial" w:hAnsi="Arial" w:cs="Arial"/>
        </w:rPr>
      </w:pPr>
    </w:p>
    <w:p w14:paraId="65092191" w14:textId="77777777" w:rsidR="00D5365A" w:rsidRDefault="00D5365A" w:rsidP="00D5365A">
      <w:pPr>
        <w:pStyle w:val="Questionstyle"/>
        <w:numPr>
          <w:ilvl w:val="0"/>
          <w:numId w:val="17"/>
        </w:numPr>
        <w:spacing w:after="250" w:line="276" w:lineRule="auto"/>
        <w:rPr>
          <w:rFonts w:ascii="Arial" w:hAnsi="Arial" w:cs="Arial"/>
        </w:rPr>
      </w:pPr>
      <w:r>
        <w:t>: Do you agree that the position limit framework should not apply to securitised derivatives? If not, please explain why.</w:t>
      </w:r>
    </w:p>
    <w:p w14:paraId="2A59A7B2" w14:textId="77777777" w:rsidR="00D5365A" w:rsidRDefault="00D5365A" w:rsidP="00D5365A">
      <w:pPr>
        <w:rPr>
          <w:rFonts w:ascii="Arial" w:hAnsi="Arial" w:cs="Arial"/>
        </w:rPr>
      </w:pPr>
      <w:r>
        <w:rPr>
          <w:rFonts w:ascii="Arial" w:hAnsi="Arial" w:cs="Arial"/>
        </w:rPr>
        <w:t>&lt;ESMA_QUESTION_WPR_3&gt;</w:t>
      </w:r>
    </w:p>
    <w:p w14:paraId="4E8CC47B" w14:textId="2584D4C0" w:rsidR="008D72DF" w:rsidRDefault="008D72DF" w:rsidP="00D5365A">
      <w:pPr>
        <w:rPr>
          <w:rFonts w:ascii="Arial" w:hAnsi="Arial" w:cs="Arial"/>
        </w:rPr>
      </w:pPr>
      <w:permStart w:id="1945511407" w:edGrp="everyone"/>
      <w:r>
        <w:rPr>
          <w:rFonts w:ascii="Arial" w:hAnsi="Arial"/>
          <w:color w:val="0070C0"/>
          <w:sz w:val="20"/>
          <w:szCs w:val="20"/>
          <w:lang w:eastAsia="en-CA"/>
        </w:rPr>
        <w:t>Yes</w:t>
      </w:r>
      <w:r>
        <w:rPr>
          <w:rFonts w:ascii="Arial" w:hAnsi="Arial" w:cs="Arial"/>
        </w:rPr>
        <w:t>.</w:t>
      </w:r>
    </w:p>
    <w:permEnd w:id="1945511407"/>
    <w:p w14:paraId="5D7CB126" w14:textId="26F98C6C" w:rsidR="00D5365A" w:rsidRDefault="00D5365A" w:rsidP="00D5365A">
      <w:pPr>
        <w:rPr>
          <w:rFonts w:ascii="Arial" w:hAnsi="Arial" w:cs="Arial"/>
        </w:rPr>
      </w:pPr>
      <w:proofErr w:type="gramStart"/>
      <w:r>
        <w:rPr>
          <w:rFonts w:ascii="Arial" w:hAnsi="Arial" w:cs="Arial"/>
        </w:rPr>
        <w:t>&lt;</w:t>
      </w:r>
      <w:proofErr w:type="gramEnd"/>
      <w:r>
        <w:rPr>
          <w:rFonts w:ascii="Arial" w:hAnsi="Arial" w:cs="Arial"/>
        </w:rPr>
        <w:t>ESMA_QUESTION_WPR_3&gt;</w:t>
      </w:r>
    </w:p>
    <w:p w14:paraId="13A4EF33" w14:textId="77777777" w:rsidR="00D5365A" w:rsidRDefault="00D5365A" w:rsidP="00D5365A">
      <w:pPr>
        <w:rPr>
          <w:rFonts w:ascii="Arial" w:hAnsi="Arial" w:cs="Arial"/>
        </w:rPr>
      </w:pPr>
    </w:p>
    <w:p w14:paraId="39793CB0" w14:textId="77777777" w:rsidR="00D5365A" w:rsidRDefault="00D5365A" w:rsidP="00D5365A">
      <w:pPr>
        <w:pStyle w:val="Questionstyle"/>
        <w:numPr>
          <w:ilvl w:val="0"/>
          <w:numId w:val="17"/>
        </w:numPr>
        <w:spacing w:after="250" w:line="276" w:lineRule="auto"/>
        <w:rPr>
          <w:rFonts w:ascii="Arial" w:hAnsi="Arial" w:cs="Arial"/>
        </w:rPr>
      </w:pPr>
      <w:r>
        <w:t xml:space="preserve">: Which option do you support to address the negative impact of position limits on new and illiquid commodity derivatives: Option 1 or Option 2? Please explain why. If you support another alternative, please explain which one and why. </w:t>
      </w:r>
    </w:p>
    <w:p w14:paraId="7B19F883" w14:textId="77777777" w:rsidR="00D5365A" w:rsidRDefault="00D5365A" w:rsidP="00D5365A">
      <w:pPr>
        <w:rPr>
          <w:rFonts w:ascii="Arial" w:hAnsi="Arial" w:cs="Arial"/>
        </w:rPr>
      </w:pPr>
      <w:r>
        <w:rPr>
          <w:rFonts w:ascii="Arial" w:hAnsi="Arial" w:cs="Arial"/>
        </w:rPr>
        <w:t>&lt;ESMA_QUESTION_WPR_4&gt;</w:t>
      </w:r>
    </w:p>
    <w:p w14:paraId="477C46DF" w14:textId="77D1522B" w:rsidR="008D72DF" w:rsidRDefault="008D72DF" w:rsidP="008D72DF">
      <w:pPr>
        <w:pStyle w:val="NoSpacing"/>
        <w:spacing w:line="304" w:lineRule="atLeast"/>
        <w:rPr>
          <w:rFonts w:cs="Times New Roman"/>
          <w:color w:val="0070C0"/>
          <w:lang w:eastAsia="en-CA"/>
        </w:rPr>
      </w:pPr>
      <w:permStart w:id="342492330" w:edGrp="everyone"/>
      <w:proofErr w:type="gramStart"/>
      <w:r w:rsidRPr="00C26E02">
        <w:rPr>
          <w:rFonts w:cs="Times New Roman"/>
          <w:color w:val="0070C0"/>
          <w:lang w:eastAsia="en-CA"/>
        </w:rPr>
        <w:lastRenderedPageBreak/>
        <w:t>Nasdaq</w:t>
      </w:r>
      <w:proofErr w:type="gramEnd"/>
      <w:r w:rsidRPr="00C26E02">
        <w:rPr>
          <w:rFonts w:cs="Times New Roman"/>
          <w:color w:val="0070C0"/>
          <w:lang w:eastAsia="en-CA"/>
        </w:rPr>
        <w:t xml:space="preserve"> supports Option 1. As described in our response to ESMA</w:t>
      </w:r>
      <w:r w:rsidR="00A338B1">
        <w:rPr>
          <w:rFonts w:cs="Times New Roman"/>
          <w:color w:val="0070C0"/>
          <w:lang w:eastAsia="en-CA"/>
        </w:rPr>
        <w:t>’</w:t>
      </w:r>
      <w:r w:rsidRPr="00C26E02">
        <w:rPr>
          <w:rFonts w:cs="Times New Roman"/>
          <w:color w:val="0070C0"/>
          <w:lang w:eastAsia="en-CA"/>
        </w:rPr>
        <w:t>s</w:t>
      </w:r>
      <w:r w:rsidR="00A338B1">
        <w:rPr>
          <w:rFonts w:cs="Times New Roman"/>
          <w:color w:val="0070C0"/>
          <w:lang w:eastAsia="en-CA"/>
        </w:rPr>
        <w:t xml:space="preserve"> earlier</w:t>
      </w:r>
      <w:r w:rsidRPr="00C26E02">
        <w:rPr>
          <w:rFonts w:cs="Times New Roman"/>
          <w:color w:val="0070C0"/>
          <w:lang w:eastAsia="en-CA"/>
        </w:rPr>
        <w:t xml:space="preserve"> Call for evidence</w:t>
      </w:r>
      <w:r w:rsidR="00A338B1">
        <w:rPr>
          <w:rFonts w:cs="Times New Roman"/>
          <w:color w:val="0070C0"/>
          <w:lang w:eastAsia="en-CA"/>
        </w:rPr>
        <w:t>,</w:t>
      </w:r>
      <w:r w:rsidRPr="00C26E02">
        <w:rPr>
          <w:rFonts w:cs="Times New Roman"/>
          <w:color w:val="0070C0"/>
          <w:lang w:eastAsia="en-CA"/>
        </w:rPr>
        <w:t xml:space="preserve"> the position limit regime should only apply to a limited set of </w:t>
      </w:r>
      <w:r>
        <w:rPr>
          <w:rFonts w:cs="Times New Roman"/>
          <w:color w:val="0070C0"/>
          <w:lang w:eastAsia="en-CA"/>
        </w:rPr>
        <w:t>critical</w:t>
      </w:r>
      <w:r w:rsidRPr="00C26E02">
        <w:rPr>
          <w:rFonts w:cs="Times New Roman"/>
          <w:color w:val="0070C0"/>
          <w:lang w:eastAsia="en-CA"/>
        </w:rPr>
        <w:t xml:space="preserve"> contracts in order to avoid the negative impact of position limits on new and illiquid contracts. No limit should apply to new and illiquid contracts and this would protect the liquidity and competitiveness of EU commodity markets.</w:t>
      </w:r>
    </w:p>
    <w:permEnd w:id="342492330"/>
    <w:p w14:paraId="2750CA8D" w14:textId="77777777" w:rsidR="00D5365A" w:rsidRDefault="00D5365A" w:rsidP="00D5365A">
      <w:pPr>
        <w:rPr>
          <w:rFonts w:ascii="Arial" w:hAnsi="Arial" w:cs="Arial"/>
        </w:rPr>
      </w:pPr>
      <w:r>
        <w:rPr>
          <w:rFonts w:ascii="Arial" w:hAnsi="Arial" w:cs="Arial"/>
        </w:rPr>
        <w:t>&lt;ESMA_QUESTION_WPR_4&gt;</w:t>
      </w:r>
    </w:p>
    <w:p w14:paraId="61773C77" w14:textId="77777777" w:rsidR="00D5365A" w:rsidRDefault="00D5365A" w:rsidP="00D5365A">
      <w:pPr>
        <w:rPr>
          <w:rFonts w:ascii="Arial" w:hAnsi="Arial" w:cs="Arial"/>
        </w:rPr>
      </w:pPr>
    </w:p>
    <w:p w14:paraId="365798BE" w14:textId="77777777" w:rsidR="00D5365A" w:rsidRDefault="00D5365A" w:rsidP="00D5365A">
      <w:pPr>
        <w:pStyle w:val="Questionstyle"/>
        <w:numPr>
          <w:ilvl w:val="0"/>
          <w:numId w:val="17"/>
        </w:numPr>
        <w:spacing w:after="250" w:line="276" w:lineRule="auto"/>
        <w:rPr>
          <w:rFonts w:ascii="Arial" w:hAnsi="Arial" w:cs="Arial"/>
        </w:rPr>
      </w:pPr>
      <w:r>
        <w:t xml:space="preserve">: If you support Option 1 and would suggest different or additional criteria to determine whether a contract qualifies as a critical contract, please explain which ones.  </w:t>
      </w:r>
    </w:p>
    <w:p w14:paraId="598B7FFF" w14:textId="77777777" w:rsidR="00D5365A" w:rsidRDefault="00D5365A" w:rsidP="00D5365A">
      <w:pPr>
        <w:rPr>
          <w:rFonts w:ascii="Arial" w:hAnsi="Arial" w:cs="Arial"/>
        </w:rPr>
      </w:pPr>
      <w:r>
        <w:rPr>
          <w:rFonts w:ascii="Arial" w:hAnsi="Arial" w:cs="Arial"/>
        </w:rPr>
        <w:t>&lt;ESMA_QUESTION_WPR_5&gt;</w:t>
      </w:r>
    </w:p>
    <w:p w14:paraId="7444BD47" w14:textId="77777777" w:rsidR="00A338B1" w:rsidRPr="00EE425F" w:rsidRDefault="00A338B1" w:rsidP="002648A0">
      <w:pPr>
        <w:pStyle w:val="NoSpacing"/>
        <w:spacing w:line="304" w:lineRule="atLeast"/>
        <w:rPr>
          <w:rFonts w:cs="Times New Roman"/>
          <w:color w:val="0070C0"/>
          <w:lang w:eastAsia="en-CA"/>
        </w:rPr>
      </w:pPr>
      <w:permStart w:id="897407953" w:edGrp="everyone"/>
      <w:r w:rsidRPr="00EE425F">
        <w:rPr>
          <w:rFonts w:cs="Times New Roman"/>
          <w:color w:val="0070C0"/>
          <w:lang w:eastAsia="en-CA"/>
        </w:rPr>
        <w:t xml:space="preserve">We do not support the other factors except the total combined open interest as proposed under </w:t>
      </w:r>
    </w:p>
    <w:p w14:paraId="0C1E45BB" w14:textId="173A4A78" w:rsidR="00A338B1" w:rsidRPr="00EE425F" w:rsidRDefault="00A338B1" w:rsidP="002648A0">
      <w:pPr>
        <w:pStyle w:val="NoSpacing"/>
        <w:spacing w:line="304" w:lineRule="atLeast"/>
        <w:rPr>
          <w:rFonts w:cs="Times New Roman"/>
          <w:color w:val="0070C0"/>
          <w:lang w:eastAsia="en-CA"/>
        </w:rPr>
      </w:pPr>
      <w:r w:rsidRPr="00EE425F">
        <w:rPr>
          <w:rFonts w:cs="Times New Roman"/>
          <w:color w:val="0070C0"/>
          <w:lang w:eastAsia="en-CA"/>
        </w:rPr>
        <w:t xml:space="preserve">Option 1. </w:t>
      </w:r>
      <w:proofErr w:type="gramStart"/>
      <w:r w:rsidRPr="00EE425F">
        <w:rPr>
          <w:rFonts w:cs="Times New Roman"/>
          <w:color w:val="0070C0"/>
          <w:lang w:eastAsia="en-CA"/>
        </w:rPr>
        <w:t>Nasdaq</w:t>
      </w:r>
      <w:proofErr w:type="gramEnd"/>
      <w:r w:rsidRPr="00EE425F">
        <w:rPr>
          <w:rFonts w:cs="Times New Roman"/>
          <w:color w:val="0070C0"/>
          <w:lang w:eastAsia="en-CA"/>
        </w:rPr>
        <w:t xml:space="preserve"> is of the opinion that such criteria must seek to support achievements of the objective of the position limits. Preamble 127 in MIFID </w:t>
      </w:r>
      <w:proofErr w:type="spellStart"/>
      <w:r w:rsidRPr="00EE425F">
        <w:rPr>
          <w:rFonts w:cs="Times New Roman"/>
          <w:color w:val="0070C0"/>
          <w:lang w:eastAsia="en-CA"/>
        </w:rPr>
        <w:t>ll</w:t>
      </w:r>
      <w:proofErr w:type="spellEnd"/>
      <w:r w:rsidRPr="00EE425F">
        <w:rPr>
          <w:rFonts w:cs="Times New Roman"/>
          <w:color w:val="0070C0"/>
          <w:lang w:eastAsia="en-CA"/>
        </w:rPr>
        <w:t xml:space="preserve"> states that</w:t>
      </w:r>
      <w:r>
        <w:rPr>
          <w:rFonts w:cs="Times New Roman"/>
          <w:color w:val="0070C0"/>
          <w:lang w:eastAsia="en-CA"/>
        </w:rPr>
        <w:t xml:space="preserve"> </w:t>
      </w:r>
      <w:r w:rsidRPr="00EE425F">
        <w:rPr>
          <w:rFonts w:cs="Times New Roman"/>
          <w:color w:val="0070C0"/>
          <w:lang w:eastAsia="en-CA"/>
        </w:rPr>
        <w:t>“(…) powers should be granted to competent authorities to establish limits, on the basis of a methodology determined by ESMA, on the positions any person can hold, at an aggregate group level, in a derivative contract in relation to a commodity at all times in order to prevent market abuse, including cornering the market, and to support orderly pricing and settlement conditions including the prevention of market distorting positions. Such limits should promote integrity of the market for the derivative and the underlying commodity (…)”.</w:t>
      </w:r>
    </w:p>
    <w:p w14:paraId="0065D102" w14:textId="77777777" w:rsidR="00A338B1" w:rsidRPr="00EE425F" w:rsidRDefault="00A338B1" w:rsidP="002648A0">
      <w:pPr>
        <w:rPr>
          <w:rFonts w:ascii="Arial" w:hAnsi="Arial"/>
          <w:color w:val="0070C0"/>
          <w:sz w:val="20"/>
          <w:szCs w:val="20"/>
          <w:lang w:eastAsia="en-CA"/>
        </w:rPr>
      </w:pPr>
    </w:p>
    <w:p w14:paraId="7DAE9F0F" w14:textId="77777777" w:rsidR="00A338B1" w:rsidRPr="00A338B1" w:rsidRDefault="00A338B1" w:rsidP="00A338B1">
      <w:pPr>
        <w:spacing w:line="360" w:lineRule="auto"/>
        <w:rPr>
          <w:rFonts w:asciiTheme="minorHAnsi" w:hAnsiTheme="minorHAnsi" w:cstheme="minorHAnsi"/>
          <w:color w:val="0070C0"/>
          <w:sz w:val="20"/>
          <w:szCs w:val="20"/>
          <w:lang w:eastAsia="en-CA"/>
        </w:rPr>
      </w:pPr>
      <w:r w:rsidRPr="00A338B1">
        <w:rPr>
          <w:rFonts w:asciiTheme="minorHAnsi" w:hAnsiTheme="minorHAnsi" w:cstheme="minorHAnsi"/>
          <w:color w:val="0070C0"/>
          <w:sz w:val="20"/>
          <w:szCs w:val="20"/>
          <w:lang w:eastAsia="en-CA"/>
        </w:rPr>
        <w:t xml:space="preserve">To achieve this objective, it is sufficient to define contracts as critical only where the size of individual positions may affect the price or settlement condition of the respective financial instrument, and where this financial instrument is relevant for the price formation in the underlying commodity. </w:t>
      </w:r>
      <w:proofErr w:type="gramStart"/>
      <w:r w:rsidRPr="00A338B1">
        <w:rPr>
          <w:rFonts w:asciiTheme="minorHAnsi" w:hAnsiTheme="minorHAnsi" w:cstheme="minorHAnsi"/>
          <w:color w:val="0070C0"/>
          <w:sz w:val="20"/>
          <w:szCs w:val="20"/>
          <w:lang w:eastAsia="en-CA"/>
        </w:rPr>
        <w:t>Nasdaq</w:t>
      </w:r>
      <w:proofErr w:type="gramEnd"/>
      <w:r w:rsidRPr="00A338B1">
        <w:rPr>
          <w:rFonts w:asciiTheme="minorHAnsi" w:hAnsiTheme="minorHAnsi" w:cstheme="minorHAnsi"/>
          <w:color w:val="0070C0"/>
          <w:sz w:val="20"/>
          <w:szCs w:val="20"/>
          <w:lang w:eastAsia="en-CA"/>
        </w:rPr>
        <w:t xml:space="preserve"> cannot see that the additional suggested factors (except open interest) ensure such achievement.</w:t>
      </w:r>
    </w:p>
    <w:permEnd w:id="897407953"/>
    <w:p w14:paraId="1FEAC340" w14:textId="04243FC2" w:rsidR="00D5365A" w:rsidRDefault="00D5365A" w:rsidP="00D5365A">
      <w:pPr>
        <w:rPr>
          <w:rFonts w:ascii="Arial" w:hAnsi="Arial" w:cs="Arial"/>
        </w:rPr>
      </w:pPr>
      <w:r>
        <w:rPr>
          <w:rFonts w:ascii="Arial" w:hAnsi="Arial" w:cs="Arial"/>
        </w:rPr>
        <w:t>&lt;ESMA_QUESTION_WPR_5&gt;</w:t>
      </w:r>
    </w:p>
    <w:p w14:paraId="0C512C85" w14:textId="77777777" w:rsidR="00D5365A" w:rsidRDefault="00D5365A" w:rsidP="00D5365A">
      <w:pPr>
        <w:rPr>
          <w:rFonts w:ascii="Arial" w:hAnsi="Arial" w:cs="Arial"/>
        </w:rPr>
      </w:pPr>
    </w:p>
    <w:p w14:paraId="21259B9F" w14:textId="77777777" w:rsidR="00D5365A" w:rsidRDefault="00D5365A" w:rsidP="00D5365A">
      <w:pPr>
        <w:pStyle w:val="Questionstyle"/>
        <w:numPr>
          <w:ilvl w:val="0"/>
          <w:numId w:val="17"/>
        </w:numPr>
        <w:spacing w:after="250" w:line="276" w:lineRule="auto"/>
        <w:rPr>
          <w:rFonts w:ascii="Arial" w:hAnsi="Arial" w:cs="Arial"/>
        </w:rPr>
      </w:pPr>
      <w:r>
        <w:t>: Which open interest and participant threshold would you suggest for qualifying a commodity derivative as a critical one?</w:t>
      </w:r>
    </w:p>
    <w:p w14:paraId="3ACFEA2B" w14:textId="77777777" w:rsidR="00D5365A" w:rsidRDefault="00D5365A" w:rsidP="00D5365A">
      <w:pPr>
        <w:rPr>
          <w:rFonts w:ascii="Arial" w:hAnsi="Arial" w:cs="Arial"/>
        </w:rPr>
      </w:pPr>
      <w:r>
        <w:rPr>
          <w:rFonts w:ascii="Arial" w:hAnsi="Arial" w:cs="Arial"/>
        </w:rPr>
        <w:t>&lt;ESMA_QUESTION_WPR_6&gt;</w:t>
      </w:r>
    </w:p>
    <w:p w14:paraId="47F002DB" w14:textId="77777777" w:rsidR="00A338B1" w:rsidRPr="00A338B1" w:rsidRDefault="00A338B1" w:rsidP="00A338B1">
      <w:pPr>
        <w:spacing w:line="360" w:lineRule="auto"/>
        <w:jc w:val="both"/>
        <w:rPr>
          <w:rFonts w:asciiTheme="minorHAnsi" w:hAnsiTheme="minorHAnsi" w:cstheme="minorHAnsi"/>
          <w:color w:val="0070C0"/>
          <w:sz w:val="20"/>
          <w:szCs w:val="20"/>
          <w:lang w:eastAsia="en-CA"/>
        </w:rPr>
      </w:pPr>
      <w:permStart w:id="1821780740" w:edGrp="everyone"/>
      <w:r w:rsidRPr="00A338B1">
        <w:rPr>
          <w:rFonts w:asciiTheme="minorHAnsi" w:hAnsiTheme="minorHAnsi" w:cstheme="minorHAnsi"/>
          <w:color w:val="0070C0"/>
          <w:sz w:val="20"/>
          <w:szCs w:val="20"/>
          <w:lang w:eastAsia="en-CA"/>
        </w:rPr>
        <w:t xml:space="preserve">Please see answer under Q5. </w:t>
      </w:r>
    </w:p>
    <w:p w14:paraId="08585BC0" w14:textId="0B4BC397" w:rsidR="00A338B1" w:rsidRPr="00A338B1" w:rsidRDefault="00A338B1" w:rsidP="00A338B1">
      <w:pPr>
        <w:spacing w:line="360" w:lineRule="auto"/>
        <w:rPr>
          <w:rFonts w:asciiTheme="minorHAnsi" w:hAnsiTheme="minorHAnsi" w:cstheme="minorHAnsi"/>
          <w:color w:val="0070C0"/>
          <w:sz w:val="20"/>
          <w:szCs w:val="20"/>
          <w:lang w:eastAsia="en-CA"/>
        </w:rPr>
      </w:pPr>
      <w:r w:rsidRPr="00A338B1">
        <w:rPr>
          <w:rFonts w:asciiTheme="minorHAnsi" w:hAnsiTheme="minorHAnsi" w:cstheme="minorHAnsi"/>
          <w:color w:val="0070C0"/>
          <w:sz w:val="20"/>
          <w:szCs w:val="20"/>
          <w:lang w:eastAsia="en-CA"/>
        </w:rPr>
        <w:t>However as described in our response to ESMA</w:t>
      </w:r>
      <w:r>
        <w:rPr>
          <w:rFonts w:asciiTheme="minorHAnsi" w:hAnsiTheme="minorHAnsi" w:cstheme="minorHAnsi"/>
          <w:color w:val="0070C0"/>
          <w:sz w:val="20"/>
          <w:szCs w:val="20"/>
          <w:lang w:eastAsia="en-CA"/>
        </w:rPr>
        <w:t>’s earlier</w:t>
      </w:r>
      <w:r w:rsidRPr="00A338B1">
        <w:rPr>
          <w:rFonts w:asciiTheme="minorHAnsi" w:hAnsiTheme="minorHAnsi" w:cstheme="minorHAnsi"/>
          <w:color w:val="0070C0"/>
          <w:sz w:val="20"/>
          <w:szCs w:val="20"/>
          <w:lang w:eastAsia="en-CA"/>
        </w:rPr>
        <w:t xml:space="preserve"> Call for evidence it is urgent to clarify a common open interest calculation methodology for all trading venues setting position limit across trading venues before thresholds of open interest are proposed. </w:t>
      </w:r>
      <w:proofErr w:type="gramStart"/>
      <w:r w:rsidRPr="00A338B1">
        <w:rPr>
          <w:rFonts w:asciiTheme="minorHAnsi" w:hAnsiTheme="minorHAnsi" w:cstheme="minorHAnsi"/>
          <w:color w:val="0070C0"/>
          <w:sz w:val="20"/>
          <w:szCs w:val="20"/>
          <w:lang w:eastAsia="en-CA"/>
        </w:rPr>
        <w:t>Nasdaq</w:t>
      </w:r>
      <w:proofErr w:type="gramEnd"/>
      <w:r w:rsidRPr="00A338B1">
        <w:rPr>
          <w:rFonts w:asciiTheme="minorHAnsi" w:hAnsiTheme="minorHAnsi" w:cstheme="minorHAnsi"/>
          <w:color w:val="0070C0"/>
          <w:sz w:val="20"/>
          <w:szCs w:val="20"/>
          <w:lang w:eastAsia="en-CA"/>
        </w:rPr>
        <w:t xml:space="preserve"> also responded and fully supported the intention of ESMA “Open Interest methodology Survey” in March 2019 to ensure an maintain equal application of the position limit regime. We do not argue that one methodology is more appropriate than the other, as we believe ESMA and the NCAs will ensure that the same open interest methodology is applied across all exchanges. This would allow all venues and market participants to operate in a fair competitive and transparent landscape where the position limit regime is not creating an unlevelled playing field.</w:t>
      </w:r>
    </w:p>
    <w:permEnd w:id="1821780740"/>
    <w:p w14:paraId="11DBD2B0" w14:textId="357298B0" w:rsidR="00D5365A" w:rsidRDefault="00D5365A" w:rsidP="00D5365A">
      <w:pPr>
        <w:rPr>
          <w:rFonts w:ascii="Arial" w:hAnsi="Arial" w:cs="Arial"/>
        </w:rPr>
      </w:pPr>
      <w:r>
        <w:rPr>
          <w:rFonts w:ascii="Arial" w:hAnsi="Arial" w:cs="Arial"/>
        </w:rPr>
        <w:t>&lt;ESMA_QUESTION_WPR_6&gt;</w:t>
      </w:r>
    </w:p>
    <w:p w14:paraId="392E68BA" w14:textId="77777777" w:rsidR="00D5365A" w:rsidRDefault="00D5365A" w:rsidP="00D5365A">
      <w:pPr>
        <w:rPr>
          <w:rFonts w:ascii="Arial" w:hAnsi="Arial" w:cs="Arial"/>
        </w:rPr>
      </w:pPr>
    </w:p>
    <w:p w14:paraId="447489A7" w14:textId="77777777" w:rsidR="00D5365A" w:rsidRDefault="00D5365A" w:rsidP="00D5365A">
      <w:pPr>
        <w:pStyle w:val="Questionstyle"/>
        <w:numPr>
          <w:ilvl w:val="0"/>
          <w:numId w:val="17"/>
        </w:numPr>
        <w:spacing w:after="250" w:line="276" w:lineRule="auto"/>
        <w:rPr>
          <w:rFonts w:ascii="Arial" w:hAnsi="Arial" w:cs="Arial"/>
        </w:rPr>
      </w:pPr>
      <w:r>
        <w:t>: Would you support a position limit exemption for financial counterparties under mandatory liquidity provision obligations? If not, please explain why.</w:t>
      </w:r>
    </w:p>
    <w:p w14:paraId="45D19C97" w14:textId="77777777" w:rsidR="00D5365A" w:rsidRDefault="00D5365A" w:rsidP="00D5365A">
      <w:pPr>
        <w:rPr>
          <w:rFonts w:ascii="Arial" w:hAnsi="Arial" w:cs="Arial"/>
        </w:rPr>
      </w:pPr>
      <w:r>
        <w:rPr>
          <w:rFonts w:ascii="Arial" w:hAnsi="Arial" w:cs="Arial"/>
        </w:rPr>
        <w:lastRenderedPageBreak/>
        <w:t>&lt;ESMA_QUESTION_WPR_7&gt;</w:t>
      </w:r>
    </w:p>
    <w:p w14:paraId="15712D4B" w14:textId="1CFFC7C0" w:rsidR="00D5365A" w:rsidRDefault="00A338B1" w:rsidP="00D5365A">
      <w:pPr>
        <w:rPr>
          <w:rFonts w:ascii="Arial" w:hAnsi="Arial" w:cs="Arial"/>
        </w:rPr>
      </w:pPr>
      <w:permStart w:id="602737691" w:edGrp="everyone"/>
      <w:r>
        <w:rPr>
          <w:rFonts w:ascii="Arial" w:hAnsi="Arial" w:cs="Arial"/>
        </w:rPr>
        <w:t>Yes.</w:t>
      </w:r>
    </w:p>
    <w:permEnd w:id="602737691"/>
    <w:p w14:paraId="31E340F5" w14:textId="77777777" w:rsidR="00D5365A" w:rsidRDefault="00D5365A" w:rsidP="00D5365A">
      <w:pPr>
        <w:rPr>
          <w:rFonts w:ascii="Arial" w:hAnsi="Arial" w:cs="Arial"/>
        </w:rPr>
      </w:pPr>
      <w:r>
        <w:rPr>
          <w:rFonts w:ascii="Arial" w:hAnsi="Arial" w:cs="Arial"/>
        </w:rPr>
        <w:t>&lt;ESMA_QUESTION_WPR_7&gt;</w:t>
      </w:r>
    </w:p>
    <w:p w14:paraId="763FBF02" w14:textId="77777777" w:rsidR="00D5365A" w:rsidRDefault="00D5365A" w:rsidP="00D5365A">
      <w:pPr>
        <w:rPr>
          <w:rFonts w:ascii="Arial" w:hAnsi="Arial" w:cs="Arial"/>
        </w:rPr>
      </w:pPr>
    </w:p>
    <w:p w14:paraId="068F9EED" w14:textId="77777777" w:rsidR="00D5365A" w:rsidRDefault="00D5365A" w:rsidP="00D5365A">
      <w:pPr>
        <w:pStyle w:val="Questionstyle"/>
        <w:numPr>
          <w:ilvl w:val="0"/>
          <w:numId w:val="17"/>
        </w:numPr>
        <w:spacing w:after="250" w:line="276" w:lineRule="auto"/>
        <w:rPr>
          <w:rFonts w:ascii="Arial" w:hAnsi="Arial" w:cs="Arial"/>
        </w:rPr>
      </w:pPr>
      <w:r>
        <w:t>: Would you support introducing a hedging exemption for financial counterparties along the lines described above? If not, please explain why.</w:t>
      </w:r>
    </w:p>
    <w:p w14:paraId="4ED08C7D" w14:textId="77777777" w:rsidR="00D5365A" w:rsidRDefault="00D5365A" w:rsidP="00D5365A">
      <w:pPr>
        <w:rPr>
          <w:rFonts w:ascii="Arial" w:hAnsi="Arial" w:cs="Arial"/>
        </w:rPr>
      </w:pPr>
      <w:r>
        <w:rPr>
          <w:rFonts w:ascii="Arial" w:hAnsi="Arial" w:cs="Arial"/>
        </w:rPr>
        <w:t>&lt;ESMA_QUESTION_WPR_8&gt;</w:t>
      </w:r>
    </w:p>
    <w:p w14:paraId="31AA7F90" w14:textId="2B7FDE36" w:rsidR="00D5365A" w:rsidRDefault="00A338B1" w:rsidP="00D5365A">
      <w:pPr>
        <w:rPr>
          <w:rFonts w:ascii="Arial" w:hAnsi="Arial" w:cs="Arial"/>
        </w:rPr>
      </w:pPr>
      <w:permStart w:id="1586561396" w:edGrp="everyone"/>
      <w:r>
        <w:rPr>
          <w:rFonts w:ascii="Arial" w:hAnsi="Arial" w:cs="Arial"/>
        </w:rPr>
        <w:t>Yes.</w:t>
      </w:r>
    </w:p>
    <w:permEnd w:id="1586561396"/>
    <w:p w14:paraId="74EC7D38" w14:textId="77777777" w:rsidR="00D5365A" w:rsidRDefault="00D5365A" w:rsidP="00D5365A">
      <w:pPr>
        <w:rPr>
          <w:rFonts w:ascii="Arial" w:hAnsi="Arial" w:cs="Arial"/>
        </w:rPr>
      </w:pPr>
      <w:r>
        <w:rPr>
          <w:rFonts w:ascii="Arial" w:hAnsi="Arial" w:cs="Arial"/>
        </w:rPr>
        <w:t>&lt;ESMA_QUESTION_WPR_8&gt;</w:t>
      </w:r>
    </w:p>
    <w:p w14:paraId="2F8CB93E" w14:textId="77777777" w:rsidR="00D5365A" w:rsidRDefault="00D5365A" w:rsidP="00D5365A">
      <w:pPr>
        <w:rPr>
          <w:rFonts w:ascii="Arial" w:hAnsi="Arial" w:cs="Arial"/>
        </w:rPr>
      </w:pPr>
    </w:p>
    <w:p w14:paraId="44AB4894" w14:textId="77777777" w:rsidR="00D5365A" w:rsidRDefault="00D5365A" w:rsidP="00D5365A">
      <w:pPr>
        <w:pStyle w:val="Questionstyle"/>
        <w:numPr>
          <w:ilvl w:val="0"/>
          <w:numId w:val="17"/>
        </w:numPr>
        <w:spacing w:after="250" w:line="276" w:lineRule="auto"/>
        <w:rPr>
          <w:rFonts w:ascii="Arial" w:hAnsi="Arial" w:cs="Arial"/>
        </w:rPr>
      </w:pPr>
      <w:r>
        <w:t xml:space="preserve">: Do you agree with ESMA’s proposals to amend Article 57(8)(b) of MiFID II and to introduce Level 2 measures on position management controls? If not, please explain why. </w:t>
      </w:r>
    </w:p>
    <w:p w14:paraId="7A0C336C" w14:textId="77777777" w:rsidR="00D5365A" w:rsidRDefault="00D5365A" w:rsidP="00D5365A">
      <w:pPr>
        <w:rPr>
          <w:rFonts w:ascii="Arial" w:hAnsi="Arial" w:cs="Arial"/>
        </w:rPr>
      </w:pPr>
      <w:r>
        <w:rPr>
          <w:rFonts w:ascii="Arial" w:hAnsi="Arial" w:cs="Arial"/>
        </w:rPr>
        <w:t>&lt;ESMA_QUESTION_WPR_9&gt;</w:t>
      </w:r>
    </w:p>
    <w:p w14:paraId="3ADDE3BE" w14:textId="77777777" w:rsidR="00F367F2" w:rsidRPr="00F367F2" w:rsidRDefault="00F367F2" w:rsidP="00F367F2">
      <w:pPr>
        <w:spacing w:line="360" w:lineRule="auto"/>
        <w:ind w:left="708"/>
        <w:rPr>
          <w:rFonts w:asciiTheme="minorHAnsi" w:hAnsiTheme="minorHAnsi" w:cstheme="minorHAnsi"/>
          <w:color w:val="1F497D"/>
          <w:sz w:val="20"/>
          <w:szCs w:val="20"/>
          <w:lang w:val="en-US" w:eastAsia="en-US"/>
        </w:rPr>
      </w:pPr>
      <w:permStart w:id="1662860103" w:edGrp="everyone"/>
      <w:proofErr w:type="gramStart"/>
      <w:r w:rsidRPr="00F367F2">
        <w:rPr>
          <w:rFonts w:asciiTheme="minorHAnsi" w:hAnsiTheme="minorHAnsi" w:cstheme="minorHAnsi"/>
          <w:color w:val="1F497D"/>
          <w:sz w:val="20"/>
          <w:szCs w:val="20"/>
        </w:rPr>
        <w:t>Nasdaq</w:t>
      </w:r>
      <w:proofErr w:type="gramEnd"/>
      <w:r w:rsidRPr="00F367F2">
        <w:rPr>
          <w:rFonts w:asciiTheme="minorHAnsi" w:hAnsiTheme="minorHAnsi" w:cstheme="minorHAnsi"/>
          <w:color w:val="1F497D"/>
          <w:sz w:val="20"/>
          <w:szCs w:val="20"/>
        </w:rPr>
        <w:t xml:space="preserve"> has observed a divergent implementation of position management controls across trading venues in Europe, giving a divergent regulation of trading venues and market participants. Nasdaq therefore support ESMA’s view that there would be value in providing further clarity on the expected scope and content of position management controls to support a more convergent implementation. It is crucial that national implementations are uniform across Europe in order to secure level playing fields among trading venues and market participants. </w:t>
      </w:r>
    </w:p>
    <w:p w14:paraId="6D76D0D4" w14:textId="77777777" w:rsidR="00F367F2" w:rsidRPr="00F367F2" w:rsidRDefault="00F367F2" w:rsidP="00F367F2">
      <w:pPr>
        <w:spacing w:line="360" w:lineRule="auto"/>
        <w:ind w:left="708"/>
        <w:rPr>
          <w:rFonts w:asciiTheme="minorHAnsi" w:hAnsiTheme="minorHAnsi" w:cstheme="minorHAnsi"/>
          <w:color w:val="1F497D"/>
          <w:sz w:val="20"/>
          <w:szCs w:val="20"/>
        </w:rPr>
      </w:pPr>
    </w:p>
    <w:p w14:paraId="023648EF" w14:textId="77777777" w:rsidR="00F367F2" w:rsidRPr="00F367F2" w:rsidRDefault="00F367F2" w:rsidP="00F367F2">
      <w:pPr>
        <w:spacing w:line="360" w:lineRule="auto"/>
        <w:ind w:left="708"/>
        <w:rPr>
          <w:rFonts w:asciiTheme="minorHAnsi" w:hAnsiTheme="minorHAnsi" w:cstheme="minorHAnsi"/>
          <w:color w:val="1F497D"/>
          <w:sz w:val="20"/>
          <w:szCs w:val="20"/>
        </w:rPr>
      </w:pPr>
      <w:proofErr w:type="gramStart"/>
      <w:r w:rsidRPr="00F367F2">
        <w:rPr>
          <w:rFonts w:asciiTheme="minorHAnsi" w:hAnsiTheme="minorHAnsi" w:cstheme="minorHAnsi"/>
          <w:color w:val="1F497D"/>
          <w:sz w:val="20"/>
          <w:szCs w:val="20"/>
        </w:rPr>
        <w:t>Nasdaq</w:t>
      </w:r>
      <w:proofErr w:type="gramEnd"/>
      <w:r w:rsidRPr="00F367F2">
        <w:rPr>
          <w:rFonts w:asciiTheme="minorHAnsi" w:hAnsiTheme="minorHAnsi" w:cstheme="minorHAnsi"/>
          <w:color w:val="1F497D"/>
          <w:sz w:val="20"/>
          <w:szCs w:val="20"/>
        </w:rPr>
        <w:t xml:space="preserve"> also support ESMA’s recognition of flexibility in application to accommodate the characteristics of the different commodity derivatives traded on each venue.</w:t>
      </w:r>
    </w:p>
    <w:p w14:paraId="7798AC4C" w14:textId="77777777" w:rsidR="00F367F2" w:rsidRPr="00F367F2" w:rsidRDefault="00F367F2" w:rsidP="00F367F2">
      <w:pPr>
        <w:spacing w:line="360" w:lineRule="auto"/>
        <w:ind w:left="708"/>
        <w:rPr>
          <w:rFonts w:asciiTheme="minorHAnsi" w:hAnsiTheme="minorHAnsi" w:cstheme="minorHAnsi"/>
          <w:color w:val="1F497D"/>
          <w:sz w:val="20"/>
          <w:szCs w:val="20"/>
        </w:rPr>
      </w:pPr>
    </w:p>
    <w:p w14:paraId="3716D7A6" w14:textId="77777777" w:rsidR="00F367F2" w:rsidRPr="00F367F2" w:rsidRDefault="00F367F2" w:rsidP="00F367F2">
      <w:pPr>
        <w:spacing w:line="360" w:lineRule="auto"/>
        <w:ind w:left="708"/>
        <w:rPr>
          <w:rFonts w:asciiTheme="minorHAnsi" w:hAnsiTheme="minorHAnsi" w:cstheme="minorHAnsi"/>
          <w:color w:val="1F497D"/>
          <w:sz w:val="20"/>
          <w:szCs w:val="20"/>
        </w:rPr>
      </w:pPr>
      <w:r w:rsidRPr="00F367F2">
        <w:rPr>
          <w:rFonts w:asciiTheme="minorHAnsi" w:hAnsiTheme="minorHAnsi" w:cstheme="minorHAnsi"/>
          <w:color w:val="1F497D"/>
          <w:sz w:val="20"/>
          <w:szCs w:val="20"/>
        </w:rPr>
        <w:t>Preamble 128 of MiFID II states that “All venues (</w:t>
      </w:r>
      <w:proofErr w:type="gramStart"/>
      <w:r w:rsidRPr="00F367F2">
        <w:rPr>
          <w:rFonts w:asciiTheme="minorHAnsi" w:hAnsiTheme="minorHAnsi" w:cstheme="minorHAnsi"/>
          <w:color w:val="1F497D"/>
          <w:sz w:val="20"/>
          <w:szCs w:val="20"/>
        </w:rPr>
        <w:t>..)</w:t>
      </w:r>
      <w:proofErr w:type="gramEnd"/>
      <w:r w:rsidRPr="00F367F2">
        <w:rPr>
          <w:rFonts w:asciiTheme="minorHAnsi" w:hAnsiTheme="minorHAnsi" w:cstheme="minorHAnsi"/>
          <w:color w:val="1F497D"/>
          <w:sz w:val="20"/>
          <w:szCs w:val="20"/>
        </w:rPr>
        <w:t xml:space="preserve"> </w:t>
      </w:r>
      <w:proofErr w:type="gramStart"/>
      <w:r w:rsidRPr="00F367F2">
        <w:rPr>
          <w:rFonts w:asciiTheme="minorHAnsi" w:hAnsiTheme="minorHAnsi" w:cstheme="minorHAnsi"/>
          <w:color w:val="1F497D"/>
          <w:sz w:val="20"/>
          <w:szCs w:val="20"/>
        </w:rPr>
        <w:t>should</w:t>
      </w:r>
      <w:proofErr w:type="gramEnd"/>
      <w:r w:rsidRPr="00F367F2">
        <w:rPr>
          <w:rFonts w:asciiTheme="minorHAnsi" w:hAnsiTheme="minorHAnsi" w:cstheme="minorHAnsi"/>
          <w:color w:val="1F497D"/>
          <w:sz w:val="20"/>
          <w:szCs w:val="20"/>
        </w:rPr>
        <w:t xml:space="preserve"> have in place appropriate position management controls (..) to mitigate the effects of large and dominant positions”. Examples of such effects are not further communicated, but the </w:t>
      </w:r>
      <w:r w:rsidRPr="00F367F2">
        <w:rPr>
          <w:rFonts w:asciiTheme="minorHAnsi" w:hAnsiTheme="minorHAnsi" w:cstheme="minorHAnsi"/>
          <w:color w:val="1F497D"/>
          <w:sz w:val="20"/>
          <w:szCs w:val="20"/>
          <w:highlight w:val="yellow"/>
        </w:rPr>
        <w:t>supervisor</w:t>
      </w:r>
      <w:r w:rsidRPr="00F367F2">
        <w:rPr>
          <w:rFonts w:asciiTheme="minorHAnsi" w:hAnsiTheme="minorHAnsi" w:cstheme="minorHAnsi"/>
          <w:color w:val="1F497D"/>
          <w:sz w:val="20"/>
          <w:szCs w:val="20"/>
        </w:rPr>
        <w:t xml:space="preserve"> has in its communication with Nasdaq referred to chapter 5 in the ESMA document “Questions and Answers on MiFID II and </w:t>
      </w:r>
      <w:proofErr w:type="spellStart"/>
      <w:r w:rsidRPr="00F367F2">
        <w:rPr>
          <w:rFonts w:asciiTheme="minorHAnsi" w:hAnsiTheme="minorHAnsi" w:cstheme="minorHAnsi"/>
          <w:color w:val="1F497D"/>
          <w:sz w:val="20"/>
          <w:szCs w:val="20"/>
        </w:rPr>
        <w:t>MiFIR</w:t>
      </w:r>
      <w:proofErr w:type="spellEnd"/>
      <w:r w:rsidRPr="00F367F2">
        <w:rPr>
          <w:rFonts w:asciiTheme="minorHAnsi" w:hAnsiTheme="minorHAnsi" w:cstheme="minorHAnsi"/>
          <w:color w:val="1F497D"/>
          <w:sz w:val="20"/>
          <w:szCs w:val="20"/>
        </w:rPr>
        <w:t xml:space="preserve"> commodity derivatives topics” and expressed that position management controls are something else than controls of position limits established by the supervisory authorities. </w:t>
      </w:r>
      <w:proofErr w:type="gramStart"/>
      <w:r w:rsidRPr="00F367F2">
        <w:rPr>
          <w:rFonts w:asciiTheme="minorHAnsi" w:hAnsiTheme="minorHAnsi" w:cstheme="minorHAnsi"/>
          <w:color w:val="1F497D"/>
          <w:sz w:val="20"/>
          <w:szCs w:val="20"/>
        </w:rPr>
        <w:t>Nasdaq</w:t>
      </w:r>
      <w:proofErr w:type="gramEnd"/>
      <w:r w:rsidRPr="00F367F2">
        <w:rPr>
          <w:rFonts w:asciiTheme="minorHAnsi" w:hAnsiTheme="minorHAnsi" w:cstheme="minorHAnsi"/>
          <w:color w:val="1F497D"/>
          <w:sz w:val="20"/>
          <w:szCs w:val="20"/>
        </w:rPr>
        <w:t xml:space="preserve"> has indeed been required to implement certain measures in relation to position management controls, in ways we understand are relatively strict compared to other jurisdictions. </w:t>
      </w:r>
    </w:p>
    <w:p w14:paraId="025BC56A" w14:textId="77777777" w:rsidR="00F367F2" w:rsidRPr="00F367F2" w:rsidRDefault="00F367F2" w:rsidP="00F367F2">
      <w:pPr>
        <w:spacing w:line="360" w:lineRule="auto"/>
        <w:ind w:left="708"/>
        <w:rPr>
          <w:rFonts w:asciiTheme="minorHAnsi" w:hAnsiTheme="minorHAnsi" w:cstheme="minorHAnsi"/>
          <w:color w:val="1F497D"/>
          <w:sz w:val="20"/>
          <w:szCs w:val="20"/>
        </w:rPr>
      </w:pPr>
    </w:p>
    <w:p w14:paraId="15B11946" w14:textId="77777777" w:rsidR="00F367F2" w:rsidRPr="00F367F2" w:rsidRDefault="00F367F2" w:rsidP="00F367F2">
      <w:pPr>
        <w:spacing w:line="360" w:lineRule="auto"/>
        <w:ind w:left="708"/>
        <w:rPr>
          <w:rFonts w:asciiTheme="minorHAnsi" w:hAnsiTheme="minorHAnsi" w:cstheme="minorHAnsi"/>
          <w:color w:val="1F497D"/>
          <w:sz w:val="20"/>
          <w:szCs w:val="20"/>
        </w:rPr>
      </w:pPr>
      <w:r w:rsidRPr="00F367F2">
        <w:rPr>
          <w:rFonts w:asciiTheme="minorHAnsi" w:hAnsiTheme="minorHAnsi" w:cstheme="minorHAnsi"/>
          <w:color w:val="1F497D"/>
          <w:sz w:val="20"/>
          <w:szCs w:val="20"/>
        </w:rPr>
        <w:t xml:space="preserve">Nasdaq is therefore of the opinion that a clarification of the purpose and objective of position management controls needs to be enshrined to secure a uniform understanding across Europe, and that this needs to be done before any introduction of level 2 measures. </w:t>
      </w:r>
    </w:p>
    <w:p w14:paraId="411DB863" w14:textId="40BA01A5" w:rsidR="00D5365A" w:rsidRDefault="00D5365A" w:rsidP="00D5365A">
      <w:pPr>
        <w:rPr>
          <w:rFonts w:ascii="Arial" w:hAnsi="Arial" w:cs="Arial"/>
        </w:rPr>
      </w:pPr>
    </w:p>
    <w:permEnd w:id="1662860103"/>
    <w:p w14:paraId="2C377513" w14:textId="77777777" w:rsidR="00D5365A" w:rsidRDefault="00D5365A" w:rsidP="00D5365A">
      <w:pPr>
        <w:rPr>
          <w:rFonts w:ascii="Arial" w:hAnsi="Arial" w:cs="Arial"/>
        </w:rPr>
      </w:pPr>
      <w:r>
        <w:rPr>
          <w:rFonts w:ascii="Arial" w:hAnsi="Arial" w:cs="Arial"/>
        </w:rPr>
        <w:t>&lt;ESMA_QUESTION_WPR_9&gt;</w:t>
      </w:r>
    </w:p>
    <w:p w14:paraId="66931BD6" w14:textId="77C0A432" w:rsidR="00D5365A" w:rsidRDefault="00D5365A" w:rsidP="00D5365A">
      <w:pPr>
        <w:rPr>
          <w:rFonts w:ascii="Arial" w:hAnsi="Arial" w:cs="Arial"/>
        </w:rPr>
      </w:pPr>
    </w:p>
    <w:p w14:paraId="3468173D" w14:textId="1850607F" w:rsidR="00D5365A" w:rsidRDefault="00D5365A" w:rsidP="00D5365A">
      <w:pPr>
        <w:rPr>
          <w:rFonts w:ascii="Arial" w:hAnsi="Arial" w:cs="Arial"/>
        </w:rPr>
      </w:pPr>
    </w:p>
    <w:p w14:paraId="3920CAF1" w14:textId="77777777" w:rsidR="00D5365A" w:rsidRPr="002847A4" w:rsidRDefault="00D5365A" w:rsidP="00D5365A">
      <w:pPr>
        <w:rPr>
          <w:b/>
        </w:rPr>
      </w:pPr>
      <w:r w:rsidRPr="002847A4">
        <w:rPr>
          <w:b/>
        </w:rPr>
        <w:t>Part II</w:t>
      </w:r>
    </w:p>
    <w:p w14:paraId="5E9299BD" w14:textId="77777777" w:rsidR="00D5365A" w:rsidRDefault="00D5365A" w:rsidP="00D5365A">
      <w:pPr>
        <w:rPr>
          <w:rFonts w:ascii="Arial" w:hAnsi="Arial" w:cs="Arial"/>
        </w:rPr>
      </w:pPr>
    </w:p>
    <w:p w14:paraId="349FDAF4" w14:textId="77777777" w:rsidR="00D5365A" w:rsidRDefault="00D5365A" w:rsidP="00D5365A">
      <w:pPr>
        <w:pStyle w:val="Questionstyle"/>
        <w:numPr>
          <w:ilvl w:val="0"/>
          <w:numId w:val="17"/>
        </w:numPr>
        <w:spacing w:after="250" w:line="276" w:lineRule="auto"/>
        <w:rPr>
          <w:rFonts w:ascii="Arial" w:hAnsi="Arial" w:cs="Arial"/>
        </w:rPr>
      </w:pPr>
      <w:r>
        <w:t xml:space="preserve">: Do you agree with the revised proposed minimum threshold level for the open interest criterion for the publication of weekly position reports? If not, please state your preferred alternative for the definition of this threshold and explain why. </w:t>
      </w:r>
    </w:p>
    <w:p w14:paraId="739F7FEE" w14:textId="77777777" w:rsidR="00D5365A" w:rsidRDefault="00D5365A" w:rsidP="00D5365A">
      <w:pPr>
        <w:rPr>
          <w:rFonts w:ascii="Arial" w:hAnsi="Arial" w:cs="Arial"/>
        </w:rPr>
      </w:pPr>
      <w:r>
        <w:rPr>
          <w:rFonts w:ascii="Arial" w:hAnsi="Arial" w:cs="Arial"/>
        </w:rPr>
        <w:t>&lt;ESMA_QUESTION_WPR_10&gt;</w:t>
      </w:r>
    </w:p>
    <w:p w14:paraId="48FBBDA1" w14:textId="77777777" w:rsidR="00D5365A" w:rsidRDefault="00D5365A" w:rsidP="00D5365A">
      <w:pPr>
        <w:rPr>
          <w:rFonts w:ascii="Arial" w:hAnsi="Arial" w:cs="Arial"/>
        </w:rPr>
      </w:pPr>
      <w:permStart w:id="68034811" w:edGrp="everyone"/>
      <w:r>
        <w:rPr>
          <w:rFonts w:ascii="Arial" w:hAnsi="Arial" w:cs="Arial"/>
        </w:rPr>
        <w:t>TYPE YOUR TEXT HERE</w:t>
      </w:r>
    </w:p>
    <w:permEnd w:id="68034811"/>
    <w:p w14:paraId="7CA6A02D" w14:textId="77777777" w:rsidR="00D5365A" w:rsidRDefault="00D5365A" w:rsidP="00D5365A">
      <w:pPr>
        <w:rPr>
          <w:rFonts w:ascii="Arial" w:hAnsi="Arial" w:cs="Arial"/>
        </w:rPr>
      </w:pPr>
      <w:r>
        <w:rPr>
          <w:rFonts w:ascii="Arial" w:hAnsi="Arial" w:cs="Arial"/>
        </w:rPr>
        <w:t>&lt;ESMA_QUESTION_WPR_10&gt;</w:t>
      </w:r>
    </w:p>
    <w:p w14:paraId="1F5BE49F" w14:textId="77777777" w:rsidR="00D5365A" w:rsidRDefault="00D5365A" w:rsidP="00D5365A">
      <w:pPr>
        <w:rPr>
          <w:rFonts w:ascii="Arial" w:hAnsi="Arial" w:cs="Arial"/>
        </w:rPr>
      </w:pPr>
    </w:p>
    <w:p w14:paraId="235E6E6C" w14:textId="77777777" w:rsidR="00D5365A" w:rsidRDefault="00D5365A" w:rsidP="00D5365A">
      <w:pPr>
        <w:pStyle w:val="Questionstyle"/>
        <w:numPr>
          <w:ilvl w:val="0"/>
          <w:numId w:val="17"/>
        </w:numPr>
        <w:spacing w:after="250" w:line="276" w:lineRule="auto"/>
        <w:rPr>
          <w:rFonts w:ascii="Arial" w:hAnsi="Arial" w:cs="Arial"/>
        </w:rPr>
      </w:pPr>
      <w:r>
        <w:t>: Do you have any comment on the current number of position holders required for the publication of weekly position reports?</w:t>
      </w:r>
    </w:p>
    <w:p w14:paraId="78BEE3B9" w14:textId="77777777" w:rsidR="00D5365A" w:rsidRDefault="00D5365A" w:rsidP="00D5365A">
      <w:pPr>
        <w:rPr>
          <w:rFonts w:ascii="Arial" w:hAnsi="Arial" w:cs="Arial"/>
        </w:rPr>
      </w:pPr>
      <w:r>
        <w:rPr>
          <w:rFonts w:ascii="Arial" w:hAnsi="Arial" w:cs="Arial"/>
        </w:rPr>
        <w:t>&lt;ESMA_QUESTION_WPR_11&gt;</w:t>
      </w:r>
    </w:p>
    <w:p w14:paraId="4E331CC7" w14:textId="4D568E4B" w:rsidR="00D5365A" w:rsidRPr="00A338B1" w:rsidRDefault="00A338B1" w:rsidP="00D5365A">
      <w:pPr>
        <w:rPr>
          <w:rFonts w:asciiTheme="minorHAnsi" w:hAnsiTheme="minorHAnsi" w:cstheme="minorHAnsi"/>
          <w:sz w:val="20"/>
          <w:szCs w:val="20"/>
        </w:rPr>
      </w:pPr>
      <w:permStart w:id="281428305" w:edGrp="everyone"/>
      <w:proofErr w:type="gramStart"/>
      <w:r w:rsidRPr="00A338B1">
        <w:rPr>
          <w:rFonts w:asciiTheme="minorHAnsi" w:hAnsiTheme="minorHAnsi" w:cstheme="minorHAnsi"/>
          <w:color w:val="0070C0"/>
          <w:sz w:val="20"/>
          <w:szCs w:val="20"/>
          <w:lang w:eastAsia="en-CA"/>
        </w:rPr>
        <w:t>Nasdaq</w:t>
      </w:r>
      <w:proofErr w:type="gramEnd"/>
      <w:r w:rsidRPr="00A338B1">
        <w:rPr>
          <w:rFonts w:asciiTheme="minorHAnsi" w:hAnsiTheme="minorHAnsi" w:cstheme="minorHAnsi"/>
          <w:color w:val="0070C0"/>
          <w:sz w:val="20"/>
          <w:szCs w:val="20"/>
          <w:lang w:eastAsia="en-CA"/>
        </w:rPr>
        <w:t xml:space="preserve"> believes that the current number of po</w:t>
      </w:r>
      <w:bookmarkStart w:id="1" w:name="_GoBack"/>
      <w:bookmarkEnd w:id="1"/>
      <w:r w:rsidRPr="00A338B1">
        <w:rPr>
          <w:rFonts w:asciiTheme="minorHAnsi" w:hAnsiTheme="minorHAnsi" w:cstheme="minorHAnsi"/>
          <w:color w:val="0070C0"/>
          <w:sz w:val="20"/>
          <w:szCs w:val="20"/>
          <w:lang w:eastAsia="en-CA"/>
        </w:rPr>
        <w:t>sition holders is sufficient.</w:t>
      </w:r>
    </w:p>
    <w:permEnd w:id="281428305"/>
    <w:p w14:paraId="19E3DFC7" w14:textId="77777777" w:rsidR="00D5365A" w:rsidRDefault="00D5365A" w:rsidP="00D5365A">
      <w:pPr>
        <w:rPr>
          <w:rFonts w:ascii="Arial" w:hAnsi="Arial" w:cs="Arial"/>
        </w:rPr>
      </w:pPr>
      <w:r>
        <w:rPr>
          <w:rFonts w:ascii="Arial" w:hAnsi="Arial" w:cs="Arial"/>
        </w:rPr>
        <w:t>&lt;ESMA_QUESTION_WPR_11&gt;</w:t>
      </w:r>
    </w:p>
    <w:p w14:paraId="560C94D5" w14:textId="77777777" w:rsidR="00D5365A" w:rsidRDefault="00D5365A" w:rsidP="00D5365A">
      <w:pPr>
        <w:rPr>
          <w:rFonts w:ascii="Arial" w:hAnsi="Arial" w:cs="Arial"/>
        </w:rPr>
      </w:pPr>
    </w:p>
    <w:p w14:paraId="3BB68A6B" w14:textId="77777777" w:rsidR="00D5365A" w:rsidRDefault="00D5365A" w:rsidP="00D5365A">
      <w:pPr>
        <w:rPr>
          <w:rFonts w:ascii="Arial" w:hAnsi="Arial" w:cs="Arial"/>
        </w:rPr>
      </w:pPr>
    </w:p>
    <w:p w14:paraId="289A1E31" w14:textId="022DBCBF" w:rsidR="00AB6157" w:rsidRDefault="00AB6157" w:rsidP="00C1698A">
      <w:pPr>
        <w:spacing w:line="276" w:lineRule="auto"/>
        <w:rPr>
          <w:rFonts w:asciiTheme="minorHAnsi" w:hAnsiTheme="minorHAnsi" w:cstheme="minorHAnsi"/>
          <w:b/>
          <w:sz w:val="28"/>
          <w:szCs w:val="28"/>
        </w:rPr>
      </w:pPr>
    </w:p>
    <w:bookmarkEnd w:id="0"/>
    <w:sectPr w:rsidR="00AB6157" w:rsidSect="00C85C8B">
      <w:headerReference w:type="default" r:id="rId20"/>
      <w:footerReference w:type="default" r:id="rId21"/>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7BD937" w14:textId="77777777" w:rsidR="002B1A78" w:rsidRDefault="002B1A78" w:rsidP="007E7997">
      <w:r>
        <w:separator/>
      </w:r>
    </w:p>
  </w:endnote>
  <w:endnote w:type="continuationSeparator" w:id="0">
    <w:p w14:paraId="0DCC92D7" w14:textId="77777777" w:rsidR="002B1A78" w:rsidRDefault="002B1A78" w:rsidP="007E7997">
      <w:r>
        <w:continuationSeparator/>
      </w:r>
    </w:p>
  </w:endnote>
  <w:endnote w:type="continuationNotice" w:id="1">
    <w:p w14:paraId="72433557" w14:textId="77777777" w:rsidR="002B1A78" w:rsidRDefault="002B1A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4752671"/>
      <w:docPartObj>
        <w:docPartGallery w:val="Page Numbers (Bottom of Page)"/>
        <w:docPartUnique/>
      </w:docPartObj>
    </w:sdtPr>
    <w:sdtEndPr>
      <w:rPr>
        <w:noProof/>
      </w:rPr>
    </w:sdtEndPr>
    <w:sdtContent>
      <w:p w14:paraId="0CF5505D" w14:textId="212D7D4F" w:rsidR="00E36813" w:rsidRDefault="00E36813">
        <w:pPr>
          <w:pStyle w:val="Footer"/>
          <w:jc w:val="center"/>
        </w:pPr>
        <w:r>
          <w:fldChar w:fldCharType="begin"/>
        </w:r>
        <w:r>
          <w:instrText xml:space="preserve"> PAGE   \* MERGEFORMAT </w:instrText>
        </w:r>
        <w:r>
          <w:fldChar w:fldCharType="separate"/>
        </w:r>
        <w:r w:rsidR="00C85C8B">
          <w:rPr>
            <w:noProof/>
          </w:rPr>
          <w:t>3</w:t>
        </w:r>
        <w:r>
          <w:rPr>
            <w:noProof/>
          </w:rPr>
          <w:fldChar w:fldCharType="end"/>
        </w:r>
      </w:p>
    </w:sdtContent>
  </w:sdt>
  <w:p w14:paraId="3A18C8B1" w14:textId="77777777" w:rsidR="00E36813" w:rsidRDefault="00E368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2F3915" w14:textId="1D422D72" w:rsidR="00E36813" w:rsidRDefault="00E36813" w:rsidP="007A160F">
    <w:pPr>
      <w:pStyle w:val="Footer"/>
    </w:pPr>
    <w:r>
      <w:rPr>
        <w:rFonts w:asciiTheme="majorHAnsi" w:hAnsiTheme="majorHAnsi"/>
        <w:color w:val="FFFFFF" w:themeColor="background1"/>
      </w:rPr>
      <w:tab/>
    </w:r>
    <w:r>
      <w:rPr>
        <w:rFonts w:asciiTheme="majorHAnsi" w:hAnsiTheme="majorHAnsi"/>
        <w:color w:val="FFFFFF" w:themeColor="background1"/>
      </w:rPr>
      <w:tab/>
    </w:r>
    <w:r w:rsidR="002C56FD">
      <w:rPr>
        <w:rFonts w:asciiTheme="majorHAnsi" w:hAnsiTheme="majorHAnsi"/>
        <w:color w:val="FFFFFF" w:themeColor="background1"/>
      </w:rPr>
      <w:t>5</w:t>
    </w:r>
    <w:r w:rsidR="00C81B36">
      <w:rPr>
        <w:rFonts w:asciiTheme="majorHAnsi" w:hAnsiTheme="majorHAnsi"/>
        <w:color w:val="FFFFFF" w:themeColor="background1"/>
      </w:rPr>
      <w:t xml:space="preserve"> November </w:t>
    </w:r>
    <w:r w:rsidR="00AB6157">
      <w:rPr>
        <w:rFonts w:asciiTheme="majorHAnsi" w:hAnsiTheme="majorHAnsi"/>
        <w:color w:val="FFFFFF" w:themeColor="background1"/>
      </w:rPr>
      <w:t>2019</w:t>
    </w:r>
    <w:r w:rsidR="00FF6930">
      <w:rPr>
        <w:rFonts w:asciiTheme="majorHAnsi" w:hAnsiTheme="majorHAnsi"/>
        <w:color w:val="FFFFFF" w:themeColor="background1"/>
      </w:rPr>
      <w:t xml:space="preserve"> </w:t>
    </w:r>
    <w:r w:rsidR="00961EE5">
      <w:rPr>
        <w:rFonts w:asciiTheme="majorHAnsi" w:hAnsiTheme="majorHAnsi"/>
        <w:color w:val="FFFFFF" w:themeColor="background1"/>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3752247"/>
      <w:docPartObj>
        <w:docPartGallery w:val="Page Numbers (Bottom of Page)"/>
        <w:docPartUnique/>
      </w:docPartObj>
    </w:sdtPr>
    <w:sdtEndPr>
      <w:rPr>
        <w:noProof/>
      </w:rPr>
    </w:sdtEndPr>
    <w:sdtContent>
      <w:p w14:paraId="4C9B3DBF" w14:textId="3946D2ED" w:rsidR="00E36813" w:rsidRDefault="00E36813">
        <w:pPr>
          <w:pStyle w:val="Footer"/>
          <w:jc w:val="center"/>
        </w:pPr>
        <w:r>
          <w:fldChar w:fldCharType="begin"/>
        </w:r>
        <w:r>
          <w:instrText xml:space="preserve"> PAGE   \* MERGEFORMAT </w:instrText>
        </w:r>
        <w:r>
          <w:fldChar w:fldCharType="separate"/>
        </w:r>
        <w:r w:rsidR="00F367F2">
          <w:rPr>
            <w:noProof/>
          </w:rPr>
          <w:t>9</w:t>
        </w:r>
        <w:r>
          <w:rPr>
            <w:noProof/>
          </w:rPr>
          <w:fldChar w:fldCharType="end"/>
        </w:r>
      </w:p>
    </w:sdtContent>
  </w:sdt>
  <w:p w14:paraId="5EAB6EC7" w14:textId="1F85019A" w:rsidR="00E36813" w:rsidRDefault="00E36813" w:rsidP="00FB24ED">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E8A265" w14:textId="77777777" w:rsidR="002B1A78" w:rsidRDefault="002B1A78" w:rsidP="007E7997">
      <w:r>
        <w:separator/>
      </w:r>
    </w:p>
  </w:footnote>
  <w:footnote w:type="continuationSeparator" w:id="0">
    <w:p w14:paraId="7D4B58B4" w14:textId="77777777" w:rsidR="002B1A78" w:rsidRDefault="002B1A78" w:rsidP="007E7997">
      <w:r>
        <w:continuationSeparator/>
      </w:r>
    </w:p>
  </w:footnote>
  <w:footnote w:type="continuationNotice" w:id="1">
    <w:p w14:paraId="119F3072" w14:textId="77777777" w:rsidR="002B1A78" w:rsidRDefault="002B1A78"/>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2956F7" w14:textId="77777777" w:rsidR="00E36813" w:rsidRDefault="00E36813">
    <w:pPr>
      <w:pStyle w:val="Header"/>
    </w:pPr>
  </w:p>
  <w:p w14:paraId="59FA3C9D" w14:textId="77777777" w:rsidR="00E36813" w:rsidRDefault="00E368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391035" w14:textId="77777777" w:rsidR="00E36813" w:rsidRDefault="00E36813">
    <w:pPr>
      <w:pStyle w:val="Header"/>
    </w:pPr>
    <w:r>
      <w:rPr>
        <w:noProof/>
        <w:lang w:val="en-US" w:eastAsia="en-US"/>
      </w:rPr>
      <w:drawing>
        <wp:anchor distT="0" distB="0" distL="114300" distR="114300" simplePos="0" relativeHeight="251658752" behindDoc="0" locked="0" layoutInCell="1" allowOverlap="1" wp14:anchorId="4D6D79BE" wp14:editId="7BE45F50">
          <wp:simplePos x="0" y="0"/>
          <wp:positionH relativeFrom="page">
            <wp:posOffset>366395</wp:posOffset>
          </wp:positionH>
          <wp:positionV relativeFrom="page">
            <wp:posOffset>372745</wp:posOffset>
          </wp:positionV>
          <wp:extent cx="2209800" cy="904875"/>
          <wp:effectExtent l="0" t="0" r="0" b="9525"/>
          <wp:wrapNone/>
          <wp:docPr id="5" name="Picture 5"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eastAsia="en-US"/>
      </w:rPr>
      <w:drawing>
        <wp:anchor distT="0" distB="0" distL="114300" distR="114300" simplePos="0" relativeHeight="251657728" behindDoc="1" locked="0" layoutInCell="1" allowOverlap="1" wp14:anchorId="0329727B" wp14:editId="68199A3E">
          <wp:simplePos x="0" y="0"/>
          <wp:positionH relativeFrom="page">
            <wp:align>right</wp:align>
          </wp:positionH>
          <wp:positionV relativeFrom="page">
            <wp:align>bottom</wp:align>
          </wp:positionV>
          <wp:extent cx="7560310" cy="6800850"/>
          <wp:effectExtent l="0" t="0" r="2540" b="0"/>
          <wp:wrapNone/>
          <wp:docPr id="9" name="Picture 9"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AB6EC4" w14:textId="5E62980F" w:rsidR="00E36813" w:rsidRDefault="00E36813" w:rsidP="00B50534">
    <w:pPr>
      <w:pStyle w:val="Header"/>
      <w:jc w:val="right"/>
      <w:rPr>
        <w:b/>
        <w:color w:val="FF0000"/>
      </w:rPr>
    </w:pPr>
    <w:r w:rsidRPr="008D5F86">
      <w:rPr>
        <w:rFonts w:ascii="Arial" w:hAnsi="Arial" w:cs="Arial"/>
        <w:noProof/>
        <w:lang w:val="en-US" w:eastAsia="en-US"/>
      </w:rPr>
      <mc:AlternateContent>
        <mc:Choice Requires="wps">
          <w:drawing>
            <wp:anchor distT="0" distB="0" distL="114300" distR="114300" simplePos="0" relativeHeight="251656704" behindDoc="0" locked="0" layoutInCell="1" allowOverlap="1" wp14:anchorId="5EAB6ECC" wp14:editId="5EAB6ECD">
              <wp:simplePos x="0" y="0"/>
              <wp:positionH relativeFrom="page">
                <wp:posOffset>1594061</wp:posOffset>
              </wp:positionH>
              <wp:positionV relativeFrom="page">
                <wp:posOffset>461010</wp:posOffset>
              </wp:positionV>
              <wp:extent cx="0" cy="558165"/>
              <wp:effectExtent l="14605" t="12065" r="13970" b="1079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70782382" id="Line 16"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5.5pt,36.3pt" to="125.5pt,8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" strokecolor="#283583" strokeweight="1pt">
              <w10:wrap anchorx="page" anchory="page"/>
            </v:line>
          </w:pict>
        </mc:Fallback>
      </mc:AlternateContent>
    </w:r>
  </w:p>
  <w:p w14:paraId="5EAB6EC5" w14:textId="74FAFBAA" w:rsidR="00E36813" w:rsidRPr="00D13661" w:rsidRDefault="00E36813" w:rsidP="00B50534">
    <w:pPr>
      <w:pStyle w:val="Header"/>
      <w:jc w:val="right"/>
      <w:rPr>
        <w:rFonts w:asciiTheme="minorHAnsi" w:hAnsiTheme="minorHAnsi" w:cstheme="minorHAnsi"/>
        <w:color w:val="2F5496" w:themeColor="accent5" w:themeShade="BF"/>
        <w:sz w:val="20"/>
      </w:rPr>
    </w:pPr>
    <w:r w:rsidRPr="00D13661">
      <w:rPr>
        <w:rFonts w:asciiTheme="minorHAnsi" w:hAnsiTheme="minorHAnsi" w:cstheme="minorHAnsi"/>
        <w:noProof/>
        <w:color w:val="2F5496" w:themeColor="accent5" w:themeShade="BF"/>
        <w:sz w:val="20"/>
        <w:lang w:val="en-US" w:eastAsia="en-US"/>
      </w:rPr>
      <w:drawing>
        <wp:anchor distT="0" distB="0" distL="114300" distR="114300" simplePos="0" relativeHeight="251655680" behindDoc="0" locked="0" layoutInCell="1" allowOverlap="1" wp14:anchorId="5EAB6ECE" wp14:editId="5EAB6ECF">
          <wp:simplePos x="0" y="0"/>
          <wp:positionH relativeFrom="page">
            <wp:posOffset>899795</wp:posOffset>
          </wp:positionH>
          <wp:positionV relativeFrom="page">
            <wp:posOffset>448945</wp:posOffset>
          </wp:positionV>
          <wp:extent cx="561975" cy="561975"/>
          <wp:effectExtent l="0" t="0" r="9525" b="9525"/>
          <wp:wrapNone/>
          <wp:docPr id="4" name="Picture 4"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pic:spPr>
              </pic:pic>
            </a:graphicData>
          </a:graphic>
          <wp14:sizeRelH relativeFrom="page">
            <wp14:pctWidth>0</wp14:pctWidth>
          </wp14:sizeRelH>
          <wp14:sizeRelV relativeFrom="page">
            <wp14:pctHeight>0</wp14:pctHeight>
          </wp14:sizeRelV>
        </wp:anchor>
      </w:drawing>
    </w:r>
    <w:r w:rsidRPr="00D13661">
      <w:rPr>
        <w:rFonts w:asciiTheme="minorHAnsi" w:hAnsiTheme="minorHAnsi" w:cstheme="minorHAnsi"/>
        <w:color w:val="2F5496" w:themeColor="accent5" w:themeShade="BF"/>
        <w:sz w:val="20"/>
      </w:rPr>
      <w:t>ESMA REGULAR USE</w:t>
    </w:r>
  </w:p>
  <w:p w14:paraId="276D8625" w14:textId="77777777" w:rsidR="00E36813" w:rsidRPr="00C3170E" w:rsidRDefault="00E36813" w:rsidP="00B50534">
    <w:pPr>
      <w:pStyle w:val="Header"/>
      <w:jc w:val="right"/>
      <w:rPr>
        <w:color w:val="2F5496" w:themeColor="accent5" w:themeShade="BF"/>
        <w:sz w:val="20"/>
      </w:rPr>
    </w:pPr>
  </w:p>
  <w:p w14:paraId="5EAB6EC6" w14:textId="77777777" w:rsidR="00E36813" w:rsidRPr="00B50534" w:rsidRDefault="00E36813" w:rsidP="00B50534">
    <w:pPr>
      <w:pStyle w:val="Header"/>
      <w:jc w:val="right"/>
      <w:rPr>
        <w:b/>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806DE5"/>
    <w:multiLevelType w:val="multilevel"/>
    <w:tmpl w:val="7F2AD2EE"/>
    <w:lvl w:ilvl="0">
      <w:start w:val="1"/>
      <w:numFmt w:val="decimal"/>
      <w:pStyle w:val="Title1"/>
      <w:lvlText w:val="%1."/>
      <w:lvlJc w:val="left"/>
      <w:pPr>
        <w:ind w:left="360" w:hanging="360"/>
      </w:pPr>
    </w:lvl>
    <w:lvl w:ilvl="1">
      <w:start w:val="1"/>
      <w:numFmt w:val="decimal"/>
      <w:pStyle w:val="Title2"/>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B9E089E"/>
    <w:multiLevelType w:val="hybridMultilevel"/>
    <w:tmpl w:val="87960D64"/>
    <w:lvl w:ilvl="0" w:tplc="4F30587E">
      <w:start w:val="1"/>
      <w:numFmt w:val="lowerLetter"/>
      <w:pStyle w:val="Heading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2D181D69"/>
    <w:multiLevelType w:val="hybridMultilevel"/>
    <w:tmpl w:val="0A189E10"/>
    <w:lvl w:ilvl="0" w:tplc="52DE78C0">
      <w:start w:val="1"/>
      <w:numFmt w:val="upperLetter"/>
      <w:pStyle w:val="ListParagraph"/>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3" w15:restartNumberingAfterBreak="0">
    <w:nsid w:val="323C6B88"/>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339052AF"/>
    <w:multiLevelType w:val="hybridMultilevel"/>
    <w:tmpl w:val="99F85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A52232B"/>
    <w:multiLevelType w:val="hybridMultilevel"/>
    <w:tmpl w:val="93D60914"/>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7" w15:restartNumberingAfterBreak="0">
    <w:nsid w:val="44261A85"/>
    <w:multiLevelType w:val="hybridMultilevel"/>
    <w:tmpl w:val="5A5CEE6E"/>
    <w:lvl w:ilvl="0" w:tplc="0F768706">
      <w:start w:val="1"/>
      <w:numFmt w:val="decimal"/>
      <w:pStyle w:val="04aNumbering"/>
      <w:lvlText w:val="%1."/>
      <w:lvlJc w:val="left"/>
      <w:pPr>
        <w:tabs>
          <w:tab w:val="num" w:pos="284"/>
        </w:tabs>
        <w:ind w:left="284" w:hanging="284"/>
      </w:pPr>
      <w:rPr>
        <w:rFonts w:ascii="Georgia" w:hAnsi="Georgia" w:hint="default"/>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15:restartNumberingAfterBreak="0">
    <w:nsid w:val="60F4367C"/>
    <w:multiLevelType w:val="hybridMultilevel"/>
    <w:tmpl w:val="E8BC2FAE"/>
    <w:lvl w:ilvl="0" w:tplc="08090001">
      <w:start w:val="1"/>
      <w:numFmt w:val="bullet"/>
      <w:lvlText w:val=""/>
      <w:lvlJc w:val="left"/>
      <w:pPr>
        <w:ind w:left="928" w:hanging="360"/>
      </w:pPr>
      <w:rPr>
        <w:rFonts w:ascii="Symbol" w:hAnsi="Symbol" w:hint="default"/>
      </w:r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6BAD1101"/>
    <w:multiLevelType w:val="multilevel"/>
    <w:tmpl w:val="766C753E"/>
    <w:lvl w:ilvl="0">
      <w:start w:val="1"/>
      <w:numFmt w:val="upperRoman"/>
      <w:pStyle w:val="Heading1"/>
      <w:lvlText w:val="%1."/>
      <w:lvlJc w:val="righ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71494B32"/>
    <w:multiLevelType w:val="hybridMultilevel"/>
    <w:tmpl w:val="066A8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2D76F3F"/>
    <w:multiLevelType w:val="hybridMultilevel"/>
    <w:tmpl w:val="221AC284"/>
    <w:lvl w:ilvl="0" w:tplc="E0F01CF2">
      <w:start w:val="1"/>
      <w:numFmt w:val="decimal"/>
      <w:pStyle w:val="Questionstyle"/>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5145C8C"/>
    <w:multiLevelType w:val="hybridMultilevel"/>
    <w:tmpl w:val="D2744510"/>
    <w:lvl w:ilvl="0" w:tplc="F82C7A26">
      <w:start w:val="1"/>
      <w:numFmt w:val="decimal"/>
      <w:lvlText w:val="%1."/>
      <w:lvlJc w:val="left"/>
      <w:pPr>
        <w:ind w:left="928" w:hanging="360"/>
      </w:p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0"/>
  </w:num>
  <w:num w:numId="3">
    <w:abstractNumId w:val="9"/>
  </w:num>
  <w:num w:numId="4">
    <w:abstractNumId w:val="1"/>
  </w:num>
  <w:num w:numId="5">
    <w:abstractNumId w:val="7"/>
  </w:num>
  <w:num w:numId="6">
    <w:abstractNumId w:val="11"/>
  </w:num>
  <w:num w:numId="7">
    <w:abstractNumId w:val="6"/>
  </w:num>
  <w:num w:numId="8">
    <w:abstractNumId w:val="2"/>
  </w:num>
  <w:num w:numId="9">
    <w:abstractNumId w:val="5"/>
  </w:num>
  <w:num w:numId="10">
    <w:abstractNumId w:val="4"/>
  </w:num>
  <w:num w:numId="11">
    <w:abstractNumId w:val="3"/>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8"/>
  </w:num>
  <w:num w:numId="16">
    <w:abstractNumId w:val="10"/>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131078" w:nlCheck="1" w:checkStyle="1"/>
  <w:proofState w:spelling="clean" w:grammar="clean"/>
  <w:attachedTemplate r:id="rId1"/>
  <w:documentProtection w:edit="readOnly" w:enforcement="1" w:cryptProviderType="rsaAES" w:cryptAlgorithmClass="hash" w:cryptAlgorithmType="typeAny" w:cryptAlgorithmSid="14" w:cryptSpinCount="100000" w:hash="3T4gHCw/36fZJqGjBpVdxSvdxJQQuQQ0Z20mR1FA0lQXwCE12LqF/2U4umVg3AevknaitzM/1I4cfr8FMyFGGw==" w:salt="5FaIoUXA3WEmdJfgWb4/lg=="/>
  <w:defaultTabStop w:val="708"/>
  <w:hyphenationZone w:val="425"/>
  <w:characterSpacingControl w:val="doNotCompress"/>
  <w:hdrShapeDefaults>
    <o:shapedefaults v:ext="edit" spidmax="1433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842"/>
    <w:rsid w:val="0000380B"/>
    <w:rsid w:val="00005505"/>
    <w:rsid w:val="00006275"/>
    <w:rsid w:val="00006971"/>
    <w:rsid w:val="00011F6C"/>
    <w:rsid w:val="0001249B"/>
    <w:rsid w:val="00012D68"/>
    <w:rsid w:val="000142BB"/>
    <w:rsid w:val="0001633D"/>
    <w:rsid w:val="0001726F"/>
    <w:rsid w:val="00020098"/>
    <w:rsid w:val="00020300"/>
    <w:rsid w:val="00021A9A"/>
    <w:rsid w:val="00022ADA"/>
    <w:rsid w:val="00026327"/>
    <w:rsid w:val="00027EC9"/>
    <w:rsid w:val="00033934"/>
    <w:rsid w:val="00036C09"/>
    <w:rsid w:val="000372BF"/>
    <w:rsid w:val="00040A52"/>
    <w:rsid w:val="00044C5A"/>
    <w:rsid w:val="00044E0A"/>
    <w:rsid w:val="000461AB"/>
    <w:rsid w:val="00054E00"/>
    <w:rsid w:val="00061B2B"/>
    <w:rsid w:val="0006448C"/>
    <w:rsid w:val="0006449B"/>
    <w:rsid w:val="000655AD"/>
    <w:rsid w:val="00066FD1"/>
    <w:rsid w:val="00072BF9"/>
    <w:rsid w:val="00073DF9"/>
    <w:rsid w:val="0007767E"/>
    <w:rsid w:val="0007796D"/>
    <w:rsid w:val="000830DA"/>
    <w:rsid w:val="00083FBB"/>
    <w:rsid w:val="000921E6"/>
    <w:rsid w:val="00093239"/>
    <w:rsid w:val="000A03C9"/>
    <w:rsid w:val="000A12CC"/>
    <w:rsid w:val="000A2738"/>
    <w:rsid w:val="000A2DF1"/>
    <w:rsid w:val="000A3D10"/>
    <w:rsid w:val="000A409B"/>
    <w:rsid w:val="000A66FC"/>
    <w:rsid w:val="000A741E"/>
    <w:rsid w:val="000B1615"/>
    <w:rsid w:val="000B2AAF"/>
    <w:rsid w:val="000B2E26"/>
    <w:rsid w:val="000B5D3D"/>
    <w:rsid w:val="000C0CE0"/>
    <w:rsid w:val="000C2400"/>
    <w:rsid w:val="000C299C"/>
    <w:rsid w:val="000C5ACC"/>
    <w:rsid w:val="000D0293"/>
    <w:rsid w:val="000D0850"/>
    <w:rsid w:val="000D1038"/>
    <w:rsid w:val="000D11A9"/>
    <w:rsid w:val="000D2D7B"/>
    <w:rsid w:val="000E2232"/>
    <w:rsid w:val="000E3DB1"/>
    <w:rsid w:val="000F0169"/>
    <w:rsid w:val="000F0951"/>
    <w:rsid w:val="000F2598"/>
    <w:rsid w:val="000F29C0"/>
    <w:rsid w:val="000F2BE6"/>
    <w:rsid w:val="000F474D"/>
    <w:rsid w:val="000F5C90"/>
    <w:rsid w:val="000F5EA6"/>
    <w:rsid w:val="000F74C4"/>
    <w:rsid w:val="000F7998"/>
    <w:rsid w:val="00100ADC"/>
    <w:rsid w:val="0010429A"/>
    <w:rsid w:val="00105424"/>
    <w:rsid w:val="001075EC"/>
    <w:rsid w:val="00113D82"/>
    <w:rsid w:val="00120F0D"/>
    <w:rsid w:val="001214DA"/>
    <w:rsid w:val="0012722A"/>
    <w:rsid w:val="00130EF9"/>
    <w:rsid w:val="001319C7"/>
    <w:rsid w:val="001355E6"/>
    <w:rsid w:val="0013644A"/>
    <w:rsid w:val="00140BA6"/>
    <w:rsid w:val="00141946"/>
    <w:rsid w:val="00143DCA"/>
    <w:rsid w:val="00144AAD"/>
    <w:rsid w:val="001455E7"/>
    <w:rsid w:val="0014624E"/>
    <w:rsid w:val="001608B2"/>
    <w:rsid w:val="00160FE0"/>
    <w:rsid w:val="00163AB3"/>
    <w:rsid w:val="00165047"/>
    <w:rsid w:val="00165FF8"/>
    <w:rsid w:val="0016669F"/>
    <w:rsid w:val="00170AD6"/>
    <w:rsid w:val="001735B8"/>
    <w:rsid w:val="00177AA7"/>
    <w:rsid w:val="00180917"/>
    <w:rsid w:val="00180E53"/>
    <w:rsid w:val="00181CB7"/>
    <w:rsid w:val="001862A5"/>
    <w:rsid w:val="00186A70"/>
    <w:rsid w:val="00191035"/>
    <w:rsid w:val="001918E5"/>
    <w:rsid w:val="00192A7A"/>
    <w:rsid w:val="001A1EF4"/>
    <w:rsid w:val="001A7046"/>
    <w:rsid w:val="001A710D"/>
    <w:rsid w:val="001A7E6F"/>
    <w:rsid w:val="001B0A77"/>
    <w:rsid w:val="001B1727"/>
    <w:rsid w:val="001B2151"/>
    <w:rsid w:val="001B3CFF"/>
    <w:rsid w:val="001B4957"/>
    <w:rsid w:val="001B4996"/>
    <w:rsid w:val="001C0E59"/>
    <w:rsid w:val="001C432D"/>
    <w:rsid w:val="001C469E"/>
    <w:rsid w:val="001C56C3"/>
    <w:rsid w:val="001C5D8C"/>
    <w:rsid w:val="001C7E0A"/>
    <w:rsid w:val="001D0112"/>
    <w:rsid w:val="001D19F5"/>
    <w:rsid w:val="001D385A"/>
    <w:rsid w:val="001D6B39"/>
    <w:rsid w:val="001E1ECD"/>
    <w:rsid w:val="001E3E0D"/>
    <w:rsid w:val="001E4A45"/>
    <w:rsid w:val="001E5E30"/>
    <w:rsid w:val="001F0479"/>
    <w:rsid w:val="001F1F10"/>
    <w:rsid w:val="001F3999"/>
    <w:rsid w:val="001F3D9D"/>
    <w:rsid w:val="00200894"/>
    <w:rsid w:val="00202333"/>
    <w:rsid w:val="00202FA8"/>
    <w:rsid w:val="002034B8"/>
    <w:rsid w:val="00205922"/>
    <w:rsid w:val="00206FB8"/>
    <w:rsid w:val="0020766F"/>
    <w:rsid w:val="00207A07"/>
    <w:rsid w:val="00210498"/>
    <w:rsid w:val="0021147A"/>
    <w:rsid w:val="00213BFB"/>
    <w:rsid w:val="00217478"/>
    <w:rsid w:val="00223F79"/>
    <w:rsid w:val="00224806"/>
    <w:rsid w:val="00232F8E"/>
    <w:rsid w:val="00233071"/>
    <w:rsid w:val="00235E99"/>
    <w:rsid w:val="0024299F"/>
    <w:rsid w:val="002449D8"/>
    <w:rsid w:val="00244B86"/>
    <w:rsid w:val="00244C97"/>
    <w:rsid w:val="0024512F"/>
    <w:rsid w:val="00245406"/>
    <w:rsid w:val="002455D7"/>
    <w:rsid w:val="00245D2E"/>
    <w:rsid w:val="00246E1D"/>
    <w:rsid w:val="002472F6"/>
    <w:rsid w:val="0025020D"/>
    <w:rsid w:val="00254CC2"/>
    <w:rsid w:val="002574D1"/>
    <w:rsid w:val="00261CCB"/>
    <w:rsid w:val="002630C0"/>
    <w:rsid w:val="0026332A"/>
    <w:rsid w:val="002645A8"/>
    <w:rsid w:val="0026493B"/>
    <w:rsid w:val="00265566"/>
    <w:rsid w:val="00265F44"/>
    <w:rsid w:val="002665E3"/>
    <w:rsid w:val="00270B7C"/>
    <w:rsid w:val="0027199C"/>
    <w:rsid w:val="00272C4E"/>
    <w:rsid w:val="002751FC"/>
    <w:rsid w:val="002753BD"/>
    <w:rsid w:val="00282D38"/>
    <w:rsid w:val="00282FBE"/>
    <w:rsid w:val="00284AF2"/>
    <w:rsid w:val="0028536B"/>
    <w:rsid w:val="00285CED"/>
    <w:rsid w:val="00285EB5"/>
    <w:rsid w:val="00287C8F"/>
    <w:rsid w:val="00290893"/>
    <w:rsid w:val="002917B9"/>
    <w:rsid w:val="00291A55"/>
    <w:rsid w:val="0029394C"/>
    <w:rsid w:val="002A13B0"/>
    <w:rsid w:val="002A2C91"/>
    <w:rsid w:val="002A6C21"/>
    <w:rsid w:val="002A780E"/>
    <w:rsid w:val="002B144C"/>
    <w:rsid w:val="002B1A78"/>
    <w:rsid w:val="002B53F3"/>
    <w:rsid w:val="002C03FD"/>
    <w:rsid w:val="002C044D"/>
    <w:rsid w:val="002C1AA5"/>
    <w:rsid w:val="002C2A46"/>
    <w:rsid w:val="002C3048"/>
    <w:rsid w:val="002C56FD"/>
    <w:rsid w:val="002D2992"/>
    <w:rsid w:val="002D37A0"/>
    <w:rsid w:val="002D5AB5"/>
    <w:rsid w:val="002D6667"/>
    <w:rsid w:val="002D79F3"/>
    <w:rsid w:val="002E1C11"/>
    <w:rsid w:val="002E3D0B"/>
    <w:rsid w:val="002E3E7D"/>
    <w:rsid w:val="002F6279"/>
    <w:rsid w:val="003013B7"/>
    <w:rsid w:val="00301993"/>
    <w:rsid w:val="00301E55"/>
    <w:rsid w:val="00307397"/>
    <w:rsid w:val="003101EF"/>
    <w:rsid w:val="00312BDD"/>
    <w:rsid w:val="00314117"/>
    <w:rsid w:val="00317EDF"/>
    <w:rsid w:val="003279E7"/>
    <w:rsid w:val="00327B62"/>
    <w:rsid w:val="00331FE9"/>
    <w:rsid w:val="0033324D"/>
    <w:rsid w:val="0033587C"/>
    <w:rsid w:val="00336BF9"/>
    <w:rsid w:val="003371E8"/>
    <w:rsid w:val="00337471"/>
    <w:rsid w:val="0034151D"/>
    <w:rsid w:val="00342B5B"/>
    <w:rsid w:val="00343532"/>
    <w:rsid w:val="00345469"/>
    <w:rsid w:val="003454ED"/>
    <w:rsid w:val="00345EB9"/>
    <w:rsid w:val="0035030F"/>
    <w:rsid w:val="00353C4B"/>
    <w:rsid w:val="003545A6"/>
    <w:rsid w:val="00356C60"/>
    <w:rsid w:val="003578D1"/>
    <w:rsid w:val="00366D42"/>
    <w:rsid w:val="0036748C"/>
    <w:rsid w:val="00372615"/>
    <w:rsid w:val="00373A3C"/>
    <w:rsid w:val="00376233"/>
    <w:rsid w:val="00380B30"/>
    <w:rsid w:val="00381784"/>
    <w:rsid w:val="00381EB0"/>
    <w:rsid w:val="00382A72"/>
    <w:rsid w:val="00382EBA"/>
    <w:rsid w:val="0038331A"/>
    <w:rsid w:val="0039135B"/>
    <w:rsid w:val="003A34E7"/>
    <w:rsid w:val="003A3CB1"/>
    <w:rsid w:val="003A3D55"/>
    <w:rsid w:val="003A73A4"/>
    <w:rsid w:val="003B102E"/>
    <w:rsid w:val="003B4E3D"/>
    <w:rsid w:val="003C167E"/>
    <w:rsid w:val="003C481D"/>
    <w:rsid w:val="003C4EB5"/>
    <w:rsid w:val="003D2CED"/>
    <w:rsid w:val="003D344A"/>
    <w:rsid w:val="003D3BB8"/>
    <w:rsid w:val="003D7C07"/>
    <w:rsid w:val="003E13FD"/>
    <w:rsid w:val="003E1C24"/>
    <w:rsid w:val="003E61FC"/>
    <w:rsid w:val="003E77BC"/>
    <w:rsid w:val="003F0EDF"/>
    <w:rsid w:val="003F20C7"/>
    <w:rsid w:val="003F39B1"/>
    <w:rsid w:val="00400D9C"/>
    <w:rsid w:val="00400FBE"/>
    <w:rsid w:val="004022CF"/>
    <w:rsid w:val="004029B1"/>
    <w:rsid w:val="0040322C"/>
    <w:rsid w:val="004038F1"/>
    <w:rsid w:val="00404282"/>
    <w:rsid w:val="0040743A"/>
    <w:rsid w:val="00407623"/>
    <w:rsid w:val="00407A74"/>
    <w:rsid w:val="00414210"/>
    <w:rsid w:val="004159DB"/>
    <w:rsid w:val="00420FD4"/>
    <w:rsid w:val="004242B3"/>
    <w:rsid w:val="00426D62"/>
    <w:rsid w:val="00427A89"/>
    <w:rsid w:val="00430C5B"/>
    <w:rsid w:val="00431968"/>
    <w:rsid w:val="00433936"/>
    <w:rsid w:val="0043475E"/>
    <w:rsid w:val="00435FE9"/>
    <w:rsid w:val="00436279"/>
    <w:rsid w:val="0044199E"/>
    <w:rsid w:val="0044206D"/>
    <w:rsid w:val="00444803"/>
    <w:rsid w:val="00445696"/>
    <w:rsid w:val="00446E5F"/>
    <w:rsid w:val="00450C4E"/>
    <w:rsid w:val="00451D9E"/>
    <w:rsid w:val="00455577"/>
    <w:rsid w:val="00456795"/>
    <w:rsid w:val="00461CC8"/>
    <w:rsid w:val="00462B2F"/>
    <w:rsid w:val="00465EAA"/>
    <w:rsid w:val="004708CA"/>
    <w:rsid w:val="004709E7"/>
    <w:rsid w:val="00470ADE"/>
    <w:rsid w:val="004712C7"/>
    <w:rsid w:val="004759EB"/>
    <w:rsid w:val="00477919"/>
    <w:rsid w:val="00482611"/>
    <w:rsid w:val="00482A27"/>
    <w:rsid w:val="00487DCE"/>
    <w:rsid w:val="004950B7"/>
    <w:rsid w:val="00497FEA"/>
    <w:rsid w:val="004B07B2"/>
    <w:rsid w:val="004B0955"/>
    <w:rsid w:val="004B1842"/>
    <w:rsid w:val="004B25D0"/>
    <w:rsid w:val="004B3553"/>
    <w:rsid w:val="004B5E92"/>
    <w:rsid w:val="004C0A30"/>
    <w:rsid w:val="004C357C"/>
    <w:rsid w:val="004C3D18"/>
    <w:rsid w:val="004C792C"/>
    <w:rsid w:val="004D42B1"/>
    <w:rsid w:val="004D526F"/>
    <w:rsid w:val="004E19C0"/>
    <w:rsid w:val="004E1C54"/>
    <w:rsid w:val="004E2C37"/>
    <w:rsid w:val="004E5285"/>
    <w:rsid w:val="004F0CF3"/>
    <w:rsid w:val="004F5740"/>
    <w:rsid w:val="004F58C9"/>
    <w:rsid w:val="005028B9"/>
    <w:rsid w:val="00505E17"/>
    <w:rsid w:val="00511A59"/>
    <w:rsid w:val="00511C3B"/>
    <w:rsid w:val="00514440"/>
    <w:rsid w:val="005166C3"/>
    <w:rsid w:val="00520F7C"/>
    <w:rsid w:val="00523974"/>
    <w:rsid w:val="00526E5D"/>
    <w:rsid w:val="00531432"/>
    <w:rsid w:val="00532BC8"/>
    <w:rsid w:val="005333E8"/>
    <w:rsid w:val="00534912"/>
    <w:rsid w:val="005370E7"/>
    <w:rsid w:val="005409B7"/>
    <w:rsid w:val="00545E62"/>
    <w:rsid w:val="00551070"/>
    <w:rsid w:val="00552C8A"/>
    <w:rsid w:val="00555156"/>
    <w:rsid w:val="0055535B"/>
    <w:rsid w:val="00560A96"/>
    <w:rsid w:val="005619CB"/>
    <w:rsid w:val="00561B71"/>
    <w:rsid w:val="00561F98"/>
    <w:rsid w:val="00564607"/>
    <w:rsid w:val="00565193"/>
    <w:rsid w:val="00570896"/>
    <w:rsid w:val="005725BD"/>
    <w:rsid w:val="005730B0"/>
    <w:rsid w:val="00575DCC"/>
    <w:rsid w:val="005821B0"/>
    <w:rsid w:val="0059175F"/>
    <w:rsid w:val="00591AAC"/>
    <w:rsid w:val="00595F08"/>
    <w:rsid w:val="00595FBE"/>
    <w:rsid w:val="005A1C55"/>
    <w:rsid w:val="005B169D"/>
    <w:rsid w:val="005B4ACA"/>
    <w:rsid w:val="005B6B12"/>
    <w:rsid w:val="005C19E9"/>
    <w:rsid w:val="005C2DBC"/>
    <w:rsid w:val="005C5F13"/>
    <w:rsid w:val="005C65F9"/>
    <w:rsid w:val="005C6B0E"/>
    <w:rsid w:val="005C7E1F"/>
    <w:rsid w:val="005D1B9E"/>
    <w:rsid w:val="005D1F6B"/>
    <w:rsid w:val="005D2DE7"/>
    <w:rsid w:val="005D331C"/>
    <w:rsid w:val="005D6355"/>
    <w:rsid w:val="005D7AAF"/>
    <w:rsid w:val="005E0C59"/>
    <w:rsid w:val="005E1DA3"/>
    <w:rsid w:val="005E306B"/>
    <w:rsid w:val="005E53D0"/>
    <w:rsid w:val="005E5785"/>
    <w:rsid w:val="005E6098"/>
    <w:rsid w:val="005E7969"/>
    <w:rsid w:val="005F0C93"/>
    <w:rsid w:val="005F3F22"/>
    <w:rsid w:val="005F4FC0"/>
    <w:rsid w:val="005F540F"/>
    <w:rsid w:val="005F5491"/>
    <w:rsid w:val="005F6144"/>
    <w:rsid w:val="005F6573"/>
    <w:rsid w:val="00601541"/>
    <w:rsid w:val="0060361E"/>
    <w:rsid w:val="00604A25"/>
    <w:rsid w:val="00606683"/>
    <w:rsid w:val="00613BF6"/>
    <w:rsid w:val="00616D27"/>
    <w:rsid w:val="006234FE"/>
    <w:rsid w:val="00623840"/>
    <w:rsid w:val="006255EC"/>
    <w:rsid w:val="00625A25"/>
    <w:rsid w:val="0062736A"/>
    <w:rsid w:val="0063070E"/>
    <w:rsid w:val="0063565E"/>
    <w:rsid w:val="00636E02"/>
    <w:rsid w:val="00641DB1"/>
    <w:rsid w:val="00642297"/>
    <w:rsid w:val="00644A34"/>
    <w:rsid w:val="00654824"/>
    <w:rsid w:val="00661766"/>
    <w:rsid w:val="00662882"/>
    <w:rsid w:val="0066298C"/>
    <w:rsid w:val="00663008"/>
    <w:rsid w:val="00663093"/>
    <w:rsid w:val="00665A7C"/>
    <w:rsid w:val="00665B0B"/>
    <w:rsid w:val="006705CD"/>
    <w:rsid w:val="00671363"/>
    <w:rsid w:val="00672780"/>
    <w:rsid w:val="00672842"/>
    <w:rsid w:val="00676CFC"/>
    <w:rsid w:val="00677133"/>
    <w:rsid w:val="00681482"/>
    <w:rsid w:val="00687BF0"/>
    <w:rsid w:val="006904CF"/>
    <w:rsid w:val="006912FB"/>
    <w:rsid w:val="00695AF2"/>
    <w:rsid w:val="00696A2B"/>
    <w:rsid w:val="00696BD5"/>
    <w:rsid w:val="006A04AE"/>
    <w:rsid w:val="006A0AE4"/>
    <w:rsid w:val="006A23F3"/>
    <w:rsid w:val="006A2CF3"/>
    <w:rsid w:val="006A5047"/>
    <w:rsid w:val="006A7A10"/>
    <w:rsid w:val="006B0DA4"/>
    <w:rsid w:val="006B1B6B"/>
    <w:rsid w:val="006B2C57"/>
    <w:rsid w:val="006B79E0"/>
    <w:rsid w:val="006C1633"/>
    <w:rsid w:val="006C5BF8"/>
    <w:rsid w:val="006C7CCB"/>
    <w:rsid w:val="006D6009"/>
    <w:rsid w:val="006D7D41"/>
    <w:rsid w:val="006E2F4D"/>
    <w:rsid w:val="006E3FDD"/>
    <w:rsid w:val="006E58FB"/>
    <w:rsid w:val="006E5D82"/>
    <w:rsid w:val="006E66B2"/>
    <w:rsid w:val="006E6C50"/>
    <w:rsid w:val="006E7A69"/>
    <w:rsid w:val="006E7DE4"/>
    <w:rsid w:val="006F53E8"/>
    <w:rsid w:val="006F5FB8"/>
    <w:rsid w:val="0070017B"/>
    <w:rsid w:val="0070427E"/>
    <w:rsid w:val="00704D53"/>
    <w:rsid w:val="007056C3"/>
    <w:rsid w:val="00706072"/>
    <w:rsid w:val="00713644"/>
    <w:rsid w:val="00721256"/>
    <w:rsid w:val="007217AD"/>
    <w:rsid w:val="00723BA1"/>
    <w:rsid w:val="00724A1B"/>
    <w:rsid w:val="0073173E"/>
    <w:rsid w:val="007319C3"/>
    <w:rsid w:val="0073454F"/>
    <w:rsid w:val="00735C00"/>
    <w:rsid w:val="007364C6"/>
    <w:rsid w:val="00740BF3"/>
    <w:rsid w:val="00741D5C"/>
    <w:rsid w:val="0074352F"/>
    <w:rsid w:val="00747C5E"/>
    <w:rsid w:val="00750210"/>
    <w:rsid w:val="00754B57"/>
    <w:rsid w:val="0075671D"/>
    <w:rsid w:val="0076002F"/>
    <w:rsid w:val="0076038B"/>
    <w:rsid w:val="00761744"/>
    <w:rsid w:val="00764582"/>
    <w:rsid w:val="00765FA3"/>
    <w:rsid w:val="00766961"/>
    <w:rsid w:val="00766B5A"/>
    <w:rsid w:val="00770C33"/>
    <w:rsid w:val="007741C3"/>
    <w:rsid w:val="00777BE0"/>
    <w:rsid w:val="00780923"/>
    <w:rsid w:val="0078131F"/>
    <w:rsid w:val="007844C6"/>
    <w:rsid w:val="007876EF"/>
    <w:rsid w:val="00790306"/>
    <w:rsid w:val="0079364C"/>
    <w:rsid w:val="007942B9"/>
    <w:rsid w:val="00796C7F"/>
    <w:rsid w:val="00797E0C"/>
    <w:rsid w:val="007A160F"/>
    <w:rsid w:val="007A48BC"/>
    <w:rsid w:val="007B0BC1"/>
    <w:rsid w:val="007B354B"/>
    <w:rsid w:val="007B4FC3"/>
    <w:rsid w:val="007B73F3"/>
    <w:rsid w:val="007B7EE5"/>
    <w:rsid w:val="007C1C28"/>
    <w:rsid w:val="007C2A2C"/>
    <w:rsid w:val="007C3577"/>
    <w:rsid w:val="007C5E08"/>
    <w:rsid w:val="007D0002"/>
    <w:rsid w:val="007D7A59"/>
    <w:rsid w:val="007E53F5"/>
    <w:rsid w:val="007E6E9E"/>
    <w:rsid w:val="007E7637"/>
    <w:rsid w:val="007E7997"/>
    <w:rsid w:val="007F014A"/>
    <w:rsid w:val="007F04EF"/>
    <w:rsid w:val="007F0763"/>
    <w:rsid w:val="007F1DE9"/>
    <w:rsid w:val="007F25C2"/>
    <w:rsid w:val="007F4F88"/>
    <w:rsid w:val="007F5822"/>
    <w:rsid w:val="007F5B86"/>
    <w:rsid w:val="00800A7F"/>
    <w:rsid w:val="0080285D"/>
    <w:rsid w:val="0081028F"/>
    <w:rsid w:val="008107D9"/>
    <w:rsid w:val="0081093B"/>
    <w:rsid w:val="008116D9"/>
    <w:rsid w:val="00811936"/>
    <w:rsid w:val="00813059"/>
    <w:rsid w:val="008173E2"/>
    <w:rsid w:val="008201C3"/>
    <w:rsid w:val="00820422"/>
    <w:rsid w:val="00820655"/>
    <w:rsid w:val="008227D7"/>
    <w:rsid w:val="008249A1"/>
    <w:rsid w:val="00825D43"/>
    <w:rsid w:val="0082632D"/>
    <w:rsid w:val="00832500"/>
    <w:rsid w:val="00832787"/>
    <w:rsid w:val="00835805"/>
    <w:rsid w:val="0083595F"/>
    <w:rsid w:val="008372B6"/>
    <w:rsid w:val="00843A1A"/>
    <w:rsid w:val="00846433"/>
    <w:rsid w:val="008472C2"/>
    <w:rsid w:val="008510D9"/>
    <w:rsid w:val="00851EE3"/>
    <w:rsid w:val="00853121"/>
    <w:rsid w:val="008555E4"/>
    <w:rsid w:val="00864E60"/>
    <w:rsid w:val="00866A09"/>
    <w:rsid w:val="008712BF"/>
    <w:rsid w:val="00872209"/>
    <w:rsid w:val="00873656"/>
    <w:rsid w:val="00880140"/>
    <w:rsid w:val="008842F7"/>
    <w:rsid w:val="00885B94"/>
    <w:rsid w:val="0089075A"/>
    <w:rsid w:val="00890F80"/>
    <w:rsid w:val="00892BFD"/>
    <w:rsid w:val="0089338A"/>
    <w:rsid w:val="00894199"/>
    <w:rsid w:val="008948BE"/>
    <w:rsid w:val="008A1E27"/>
    <w:rsid w:val="008A2C86"/>
    <w:rsid w:val="008A6000"/>
    <w:rsid w:val="008A70A8"/>
    <w:rsid w:val="008A7FAC"/>
    <w:rsid w:val="008B1FD9"/>
    <w:rsid w:val="008B2AF1"/>
    <w:rsid w:val="008B5191"/>
    <w:rsid w:val="008B710D"/>
    <w:rsid w:val="008B7CA1"/>
    <w:rsid w:val="008C0389"/>
    <w:rsid w:val="008C27D3"/>
    <w:rsid w:val="008C4B2B"/>
    <w:rsid w:val="008C5E91"/>
    <w:rsid w:val="008C686D"/>
    <w:rsid w:val="008C6B18"/>
    <w:rsid w:val="008C75E6"/>
    <w:rsid w:val="008C767A"/>
    <w:rsid w:val="008C7A73"/>
    <w:rsid w:val="008D0569"/>
    <w:rsid w:val="008D5C28"/>
    <w:rsid w:val="008D72DF"/>
    <w:rsid w:val="008E2D26"/>
    <w:rsid w:val="008E4076"/>
    <w:rsid w:val="008E7DBA"/>
    <w:rsid w:val="008F3386"/>
    <w:rsid w:val="008F3AD9"/>
    <w:rsid w:val="008F4642"/>
    <w:rsid w:val="008F4E00"/>
    <w:rsid w:val="008F761D"/>
    <w:rsid w:val="00900D44"/>
    <w:rsid w:val="00902520"/>
    <w:rsid w:val="00906DC4"/>
    <w:rsid w:val="0091457F"/>
    <w:rsid w:val="0091729E"/>
    <w:rsid w:val="0094008E"/>
    <w:rsid w:val="00941C0C"/>
    <w:rsid w:val="009437F2"/>
    <w:rsid w:val="0094528B"/>
    <w:rsid w:val="00960A8B"/>
    <w:rsid w:val="00961EE5"/>
    <w:rsid w:val="00965128"/>
    <w:rsid w:val="00973F43"/>
    <w:rsid w:val="0097785D"/>
    <w:rsid w:val="0098011D"/>
    <w:rsid w:val="00981912"/>
    <w:rsid w:val="009819C0"/>
    <w:rsid w:val="00987A75"/>
    <w:rsid w:val="00991A8A"/>
    <w:rsid w:val="00992611"/>
    <w:rsid w:val="00994303"/>
    <w:rsid w:val="0099526D"/>
    <w:rsid w:val="009A0054"/>
    <w:rsid w:val="009A0F6E"/>
    <w:rsid w:val="009A5548"/>
    <w:rsid w:val="009B25C1"/>
    <w:rsid w:val="009B7B79"/>
    <w:rsid w:val="009C0383"/>
    <w:rsid w:val="009C145B"/>
    <w:rsid w:val="009C3E04"/>
    <w:rsid w:val="009C3F1A"/>
    <w:rsid w:val="009C4FB0"/>
    <w:rsid w:val="009C75D1"/>
    <w:rsid w:val="009C7694"/>
    <w:rsid w:val="009D0570"/>
    <w:rsid w:val="009D3E5C"/>
    <w:rsid w:val="009D495C"/>
    <w:rsid w:val="009D570F"/>
    <w:rsid w:val="009D5E88"/>
    <w:rsid w:val="009D6E1A"/>
    <w:rsid w:val="009D7294"/>
    <w:rsid w:val="009E1690"/>
    <w:rsid w:val="009E18AF"/>
    <w:rsid w:val="009E2C9D"/>
    <w:rsid w:val="009E2CDD"/>
    <w:rsid w:val="009E3545"/>
    <w:rsid w:val="009E4FCE"/>
    <w:rsid w:val="009E522E"/>
    <w:rsid w:val="009F0ABA"/>
    <w:rsid w:val="009F0AF5"/>
    <w:rsid w:val="00A02199"/>
    <w:rsid w:val="00A026A4"/>
    <w:rsid w:val="00A04044"/>
    <w:rsid w:val="00A11D0C"/>
    <w:rsid w:val="00A16579"/>
    <w:rsid w:val="00A24843"/>
    <w:rsid w:val="00A26D48"/>
    <w:rsid w:val="00A31C7C"/>
    <w:rsid w:val="00A338B1"/>
    <w:rsid w:val="00A367AA"/>
    <w:rsid w:val="00A378DF"/>
    <w:rsid w:val="00A37AC6"/>
    <w:rsid w:val="00A410CC"/>
    <w:rsid w:val="00A42B43"/>
    <w:rsid w:val="00A42BD0"/>
    <w:rsid w:val="00A433DC"/>
    <w:rsid w:val="00A460CD"/>
    <w:rsid w:val="00A50761"/>
    <w:rsid w:val="00A51DF2"/>
    <w:rsid w:val="00A53AF0"/>
    <w:rsid w:val="00A54ED7"/>
    <w:rsid w:val="00A61561"/>
    <w:rsid w:val="00A63249"/>
    <w:rsid w:val="00A6691F"/>
    <w:rsid w:val="00A67E6A"/>
    <w:rsid w:val="00A70F49"/>
    <w:rsid w:val="00A72203"/>
    <w:rsid w:val="00A7281F"/>
    <w:rsid w:val="00A73949"/>
    <w:rsid w:val="00A7697E"/>
    <w:rsid w:val="00A76E20"/>
    <w:rsid w:val="00A8284E"/>
    <w:rsid w:val="00A870EE"/>
    <w:rsid w:val="00A91D91"/>
    <w:rsid w:val="00A96F81"/>
    <w:rsid w:val="00A9709D"/>
    <w:rsid w:val="00AA054E"/>
    <w:rsid w:val="00AA0A10"/>
    <w:rsid w:val="00AA2094"/>
    <w:rsid w:val="00AA2947"/>
    <w:rsid w:val="00AB1894"/>
    <w:rsid w:val="00AB22DF"/>
    <w:rsid w:val="00AB30EA"/>
    <w:rsid w:val="00AB458B"/>
    <w:rsid w:val="00AB45E4"/>
    <w:rsid w:val="00AB6157"/>
    <w:rsid w:val="00AB7542"/>
    <w:rsid w:val="00AC022D"/>
    <w:rsid w:val="00AC0629"/>
    <w:rsid w:val="00AC70C7"/>
    <w:rsid w:val="00AC79E0"/>
    <w:rsid w:val="00AD32CE"/>
    <w:rsid w:val="00AD5187"/>
    <w:rsid w:val="00AD6B11"/>
    <w:rsid w:val="00AD6B34"/>
    <w:rsid w:val="00AD6F90"/>
    <w:rsid w:val="00AE0286"/>
    <w:rsid w:val="00AE247F"/>
    <w:rsid w:val="00AE4A24"/>
    <w:rsid w:val="00AE4FC7"/>
    <w:rsid w:val="00AF01E3"/>
    <w:rsid w:val="00AF23AE"/>
    <w:rsid w:val="00AF2EF7"/>
    <w:rsid w:val="00AF3741"/>
    <w:rsid w:val="00AF3B5C"/>
    <w:rsid w:val="00B0014A"/>
    <w:rsid w:val="00B00B50"/>
    <w:rsid w:val="00B00DB2"/>
    <w:rsid w:val="00B016E3"/>
    <w:rsid w:val="00B02B0B"/>
    <w:rsid w:val="00B03817"/>
    <w:rsid w:val="00B04283"/>
    <w:rsid w:val="00B05BA8"/>
    <w:rsid w:val="00B0741D"/>
    <w:rsid w:val="00B07AD8"/>
    <w:rsid w:val="00B07B20"/>
    <w:rsid w:val="00B1081B"/>
    <w:rsid w:val="00B14F01"/>
    <w:rsid w:val="00B15525"/>
    <w:rsid w:val="00B15C0B"/>
    <w:rsid w:val="00B174BA"/>
    <w:rsid w:val="00B17AF3"/>
    <w:rsid w:val="00B223B5"/>
    <w:rsid w:val="00B229AD"/>
    <w:rsid w:val="00B237BC"/>
    <w:rsid w:val="00B26EBB"/>
    <w:rsid w:val="00B27499"/>
    <w:rsid w:val="00B335C4"/>
    <w:rsid w:val="00B3369E"/>
    <w:rsid w:val="00B33D9A"/>
    <w:rsid w:val="00B40D81"/>
    <w:rsid w:val="00B424F5"/>
    <w:rsid w:val="00B43167"/>
    <w:rsid w:val="00B435BE"/>
    <w:rsid w:val="00B43A9D"/>
    <w:rsid w:val="00B467B0"/>
    <w:rsid w:val="00B47F9B"/>
    <w:rsid w:val="00B50534"/>
    <w:rsid w:val="00B51FCB"/>
    <w:rsid w:val="00B5289B"/>
    <w:rsid w:val="00B52E10"/>
    <w:rsid w:val="00B5331D"/>
    <w:rsid w:val="00B543D6"/>
    <w:rsid w:val="00B556B0"/>
    <w:rsid w:val="00B57687"/>
    <w:rsid w:val="00B578E3"/>
    <w:rsid w:val="00B57CE5"/>
    <w:rsid w:val="00B648F2"/>
    <w:rsid w:val="00B655D1"/>
    <w:rsid w:val="00B73FF2"/>
    <w:rsid w:val="00B74CBA"/>
    <w:rsid w:val="00B74ED3"/>
    <w:rsid w:val="00B768CF"/>
    <w:rsid w:val="00B81A44"/>
    <w:rsid w:val="00B86BB5"/>
    <w:rsid w:val="00B91072"/>
    <w:rsid w:val="00B91B6E"/>
    <w:rsid w:val="00B94B2C"/>
    <w:rsid w:val="00B96F7D"/>
    <w:rsid w:val="00B970D0"/>
    <w:rsid w:val="00BA49F4"/>
    <w:rsid w:val="00BA5C41"/>
    <w:rsid w:val="00BA6ACA"/>
    <w:rsid w:val="00BA7232"/>
    <w:rsid w:val="00BA7809"/>
    <w:rsid w:val="00BB449C"/>
    <w:rsid w:val="00BB44D7"/>
    <w:rsid w:val="00BC2561"/>
    <w:rsid w:val="00BC3E3E"/>
    <w:rsid w:val="00BC422A"/>
    <w:rsid w:val="00BC5128"/>
    <w:rsid w:val="00BC5608"/>
    <w:rsid w:val="00BD04C9"/>
    <w:rsid w:val="00BD3536"/>
    <w:rsid w:val="00BD37FD"/>
    <w:rsid w:val="00BE225E"/>
    <w:rsid w:val="00BE237E"/>
    <w:rsid w:val="00BE3703"/>
    <w:rsid w:val="00BE567F"/>
    <w:rsid w:val="00BF0A29"/>
    <w:rsid w:val="00BF25CD"/>
    <w:rsid w:val="00BF5553"/>
    <w:rsid w:val="00BF75CD"/>
    <w:rsid w:val="00C00F1C"/>
    <w:rsid w:val="00C0346D"/>
    <w:rsid w:val="00C0358F"/>
    <w:rsid w:val="00C03BB0"/>
    <w:rsid w:val="00C041CF"/>
    <w:rsid w:val="00C0696A"/>
    <w:rsid w:val="00C12034"/>
    <w:rsid w:val="00C1396B"/>
    <w:rsid w:val="00C1698A"/>
    <w:rsid w:val="00C17E6C"/>
    <w:rsid w:val="00C249CC"/>
    <w:rsid w:val="00C24E5F"/>
    <w:rsid w:val="00C255B6"/>
    <w:rsid w:val="00C26F3A"/>
    <w:rsid w:val="00C2770B"/>
    <w:rsid w:val="00C30296"/>
    <w:rsid w:val="00C3170E"/>
    <w:rsid w:val="00C31947"/>
    <w:rsid w:val="00C40053"/>
    <w:rsid w:val="00C4294D"/>
    <w:rsid w:val="00C444C8"/>
    <w:rsid w:val="00C452DD"/>
    <w:rsid w:val="00C45856"/>
    <w:rsid w:val="00C46603"/>
    <w:rsid w:val="00C50F7B"/>
    <w:rsid w:val="00C54316"/>
    <w:rsid w:val="00C55208"/>
    <w:rsid w:val="00C5527D"/>
    <w:rsid w:val="00C61B1A"/>
    <w:rsid w:val="00C62A53"/>
    <w:rsid w:val="00C73A70"/>
    <w:rsid w:val="00C76054"/>
    <w:rsid w:val="00C779A2"/>
    <w:rsid w:val="00C80546"/>
    <w:rsid w:val="00C81B36"/>
    <w:rsid w:val="00C83CAD"/>
    <w:rsid w:val="00C8419E"/>
    <w:rsid w:val="00C851D7"/>
    <w:rsid w:val="00C85C8B"/>
    <w:rsid w:val="00C867AD"/>
    <w:rsid w:val="00C87F9F"/>
    <w:rsid w:val="00C9545D"/>
    <w:rsid w:val="00C9625C"/>
    <w:rsid w:val="00C978C6"/>
    <w:rsid w:val="00C97F2A"/>
    <w:rsid w:val="00CA112D"/>
    <w:rsid w:val="00CA1F9F"/>
    <w:rsid w:val="00CA2179"/>
    <w:rsid w:val="00CA3D8A"/>
    <w:rsid w:val="00CB4B3E"/>
    <w:rsid w:val="00CB50EF"/>
    <w:rsid w:val="00CB623F"/>
    <w:rsid w:val="00CB791A"/>
    <w:rsid w:val="00CB7D1B"/>
    <w:rsid w:val="00CC11DF"/>
    <w:rsid w:val="00CC1A6E"/>
    <w:rsid w:val="00CC3F62"/>
    <w:rsid w:val="00CC536E"/>
    <w:rsid w:val="00CC59DD"/>
    <w:rsid w:val="00CC7FC6"/>
    <w:rsid w:val="00CD47B2"/>
    <w:rsid w:val="00CD5AFD"/>
    <w:rsid w:val="00CD74EB"/>
    <w:rsid w:val="00CE49F8"/>
    <w:rsid w:val="00CE4E1E"/>
    <w:rsid w:val="00CE66B5"/>
    <w:rsid w:val="00CF52DF"/>
    <w:rsid w:val="00CF5832"/>
    <w:rsid w:val="00CF5911"/>
    <w:rsid w:val="00CF7221"/>
    <w:rsid w:val="00CF724E"/>
    <w:rsid w:val="00D059F5"/>
    <w:rsid w:val="00D117F5"/>
    <w:rsid w:val="00D13661"/>
    <w:rsid w:val="00D142BD"/>
    <w:rsid w:val="00D146DE"/>
    <w:rsid w:val="00D17FEC"/>
    <w:rsid w:val="00D200E7"/>
    <w:rsid w:val="00D21427"/>
    <w:rsid w:val="00D22164"/>
    <w:rsid w:val="00D22B86"/>
    <w:rsid w:val="00D22F2F"/>
    <w:rsid w:val="00D24194"/>
    <w:rsid w:val="00D2460F"/>
    <w:rsid w:val="00D2590F"/>
    <w:rsid w:val="00D27150"/>
    <w:rsid w:val="00D27EB3"/>
    <w:rsid w:val="00D35E02"/>
    <w:rsid w:val="00D41425"/>
    <w:rsid w:val="00D46275"/>
    <w:rsid w:val="00D467CA"/>
    <w:rsid w:val="00D4759B"/>
    <w:rsid w:val="00D500A4"/>
    <w:rsid w:val="00D51205"/>
    <w:rsid w:val="00D516FC"/>
    <w:rsid w:val="00D51F2D"/>
    <w:rsid w:val="00D535EE"/>
    <w:rsid w:val="00D5365A"/>
    <w:rsid w:val="00D54FC4"/>
    <w:rsid w:val="00D574C1"/>
    <w:rsid w:val="00D57615"/>
    <w:rsid w:val="00D577C9"/>
    <w:rsid w:val="00D606B7"/>
    <w:rsid w:val="00D61A94"/>
    <w:rsid w:val="00D62282"/>
    <w:rsid w:val="00D6356C"/>
    <w:rsid w:val="00D64A32"/>
    <w:rsid w:val="00D6553A"/>
    <w:rsid w:val="00D657CA"/>
    <w:rsid w:val="00D73338"/>
    <w:rsid w:val="00D775F3"/>
    <w:rsid w:val="00D77868"/>
    <w:rsid w:val="00D77F25"/>
    <w:rsid w:val="00D84C2A"/>
    <w:rsid w:val="00D9064B"/>
    <w:rsid w:val="00D978C6"/>
    <w:rsid w:val="00DA03F6"/>
    <w:rsid w:val="00DA134A"/>
    <w:rsid w:val="00DA1A2E"/>
    <w:rsid w:val="00DA3413"/>
    <w:rsid w:val="00DA426E"/>
    <w:rsid w:val="00DA4339"/>
    <w:rsid w:val="00DA4B1B"/>
    <w:rsid w:val="00DA4EFC"/>
    <w:rsid w:val="00DA648D"/>
    <w:rsid w:val="00DA726D"/>
    <w:rsid w:val="00DB40BD"/>
    <w:rsid w:val="00DB4B8E"/>
    <w:rsid w:val="00DB4F4B"/>
    <w:rsid w:val="00DC070F"/>
    <w:rsid w:val="00DC3858"/>
    <w:rsid w:val="00DC3A57"/>
    <w:rsid w:val="00DC7A95"/>
    <w:rsid w:val="00DD55C2"/>
    <w:rsid w:val="00DD759E"/>
    <w:rsid w:val="00DE314E"/>
    <w:rsid w:val="00DE4CFB"/>
    <w:rsid w:val="00DF045B"/>
    <w:rsid w:val="00DF1ED8"/>
    <w:rsid w:val="00DF3785"/>
    <w:rsid w:val="00DF3D27"/>
    <w:rsid w:val="00DF6074"/>
    <w:rsid w:val="00E02239"/>
    <w:rsid w:val="00E047EC"/>
    <w:rsid w:val="00E07D42"/>
    <w:rsid w:val="00E163E9"/>
    <w:rsid w:val="00E240F5"/>
    <w:rsid w:val="00E30004"/>
    <w:rsid w:val="00E333AC"/>
    <w:rsid w:val="00E3456B"/>
    <w:rsid w:val="00E35C16"/>
    <w:rsid w:val="00E36085"/>
    <w:rsid w:val="00E36813"/>
    <w:rsid w:val="00E42382"/>
    <w:rsid w:val="00E603DF"/>
    <w:rsid w:val="00E63745"/>
    <w:rsid w:val="00E6699F"/>
    <w:rsid w:val="00E67B40"/>
    <w:rsid w:val="00E703AE"/>
    <w:rsid w:val="00E72373"/>
    <w:rsid w:val="00E76AF9"/>
    <w:rsid w:val="00E84EF0"/>
    <w:rsid w:val="00E8649C"/>
    <w:rsid w:val="00E87886"/>
    <w:rsid w:val="00E87CDE"/>
    <w:rsid w:val="00E91FC1"/>
    <w:rsid w:val="00E92D54"/>
    <w:rsid w:val="00E9323C"/>
    <w:rsid w:val="00E95FD8"/>
    <w:rsid w:val="00EA0283"/>
    <w:rsid w:val="00EA5DE1"/>
    <w:rsid w:val="00EB0C86"/>
    <w:rsid w:val="00EB0E16"/>
    <w:rsid w:val="00EB236F"/>
    <w:rsid w:val="00EB237E"/>
    <w:rsid w:val="00EC1546"/>
    <w:rsid w:val="00EC5B23"/>
    <w:rsid w:val="00EC5DED"/>
    <w:rsid w:val="00EC66BF"/>
    <w:rsid w:val="00EC6BD8"/>
    <w:rsid w:val="00ED0356"/>
    <w:rsid w:val="00ED0D71"/>
    <w:rsid w:val="00ED3DCD"/>
    <w:rsid w:val="00ED3DD5"/>
    <w:rsid w:val="00ED56BE"/>
    <w:rsid w:val="00ED74D7"/>
    <w:rsid w:val="00EE40F8"/>
    <w:rsid w:val="00EE6DD6"/>
    <w:rsid w:val="00EF0867"/>
    <w:rsid w:val="00EF1A10"/>
    <w:rsid w:val="00EF1A9F"/>
    <w:rsid w:val="00EF1B27"/>
    <w:rsid w:val="00EF4370"/>
    <w:rsid w:val="00EF5AD7"/>
    <w:rsid w:val="00F03FA7"/>
    <w:rsid w:val="00F048EF"/>
    <w:rsid w:val="00F06AAD"/>
    <w:rsid w:val="00F146BE"/>
    <w:rsid w:val="00F22013"/>
    <w:rsid w:val="00F22356"/>
    <w:rsid w:val="00F226E0"/>
    <w:rsid w:val="00F2522F"/>
    <w:rsid w:val="00F30180"/>
    <w:rsid w:val="00F31A29"/>
    <w:rsid w:val="00F3279A"/>
    <w:rsid w:val="00F367F2"/>
    <w:rsid w:val="00F37236"/>
    <w:rsid w:val="00F44634"/>
    <w:rsid w:val="00F505EC"/>
    <w:rsid w:val="00F5088F"/>
    <w:rsid w:val="00F51657"/>
    <w:rsid w:val="00F5223C"/>
    <w:rsid w:val="00F57787"/>
    <w:rsid w:val="00F61E82"/>
    <w:rsid w:val="00F6243A"/>
    <w:rsid w:val="00F63323"/>
    <w:rsid w:val="00F636FE"/>
    <w:rsid w:val="00F648B2"/>
    <w:rsid w:val="00F67EBD"/>
    <w:rsid w:val="00F70EA4"/>
    <w:rsid w:val="00F77851"/>
    <w:rsid w:val="00F80FAB"/>
    <w:rsid w:val="00F81E3B"/>
    <w:rsid w:val="00F827E1"/>
    <w:rsid w:val="00F927B5"/>
    <w:rsid w:val="00F94BD0"/>
    <w:rsid w:val="00F95403"/>
    <w:rsid w:val="00F96705"/>
    <w:rsid w:val="00F96750"/>
    <w:rsid w:val="00F9704D"/>
    <w:rsid w:val="00FA0166"/>
    <w:rsid w:val="00FA2400"/>
    <w:rsid w:val="00FA33E9"/>
    <w:rsid w:val="00FA55C8"/>
    <w:rsid w:val="00FA74C6"/>
    <w:rsid w:val="00FB24ED"/>
    <w:rsid w:val="00FB29AF"/>
    <w:rsid w:val="00FB313D"/>
    <w:rsid w:val="00FB4003"/>
    <w:rsid w:val="00FB4EBA"/>
    <w:rsid w:val="00FB7086"/>
    <w:rsid w:val="00FC6733"/>
    <w:rsid w:val="00FD2677"/>
    <w:rsid w:val="00FD28B8"/>
    <w:rsid w:val="00FE0BD8"/>
    <w:rsid w:val="00FE1709"/>
    <w:rsid w:val="00FE1FC9"/>
    <w:rsid w:val="00FE7B44"/>
    <w:rsid w:val="00FF32DE"/>
    <w:rsid w:val="00FF4205"/>
    <w:rsid w:val="00FF5858"/>
    <w:rsid w:val="00FF693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EAB6E44"/>
  <w15:docId w15:val="{623B9E68-3536-4AAD-8A38-AE12768B4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0169"/>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Normal"/>
    <w:next w:val="Normal"/>
    <w:link w:val="Heading1Char"/>
    <w:qFormat/>
    <w:rsid w:val="00FE0BD8"/>
    <w:pPr>
      <w:keepNext/>
      <w:keepLines/>
      <w:numPr>
        <w:numId w:val="3"/>
      </w:numPr>
      <w:spacing w:before="320"/>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nhideWhenUsed/>
    <w:qFormat/>
    <w:rsid w:val="003C167E"/>
    <w:pPr>
      <w:keepNext/>
      <w:keepLines/>
      <w:numPr>
        <w:ilvl w:val="1"/>
        <w:numId w:val="3"/>
      </w:numPr>
      <w:spacing w:before="320"/>
      <w:outlineLvl w:val="1"/>
    </w:pPr>
    <w:rPr>
      <w:rFonts w:asciiTheme="majorHAnsi" w:eastAsiaTheme="majorEastAsia" w:hAnsiTheme="majorHAnsi" w:cstheme="majorBidi"/>
      <w:b/>
      <w:sz w:val="28"/>
      <w:szCs w:val="28"/>
    </w:rPr>
  </w:style>
  <w:style w:type="paragraph" w:styleId="Heading3">
    <w:name w:val="heading 3"/>
    <w:basedOn w:val="Normal"/>
    <w:next w:val="Normal"/>
    <w:link w:val="Heading3Char"/>
    <w:unhideWhenUsed/>
    <w:qFormat/>
    <w:rsid w:val="00020300"/>
    <w:pPr>
      <w:keepNext/>
      <w:keepLines/>
      <w:numPr>
        <w:ilvl w:val="2"/>
        <w:numId w:val="3"/>
      </w:numPr>
      <w:spacing w:before="320"/>
      <w:outlineLvl w:val="2"/>
    </w:pPr>
    <w:rPr>
      <w:rFonts w:asciiTheme="majorHAnsi" w:eastAsiaTheme="majorEastAsia" w:hAnsiTheme="majorHAnsi" w:cstheme="majorBidi"/>
    </w:rPr>
  </w:style>
  <w:style w:type="paragraph" w:styleId="Heading4">
    <w:name w:val="heading 4"/>
    <w:basedOn w:val="Normal"/>
    <w:next w:val="Normal"/>
    <w:link w:val="Heading4Char"/>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Heading5">
    <w:name w:val="heading 5"/>
    <w:basedOn w:val="Normal"/>
    <w:next w:val="Normal"/>
    <w:link w:val="Heading5Char"/>
    <w:uiPriority w:val="9"/>
    <w:unhideWhenUsed/>
    <w:qFormat/>
    <w:rsid w:val="007E7997"/>
    <w:pPr>
      <w:keepNext/>
      <w:keepLines/>
      <w:numPr>
        <w:numId w:val="4"/>
      </w:numPr>
      <w:spacing w:before="40"/>
      <w:outlineLvl w:val="4"/>
    </w:pPr>
    <w:rPr>
      <w:rFonts w:asciiTheme="majorHAnsi" w:eastAsiaTheme="majorEastAsia" w:hAnsiTheme="majorHAnsi" w:cstheme="majorBidi"/>
      <w:szCs w:val="22"/>
    </w:rPr>
  </w:style>
  <w:style w:type="paragraph" w:styleId="Heading6">
    <w:name w:val="heading 6"/>
    <w:basedOn w:val="Normal"/>
    <w:next w:val="Normal"/>
    <w:link w:val="Heading6Char"/>
    <w:unhideWhenUsed/>
    <w:qFormat/>
    <w:rsid w:val="00AA054E"/>
    <w:pPr>
      <w:keepNext/>
      <w:keepLines/>
      <w:numPr>
        <w:ilvl w:val="5"/>
        <w:numId w:val="3"/>
      </w:numPr>
      <w:spacing w:before="4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nhideWhenUsed/>
    <w:qFormat/>
    <w:rsid w:val="00AA054E"/>
    <w:pPr>
      <w:keepNext/>
      <w:keepLines/>
      <w:numPr>
        <w:ilvl w:val="6"/>
        <w:numId w:val="3"/>
      </w:numPr>
      <w:spacing w:before="4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nhideWhenUsed/>
    <w:qFormat/>
    <w:rsid w:val="00AA054E"/>
    <w:pPr>
      <w:keepNext/>
      <w:keepLines/>
      <w:numPr>
        <w:ilvl w:val="7"/>
        <w:numId w:val="3"/>
      </w:numPr>
      <w:spacing w:before="4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nhideWhenUsed/>
    <w:qFormat/>
    <w:rsid w:val="00AA054E"/>
    <w:pPr>
      <w:keepNext/>
      <w:keepLines/>
      <w:numPr>
        <w:ilvl w:val="8"/>
        <w:numId w:val="3"/>
      </w:numPr>
      <w:spacing w:before="4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B6B12"/>
    <w:pPr>
      <w:spacing w:after="0" w:line="240" w:lineRule="auto"/>
    </w:pPr>
    <w:rPr>
      <w:lang w:val="en-GB"/>
    </w:rPr>
  </w:style>
  <w:style w:type="character" w:customStyle="1" w:styleId="Heading4Char">
    <w:name w:val="Heading 4 Char"/>
    <w:basedOn w:val="DefaultParagraphFont"/>
    <w:link w:val="Heading4"/>
    <w:rsid w:val="00020300"/>
    <w:rPr>
      <w:rFonts w:asciiTheme="majorHAnsi" w:eastAsiaTheme="majorEastAsia" w:hAnsiTheme="majorHAnsi" w:cstheme="majorBidi"/>
      <w:sz w:val="24"/>
      <w:szCs w:val="22"/>
      <w:lang w:val="en-GB" w:eastAsia="en-GB"/>
    </w:rPr>
  </w:style>
  <w:style w:type="character" w:customStyle="1" w:styleId="Heading3Char">
    <w:name w:val="Heading 3 Char"/>
    <w:basedOn w:val="DefaultParagraphFont"/>
    <w:link w:val="Heading3"/>
    <w:rsid w:val="00020300"/>
    <w:rPr>
      <w:rFonts w:asciiTheme="majorHAnsi" w:eastAsiaTheme="majorEastAsia" w:hAnsiTheme="majorHAnsi" w:cstheme="majorBidi"/>
      <w:sz w:val="24"/>
      <w:szCs w:val="24"/>
      <w:lang w:val="en-GB" w:eastAsia="en-GB"/>
    </w:rPr>
  </w:style>
  <w:style w:type="character" w:customStyle="1" w:styleId="Heading1Char">
    <w:name w:val="Heading 1 Char"/>
    <w:basedOn w:val="DefaultParagraphFont"/>
    <w:link w:val="Heading1"/>
    <w:rsid w:val="00FE0BD8"/>
    <w:rPr>
      <w:rFonts w:asciiTheme="majorHAnsi" w:eastAsiaTheme="majorEastAsia" w:hAnsiTheme="majorHAnsi" w:cstheme="majorBidi"/>
      <w:b/>
      <w:sz w:val="32"/>
      <w:szCs w:val="32"/>
      <w:lang w:val="en-GB" w:eastAsia="en-GB"/>
    </w:rPr>
  </w:style>
  <w:style w:type="character" w:customStyle="1" w:styleId="Heading2Char">
    <w:name w:val="Heading 2 Char"/>
    <w:basedOn w:val="DefaultParagraphFont"/>
    <w:link w:val="Heading2"/>
    <w:rsid w:val="003C167E"/>
    <w:rPr>
      <w:rFonts w:asciiTheme="majorHAnsi" w:eastAsiaTheme="majorEastAsia" w:hAnsiTheme="majorHAnsi" w:cstheme="majorBidi"/>
      <w:b/>
      <w:sz w:val="28"/>
      <w:szCs w:val="28"/>
      <w:lang w:val="en-GB" w:eastAsia="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DefaultParagraphFont"/>
    <w:link w:val="Subtitle1"/>
    <w:rsid w:val="003C4EB5"/>
    <w:rPr>
      <w:rFonts w:cs="Times New Roman"/>
      <w:b/>
      <w:sz w:val="20"/>
      <w:szCs w:val="24"/>
      <w:lang w:val="en-GB" w:eastAsia="de-DE"/>
    </w:rPr>
  </w:style>
  <w:style w:type="paragraph" w:customStyle="1" w:styleId="Title1">
    <w:name w:val="Title 1"/>
    <w:basedOn w:val="ListParagraph"/>
    <w:link w:val="Title1Char"/>
    <w:autoRedefine/>
    <w:rsid w:val="002574D1"/>
    <w:pPr>
      <w:numPr>
        <w:numId w:val="2"/>
      </w:numPr>
    </w:pPr>
    <w:rPr>
      <w:b/>
      <w:sz w:val="28"/>
    </w:rPr>
  </w:style>
  <w:style w:type="character" w:customStyle="1" w:styleId="Title1Char">
    <w:name w:val="Title 1 Char"/>
    <w:basedOn w:val="DefaultParagraphFont"/>
    <w:link w:val="Title1"/>
    <w:rsid w:val="003C4EB5"/>
    <w:rPr>
      <w:rFonts w:eastAsiaTheme="majorEastAsia" w:cstheme="minorHAnsi"/>
      <w:b/>
      <w:sz w:val="28"/>
      <w:szCs w:val="22"/>
      <w:lang w:val="en-GB" w:eastAsia="en-GB"/>
    </w:rPr>
  </w:style>
  <w:style w:type="paragraph" w:styleId="ListParagraph">
    <w:name w:val="List Paragraph"/>
    <w:aliases w:val="Paragraphe EI,Paragraphe de liste1,EC,Paragraphe de liste,Normal Nivel 1,List Paragraph Main,List first level,List Paragraph_Sections"/>
    <w:basedOn w:val="Normal"/>
    <w:link w:val="ListParagraphChar"/>
    <w:autoRedefine/>
    <w:uiPriority w:val="34"/>
    <w:qFormat/>
    <w:rsid w:val="00695AF2"/>
    <w:pPr>
      <w:numPr>
        <w:numId w:val="8"/>
      </w:numPr>
      <w:tabs>
        <w:tab w:val="left" w:pos="0"/>
        <w:tab w:val="left" w:pos="142"/>
        <w:tab w:val="left" w:pos="284"/>
        <w:tab w:val="left" w:pos="567"/>
      </w:tabs>
      <w:autoSpaceDE w:val="0"/>
      <w:autoSpaceDN w:val="0"/>
      <w:adjustRightInd w:val="0"/>
      <w:spacing w:line="264" w:lineRule="auto"/>
      <w:jc w:val="both"/>
    </w:pPr>
    <w:rPr>
      <w:rFonts w:asciiTheme="minorHAnsi" w:eastAsiaTheme="majorEastAsia" w:hAnsiTheme="minorHAnsi" w:cstheme="minorHAnsi"/>
      <w:sz w:val="22"/>
      <w:szCs w:val="22"/>
    </w:rPr>
  </w:style>
  <w:style w:type="paragraph" w:customStyle="1" w:styleId="Title3">
    <w:name w:val="Title 3"/>
    <w:basedOn w:val="ListParagraph"/>
    <w:link w:val="Title3Char"/>
    <w:autoRedefine/>
    <w:rsid w:val="002574D1"/>
    <w:pPr>
      <w:numPr>
        <w:ilvl w:val="3"/>
        <w:numId w:val="2"/>
      </w:numPr>
    </w:pPr>
  </w:style>
  <w:style w:type="character" w:customStyle="1" w:styleId="Title3Char">
    <w:name w:val="Title 3 Char"/>
    <w:basedOn w:val="DefaultParagraphFont"/>
    <w:link w:val="Title3"/>
    <w:rsid w:val="003C4EB5"/>
    <w:rPr>
      <w:rFonts w:eastAsiaTheme="majorEastAsia" w:cstheme="minorHAnsi"/>
      <w:sz w:val="22"/>
      <w:szCs w:val="22"/>
      <w:lang w:val="en-GB" w:eastAsia="en-GB"/>
    </w:rPr>
  </w:style>
  <w:style w:type="paragraph" w:customStyle="1" w:styleId="Title2">
    <w:name w:val="Title 2"/>
    <w:basedOn w:val="Title1"/>
    <w:link w:val="Title2Char"/>
    <w:autoRedefine/>
    <w:rsid w:val="002574D1"/>
    <w:pPr>
      <w:numPr>
        <w:ilvl w:val="1"/>
        <w:numId w:val="1"/>
      </w:numPr>
      <w:ind w:left="0" w:firstLine="0"/>
    </w:pPr>
  </w:style>
  <w:style w:type="character" w:customStyle="1" w:styleId="Title2Char">
    <w:name w:val="Title 2 Char"/>
    <w:basedOn w:val="Title1Char"/>
    <w:link w:val="Title2"/>
    <w:rsid w:val="002574D1"/>
    <w:rPr>
      <w:rFonts w:eastAsiaTheme="majorEastAsia" w:cstheme="minorHAnsi"/>
      <w:b/>
      <w:sz w:val="28"/>
      <w:szCs w:val="22"/>
      <w:lang w:val="en-GB" w:eastAsia="en-GB"/>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eastAsiaTheme="majorEastAsia" w:hAnsiTheme="majorHAnsi" w:cstheme="majorBidi"/>
      <w:sz w:val="22"/>
      <w:szCs w:val="22"/>
      <w:lang w:val="fr-BE" w:eastAsia="en-GB"/>
    </w:rPr>
  </w:style>
  <w:style w:type="paragraph" w:customStyle="1" w:styleId="DocumentTitle">
    <w:name w:val="Document Title"/>
    <w:basedOn w:val="Normal"/>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DefaultParagraphFont"/>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DefaultParagraphFon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rPr>
      <w:rFonts w:asciiTheme="majorHAnsi" w:hAnsiTheme="majorHAnsi"/>
      <w:b/>
      <w:sz w:val="28"/>
      <w:lang w:eastAsia="de-DE"/>
    </w:rPr>
  </w:style>
  <w:style w:type="character" w:customStyle="1" w:styleId="IntroductiontitleChar">
    <w:name w:val="Introduction title Char"/>
    <w:basedOn w:val="DefaultParagraphFon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hAnsiTheme="majorHAnsi"/>
      <w:b/>
      <w:lang w:eastAsia="de-DE"/>
    </w:rPr>
  </w:style>
  <w:style w:type="character" w:customStyle="1" w:styleId="IntroductionsubtitleChar">
    <w:name w:val="Introduction subtitle Char"/>
    <w:basedOn w:val="DefaultParagraphFon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b/>
      <w:sz w:val="28"/>
      <w:lang w:eastAsia="de-DE"/>
    </w:rPr>
  </w:style>
  <w:style w:type="character" w:customStyle="1" w:styleId="IntroductionheadingChar">
    <w:name w:val="Introduction heading Char"/>
    <w:basedOn w:val="DefaultParagraphFont"/>
    <w:link w:val="Introductionheading"/>
    <w:rsid w:val="00044C5A"/>
    <w:rPr>
      <w:rFonts w:ascii="Arial" w:eastAsia="Times New Roman" w:hAnsi="Arial" w:cs="Times New Roman"/>
      <w:b/>
      <w:sz w:val="28"/>
      <w:szCs w:val="24"/>
      <w:lang w:val="en-GB" w:eastAsia="de-DE"/>
    </w:rPr>
  </w:style>
  <w:style w:type="character" w:customStyle="1" w:styleId="Heading5Char">
    <w:name w:val="Heading 5 Char"/>
    <w:basedOn w:val="DefaultParagraphFont"/>
    <w:link w:val="Heading5"/>
    <w:uiPriority w:val="9"/>
    <w:rsid w:val="007E7997"/>
    <w:rPr>
      <w:rFonts w:asciiTheme="majorHAnsi" w:eastAsiaTheme="majorEastAsia" w:hAnsiTheme="majorHAnsi" w:cstheme="majorBidi"/>
      <w:sz w:val="24"/>
      <w:szCs w:val="22"/>
      <w:lang w:val="en-GB" w:eastAsia="en-GB"/>
    </w:rPr>
  </w:style>
  <w:style w:type="paragraph" w:styleId="BodyText">
    <w:name w:val="Body Text"/>
    <w:basedOn w:val="Normal"/>
    <w:link w:val="BodyTextChar"/>
    <w:uiPriority w:val="99"/>
    <w:semiHidden/>
    <w:unhideWhenUsed/>
    <w:rsid w:val="00044C5A"/>
  </w:style>
  <w:style w:type="character" w:customStyle="1" w:styleId="BodyTextChar">
    <w:name w:val="Body Text Char"/>
    <w:basedOn w:val="DefaultParagraphFont"/>
    <w:link w:val="BodyText"/>
    <w:uiPriority w:val="99"/>
    <w:semiHidden/>
    <w:rsid w:val="00044C5A"/>
    <w:rPr>
      <w:rFonts w:ascii="Arial" w:eastAsiaTheme="minorEastAsia" w:hAnsi="Arial"/>
    </w:rPr>
  </w:style>
  <w:style w:type="paragraph" w:styleId="BodyTextFirstIndent">
    <w:name w:val="Body Text First Indent"/>
    <w:basedOn w:val="BodyText"/>
    <w:link w:val="BodyTextFirstIndentChar"/>
    <w:uiPriority w:val="99"/>
    <w:semiHidden/>
    <w:unhideWhenUsed/>
    <w:rsid w:val="00044C5A"/>
    <w:pPr>
      <w:ind w:firstLine="360"/>
    </w:pPr>
  </w:style>
  <w:style w:type="character" w:customStyle="1" w:styleId="BodyTextFirstIndentChar">
    <w:name w:val="Body Text First Indent Char"/>
    <w:basedOn w:val="BodyTextChar"/>
    <w:link w:val="BodyTextFirstIndent"/>
    <w:uiPriority w:val="99"/>
    <w:semiHidden/>
    <w:rsid w:val="00044C5A"/>
    <w:rPr>
      <w:rFonts w:ascii="Arial" w:eastAsiaTheme="minorEastAsia" w:hAnsi="Arial"/>
    </w:rPr>
  </w:style>
  <w:style w:type="character" w:customStyle="1" w:styleId="Heading6Char">
    <w:name w:val="Heading 6 Char"/>
    <w:basedOn w:val="DefaultParagraphFont"/>
    <w:link w:val="Heading6"/>
    <w:rsid w:val="00AA054E"/>
    <w:rPr>
      <w:rFonts w:asciiTheme="majorHAnsi" w:eastAsiaTheme="majorEastAsia" w:hAnsiTheme="majorHAnsi" w:cstheme="majorBidi"/>
      <w:i/>
      <w:iCs/>
      <w:color w:val="44546A" w:themeColor="text2"/>
      <w:sz w:val="21"/>
      <w:szCs w:val="21"/>
      <w:lang w:val="en-GB" w:eastAsia="en-GB"/>
    </w:rPr>
  </w:style>
  <w:style w:type="paragraph" w:styleId="Title">
    <w:name w:val="Title"/>
    <w:basedOn w:val="Normal"/>
    <w:next w:val="Normal"/>
    <w:link w:val="TitleChar"/>
    <w:uiPriority w:val="10"/>
    <w:qFormat/>
    <w:rsid w:val="008F4642"/>
    <w:pPr>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leChar">
    <w:name w:val="Title Char"/>
    <w:basedOn w:val="DefaultParagraphFont"/>
    <w:link w:val="Title"/>
    <w:uiPriority w:val="10"/>
    <w:rsid w:val="008F4642"/>
    <w:rPr>
      <w:rFonts w:asciiTheme="majorHAnsi" w:eastAsiaTheme="majorEastAsia" w:hAnsiTheme="majorHAnsi" w:cstheme="majorBidi"/>
      <w:b/>
      <w:color w:val="2F5496" w:themeColor="accent5" w:themeShade="BF"/>
      <w:spacing w:val="-10"/>
      <w:sz w:val="56"/>
      <w:szCs w:val="56"/>
      <w:lang w:val="en-GB"/>
    </w:rPr>
  </w:style>
  <w:style w:type="paragraph" w:styleId="Subtitle">
    <w:name w:val="Subtitle"/>
    <w:basedOn w:val="Normal"/>
    <w:next w:val="Normal"/>
    <w:link w:val="SubtitleChar"/>
    <w:uiPriority w:val="11"/>
    <w:qFormat/>
    <w:rsid w:val="00366D42"/>
    <w:pPr>
      <w:numPr>
        <w:ilvl w:val="1"/>
      </w:numPr>
    </w:pPr>
    <w:rPr>
      <w:rFonts w:asciiTheme="majorHAnsi" w:eastAsiaTheme="majorEastAsia" w:hAnsiTheme="majorHAnsi" w:cstheme="majorBidi"/>
      <w:b/>
      <w:sz w:val="28"/>
    </w:rPr>
  </w:style>
  <w:style w:type="character" w:customStyle="1" w:styleId="SubtitleChar">
    <w:name w:val="Subtitle Char"/>
    <w:basedOn w:val="DefaultParagraphFont"/>
    <w:link w:val="Subtitle"/>
    <w:uiPriority w:val="11"/>
    <w:rsid w:val="00366D42"/>
    <w:rPr>
      <w:rFonts w:asciiTheme="majorHAnsi" w:eastAsiaTheme="majorEastAsia" w:hAnsiTheme="majorHAnsi" w:cstheme="majorBidi"/>
      <w:b/>
      <w:sz w:val="28"/>
      <w:szCs w:val="24"/>
      <w:lang w:val="en-GB"/>
    </w:rPr>
  </w:style>
  <w:style w:type="character" w:customStyle="1" w:styleId="Heading7Char">
    <w:name w:val="Heading 7 Char"/>
    <w:basedOn w:val="DefaultParagraphFont"/>
    <w:link w:val="Heading7"/>
    <w:rsid w:val="00AA054E"/>
    <w:rPr>
      <w:rFonts w:asciiTheme="majorHAnsi" w:eastAsiaTheme="majorEastAsia" w:hAnsiTheme="majorHAnsi" w:cstheme="majorBidi"/>
      <w:i/>
      <w:iCs/>
      <w:color w:val="1F4E79" w:themeColor="accent1" w:themeShade="80"/>
      <w:sz w:val="21"/>
      <w:szCs w:val="21"/>
      <w:lang w:val="en-GB" w:eastAsia="en-GB"/>
    </w:rPr>
  </w:style>
  <w:style w:type="character" w:customStyle="1" w:styleId="Heading8Char">
    <w:name w:val="Heading 8 Char"/>
    <w:basedOn w:val="DefaultParagraphFont"/>
    <w:link w:val="Heading8"/>
    <w:rsid w:val="00AA054E"/>
    <w:rPr>
      <w:rFonts w:asciiTheme="majorHAnsi" w:eastAsiaTheme="majorEastAsia" w:hAnsiTheme="majorHAnsi" w:cstheme="majorBidi"/>
      <w:b/>
      <w:bCs/>
      <w:color w:val="44546A" w:themeColor="text2"/>
      <w:sz w:val="24"/>
      <w:szCs w:val="24"/>
      <w:lang w:val="en-GB" w:eastAsia="en-GB"/>
    </w:rPr>
  </w:style>
  <w:style w:type="character" w:customStyle="1" w:styleId="Heading9Char">
    <w:name w:val="Heading 9 Char"/>
    <w:basedOn w:val="DefaultParagraphFont"/>
    <w:link w:val="Heading9"/>
    <w:rsid w:val="00AA054E"/>
    <w:rPr>
      <w:rFonts w:asciiTheme="majorHAnsi" w:eastAsiaTheme="majorEastAsia" w:hAnsiTheme="majorHAnsi" w:cstheme="majorBidi"/>
      <w:b/>
      <w:bCs/>
      <w:i/>
      <w:iCs/>
      <w:color w:val="44546A" w:themeColor="text2"/>
      <w:sz w:val="24"/>
      <w:szCs w:val="24"/>
      <w:lang w:val="en-GB" w:eastAsia="en-GB"/>
    </w:rPr>
  </w:style>
  <w:style w:type="paragraph" w:styleId="Caption">
    <w:name w:val="caption"/>
    <w:basedOn w:val="Normal"/>
    <w:next w:val="Normal"/>
    <w:uiPriority w:val="35"/>
    <w:semiHidden/>
    <w:unhideWhenUsed/>
    <w:qFormat/>
    <w:rsid w:val="00AA054E"/>
    <w:rPr>
      <w:b/>
      <w:bCs/>
      <w:smallCaps/>
      <w:color w:val="595959" w:themeColor="text1" w:themeTint="A6"/>
      <w:spacing w:val="6"/>
    </w:rPr>
  </w:style>
  <w:style w:type="character" w:styleId="Strong">
    <w:name w:val="Strong"/>
    <w:basedOn w:val="DefaultParagraphFont"/>
    <w:uiPriority w:val="22"/>
    <w:qFormat/>
    <w:rsid w:val="00AA054E"/>
    <w:rPr>
      <w:b/>
      <w:bCs/>
    </w:rPr>
  </w:style>
  <w:style w:type="character" w:styleId="Emphasis">
    <w:name w:val="Emphasis"/>
    <w:basedOn w:val="DefaultParagraphFont"/>
    <w:uiPriority w:val="20"/>
    <w:qFormat/>
    <w:rsid w:val="00AA054E"/>
    <w:rPr>
      <w:i/>
      <w:iCs/>
    </w:rPr>
  </w:style>
  <w:style w:type="paragraph" w:styleId="Quote">
    <w:name w:val="Quote"/>
    <w:basedOn w:val="Normal"/>
    <w:next w:val="Normal"/>
    <w:link w:val="QuoteChar"/>
    <w:uiPriority w:val="29"/>
    <w:qFormat/>
    <w:rsid w:val="00AA054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AA054E"/>
    <w:rPr>
      <w:i/>
      <w:iCs/>
      <w:color w:val="404040" w:themeColor="text1" w:themeTint="BF"/>
    </w:rPr>
  </w:style>
  <w:style w:type="paragraph" w:styleId="IntenseQuote">
    <w:name w:val="Intense Quote"/>
    <w:basedOn w:val="Normal"/>
    <w:next w:val="Normal"/>
    <w:link w:val="IntenseQuoteChar"/>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AA054E"/>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287C8F"/>
    <w:rPr>
      <w:rFonts w:asciiTheme="majorHAnsi" w:hAnsiTheme="majorHAnsi"/>
      <w:i/>
      <w:iCs/>
      <w:color w:val="auto"/>
      <w:sz w:val="22"/>
    </w:rPr>
  </w:style>
  <w:style w:type="character" w:styleId="IntenseEmphasis">
    <w:name w:val="Intense Emphasis"/>
    <w:basedOn w:val="DefaultParagraphFont"/>
    <w:uiPriority w:val="21"/>
    <w:qFormat/>
    <w:rsid w:val="00AA054E"/>
    <w:rPr>
      <w:b/>
      <w:bCs/>
      <w:i/>
      <w:iCs/>
    </w:rPr>
  </w:style>
  <w:style w:type="character" w:styleId="SubtleReference">
    <w:name w:val="Subtle Reference"/>
    <w:basedOn w:val="DefaultParagraphFont"/>
    <w:uiPriority w:val="31"/>
    <w:qFormat/>
    <w:rsid w:val="00AA054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AA054E"/>
    <w:rPr>
      <w:b/>
      <w:bCs/>
      <w:smallCaps/>
      <w:spacing w:val="5"/>
      <w:u w:val="single"/>
    </w:rPr>
  </w:style>
  <w:style w:type="character" w:styleId="BookTitle">
    <w:name w:val="Book Title"/>
    <w:basedOn w:val="DefaultParagraphFont"/>
    <w:uiPriority w:val="33"/>
    <w:qFormat/>
    <w:rsid w:val="00AA054E"/>
    <w:rPr>
      <w:b/>
      <w:bCs/>
      <w:smallCaps/>
    </w:rPr>
  </w:style>
  <w:style w:type="paragraph" w:styleId="TOCHeading">
    <w:name w:val="TOC Heading"/>
    <w:basedOn w:val="Heading1"/>
    <w:next w:val="Normal"/>
    <w:uiPriority w:val="39"/>
    <w:unhideWhenUsed/>
    <w:qFormat/>
    <w:rsid w:val="00AA054E"/>
    <w:pPr>
      <w:outlineLvl w:val="9"/>
    </w:pPr>
  </w:style>
  <w:style w:type="character" w:customStyle="1" w:styleId="NoSpacingChar">
    <w:name w:val="No Spacing Char"/>
    <w:basedOn w:val="DefaultParagraphFont"/>
    <w:link w:val="NoSpacing"/>
    <w:uiPriority w:val="1"/>
    <w:rsid w:val="005B6B12"/>
    <w:rPr>
      <w:lang w:val="en-GB"/>
    </w:rPr>
  </w:style>
  <w:style w:type="paragraph" w:styleId="Header">
    <w:name w:val="header"/>
    <w:basedOn w:val="Normal"/>
    <w:link w:val="HeaderChar"/>
    <w:unhideWhenUsed/>
    <w:rsid w:val="007E7997"/>
    <w:pPr>
      <w:tabs>
        <w:tab w:val="center" w:pos="4536"/>
        <w:tab w:val="right" w:pos="9072"/>
      </w:tabs>
    </w:pPr>
  </w:style>
  <w:style w:type="character" w:customStyle="1" w:styleId="HeaderChar">
    <w:name w:val="Header Char"/>
    <w:basedOn w:val="DefaultParagraphFont"/>
    <w:link w:val="Header"/>
    <w:uiPriority w:val="99"/>
    <w:rsid w:val="007E7997"/>
    <w:rPr>
      <w:sz w:val="22"/>
    </w:rPr>
  </w:style>
  <w:style w:type="paragraph" w:styleId="Footer">
    <w:name w:val="footer"/>
    <w:basedOn w:val="Normal"/>
    <w:link w:val="FooterChar"/>
    <w:uiPriority w:val="99"/>
    <w:unhideWhenUsed/>
    <w:rsid w:val="007E7997"/>
    <w:pPr>
      <w:tabs>
        <w:tab w:val="center" w:pos="4536"/>
        <w:tab w:val="right" w:pos="9072"/>
      </w:tabs>
    </w:pPr>
  </w:style>
  <w:style w:type="character" w:customStyle="1" w:styleId="FooterChar">
    <w:name w:val="Footer Char"/>
    <w:basedOn w:val="DefaultParagraphFont"/>
    <w:link w:val="Footer"/>
    <w:uiPriority w:val="99"/>
    <w:rsid w:val="007E7997"/>
    <w:rPr>
      <w:sz w:val="22"/>
    </w:rPr>
  </w:style>
  <w:style w:type="paragraph" w:customStyle="1" w:styleId="00aPagenumber">
    <w:name w:val="00a_Page number"/>
    <w:basedOn w:val="Normal"/>
    <w:rsid w:val="007E7997"/>
    <w:pPr>
      <w:spacing w:line="280" w:lineRule="atLeast"/>
      <w:jc w:val="right"/>
    </w:pPr>
    <w:rPr>
      <w:rFonts w:ascii="Georgia" w:hAnsi="Georgia"/>
      <w:color w:val="000000"/>
      <w:lang w:eastAsia="de-DE"/>
    </w:rPr>
  </w:style>
  <w:style w:type="paragraph" w:customStyle="1" w:styleId="02Date">
    <w:name w:val="02_Date"/>
    <w:basedOn w:val="Normal"/>
    <w:rsid w:val="00636E02"/>
    <w:pPr>
      <w:spacing w:line="220" w:lineRule="exact"/>
    </w:pPr>
    <w:rPr>
      <w:rFonts w:ascii="Georgia" w:hAnsi="Georgia"/>
      <w:sz w:val="17"/>
      <w:lang w:eastAsia="de-DE"/>
    </w:rPr>
  </w:style>
  <w:style w:type="paragraph" w:styleId="TOC1">
    <w:name w:val="toc 1"/>
    <w:basedOn w:val="Normal"/>
    <w:next w:val="Normal"/>
    <w:autoRedefine/>
    <w:uiPriority w:val="39"/>
    <w:unhideWhenUsed/>
    <w:rsid w:val="00B81A44"/>
    <w:pPr>
      <w:tabs>
        <w:tab w:val="left" w:pos="440"/>
        <w:tab w:val="right" w:leader="dot" w:pos="9062"/>
      </w:tabs>
      <w:spacing w:after="100"/>
    </w:pPr>
  </w:style>
  <w:style w:type="paragraph" w:styleId="TOC2">
    <w:name w:val="toc 2"/>
    <w:basedOn w:val="Normal"/>
    <w:next w:val="Normal"/>
    <w:autoRedefine/>
    <w:uiPriority w:val="39"/>
    <w:unhideWhenUsed/>
    <w:rsid w:val="00BC422A"/>
    <w:pPr>
      <w:spacing w:after="100"/>
      <w:ind w:left="220"/>
    </w:pPr>
  </w:style>
  <w:style w:type="paragraph" w:styleId="TOC3">
    <w:name w:val="toc 3"/>
    <w:basedOn w:val="Normal"/>
    <w:next w:val="Normal"/>
    <w:autoRedefine/>
    <w:uiPriority w:val="39"/>
    <w:unhideWhenUsed/>
    <w:rsid w:val="00BC422A"/>
    <w:pPr>
      <w:spacing w:after="100"/>
      <w:ind w:left="440"/>
    </w:pPr>
  </w:style>
  <w:style w:type="character" w:styleId="Hyperlink">
    <w:name w:val="Hyperlink"/>
    <w:basedOn w:val="DefaultParagraphFont"/>
    <w:uiPriority w:val="99"/>
    <w:unhideWhenUsed/>
    <w:rsid w:val="00BC422A"/>
    <w:rPr>
      <w:color w:val="0563C1" w:themeColor="hyperlink"/>
      <w:u w:val="single"/>
    </w:rPr>
  </w:style>
  <w:style w:type="paragraph" w:customStyle="1" w:styleId="Questionstyle">
    <w:name w:val="Question style"/>
    <w:basedOn w:val="Normal"/>
    <w:next w:val="Normal"/>
    <w:link w:val="QuestionstyleChar"/>
    <w:autoRedefine/>
    <w:qFormat/>
    <w:rsid w:val="00F77851"/>
    <w:pPr>
      <w:numPr>
        <w:numId w:val="6"/>
      </w:numPr>
      <w:contextualSpacing/>
      <w:jc w:val="both"/>
    </w:pPr>
    <w:rPr>
      <w:rFonts w:asciiTheme="minorHAnsi" w:hAnsiTheme="minorHAnsi" w:cstheme="minorHAnsi"/>
      <w:sz w:val="22"/>
      <w:szCs w:val="22"/>
    </w:rPr>
  </w:style>
  <w:style w:type="character" w:customStyle="1" w:styleId="QuestionstyleChar">
    <w:name w:val="Question style Char"/>
    <w:basedOn w:val="DefaultParagraphFont"/>
    <w:link w:val="Questionstyle"/>
    <w:rsid w:val="00F77851"/>
    <w:rPr>
      <w:rFonts w:eastAsia="Times New Roman" w:cstheme="minorHAnsi"/>
      <w:sz w:val="22"/>
      <w:szCs w:val="22"/>
      <w:lang w:val="en-GB" w:eastAsia="en-GB"/>
    </w:rPr>
  </w:style>
  <w:style w:type="paragraph" w:customStyle="1" w:styleId="Listing2">
    <w:name w:val="Listing2"/>
    <w:basedOn w:val="Normal"/>
    <w:link w:val="Listing2Char"/>
    <w:autoRedefine/>
    <w:rsid w:val="00DF3785"/>
  </w:style>
  <w:style w:type="character" w:customStyle="1" w:styleId="Listing2Char">
    <w:name w:val="Listing2 Char"/>
    <w:basedOn w:val="DefaultParagraphFont"/>
    <w:link w:val="Listing2"/>
    <w:rsid w:val="00DF3785"/>
    <w:rPr>
      <w:lang w:val="en-GB"/>
    </w:rPr>
  </w:style>
  <w:style w:type="table" w:styleId="TableGrid">
    <w:name w:val="Table Grid"/>
    <w:basedOn w:val="TableNormal"/>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B50534"/>
  </w:style>
  <w:style w:type="character" w:customStyle="1" w:styleId="EndnoteTextChar">
    <w:name w:val="Endnote Text Char"/>
    <w:basedOn w:val="DefaultParagraphFont"/>
    <w:link w:val="EndnoteText"/>
    <w:uiPriority w:val="99"/>
    <w:semiHidden/>
    <w:rsid w:val="00B50534"/>
    <w:rPr>
      <w:lang w:val="en-GB"/>
    </w:rPr>
  </w:style>
  <w:style w:type="character" w:styleId="EndnoteReference">
    <w:name w:val="endnote reference"/>
    <w:basedOn w:val="DefaultParagraphFont"/>
    <w:uiPriority w:val="99"/>
    <w:semiHidden/>
    <w:unhideWhenUsed/>
    <w:rsid w:val="00B50534"/>
    <w:rPr>
      <w:vertAlign w:val="superscript"/>
    </w:rPr>
  </w:style>
  <w:style w:type="paragraph" w:styleId="FootnoteText">
    <w:name w:val="footnote text"/>
    <w:basedOn w:val="Normal"/>
    <w:link w:val="FootnoteTextChar"/>
    <w:autoRedefine/>
    <w:uiPriority w:val="99"/>
    <w:semiHidden/>
    <w:unhideWhenUsed/>
    <w:qFormat/>
    <w:rsid w:val="006F53E8"/>
    <w:rPr>
      <w:sz w:val="16"/>
    </w:rPr>
  </w:style>
  <w:style w:type="character" w:customStyle="1" w:styleId="FootnoteTextChar">
    <w:name w:val="Footnote Text Char"/>
    <w:basedOn w:val="DefaultParagraphFont"/>
    <w:link w:val="FootnoteText"/>
    <w:uiPriority w:val="99"/>
    <w:semiHidden/>
    <w:rsid w:val="006F53E8"/>
    <w:rPr>
      <w:sz w:val="16"/>
      <w:lang w:val="en-GB"/>
    </w:rPr>
  </w:style>
  <w:style w:type="character" w:styleId="FootnoteReference">
    <w:name w:val="footnote reference"/>
    <w:aliases w:val="SUPERS,Footnote reference number,Footnote symbol,note TESI,-E Fußnotenzeichen,number,BVI fnr,Footnote Reference Superscript,(Footnote Reference),EN Footnote Reference,Voetnootverwijzing,Times 10 Point,Exposant 3 Poi,16 Point, BVI fnr"/>
    <w:basedOn w:val="DefaultParagraphFont"/>
    <w:uiPriority w:val="99"/>
    <w:unhideWhenUsed/>
    <w:qFormat/>
    <w:rsid w:val="00A91D91"/>
    <w:rPr>
      <w:rFonts w:asciiTheme="majorHAnsi" w:hAnsiTheme="majorHAnsi"/>
      <w:sz w:val="16"/>
      <w:vertAlign w:val="superscript"/>
    </w:rPr>
  </w:style>
  <w:style w:type="paragraph" w:customStyle="1" w:styleId="Footnote">
    <w:name w:val="Footnote"/>
    <w:basedOn w:val="FootnoteText"/>
    <w:link w:val="FootnoteChar"/>
    <w:rsid w:val="00B50534"/>
    <w:rPr>
      <w:lang w:val="nl-BE"/>
    </w:rPr>
  </w:style>
  <w:style w:type="character" w:customStyle="1" w:styleId="FootnoteChar">
    <w:name w:val="Footnote Char"/>
    <w:basedOn w:val="FootnoteTextChar"/>
    <w:link w:val="Footnote"/>
    <w:rsid w:val="00B50534"/>
    <w:rPr>
      <w:sz w:val="16"/>
      <w:lang w:val="en-GB"/>
    </w:rPr>
  </w:style>
  <w:style w:type="table" w:customStyle="1" w:styleId="GridTable4-Accent11">
    <w:name w:val="Grid Table 4 - Accent 11"/>
    <w:basedOn w:val="TableNormal"/>
    <w:uiPriority w:val="49"/>
    <w:rsid w:val="00B15C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Normal"/>
    <w:rsid w:val="00287C8F"/>
    <w:pPr>
      <w:numPr>
        <w:numId w:val="5"/>
      </w:numPr>
      <w:tabs>
        <w:tab w:val="clear" w:pos="284"/>
        <w:tab w:val="num" w:pos="567"/>
      </w:tabs>
      <w:ind w:left="567" w:hanging="454"/>
    </w:pPr>
    <w:rPr>
      <w:rFonts w:ascii="Georgia" w:hAnsi="Georgia"/>
      <w:sz w:val="20"/>
      <w:lang w:eastAsia="de-DE"/>
    </w:rPr>
  </w:style>
  <w:style w:type="paragraph" w:styleId="BalloonText">
    <w:name w:val="Balloon Text"/>
    <w:basedOn w:val="Normal"/>
    <w:link w:val="BalloonTextChar"/>
    <w:uiPriority w:val="99"/>
    <w:semiHidden/>
    <w:unhideWhenUsed/>
    <w:rsid w:val="003C167E"/>
    <w:rPr>
      <w:rFonts w:ascii="Tahoma" w:hAnsi="Tahoma" w:cs="Tahoma"/>
      <w:sz w:val="16"/>
      <w:szCs w:val="16"/>
    </w:rPr>
  </w:style>
  <w:style w:type="character" w:customStyle="1" w:styleId="BalloonTextChar">
    <w:name w:val="Balloon Text Char"/>
    <w:basedOn w:val="DefaultParagraphFont"/>
    <w:link w:val="BalloonText"/>
    <w:uiPriority w:val="99"/>
    <w:semiHidden/>
    <w:rsid w:val="003C167E"/>
    <w:rPr>
      <w:rFonts w:ascii="Tahoma" w:hAnsi="Tahoma" w:cs="Tahoma"/>
      <w:sz w:val="16"/>
      <w:szCs w:val="16"/>
      <w:lang w:val="en-GB"/>
    </w:rPr>
  </w:style>
  <w:style w:type="character" w:styleId="CommentReference">
    <w:name w:val="annotation reference"/>
    <w:basedOn w:val="DefaultParagraphFont"/>
    <w:uiPriority w:val="99"/>
    <w:semiHidden/>
    <w:unhideWhenUsed/>
    <w:rsid w:val="00FA2400"/>
    <w:rPr>
      <w:sz w:val="16"/>
      <w:szCs w:val="16"/>
    </w:rPr>
  </w:style>
  <w:style w:type="paragraph" w:styleId="CommentText">
    <w:name w:val="annotation text"/>
    <w:basedOn w:val="Normal"/>
    <w:link w:val="CommentTextChar"/>
    <w:uiPriority w:val="99"/>
    <w:unhideWhenUsed/>
    <w:rsid w:val="00FA2400"/>
    <w:rPr>
      <w:sz w:val="20"/>
    </w:rPr>
  </w:style>
  <w:style w:type="character" w:customStyle="1" w:styleId="CommentTextChar">
    <w:name w:val="Comment Text Char"/>
    <w:basedOn w:val="DefaultParagraphFont"/>
    <w:link w:val="CommentText"/>
    <w:uiPriority w:val="99"/>
    <w:rsid w:val="00FA2400"/>
    <w:rPr>
      <w:lang w:val="en-GB"/>
    </w:rPr>
  </w:style>
  <w:style w:type="paragraph" w:styleId="CommentSubject">
    <w:name w:val="annotation subject"/>
    <w:basedOn w:val="CommentText"/>
    <w:next w:val="CommentText"/>
    <w:link w:val="CommentSubjectChar"/>
    <w:uiPriority w:val="99"/>
    <w:semiHidden/>
    <w:unhideWhenUsed/>
    <w:rsid w:val="00FA2400"/>
    <w:rPr>
      <w:b/>
      <w:bCs/>
    </w:rPr>
  </w:style>
  <w:style w:type="character" w:customStyle="1" w:styleId="CommentSubjectChar">
    <w:name w:val="Comment Subject Char"/>
    <w:basedOn w:val="CommentTextChar"/>
    <w:link w:val="CommentSubject"/>
    <w:uiPriority w:val="99"/>
    <w:semiHidden/>
    <w:rsid w:val="00FA2400"/>
    <w:rPr>
      <w:b/>
      <w:bCs/>
      <w:lang w:val="en-GB"/>
    </w:rPr>
  </w:style>
  <w:style w:type="paragraph" w:styleId="Revision">
    <w:name w:val="Revision"/>
    <w:hidden/>
    <w:uiPriority w:val="99"/>
    <w:semiHidden/>
    <w:rsid w:val="00FD2677"/>
    <w:pPr>
      <w:spacing w:after="0" w:line="240" w:lineRule="auto"/>
    </w:pPr>
    <w:rPr>
      <w:sz w:val="22"/>
      <w:lang w:val="en-GB"/>
    </w:rPr>
  </w:style>
  <w:style w:type="paragraph" w:customStyle="1" w:styleId="body">
    <w:name w:val="body"/>
    <w:qFormat/>
    <w:rsid w:val="00750210"/>
    <w:pPr>
      <w:spacing w:before="240" w:line="276" w:lineRule="auto"/>
      <w:jc w:val="both"/>
    </w:pPr>
    <w:rPr>
      <w:sz w:val="22"/>
      <w:szCs w:val="24"/>
      <w:lang w:val="en-US"/>
    </w:rPr>
  </w:style>
  <w:style w:type="character" w:styleId="FollowedHyperlink">
    <w:name w:val="FollowedHyperlink"/>
    <w:basedOn w:val="DefaultParagraphFont"/>
    <w:uiPriority w:val="99"/>
    <w:semiHidden/>
    <w:unhideWhenUsed/>
    <w:rsid w:val="007B354B"/>
    <w:rPr>
      <w:color w:val="954F72" w:themeColor="followedHyperlink"/>
      <w:u w:val="single"/>
    </w:rPr>
  </w:style>
  <w:style w:type="paragraph" w:styleId="NormalWeb">
    <w:name w:val="Normal (Web)"/>
    <w:basedOn w:val="Normal"/>
    <w:uiPriority w:val="99"/>
    <w:semiHidden/>
    <w:unhideWhenUsed/>
    <w:rsid w:val="00B424F5"/>
    <w:pPr>
      <w:spacing w:before="100" w:beforeAutospacing="1" w:after="100" w:afterAutospacing="1"/>
    </w:pPr>
  </w:style>
  <w:style w:type="character" w:customStyle="1" w:styleId="outputecliaff">
    <w:name w:val="outputecliaff"/>
    <w:basedOn w:val="DefaultParagraphFont"/>
    <w:rsid w:val="00595F08"/>
  </w:style>
  <w:style w:type="paragraph" w:customStyle="1" w:styleId="05HeadlinenoIndex">
    <w:name w:val="05_Headline no Index"/>
    <w:basedOn w:val="Normal"/>
    <w:rsid w:val="005C7E1F"/>
    <w:pPr>
      <w:spacing w:after="250" w:line="300" w:lineRule="exact"/>
      <w:jc w:val="both"/>
    </w:pPr>
    <w:rPr>
      <w:rFonts w:ascii="Georgia" w:hAnsi="Georgia"/>
      <w:b/>
      <w:lang w:eastAsia="de-DE"/>
    </w:rPr>
  </w:style>
  <w:style w:type="paragraph" w:customStyle="1" w:styleId="04BodyText">
    <w:name w:val="04_Body Text"/>
    <w:basedOn w:val="Normal"/>
    <w:link w:val="04BodyTextChar"/>
    <w:uiPriority w:val="99"/>
    <w:rsid w:val="00BC5128"/>
    <w:pPr>
      <w:spacing w:after="250" w:line="276" w:lineRule="auto"/>
      <w:jc w:val="both"/>
    </w:pPr>
    <w:rPr>
      <w:rFonts w:ascii="Georgia" w:hAnsi="Georgia"/>
      <w:sz w:val="20"/>
      <w:lang w:eastAsia="de-DE"/>
    </w:rPr>
  </w:style>
  <w:style w:type="character" w:customStyle="1" w:styleId="04BodyTextChar">
    <w:name w:val="04_Body Text Char"/>
    <w:link w:val="04BodyText"/>
    <w:uiPriority w:val="99"/>
    <w:rsid w:val="00BC5128"/>
    <w:rPr>
      <w:rFonts w:ascii="Georgia" w:eastAsia="Times New Roman" w:hAnsi="Georgia" w:cs="Times New Roman"/>
      <w:szCs w:val="24"/>
      <w:lang w:val="en-GB" w:eastAsia="de-DE"/>
    </w:rPr>
  </w:style>
  <w:style w:type="table" w:customStyle="1" w:styleId="TableGrid1">
    <w:name w:val="Table Grid1"/>
    <w:basedOn w:val="TableNormal"/>
    <w:next w:val="TableGrid"/>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Paragraphe EI Char,Paragraphe de liste1 Char,EC Char,Paragraphe de liste Char,Normal Nivel 1 Char,List Paragraph Main Char,List first level Char,List Paragraph_Sections Char"/>
    <w:basedOn w:val="DefaultParagraphFont"/>
    <w:link w:val="ListParagraph"/>
    <w:uiPriority w:val="34"/>
    <w:rsid w:val="00695AF2"/>
    <w:rPr>
      <w:rFonts w:eastAsiaTheme="majorEastAsia" w:cstheme="minorHAnsi"/>
      <w:sz w:val="22"/>
      <w:szCs w:val="22"/>
      <w:lang w:val="en-GB" w:eastAsia="en-GB"/>
    </w:rPr>
  </w:style>
  <w:style w:type="table" w:customStyle="1" w:styleId="TableGrid3">
    <w:name w:val="Table Grid3"/>
    <w:basedOn w:val="TableNormal"/>
    <w:uiPriority w:val="59"/>
    <w:rsid w:val="00F372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8A2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312966">
      <w:bodyDiv w:val="1"/>
      <w:marLeft w:val="0"/>
      <w:marRight w:val="0"/>
      <w:marTop w:val="0"/>
      <w:marBottom w:val="0"/>
      <w:divBdr>
        <w:top w:val="none" w:sz="0" w:space="0" w:color="auto"/>
        <w:left w:val="none" w:sz="0" w:space="0" w:color="auto"/>
        <w:bottom w:val="none" w:sz="0" w:space="0" w:color="auto"/>
        <w:right w:val="none" w:sz="0" w:space="0" w:color="auto"/>
      </w:divBdr>
    </w:div>
    <w:div w:id="79907767">
      <w:bodyDiv w:val="1"/>
      <w:marLeft w:val="0"/>
      <w:marRight w:val="0"/>
      <w:marTop w:val="0"/>
      <w:marBottom w:val="0"/>
      <w:divBdr>
        <w:top w:val="none" w:sz="0" w:space="0" w:color="auto"/>
        <w:left w:val="none" w:sz="0" w:space="0" w:color="auto"/>
        <w:bottom w:val="none" w:sz="0" w:space="0" w:color="auto"/>
        <w:right w:val="none" w:sz="0" w:space="0" w:color="auto"/>
      </w:divBdr>
    </w:div>
    <w:div w:id="195436536">
      <w:bodyDiv w:val="1"/>
      <w:marLeft w:val="0"/>
      <w:marRight w:val="0"/>
      <w:marTop w:val="0"/>
      <w:marBottom w:val="0"/>
      <w:divBdr>
        <w:top w:val="none" w:sz="0" w:space="0" w:color="auto"/>
        <w:left w:val="none" w:sz="0" w:space="0" w:color="auto"/>
        <w:bottom w:val="none" w:sz="0" w:space="0" w:color="auto"/>
        <w:right w:val="none" w:sz="0" w:space="0" w:color="auto"/>
      </w:divBdr>
      <w:divsChild>
        <w:div w:id="2053576486">
          <w:marLeft w:val="547"/>
          <w:marRight w:val="0"/>
          <w:marTop w:val="120"/>
          <w:marBottom w:val="120"/>
          <w:divBdr>
            <w:top w:val="none" w:sz="0" w:space="0" w:color="auto"/>
            <w:left w:val="none" w:sz="0" w:space="0" w:color="auto"/>
            <w:bottom w:val="none" w:sz="0" w:space="0" w:color="auto"/>
            <w:right w:val="none" w:sz="0" w:space="0" w:color="auto"/>
          </w:divBdr>
        </w:div>
      </w:divsChild>
    </w:div>
    <w:div w:id="308559352">
      <w:bodyDiv w:val="1"/>
      <w:marLeft w:val="0"/>
      <w:marRight w:val="0"/>
      <w:marTop w:val="0"/>
      <w:marBottom w:val="0"/>
      <w:divBdr>
        <w:top w:val="none" w:sz="0" w:space="0" w:color="auto"/>
        <w:left w:val="none" w:sz="0" w:space="0" w:color="auto"/>
        <w:bottom w:val="none" w:sz="0" w:space="0" w:color="auto"/>
        <w:right w:val="none" w:sz="0" w:space="0" w:color="auto"/>
      </w:divBdr>
    </w:div>
    <w:div w:id="558631356">
      <w:bodyDiv w:val="1"/>
      <w:marLeft w:val="0"/>
      <w:marRight w:val="0"/>
      <w:marTop w:val="0"/>
      <w:marBottom w:val="0"/>
      <w:divBdr>
        <w:top w:val="none" w:sz="0" w:space="0" w:color="auto"/>
        <w:left w:val="none" w:sz="0" w:space="0" w:color="auto"/>
        <w:bottom w:val="none" w:sz="0" w:space="0" w:color="auto"/>
        <w:right w:val="none" w:sz="0" w:space="0" w:color="auto"/>
      </w:divBdr>
    </w:div>
    <w:div w:id="607393598">
      <w:bodyDiv w:val="1"/>
      <w:marLeft w:val="0"/>
      <w:marRight w:val="0"/>
      <w:marTop w:val="0"/>
      <w:marBottom w:val="0"/>
      <w:divBdr>
        <w:top w:val="none" w:sz="0" w:space="0" w:color="auto"/>
        <w:left w:val="none" w:sz="0" w:space="0" w:color="auto"/>
        <w:bottom w:val="none" w:sz="0" w:space="0" w:color="auto"/>
        <w:right w:val="none" w:sz="0" w:space="0" w:color="auto"/>
      </w:divBdr>
      <w:divsChild>
        <w:div w:id="719549589">
          <w:marLeft w:val="0"/>
          <w:marRight w:val="0"/>
          <w:marTop w:val="0"/>
          <w:marBottom w:val="0"/>
          <w:divBdr>
            <w:top w:val="none" w:sz="0" w:space="0" w:color="auto"/>
            <w:left w:val="none" w:sz="0" w:space="0" w:color="auto"/>
            <w:bottom w:val="none" w:sz="0" w:space="0" w:color="auto"/>
            <w:right w:val="none" w:sz="0" w:space="0" w:color="auto"/>
          </w:divBdr>
          <w:divsChild>
            <w:div w:id="715467520">
              <w:marLeft w:val="0"/>
              <w:marRight w:val="0"/>
              <w:marTop w:val="0"/>
              <w:marBottom w:val="0"/>
              <w:divBdr>
                <w:top w:val="none" w:sz="0" w:space="0" w:color="auto"/>
                <w:left w:val="none" w:sz="0" w:space="0" w:color="auto"/>
                <w:bottom w:val="none" w:sz="0" w:space="0" w:color="auto"/>
                <w:right w:val="none" w:sz="0" w:space="0" w:color="auto"/>
              </w:divBdr>
              <w:divsChild>
                <w:div w:id="1683974626">
                  <w:marLeft w:val="0"/>
                  <w:marRight w:val="0"/>
                  <w:marTop w:val="0"/>
                  <w:marBottom w:val="0"/>
                  <w:divBdr>
                    <w:top w:val="none" w:sz="0" w:space="0" w:color="auto"/>
                    <w:left w:val="none" w:sz="0" w:space="0" w:color="auto"/>
                    <w:bottom w:val="none" w:sz="0" w:space="0" w:color="auto"/>
                    <w:right w:val="none" w:sz="0" w:space="0" w:color="auto"/>
                  </w:divBdr>
                  <w:divsChild>
                    <w:div w:id="1551724287">
                      <w:marLeft w:val="1"/>
                      <w:marRight w:val="1"/>
                      <w:marTop w:val="0"/>
                      <w:marBottom w:val="0"/>
                      <w:divBdr>
                        <w:top w:val="none" w:sz="0" w:space="0" w:color="auto"/>
                        <w:left w:val="none" w:sz="0" w:space="0" w:color="auto"/>
                        <w:bottom w:val="none" w:sz="0" w:space="0" w:color="auto"/>
                        <w:right w:val="none" w:sz="0" w:space="0" w:color="auto"/>
                      </w:divBdr>
                      <w:divsChild>
                        <w:div w:id="1105809413">
                          <w:marLeft w:val="0"/>
                          <w:marRight w:val="0"/>
                          <w:marTop w:val="0"/>
                          <w:marBottom w:val="0"/>
                          <w:divBdr>
                            <w:top w:val="none" w:sz="0" w:space="0" w:color="auto"/>
                            <w:left w:val="none" w:sz="0" w:space="0" w:color="auto"/>
                            <w:bottom w:val="none" w:sz="0" w:space="0" w:color="auto"/>
                            <w:right w:val="none" w:sz="0" w:space="0" w:color="auto"/>
                          </w:divBdr>
                          <w:divsChild>
                            <w:div w:id="527523748">
                              <w:marLeft w:val="0"/>
                              <w:marRight w:val="0"/>
                              <w:marTop w:val="0"/>
                              <w:marBottom w:val="360"/>
                              <w:divBdr>
                                <w:top w:val="none" w:sz="0" w:space="0" w:color="auto"/>
                                <w:left w:val="none" w:sz="0" w:space="0" w:color="auto"/>
                                <w:bottom w:val="none" w:sz="0" w:space="0" w:color="auto"/>
                                <w:right w:val="none" w:sz="0" w:space="0" w:color="auto"/>
                              </w:divBdr>
                              <w:divsChild>
                                <w:div w:id="1643266757">
                                  <w:marLeft w:val="0"/>
                                  <w:marRight w:val="0"/>
                                  <w:marTop w:val="0"/>
                                  <w:marBottom w:val="0"/>
                                  <w:divBdr>
                                    <w:top w:val="none" w:sz="0" w:space="0" w:color="auto"/>
                                    <w:left w:val="none" w:sz="0" w:space="0" w:color="auto"/>
                                    <w:bottom w:val="none" w:sz="0" w:space="0" w:color="auto"/>
                                    <w:right w:val="none" w:sz="0" w:space="0" w:color="auto"/>
                                  </w:divBdr>
                                  <w:divsChild>
                                    <w:div w:id="79509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5310116">
      <w:bodyDiv w:val="1"/>
      <w:marLeft w:val="0"/>
      <w:marRight w:val="0"/>
      <w:marTop w:val="0"/>
      <w:marBottom w:val="0"/>
      <w:divBdr>
        <w:top w:val="none" w:sz="0" w:space="0" w:color="auto"/>
        <w:left w:val="none" w:sz="0" w:space="0" w:color="auto"/>
        <w:bottom w:val="none" w:sz="0" w:space="0" w:color="auto"/>
        <w:right w:val="none" w:sz="0" w:space="0" w:color="auto"/>
      </w:divBdr>
      <w:divsChild>
        <w:div w:id="2113477775">
          <w:marLeft w:val="0"/>
          <w:marRight w:val="0"/>
          <w:marTop w:val="0"/>
          <w:marBottom w:val="0"/>
          <w:divBdr>
            <w:top w:val="none" w:sz="0" w:space="0" w:color="auto"/>
            <w:left w:val="none" w:sz="0" w:space="0" w:color="auto"/>
            <w:bottom w:val="none" w:sz="0" w:space="0" w:color="auto"/>
            <w:right w:val="none" w:sz="0" w:space="0" w:color="auto"/>
          </w:divBdr>
          <w:divsChild>
            <w:div w:id="1261253972">
              <w:marLeft w:val="0"/>
              <w:marRight w:val="0"/>
              <w:marTop w:val="0"/>
              <w:marBottom w:val="0"/>
              <w:divBdr>
                <w:top w:val="none" w:sz="0" w:space="0" w:color="auto"/>
                <w:left w:val="none" w:sz="0" w:space="0" w:color="auto"/>
                <w:bottom w:val="none" w:sz="0" w:space="0" w:color="auto"/>
                <w:right w:val="none" w:sz="0" w:space="0" w:color="auto"/>
              </w:divBdr>
              <w:divsChild>
                <w:div w:id="517893123">
                  <w:marLeft w:val="0"/>
                  <w:marRight w:val="0"/>
                  <w:marTop w:val="0"/>
                  <w:marBottom w:val="0"/>
                  <w:divBdr>
                    <w:top w:val="none" w:sz="0" w:space="0" w:color="auto"/>
                    <w:left w:val="none" w:sz="0" w:space="0" w:color="auto"/>
                    <w:bottom w:val="none" w:sz="0" w:space="0" w:color="auto"/>
                    <w:right w:val="none" w:sz="0" w:space="0" w:color="auto"/>
                  </w:divBdr>
                  <w:divsChild>
                    <w:div w:id="1599218891">
                      <w:marLeft w:val="1"/>
                      <w:marRight w:val="1"/>
                      <w:marTop w:val="0"/>
                      <w:marBottom w:val="0"/>
                      <w:divBdr>
                        <w:top w:val="none" w:sz="0" w:space="0" w:color="auto"/>
                        <w:left w:val="none" w:sz="0" w:space="0" w:color="auto"/>
                        <w:bottom w:val="none" w:sz="0" w:space="0" w:color="auto"/>
                        <w:right w:val="none" w:sz="0" w:space="0" w:color="auto"/>
                      </w:divBdr>
                      <w:divsChild>
                        <w:div w:id="1515613444">
                          <w:marLeft w:val="0"/>
                          <w:marRight w:val="0"/>
                          <w:marTop w:val="0"/>
                          <w:marBottom w:val="0"/>
                          <w:divBdr>
                            <w:top w:val="none" w:sz="0" w:space="0" w:color="auto"/>
                            <w:left w:val="none" w:sz="0" w:space="0" w:color="auto"/>
                            <w:bottom w:val="none" w:sz="0" w:space="0" w:color="auto"/>
                            <w:right w:val="none" w:sz="0" w:space="0" w:color="auto"/>
                          </w:divBdr>
                          <w:divsChild>
                            <w:div w:id="639384916">
                              <w:marLeft w:val="0"/>
                              <w:marRight w:val="0"/>
                              <w:marTop w:val="0"/>
                              <w:marBottom w:val="360"/>
                              <w:divBdr>
                                <w:top w:val="none" w:sz="0" w:space="0" w:color="auto"/>
                                <w:left w:val="none" w:sz="0" w:space="0" w:color="auto"/>
                                <w:bottom w:val="none" w:sz="0" w:space="0" w:color="auto"/>
                                <w:right w:val="none" w:sz="0" w:space="0" w:color="auto"/>
                              </w:divBdr>
                              <w:divsChild>
                                <w:div w:id="1081947748">
                                  <w:marLeft w:val="0"/>
                                  <w:marRight w:val="0"/>
                                  <w:marTop w:val="0"/>
                                  <w:marBottom w:val="0"/>
                                  <w:divBdr>
                                    <w:top w:val="none" w:sz="0" w:space="0" w:color="auto"/>
                                    <w:left w:val="none" w:sz="0" w:space="0" w:color="auto"/>
                                    <w:bottom w:val="none" w:sz="0" w:space="0" w:color="auto"/>
                                    <w:right w:val="none" w:sz="0" w:space="0" w:color="auto"/>
                                  </w:divBdr>
                                  <w:divsChild>
                                    <w:div w:id="40056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1907172">
      <w:bodyDiv w:val="1"/>
      <w:marLeft w:val="0"/>
      <w:marRight w:val="0"/>
      <w:marTop w:val="0"/>
      <w:marBottom w:val="0"/>
      <w:divBdr>
        <w:top w:val="none" w:sz="0" w:space="0" w:color="auto"/>
        <w:left w:val="none" w:sz="0" w:space="0" w:color="auto"/>
        <w:bottom w:val="none" w:sz="0" w:space="0" w:color="auto"/>
        <w:right w:val="none" w:sz="0" w:space="0" w:color="auto"/>
      </w:divBdr>
    </w:div>
    <w:div w:id="648898664">
      <w:bodyDiv w:val="1"/>
      <w:marLeft w:val="0"/>
      <w:marRight w:val="0"/>
      <w:marTop w:val="0"/>
      <w:marBottom w:val="0"/>
      <w:divBdr>
        <w:top w:val="none" w:sz="0" w:space="0" w:color="auto"/>
        <w:left w:val="none" w:sz="0" w:space="0" w:color="auto"/>
        <w:bottom w:val="none" w:sz="0" w:space="0" w:color="auto"/>
        <w:right w:val="none" w:sz="0" w:space="0" w:color="auto"/>
      </w:divBdr>
    </w:div>
    <w:div w:id="654142365">
      <w:bodyDiv w:val="1"/>
      <w:marLeft w:val="0"/>
      <w:marRight w:val="0"/>
      <w:marTop w:val="0"/>
      <w:marBottom w:val="0"/>
      <w:divBdr>
        <w:top w:val="none" w:sz="0" w:space="0" w:color="auto"/>
        <w:left w:val="none" w:sz="0" w:space="0" w:color="auto"/>
        <w:bottom w:val="none" w:sz="0" w:space="0" w:color="auto"/>
        <w:right w:val="none" w:sz="0" w:space="0" w:color="auto"/>
      </w:divBdr>
      <w:divsChild>
        <w:div w:id="829757675">
          <w:marLeft w:val="547"/>
          <w:marRight w:val="0"/>
          <w:marTop w:val="120"/>
          <w:marBottom w:val="120"/>
          <w:divBdr>
            <w:top w:val="none" w:sz="0" w:space="0" w:color="auto"/>
            <w:left w:val="none" w:sz="0" w:space="0" w:color="auto"/>
            <w:bottom w:val="none" w:sz="0" w:space="0" w:color="auto"/>
            <w:right w:val="none" w:sz="0" w:space="0" w:color="auto"/>
          </w:divBdr>
        </w:div>
        <w:div w:id="1430617638">
          <w:marLeft w:val="547"/>
          <w:marRight w:val="0"/>
          <w:marTop w:val="120"/>
          <w:marBottom w:val="120"/>
          <w:divBdr>
            <w:top w:val="none" w:sz="0" w:space="0" w:color="auto"/>
            <w:left w:val="none" w:sz="0" w:space="0" w:color="auto"/>
            <w:bottom w:val="none" w:sz="0" w:space="0" w:color="auto"/>
            <w:right w:val="none" w:sz="0" w:space="0" w:color="auto"/>
          </w:divBdr>
        </w:div>
      </w:divsChild>
    </w:div>
    <w:div w:id="667555890">
      <w:bodyDiv w:val="1"/>
      <w:marLeft w:val="0"/>
      <w:marRight w:val="0"/>
      <w:marTop w:val="0"/>
      <w:marBottom w:val="0"/>
      <w:divBdr>
        <w:top w:val="none" w:sz="0" w:space="0" w:color="auto"/>
        <w:left w:val="none" w:sz="0" w:space="0" w:color="auto"/>
        <w:bottom w:val="none" w:sz="0" w:space="0" w:color="auto"/>
        <w:right w:val="none" w:sz="0" w:space="0" w:color="auto"/>
      </w:divBdr>
      <w:divsChild>
        <w:div w:id="627320154">
          <w:marLeft w:val="547"/>
          <w:marRight w:val="0"/>
          <w:marTop w:val="120"/>
          <w:marBottom w:val="120"/>
          <w:divBdr>
            <w:top w:val="none" w:sz="0" w:space="0" w:color="auto"/>
            <w:left w:val="none" w:sz="0" w:space="0" w:color="auto"/>
            <w:bottom w:val="none" w:sz="0" w:space="0" w:color="auto"/>
            <w:right w:val="none" w:sz="0" w:space="0" w:color="auto"/>
          </w:divBdr>
        </w:div>
        <w:div w:id="437221792">
          <w:marLeft w:val="547"/>
          <w:marRight w:val="0"/>
          <w:marTop w:val="120"/>
          <w:marBottom w:val="120"/>
          <w:divBdr>
            <w:top w:val="none" w:sz="0" w:space="0" w:color="auto"/>
            <w:left w:val="none" w:sz="0" w:space="0" w:color="auto"/>
            <w:bottom w:val="none" w:sz="0" w:space="0" w:color="auto"/>
            <w:right w:val="none" w:sz="0" w:space="0" w:color="auto"/>
          </w:divBdr>
        </w:div>
      </w:divsChild>
    </w:div>
    <w:div w:id="805780515">
      <w:bodyDiv w:val="1"/>
      <w:marLeft w:val="0"/>
      <w:marRight w:val="0"/>
      <w:marTop w:val="0"/>
      <w:marBottom w:val="0"/>
      <w:divBdr>
        <w:top w:val="none" w:sz="0" w:space="0" w:color="auto"/>
        <w:left w:val="none" w:sz="0" w:space="0" w:color="auto"/>
        <w:bottom w:val="none" w:sz="0" w:space="0" w:color="auto"/>
        <w:right w:val="none" w:sz="0" w:space="0" w:color="auto"/>
      </w:divBdr>
      <w:divsChild>
        <w:div w:id="1467972504">
          <w:marLeft w:val="547"/>
          <w:marRight w:val="0"/>
          <w:marTop w:val="120"/>
          <w:marBottom w:val="120"/>
          <w:divBdr>
            <w:top w:val="none" w:sz="0" w:space="0" w:color="auto"/>
            <w:left w:val="none" w:sz="0" w:space="0" w:color="auto"/>
            <w:bottom w:val="none" w:sz="0" w:space="0" w:color="auto"/>
            <w:right w:val="none" w:sz="0" w:space="0" w:color="auto"/>
          </w:divBdr>
        </w:div>
        <w:div w:id="1093010987">
          <w:marLeft w:val="547"/>
          <w:marRight w:val="0"/>
          <w:marTop w:val="120"/>
          <w:marBottom w:val="120"/>
          <w:divBdr>
            <w:top w:val="none" w:sz="0" w:space="0" w:color="auto"/>
            <w:left w:val="none" w:sz="0" w:space="0" w:color="auto"/>
            <w:bottom w:val="none" w:sz="0" w:space="0" w:color="auto"/>
            <w:right w:val="none" w:sz="0" w:space="0" w:color="auto"/>
          </w:divBdr>
        </w:div>
      </w:divsChild>
    </w:div>
    <w:div w:id="821391096">
      <w:bodyDiv w:val="1"/>
      <w:marLeft w:val="0"/>
      <w:marRight w:val="0"/>
      <w:marTop w:val="0"/>
      <w:marBottom w:val="0"/>
      <w:divBdr>
        <w:top w:val="none" w:sz="0" w:space="0" w:color="auto"/>
        <w:left w:val="none" w:sz="0" w:space="0" w:color="auto"/>
        <w:bottom w:val="none" w:sz="0" w:space="0" w:color="auto"/>
        <w:right w:val="none" w:sz="0" w:space="0" w:color="auto"/>
      </w:divBdr>
    </w:div>
    <w:div w:id="828716617">
      <w:bodyDiv w:val="1"/>
      <w:marLeft w:val="0"/>
      <w:marRight w:val="0"/>
      <w:marTop w:val="0"/>
      <w:marBottom w:val="0"/>
      <w:divBdr>
        <w:top w:val="none" w:sz="0" w:space="0" w:color="auto"/>
        <w:left w:val="none" w:sz="0" w:space="0" w:color="auto"/>
        <w:bottom w:val="none" w:sz="0" w:space="0" w:color="auto"/>
        <w:right w:val="none" w:sz="0" w:space="0" w:color="auto"/>
      </w:divBdr>
    </w:div>
    <w:div w:id="843976993">
      <w:bodyDiv w:val="1"/>
      <w:marLeft w:val="0"/>
      <w:marRight w:val="0"/>
      <w:marTop w:val="0"/>
      <w:marBottom w:val="0"/>
      <w:divBdr>
        <w:top w:val="none" w:sz="0" w:space="0" w:color="auto"/>
        <w:left w:val="none" w:sz="0" w:space="0" w:color="auto"/>
        <w:bottom w:val="none" w:sz="0" w:space="0" w:color="auto"/>
        <w:right w:val="none" w:sz="0" w:space="0" w:color="auto"/>
      </w:divBdr>
    </w:div>
    <w:div w:id="871646249">
      <w:bodyDiv w:val="1"/>
      <w:marLeft w:val="0"/>
      <w:marRight w:val="0"/>
      <w:marTop w:val="0"/>
      <w:marBottom w:val="0"/>
      <w:divBdr>
        <w:top w:val="none" w:sz="0" w:space="0" w:color="auto"/>
        <w:left w:val="none" w:sz="0" w:space="0" w:color="auto"/>
        <w:bottom w:val="none" w:sz="0" w:space="0" w:color="auto"/>
        <w:right w:val="none" w:sz="0" w:space="0" w:color="auto"/>
      </w:divBdr>
      <w:divsChild>
        <w:div w:id="531115712">
          <w:marLeft w:val="547"/>
          <w:marRight w:val="0"/>
          <w:marTop w:val="120"/>
          <w:marBottom w:val="120"/>
          <w:divBdr>
            <w:top w:val="none" w:sz="0" w:space="0" w:color="auto"/>
            <w:left w:val="none" w:sz="0" w:space="0" w:color="auto"/>
            <w:bottom w:val="none" w:sz="0" w:space="0" w:color="auto"/>
            <w:right w:val="none" w:sz="0" w:space="0" w:color="auto"/>
          </w:divBdr>
        </w:div>
        <w:div w:id="1251349587">
          <w:marLeft w:val="547"/>
          <w:marRight w:val="0"/>
          <w:marTop w:val="120"/>
          <w:marBottom w:val="120"/>
          <w:divBdr>
            <w:top w:val="none" w:sz="0" w:space="0" w:color="auto"/>
            <w:left w:val="none" w:sz="0" w:space="0" w:color="auto"/>
            <w:bottom w:val="none" w:sz="0" w:space="0" w:color="auto"/>
            <w:right w:val="none" w:sz="0" w:space="0" w:color="auto"/>
          </w:divBdr>
        </w:div>
      </w:divsChild>
    </w:div>
    <w:div w:id="974680293">
      <w:bodyDiv w:val="1"/>
      <w:marLeft w:val="0"/>
      <w:marRight w:val="0"/>
      <w:marTop w:val="0"/>
      <w:marBottom w:val="0"/>
      <w:divBdr>
        <w:top w:val="none" w:sz="0" w:space="0" w:color="auto"/>
        <w:left w:val="none" w:sz="0" w:space="0" w:color="auto"/>
        <w:bottom w:val="none" w:sz="0" w:space="0" w:color="auto"/>
        <w:right w:val="none" w:sz="0" w:space="0" w:color="auto"/>
      </w:divBdr>
    </w:div>
    <w:div w:id="1084842750">
      <w:bodyDiv w:val="1"/>
      <w:marLeft w:val="0"/>
      <w:marRight w:val="0"/>
      <w:marTop w:val="0"/>
      <w:marBottom w:val="0"/>
      <w:divBdr>
        <w:top w:val="none" w:sz="0" w:space="0" w:color="auto"/>
        <w:left w:val="none" w:sz="0" w:space="0" w:color="auto"/>
        <w:bottom w:val="none" w:sz="0" w:space="0" w:color="auto"/>
        <w:right w:val="none" w:sz="0" w:space="0" w:color="auto"/>
      </w:divBdr>
      <w:divsChild>
        <w:div w:id="1170751860">
          <w:marLeft w:val="547"/>
          <w:marRight w:val="0"/>
          <w:marTop w:val="120"/>
          <w:marBottom w:val="120"/>
          <w:divBdr>
            <w:top w:val="none" w:sz="0" w:space="0" w:color="auto"/>
            <w:left w:val="none" w:sz="0" w:space="0" w:color="auto"/>
            <w:bottom w:val="none" w:sz="0" w:space="0" w:color="auto"/>
            <w:right w:val="none" w:sz="0" w:space="0" w:color="auto"/>
          </w:divBdr>
        </w:div>
        <w:div w:id="1558198995">
          <w:marLeft w:val="547"/>
          <w:marRight w:val="0"/>
          <w:marTop w:val="120"/>
          <w:marBottom w:val="120"/>
          <w:divBdr>
            <w:top w:val="none" w:sz="0" w:space="0" w:color="auto"/>
            <w:left w:val="none" w:sz="0" w:space="0" w:color="auto"/>
            <w:bottom w:val="none" w:sz="0" w:space="0" w:color="auto"/>
            <w:right w:val="none" w:sz="0" w:space="0" w:color="auto"/>
          </w:divBdr>
        </w:div>
      </w:divsChild>
    </w:div>
    <w:div w:id="1106535437">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335379244">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9058892">
      <w:bodyDiv w:val="1"/>
      <w:marLeft w:val="0"/>
      <w:marRight w:val="0"/>
      <w:marTop w:val="0"/>
      <w:marBottom w:val="0"/>
      <w:divBdr>
        <w:top w:val="none" w:sz="0" w:space="0" w:color="auto"/>
        <w:left w:val="none" w:sz="0" w:space="0" w:color="auto"/>
        <w:bottom w:val="none" w:sz="0" w:space="0" w:color="auto"/>
        <w:right w:val="none" w:sz="0" w:space="0" w:color="auto"/>
      </w:divBdr>
      <w:divsChild>
        <w:div w:id="1554805026">
          <w:marLeft w:val="547"/>
          <w:marRight w:val="0"/>
          <w:marTop w:val="120"/>
          <w:marBottom w:val="120"/>
          <w:divBdr>
            <w:top w:val="none" w:sz="0" w:space="0" w:color="auto"/>
            <w:left w:val="none" w:sz="0" w:space="0" w:color="auto"/>
            <w:bottom w:val="none" w:sz="0" w:space="0" w:color="auto"/>
            <w:right w:val="none" w:sz="0" w:space="0" w:color="auto"/>
          </w:divBdr>
        </w:div>
        <w:div w:id="1500736113">
          <w:marLeft w:val="1267"/>
          <w:marRight w:val="0"/>
          <w:marTop w:val="120"/>
          <w:marBottom w:val="120"/>
          <w:divBdr>
            <w:top w:val="none" w:sz="0" w:space="0" w:color="auto"/>
            <w:left w:val="none" w:sz="0" w:space="0" w:color="auto"/>
            <w:bottom w:val="none" w:sz="0" w:space="0" w:color="auto"/>
            <w:right w:val="none" w:sz="0" w:space="0" w:color="auto"/>
          </w:divBdr>
        </w:div>
        <w:div w:id="1184972619">
          <w:marLeft w:val="1267"/>
          <w:marRight w:val="0"/>
          <w:marTop w:val="120"/>
          <w:marBottom w:val="120"/>
          <w:divBdr>
            <w:top w:val="none" w:sz="0" w:space="0" w:color="auto"/>
            <w:left w:val="none" w:sz="0" w:space="0" w:color="auto"/>
            <w:bottom w:val="none" w:sz="0" w:space="0" w:color="auto"/>
            <w:right w:val="none" w:sz="0" w:space="0" w:color="auto"/>
          </w:divBdr>
        </w:div>
        <w:div w:id="1378621289">
          <w:marLeft w:val="547"/>
          <w:marRight w:val="0"/>
          <w:marTop w:val="120"/>
          <w:marBottom w:val="120"/>
          <w:divBdr>
            <w:top w:val="none" w:sz="0" w:space="0" w:color="auto"/>
            <w:left w:val="none" w:sz="0" w:space="0" w:color="auto"/>
            <w:bottom w:val="none" w:sz="0" w:space="0" w:color="auto"/>
            <w:right w:val="none" w:sz="0" w:space="0" w:color="auto"/>
          </w:divBdr>
        </w:div>
        <w:div w:id="1932665473">
          <w:marLeft w:val="547"/>
          <w:marRight w:val="0"/>
          <w:marTop w:val="120"/>
          <w:marBottom w:val="120"/>
          <w:divBdr>
            <w:top w:val="none" w:sz="0" w:space="0" w:color="auto"/>
            <w:left w:val="none" w:sz="0" w:space="0" w:color="auto"/>
            <w:bottom w:val="none" w:sz="0" w:space="0" w:color="auto"/>
            <w:right w:val="none" w:sz="0" w:space="0" w:color="auto"/>
          </w:divBdr>
        </w:div>
      </w:divsChild>
    </w:div>
    <w:div w:id="1358581502">
      <w:bodyDiv w:val="1"/>
      <w:marLeft w:val="0"/>
      <w:marRight w:val="0"/>
      <w:marTop w:val="0"/>
      <w:marBottom w:val="0"/>
      <w:divBdr>
        <w:top w:val="none" w:sz="0" w:space="0" w:color="auto"/>
        <w:left w:val="none" w:sz="0" w:space="0" w:color="auto"/>
        <w:bottom w:val="none" w:sz="0" w:space="0" w:color="auto"/>
        <w:right w:val="none" w:sz="0" w:space="0" w:color="auto"/>
      </w:divBdr>
      <w:divsChild>
        <w:div w:id="1146043688">
          <w:marLeft w:val="0"/>
          <w:marRight w:val="0"/>
          <w:marTop w:val="0"/>
          <w:marBottom w:val="0"/>
          <w:divBdr>
            <w:top w:val="none" w:sz="0" w:space="0" w:color="auto"/>
            <w:left w:val="none" w:sz="0" w:space="0" w:color="auto"/>
            <w:bottom w:val="none" w:sz="0" w:space="0" w:color="auto"/>
            <w:right w:val="none" w:sz="0" w:space="0" w:color="auto"/>
          </w:divBdr>
          <w:divsChild>
            <w:div w:id="1355889373">
              <w:marLeft w:val="0"/>
              <w:marRight w:val="0"/>
              <w:marTop w:val="0"/>
              <w:marBottom w:val="0"/>
              <w:divBdr>
                <w:top w:val="none" w:sz="0" w:space="0" w:color="auto"/>
                <w:left w:val="none" w:sz="0" w:space="0" w:color="auto"/>
                <w:bottom w:val="none" w:sz="0" w:space="0" w:color="auto"/>
                <w:right w:val="none" w:sz="0" w:space="0" w:color="auto"/>
              </w:divBdr>
              <w:divsChild>
                <w:div w:id="2025665832">
                  <w:marLeft w:val="0"/>
                  <w:marRight w:val="0"/>
                  <w:marTop w:val="0"/>
                  <w:marBottom w:val="0"/>
                  <w:divBdr>
                    <w:top w:val="none" w:sz="0" w:space="0" w:color="auto"/>
                    <w:left w:val="none" w:sz="0" w:space="0" w:color="auto"/>
                    <w:bottom w:val="none" w:sz="0" w:space="0" w:color="auto"/>
                    <w:right w:val="none" w:sz="0" w:space="0" w:color="auto"/>
                  </w:divBdr>
                  <w:divsChild>
                    <w:div w:id="470754153">
                      <w:marLeft w:val="1"/>
                      <w:marRight w:val="1"/>
                      <w:marTop w:val="0"/>
                      <w:marBottom w:val="0"/>
                      <w:divBdr>
                        <w:top w:val="none" w:sz="0" w:space="0" w:color="auto"/>
                        <w:left w:val="none" w:sz="0" w:space="0" w:color="auto"/>
                        <w:bottom w:val="none" w:sz="0" w:space="0" w:color="auto"/>
                        <w:right w:val="none" w:sz="0" w:space="0" w:color="auto"/>
                      </w:divBdr>
                      <w:divsChild>
                        <w:div w:id="1547788802">
                          <w:marLeft w:val="0"/>
                          <w:marRight w:val="0"/>
                          <w:marTop w:val="0"/>
                          <w:marBottom w:val="0"/>
                          <w:divBdr>
                            <w:top w:val="none" w:sz="0" w:space="0" w:color="auto"/>
                            <w:left w:val="none" w:sz="0" w:space="0" w:color="auto"/>
                            <w:bottom w:val="none" w:sz="0" w:space="0" w:color="auto"/>
                            <w:right w:val="none" w:sz="0" w:space="0" w:color="auto"/>
                          </w:divBdr>
                          <w:divsChild>
                            <w:div w:id="1744714415">
                              <w:marLeft w:val="0"/>
                              <w:marRight w:val="0"/>
                              <w:marTop w:val="0"/>
                              <w:marBottom w:val="360"/>
                              <w:divBdr>
                                <w:top w:val="none" w:sz="0" w:space="0" w:color="auto"/>
                                <w:left w:val="none" w:sz="0" w:space="0" w:color="auto"/>
                                <w:bottom w:val="none" w:sz="0" w:space="0" w:color="auto"/>
                                <w:right w:val="none" w:sz="0" w:space="0" w:color="auto"/>
                              </w:divBdr>
                              <w:divsChild>
                                <w:div w:id="88623802">
                                  <w:marLeft w:val="0"/>
                                  <w:marRight w:val="0"/>
                                  <w:marTop w:val="0"/>
                                  <w:marBottom w:val="0"/>
                                  <w:divBdr>
                                    <w:top w:val="none" w:sz="0" w:space="0" w:color="auto"/>
                                    <w:left w:val="none" w:sz="0" w:space="0" w:color="auto"/>
                                    <w:bottom w:val="none" w:sz="0" w:space="0" w:color="auto"/>
                                    <w:right w:val="none" w:sz="0" w:space="0" w:color="auto"/>
                                  </w:divBdr>
                                  <w:divsChild>
                                    <w:div w:id="706103141">
                                      <w:marLeft w:val="0"/>
                                      <w:marRight w:val="0"/>
                                      <w:marTop w:val="0"/>
                                      <w:marBottom w:val="0"/>
                                      <w:divBdr>
                                        <w:top w:val="none" w:sz="0" w:space="0" w:color="auto"/>
                                        <w:left w:val="none" w:sz="0" w:space="0" w:color="auto"/>
                                        <w:bottom w:val="none" w:sz="0" w:space="0" w:color="auto"/>
                                        <w:right w:val="none" w:sz="0" w:space="0" w:color="auto"/>
                                      </w:divBdr>
                                      <w:divsChild>
                                        <w:div w:id="601651463">
                                          <w:marLeft w:val="0"/>
                                          <w:marRight w:val="0"/>
                                          <w:marTop w:val="0"/>
                                          <w:marBottom w:val="0"/>
                                          <w:divBdr>
                                            <w:top w:val="none" w:sz="0" w:space="0" w:color="auto"/>
                                            <w:left w:val="none" w:sz="0" w:space="0" w:color="auto"/>
                                            <w:bottom w:val="none" w:sz="0" w:space="0" w:color="auto"/>
                                            <w:right w:val="none" w:sz="0" w:space="0" w:color="auto"/>
                                          </w:divBdr>
                                          <w:divsChild>
                                            <w:div w:id="2028939348">
                                              <w:marLeft w:val="0"/>
                                              <w:marRight w:val="0"/>
                                              <w:marTop w:val="0"/>
                                              <w:marBottom w:val="0"/>
                                              <w:divBdr>
                                                <w:top w:val="none" w:sz="0" w:space="0" w:color="auto"/>
                                                <w:left w:val="none" w:sz="0" w:space="0" w:color="auto"/>
                                                <w:bottom w:val="none" w:sz="0" w:space="0" w:color="auto"/>
                                                <w:right w:val="none" w:sz="0" w:space="0" w:color="auto"/>
                                              </w:divBdr>
                                              <w:divsChild>
                                                <w:div w:id="1912084995">
                                                  <w:marLeft w:val="0"/>
                                                  <w:marRight w:val="0"/>
                                                  <w:marTop w:val="0"/>
                                                  <w:marBottom w:val="0"/>
                                                  <w:divBdr>
                                                    <w:top w:val="none" w:sz="0" w:space="0" w:color="auto"/>
                                                    <w:left w:val="none" w:sz="0" w:space="0" w:color="auto"/>
                                                    <w:bottom w:val="none" w:sz="0" w:space="0" w:color="auto"/>
                                                    <w:right w:val="none" w:sz="0" w:space="0" w:color="auto"/>
                                                  </w:divBdr>
                                                  <w:divsChild>
                                                    <w:div w:id="87150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78505886">
      <w:bodyDiv w:val="1"/>
      <w:marLeft w:val="0"/>
      <w:marRight w:val="0"/>
      <w:marTop w:val="0"/>
      <w:marBottom w:val="0"/>
      <w:divBdr>
        <w:top w:val="none" w:sz="0" w:space="0" w:color="auto"/>
        <w:left w:val="none" w:sz="0" w:space="0" w:color="auto"/>
        <w:bottom w:val="none" w:sz="0" w:space="0" w:color="auto"/>
        <w:right w:val="none" w:sz="0" w:space="0" w:color="auto"/>
      </w:divBdr>
    </w:div>
    <w:div w:id="1496989097">
      <w:bodyDiv w:val="1"/>
      <w:marLeft w:val="0"/>
      <w:marRight w:val="0"/>
      <w:marTop w:val="0"/>
      <w:marBottom w:val="0"/>
      <w:divBdr>
        <w:top w:val="none" w:sz="0" w:space="0" w:color="auto"/>
        <w:left w:val="none" w:sz="0" w:space="0" w:color="auto"/>
        <w:bottom w:val="none" w:sz="0" w:space="0" w:color="auto"/>
        <w:right w:val="none" w:sz="0" w:space="0" w:color="auto"/>
      </w:divBdr>
    </w:div>
    <w:div w:id="1498619144">
      <w:bodyDiv w:val="1"/>
      <w:marLeft w:val="0"/>
      <w:marRight w:val="0"/>
      <w:marTop w:val="0"/>
      <w:marBottom w:val="0"/>
      <w:divBdr>
        <w:top w:val="none" w:sz="0" w:space="0" w:color="auto"/>
        <w:left w:val="none" w:sz="0" w:space="0" w:color="auto"/>
        <w:bottom w:val="none" w:sz="0" w:space="0" w:color="auto"/>
        <w:right w:val="none" w:sz="0" w:space="0" w:color="auto"/>
      </w:divBdr>
      <w:divsChild>
        <w:div w:id="1910724800">
          <w:marLeft w:val="547"/>
          <w:marRight w:val="0"/>
          <w:marTop w:val="120"/>
          <w:marBottom w:val="120"/>
          <w:divBdr>
            <w:top w:val="none" w:sz="0" w:space="0" w:color="auto"/>
            <w:left w:val="none" w:sz="0" w:space="0" w:color="auto"/>
            <w:bottom w:val="none" w:sz="0" w:space="0" w:color="auto"/>
            <w:right w:val="none" w:sz="0" w:space="0" w:color="auto"/>
          </w:divBdr>
        </w:div>
        <w:div w:id="1334718046">
          <w:marLeft w:val="547"/>
          <w:marRight w:val="0"/>
          <w:marTop w:val="120"/>
          <w:marBottom w:val="120"/>
          <w:divBdr>
            <w:top w:val="none" w:sz="0" w:space="0" w:color="auto"/>
            <w:left w:val="none" w:sz="0" w:space="0" w:color="auto"/>
            <w:bottom w:val="none" w:sz="0" w:space="0" w:color="auto"/>
            <w:right w:val="none" w:sz="0" w:space="0" w:color="auto"/>
          </w:divBdr>
        </w:div>
      </w:divsChild>
    </w:div>
    <w:div w:id="1623803368">
      <w:bodyDiv w:val="1"/>
      <w:marLeft w:val="0"/>
      <w:marRight w:val="0"/>
      <w:marTop w:val="0"/>
      <w:marBottom w:val="0"/>
      <w:divBdr>
        <w:top w:val="none" w:sz="0" w:space="0" w:color="auto"/>
        <w:left w:val="none" w:sz="0" w:space="0" w:color="auto"/>
        <w:bottom w:val="none" w:sz="0" w:space="0" w:color="auto"/>
        <w:right w:val="none" w:sz="0" w:space="0" w:color="auto"/>
      </w:divBdr>
    </w:div>
    <w:div w:id="1634559279">
      <w:bodyDiv w:val="1"/>
      <w:marLeft w:val="0"/>
      <w:marRight w:val="0"/>
      <w:marTop w:val="0"/>
      <w:marBottom w:val="0"/>
      <w:divBdr>
        <w:top w:val="none" w:sz="0" w:space="0" w:color="auto"/>
        <w:left w:val="none" w:sz="0" w:space="0" w:color="auto"/>
        <w:bottom w:val="none" w:sz="0" w:space="0" w:color="auto"/>
        <w:right w:val="none" w:sz="0" w:space="0" w:color="auto"/>
      </w:divBdr>
    </w:div>
    <w:div w:id="1847287915">
      <w:bodyDiv w:val="1"/>
      <w:marLeft w:val="0"/>
      <w:marRight w:val="0"/>
      <w:marTop w:val="0"/>
      <w:marBottom w:val="0"/>
      <w:divBdr>
        <w:top w:val="none" w:sz="0" w:space="0" w:color="auto"/>
        <w:left w:val="none" w:sz="0" w:space="0" w:color="auto"/>
        <w:bottom w:val="none" w:sz="0" w:space="0" w:color="auto"/>
        <w:right w:val="none" w:sz="0" w:space="0" w:color="auto"/>
      </w:divBdr>
    </w:div>
    <w:div w:id="2072077721">
      <w:bodyDiv w:val="1"/>
      <w:marLeft w:val="0"/>
      <w:marRight w:val="0"/>
      <w:marTop w:val="0"/>
      <w:marBottom w:val="0"/>
      <w:divBdr>
        <w:top w:val="none" w:sz="0" w:space="0" w:color="auto"/>
        <w:left w:val="none" w:sz="0" w:space="0" w:color="auto"/>
        <w:bottom w:val="none" w:sz="0" w:space="0" w:color="auto"/>
        <w:right w:val="none" w:sz="0" w:space="0" w:color="auto"/>
      </w:divBdr>
    </w:div>
    <w:div w:id="2085683279">
      <w:bodyDiv w:val="1"/>
      <w:marLeft w:val="0"/>
      <w:marRight w:val="0"/>
      <w:marTop w:val="0"/>
      <w:marBottom w:val="0"/>
      <w:divBdr>
        <w:top w:val="none" w:sz="0" w:space="0" w:color="auto"/>
        <w:left w:val="none" w:sz="0" w:space="0" w:color="auto"/>
        <w:bottom w:val="none" w:sz="0" w:space="0" w:color="auto"/>
        <w:right w:val="none" w:sz="0" w:space="0" w:color="auto"/>
      </w:divBdr>
      <w:divsChild>
        <w:div w:id="1322007622">
          <w:marLeft w:val="547"/>
          <w:marRight w:val="0"/>
          <w:marTop w:val="120"/>
          <w:marBottom w:val="120"/>
          <w:divBdr>
            <w:top w:val="none" w:sz="0" w:space="0" w:color="auto"/>
            <w:left w:val="none" w:sz="0" w:space="0" w:color="auto"/>
            <w:bottom w:val="none" w:sz="0" w:space="0" w:color="auto"/>
            <w:right w:val="none" w:sz="0" w:space="0" w:color="auto"/>
          </w:divBdr>
        </w:div>
        <w:div w:id="1156873382">
          <w:marLeft w:val="1267"/>
          <w:marRight w:val="0"/>
          <w:marTop w:val="120"/>
          <w:marBottom w:val="120"/>
          <w:divBdr>
            <w:top w:val="none" w:sz="0" w:space="0" w:color="auto"/>
            <w:left w:val="none" w:sz="0" w:space="0" w:color="auto"/>
            <w:bottom w:val="none" w:sz="0" w:space="0" w:color="auto"/>
            <w:right w:val="none" w:sz="0" w:space="0" w:color="auto"/>
          </w:divBdr>
        </w:div>
        <w:div w:id="384447457">
          <w:marLeft w:val="1267"/>
          <w:marRight w:val="0"/>
          <w:marTop w:val="120"/>
          <w:marBottom w:val="120"/>
          <w:divBdr>
            <w:top w:val="none" w:sz="0" w:space="0" w:color="auto"/>
            <w:left w:val="none" w:sz="0" w:space="0" w:color="auto"/>
            <w:bottom w:val="none" w:sz="0" w:space="0" w:color="auto"/>
            <w:right w:val="none" w:sz="0" w:space="0" w:color="auto"/>
          </w:divBdr>
        </w:div>
        <w:div w:id="1197542969">
          <w:marLeft w:val="547"/>
          <w:marRight w:val="0"/>
          <w:marTop w:val="120"/>
          <w:marBottom w:val="120"/>
          <w:divBdr>
            <w:top w:val="none" w:sz="0" w:space="0" w:color="auto"/>
            <w:left w:val="none" w:sz="0" w:space="0" w:color="auto"/>
            <w:bottom w:val="none" w:sz="0" w:space="0" w:color="auto"/>
            <w:right w:val="none" w:sz="0" w:space="0" w:color="auto"/>
          </w:divBdr>
        </w:div>
        <w:div w:id="1085809987">
          <w:marLeft w:val="547"/>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www.esma.europa.eu"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www.esma.europa.eu" TargetMode="Externa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www.esma.europa.eu/legal-notic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lisovskij\Desktop\Template%20to%20Upload\Guidelines%20and%20Recommendations%20Templates\GuidelinesAndRecommendations_Template_Reg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_dlc_DocId xmlns="20fbe147-bbda-4e53-b6b1-7e8bbff3fe19">ESMA70-156-1933</_dlc_DocId>
    <TaxCatchAll xmlns="20fbe147-bbda-4e53-b6b1-7e8bbff3fe19">
      <Value>474</Value>
      <Value>5</Value>
      <Value>91</Value>
      <Value>2</Value>
      <Value>434</Value>
    </TaxCatchAll>
    <_dlc_DocIdUrl xmlns="20fbe147-bbda-4e53-b6b1-7e8bbff3fe19">
      <Url>https://sherpa.esma.europa.eu/sites/MKT/SMK/_layouts/15/DocIdRedir.aspx?ID=ESMA70-156-1933</Url>
      <Description>ESMA70-156-1933</Description>
    </_dlc_DocIdUrl>
    <Year xmlns="20fbe147-bbda-4e53-b6b1-7e8bbff3fe19">2019</Year>
    <MeetingDate xmlns="20fbe147-bbda-4e53-b6b1-7e8bbff3fe19" xsi:nil="true"/>
    <caa5aeb1a6644849b60fbe2335e12657 xmlns="20fbe147-bbda-4e53-b6b1-7e8bbff3fe19">
      <Terms xmlns="http://schemas.microsoft.com/office/infopath/2007/PartnerControls">
        <TermInfo xmlns="http://schemas.microsoft.com/office/infopath/2007/PartnerControls">
          <TermName xmlns="http://schemas.microsoft.com/office/infopath/2007/PartnerControls">MiFID reports</TermName>
          <TermId xmlns="http://schemas.microsoft.com/office/infopath/2007/PartnerControls">3c5cc422-10d2-4956-abed-da9583ea216a</TermId>
        </TermInfo>
      </Terms>
    </caa5aeb1a6644849b60fbe2335e12657>
    <j69a081f486747f6ac8a5aeed63facfd xmlns="20fbe147-bbda-4e53-b6b1-7e8bbff3fe19">
      <Terms xmlns="http://schemas.microsoft.com/office/infopath/2007/PartnerControls">
        <TermInfo xmlns="http://schemas.microsoft.com/office/infopath/2007/PartnerControls">
          <TermName xmlns="http://schemas.microsoft.com/office/infopath/2007/PartnerControls">Restricted</TermName>
          <TermId xmlns="http://schemas.microsoft.com/office/infopath/2007/PartnerControls">187aa7e6-627f-4951-b138-6ff841dc883d</TermId>
        </TermInfo>
      </Terms>
    </j69a081f486747f6ac8a5aeed63facfd>
    <bce29119141747ccb9ac7d87218ed4af xmlns="20fbe147-bbda-4e53-b6b1-7e8bbff3fe19">
      <Terms xmlns="http://schemas.microsoft.com/office/infopath/2007/PartnerControls">
        <TermInfo xmlns="http://schemas.microsoft.com/office/infopath/2007/PartnerControls">
          <TermName xmlns="http://schemas.microsoft.com/office/infopath/2007/PartnerControls">Secondary Markets</TermName>
          <TermId xmlns="http://schemas.microsoft.com/office/infopath/2007/PartnerControls">64c18f63-8e0f-46d8-84d6-b5a5f7a39938</TermId>
        </TermInfo>
      </Terms>
    </bce29119141747ccb9ac7d87218ed4af>
    <a9b3b1dad23b4ba58c3f3e36a96e1d9c xmlns="20fbe147-bbda-4e53-b6b1-7e8bbff3fe19">
      <Terms xmlns="http://schemas.microsoft.com/office/infopath/2007/PartnerControls"/>
    </a9b3b1dad23b4ba58c3f3e36a96e1d9c>
    <n644e5dfaa29486bad4a4fc019c6d2df xmlns="20fbe147-bbda-4e53-b6b1-7e8bbff3fe19">
      <Terms xmlns="http://schemas.microsoft.com/office/infopath/2007/PartnerControls">
        <TermInfo xmlns="http://schemas.microsoft.com/office/infopath/2007/PartnerControls">
          <TermName xmlns="http://schemas.microsoft.com/office/infopath/2007/PartnerControls">MiFID reports - MiFID II 90(1)(f) - Position limits</TermName>
          <TermId xmlns="http://schemas.microsoft.com/office/infopath/2007/PartnerControls">e81dbf1e-3064-4884-a3c8-df0a9f8119ae</TermId>
        </TermInfo>
      </Terms>
    </n644e5dfaa29486bad4a4fc019c6d2df>
    <eed0a0b2ea6941718a34434e243f3d8f xmlns="20fbe147-bbda-4e53-b6b1-7e8bbff3fe19">
      <Terms xmlns="http://schemas.microsoft.com/office/infopath/2007/PartnerControls">
        <TermInfo xmlns="http://schemas.microsoft.com/office/infopath/2007/PartnerControls">
          <TermName xmlns="http://schemas.microsoft.com/office/infopath/2007/PartnerControls">Consultation Paper</TermName>
          <TermId xmlns="http://schemas.microsoft.com/office/infopath/2007/PartnerControls">c6238baf-c3d7-4bb8-8cf2-f28a89601f52</TermId>
        </TermInfo>
      </Terms>
    </eed0a0b2ea6941718a34434e243f3d8f>
  </documentManagement>
</p:properties>
</file>

<file path=customXml/item2.xml><?xml version="1.0" encoding="utf-8"?>
<ct:contentTypeSchema xmlns:ct="http://schemas.microsoft.com/office/2006/metadata/contentType" xmlns:ma="http://schemas.microsoft.com/office/2006/metadata/properties/metaAttributes" ct:_="" ma:_="" ma:contentTypeName="Policy Document" ma:contentTypeID="0x01010001BD15C3986B91498E0AE644B715B9EE010D00757D222C6B0DA241B5F74437644107D4" ma:contentTypeVersion="16" ma:contentTypeDescription="" ma:contentTypeScope="" ma:versionID="8ee7228954dca49665f07e42400ad76d">
  <xsd:schema xmlns:xsd="http://www.w3.org/2001/XMLSchema" xmlns:xs="http://www.w3.org/2001/XMLSchema" xmlns:p="http://schemas.microsoft.com/office/2006/metadata/properties" xmlns:ns1="http://schemas.microsoft.com/sharepoint/v3" xmlns:ns2="20fbe147-bbda-4e53-b6b1-7e8bbff3fe19" xmlns:ns3="http://schemas.microsoft.com/sharepoint/v4" targetNamespace="http://schemas.microsoft.com/office/2006/metadata/properties" ma:root="true" ma:fieldsID="44925884f65367f862a25afa2b9086ca" ns1:_="" ns2:_="" ns3:_="">
    <xsd:import namespace="http://schemas.microsoft.com/sharepoint/v3"/>
    <xsd:import namespace="20fbe147-bbda-4e53-b6b1-7e8bbff3fe19"/>
    <xsd:import namespace="http://schemas.microsoft.com/sharepoint/v4"/>
    <xsd:element name="properties">
      <xsd:complexType>
        <xsd:sequence>
          <xsd:element name="documentManagement">
            <xsd:complexType>
              <xsd:all>
                <xsd:element ref="ns2:_dlc_DocIdPersistId" minOccurs="0"/>
                <xsd:element ref="ns2:TaxCatchAll" minOccurs="0"/>
                <xsd:element ref="ns2:TaxCatchAllLabel" minOccurs="0"/>
                <xsd:element ref="ns2:_dlc_DocId" minOccurs="0"/>
                <xsd:element ref="ns2:_dlc_DocIdUrl" minOccurs="0"/>
                <xsd:element ref="ns2:caa5aeb1a6644849b60fbe2335e12657" minOccurs="0"/>
                <xsd:element ref="ns2:n644e5dfaa29486bad4a4fc019c6d2df" minOccurs="0"/>
                <xsd:element ref="ns2:bce29119141747ccb9ac7d87218ed4af" minOccurs="0"/>
                <xsd:element ref="ns3:IconOverlay" minOccurs="0"/>
                <xsd:element ref="ns2:eed0a0b2ea6941718a34434e243f3d8f" minOccurs="0"/>
                <xsd:element ref="ns2:j69a081f486747f6ac8a5aeed63facfd" minOccurs="0"/>
                <xsd:element ref="ns2:Year"/>
                <xsd:element ref="ns2:a9b3b1dad23b4ba58c3f3e36a96e1d9c" minOccurs="0"/>
                <xsd:element ref="ns2:MeetingDate" minOccurs="0"/>
                <xsd:element ref="ns1:_vti_ItemDeclaredRecord" minOccurs="0"/>
                <xsd:element ref="ns1:_vti_ItemHoldRecord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28" nillable="true" ma:displayName="Declared Record" ma:hidden="true" ma:internalName="_vti_ItemDeclaredRecord" ma:readOnly="true">
      <xsd:simpleType>
        <xsd:restriction base="dms:DateTime"/>
      </xsd:simpleType>
    </xsd:element>
    <xsd:element name="_vti_ItemHoldRecordStatus" ma:index="29"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0fbe147-bbda-4e53-b6b1-7e8bbff3fe19" elementFormDefault="qualified">
    <xsd:import namespace="http://schemas.microsoft.com/office/2006/documentManagement/types"/>
    <xsd:import namespace="http://schemas.microsoft.com/office/infopath/2007/PartnerControls"/>
    <xsd:element name="_dlc_DocIdPersistId" ma:index="4" nillable="true" ma:displayName="Persist ID" ma:description="Keep ID on add." ma:hidden="true" ma:internalName="_dlc_DocIdPersistId" ma:readOnly="true">
      <xsd:simpleType>
        <xsd:restriction base="dms:Boolean"/>
      </xsd:simpleType>
    </xsd:element>
    <xsd:element name="TaxCatchAll" ma:index="5" nillable="true" ma:displayName="Taxonomy Catch All Column" ma:hidden="true" ma:list="{c38c24d3-2590-4616-bee0-79d7eeedacac}" ma:internalName="TaxCatchAll" ma:showField="CatchAllData"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c38c24d3-2590-4616-bee0-79d7eeedacac}" ma:internalName="TaxCatchAllLabel" ma:readOnly="true" ma:showField="CatchAllDataLabel"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caa5aeb1a6644849b60fbe2335e12657" ma:index="12" ma:taxonomy="true" ma:internalName="caa5aeb1a6644849b60fbe2335e12657" ma:taxonomyFieldName="Topic" ma:displayName="Topic" ma:default="" ma:fieldId="{caa5aeb1-a664-4849-b60f-be2335e12657}" ma:sspId="0ac1876e-32bf-4158-94e7-cdbcd053a335" ma:termSetId="7b949606-90e2-4f49-8484-424f131284b3" ma:anchorId="00000000-0000-0000-0000-000000000000" ma:open="false" ma:isKeyword="false">
      <xsd:complexType>
        <xsd:sequence>
          <xsd:element ref="pc:Terms" minOccurs="0" maxOccurs="1"/>
        </xsd:sequence>
      </xsd:complexType>
    </xsd:element>
    <xsd:element name="n644e5dfaa29486bad4a4fc019c6d2df" ma:index="14" nillable="true" ma:taxonomy="true" ma:internalName="n644e5dfaa29486bad4a4fc019c6d2df" ma:taxonomyFieldName="SubTopic" ma:displayName="Sub Topic" ma:readOnly="false" ma:default="" ma:fieldId="{7644e5df-aa29-486b-ad4a-4fc019c6d2df}" ma:sspId="0ac1876e-32bf-4158-94e7-cdbcd053a335" ma:termSetId="c9d88329-36bd-4ba5-881c-dae898303a52" ma:anchorId="00000000-0000-0000-0000-000000000000" ma:open="false" ma:isKeyword="false">
      <xsd:complexType>
        <xsd:sequence>
          <xsd:element ref="pc:Terms" minOccurs="0" maxOccurs="1"/>
        </xsd:sequence>
      </xsd:complexType>
    </xsd:element>
    <xsd:element name="bce29119141747ccb9ac7d87218ed4af" ma:index="16" ma:taxonomy="true" ma:internalName="bce29119141747ccb9ac7d87218ed4af" ma:taxonomyFieldName="TeamName" ma:displayName="Team Name" ma:readOnly="false" ma:default="5;#Secondary Markets|64c18f63-8e0f-46d8-84d6-b5a5f7a39938" ma:fieldId="{bce29119-1417-47cc-b9ac-7d87218ed4af}" ma:sspId="0ac1876e-32bf-4158-94e7-cdbcd053a335" ma:termSetId="9ab8a8dd-aa7f-4e9e-9345-c8f50d6bfad1" ma:anchorId="00000000-0000-0000-0000-000000000000" ma:open="false" ma:isKeyword="false">
      <xsd:complexType>
        <xsd:sequence>
          <xsd:element ref="pc:Terms" minOccurs="0" maxOccurs="1"/>
        </xsd:sequence>
      </xsd:complexType>
    </xsd:element>
    <xsd:element name="eed0a0b2ea6941718a34434e243f3d8f" ma:index="19" ma:taxonomy="true" ma:internalName="eed0a0b2ea6941718a34434e243f3d8f" ma:taxonomyFieldName="DocumentType" ma:displayName="Document Type" ma:readOnly="false" ma:default="1;#Report / Note;Note|b9e1c92e-303a-4555-86f0-5c711c65937e" ma:fieldId="{eed0a0b2-ea69-4171-8a34-434e243f3d8f}"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j69a081f486747f6ac8a5aeed63facfd" ma:index="21" ma:taxonomy="true" ma:internalName="j69a081f486747f6ac8a5aeed63facfd" ma:taxonomyFieldName="ConfidentialityLevel" ma:displayName="Confidentiality Level" ma:readOnly="false" ma:default="2;#Restricted|187aa7e6-627f-4951-b138-6ff841dc883d" ma:fieldId="{369a081f-4867-47f6-ac8a-5aeed63facfd}"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Year" ma:index="23" ma:displayName="Year" ma:description="" ma:internalName="Year" ma:readOnly="false">
      <xsd:simpleType>
        <xsd:restriction base="dms:Text">
          <xsd:maxLength value="4"/>
        </xsd:restriction>
      </xsd:simpleType>
    </xsd:element>
    <xsd:element name="a9b3b1dad23b4ba58c3f3e36a96e1d9c" ma:index="24" nillable="true" ma:taxonomy="true" ma:internalName="a9b3b1dad23b4ba58c3f3e36a96e1d9c" ma:taxonomyFieldName="EsmaAudience" ma:displayName="Audience" ma:readOnly="false" ma:default="" ma:fieldId="{a9b3b1da-d23b-4ba5-8c3f-3e36a96e1d9c}"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MeetingDate" ma:index="26" nillable="true" ma:displayName="Meeting Date" ma:description="" ma:format="DateOnly" ma:internalName="Meeting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37F5EE-E87B-49CE-96B5-F95CE63A0DF2}">
  <ds:schemaRefs>
    <ds:schemaRef ds:uri="20fbe147-bbda-4e53-b6b1-7e8bbff3fe19"/>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http://schemas.openxmlformats.org/package/2006/metadata/core-properties"/>
    <ds:schemaRef ds:uri="http://purl.org/dc/terms/"/>
    <ds:schemaRef ds:uri="http://schemas.microsoft.com/sharepoint/v4"/>
    <ds:schemaRef ds:uri="http://www.w3.org/XML/1998/namespace"/>
    <ds:schemaRef ds:uri="http://purl.org/dc/dcmitype/"/>
  </ds:schemaRefs>
</ds:datastoreItem>
</file>

<file path=customXml/itemProps2.xml><?xml version="1.0" encoding="utf-8"?>
<ds:datastoreItem xmlns:ds="http://schemas.openxmlformats.org/officeDocument/2006/customXml" ds:itemID="{C4A87B1C-94F7-4601-8DD2-296DC1F53A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0fbe147-bbda-4e53-b6b1-7e8bbff3fe1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C9D69CF-149B-4D2F-89A2-279037685A12}">
  <ds:schemaRefs>
    <ds:schemaRef ds:uri="http://schemas.microsoft.com/sharepoint/events"/>
  </ds:schemaRefs>
</ds:datastoreItem>
</file>

<file path=customXml/itemProps4.xml><?xml version="1.0" encoding="utf-8"?>
<ds:datastoreItem xmlns:ds="http://schemas.openxmlformats.org/officeDocument/2006/customXml" ds:itemID="{FC2455EB-3D3A-4C02-9873-6A72D376E4F0}">
  <ds:schemaRefs>
    <ds:schemaRef ds:uri="http://schemas.microsoft.com/sharepoint/v3/contenttype/forms"/>
  </ds:schemaRefs>
</ds:datastoreItem>
</file>

<file path=customXml/itemProps5.xml><?xml version="1.0" encoding="utf-8"?>
<ds:datastoreItem xmlns:ds="http://schemas.openxmlformats.org/officeDocument/2006/customXml" ds:itemID="{BC4EC2D0-6789-4996-A551-33DA216533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GuidelinesAndRecommendations_Template_Regular</Template>
  <TotalTime>173</TotalTime>
  <Pages>11</Pages>
  <Words>3026</Words>
  <Characters>17252</Characters>
  <Application>Microsoft Office Word</Application>
  <DocSecurity>8</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ESMA</Company>
  <LinksUpToDate>false</LinksUpToDate>
  <CharactersWithSpaces>20238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Alina.Dragomir@esma.europa.eu</dc:creator>
  <cp:keywords/>
  <cp:lastModifiedBy>Elina Yrgård</cp:lastModifiedBy>
  <cp:revision>5</cp:revision>
  <cp:lastPrinted>2017-07-24T14:47:00Z</cp:lastPrinted>
  <dcterms:created xsi:type="dcterms:W3CDTF">2020-01-08T09:32:00Z</dcterms:created>
  <dcterms:modified xsi:type="dcterms:W3CDTF">2020-01-08T15:47:00Z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smaAudience">
    <vt:lpwstr/>
  </property>
  <property fmtid="{D5CDD505-2E9C-101B-9397-08002B2CF9AE}" pid="3" name="ConfidentialityLevel">
    <vt:lpwstr>2;#Restricted|187aa7e6-627f-4951-b138-6ff841dc883d</vt:lpwstr>
  </property>
  <property fmtid="{D5CDD505-2E9C-101B-9397-08002B2CF9AE}" pid="4" name="ContentTypeId">
    <vt:lpwstr>0x01010001BD15C3986B91498E0AE644B715B9EE010D00757D222C6B0DA241B5F74437644107D4</vt:lpwstr>
  </property>
  <property fmtid="{D5CDD505-2E9C-101B-9397-08002B2CF9AE}" pid="5" name="_dlc_DocIdItemGuid">
    <vt:lpwstr>155ab378-0408-4a09-bf77-47f9e5213ee4</vt:lpwstr>
  </property>
  <property fmtid="{D5CDD505-2E9C-101B-9397-08002B2CF9AE}" pid="6" name="DocumentType">
    <vt:lpwstr>91;#Consultation Paper|c6238baf-c3d7-4bb8-8cf2-f28a89601f52</vt:lpwstr>
  </property>
  <property fmtid="{D5CDD505-2E9C-101B-9397-08002B2CF9AE}" pid="7" name="Topic">
    <vt:lpwstr>434;#MiFID reports|3c5cc422-10d2-4956-abed-da9583ea216a</vt:lpwstr>
  </property>
  <property fmtid="{D5CDD505-2E9C-101B-9397-08002B2CF9AE}" pid="8" name="_docset_NoMedatataSyncRequired">
    <vt:lpwstr>False</vt:lpwstr>
  </property>
  <property fmtid="{D5CDD505-2E9C-101B-9397-08002B2CF9AE}" pid="9" name="Document_x0020_Language">
    <vt:lpwstr/>
  </property>
  <property fmtid="{D5CDD505-2E9C-101B-9397-08002B2CF9AE}" pid="10" name="Document Language">
    <vt:lpwstr/>
  </property>
  <property fmtid="{D5CDD505-2E9C-101B-9397-08002B2CF9AE}" pid="11" name="TeamName">
    <vt:lpwstr>5;#Secondary Markets|64c18f63-8e0f-46d8-84d6-b5a5f7a39938</vt:lpwstr>
  </property>
  <property fmtid="{D5CDD505-2E9C-101B-9397-08002B2CF9AE}" pid="12" name="LegalInstrument">
    <vt:lpwstr>27;#Guidelines|5e144655-8ff3-49e5-b82a-b036da8a9173</vt:lpwstr>
  </property>
  <property fmtid="{D5CDD505-2E9C-101B-9397-08002B2CF9AE}" pid="13" name="MemberState">
    <vt:lpwstr/>
  </property>
  <property fmtid="{D5CDD505-2E9C-101B-9397-08002B2CF9AE}" pid="14" name="Stakeholder">
    <vt:lpwstr/>
  </property>
  <property fmtid="{D5CDD505-2E9C-101B-9397-08002B2CF9AE}" pid="15" name="LegalAct">
    <vt:lpwstr>30;#ESMA Regulation|1f6010a2-1a2c-44cf-adf8-f8fd9b166bb1</vt:lpwstr>
  </property>
  <property fmtid="{D5CDD505-2E9C-101B-9397-08002B2CF9AE}" pid="16" name="Related Legal Acts">
    <vt:lpwstr/>
  </property>
  <property fmtid="{D5CDD505-2E9C-101B-9397-08002B2CF9AE}" pid="17" name="SubTopic">
    <vt:lpwstr>474;#MiFID reports - MiFID II 90(1)(f) - Position limits|e81dbf1e-3064-4884-a3c8-df0a9f8119ae</vt:lpwstr>
  </property>
</Properties>
</file>