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3E97B889" w14:textId="77777777" w:rsidR="00AF2EF7" w:rsidRPr="00B8572C" w:rsidRDefault="00AF2EF7" w:rsidP="00AF2EF7">
          <w:pPr>
            <w:spacing w:line="276" w:lineRule="auto"/>
            <w:rPr>
              <w:rFonts w:asciiTheme="minorHAnsi" w:hAnsiTheme="minorHAnsi" w:cstheme="minorHAnsi"/>
              <w:color w:val="FF0000"/>
            </w:rPr>
          </w:pPr>
        </w:p>
        <w:p w14:paraId="5D8F42D3" w14:textId="77777777" w:rsidR="00AF2EF7" w:rsidRPr="00B8572C" w:rsidRDefault="00AF2EF7" w:rsidP="00AF2EF7">
          <w:pPr>
            <w:spacing w:after="120" w:line="276" w:lineRule="auto"/>
            <w:rPr>
              <w:rFonts w:asciiTheme="minorHAnsi" w:hAnsiTheme="minorHAnsi" w:cstheme="minorHAnsi"/>
            </w:rPr>
          </w:pPr>
        </w:p>
        <w:p w14:paraId="5C03776F" w14:textId="77777777" w:rsidR="00AF2EF7" w:rsidRPr="00B8572C" w:rsidRDefault="00AF2EF7" w:rsidP="00AF2EF7">
          <w:pPr>
            <w:spacing w:line="276" w:lineRule="auto"/>
            <w:rPr>
              <w:rFonts w:asciiTheme="minorHAnsi" w:hAnsiTheme="minorHAnsi" w:cstheme="minorHAnsi"/>
            </w:rPr>
          </w:pPr>
        </w:p>
        <w:p w14:paraId="0C09D4EA" w14:textId="77777777" w:rsidR="00AF2EF7" w:rsidRPr="00B8572C" w:rsidRDefault="00AF2EF7" w:rsidP="00AF2EF7">
          <w:pPr>
            <w:spacing w:line="276" w:lineRule="auto"/>
            <w:rPr>
              <w:rFonts w:asciiTheme="minorHAnsi" w:hAnsiTheme="minorHAnsi" w:cstheme="minorHAnsi"/>
            </w:rPr>
          </w:pPr>
        </w:p>
        <w:p w14:paraId="7039C4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366D0012" w14:textId="77777777" w:rsidTr="00D13661">
            <w:trPr>
              <w:trHeight w:hRule="exact" w:val="1492"/>
            </w:trPr>
            <w:tc>
              <w:tcPr>
                <w:tcW w:w="10490" w:type="dxa"/>
                <w:vAlign w:val="bottom"/>
              </w:tcPr>
              <w:p w14:paraId="73379571"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63070E">
                  <w:rPr>
                    <w:rFonts w:asciiTheme="minorHAnsi" w:hAnsiTheme="minorHAnsi" w:cstheme="minorHAnsi"/>
                    <w:sz w:val="48"/>
                    <w:szCs w:val="48"/>
                  </w:rPr>
                  <w:t>onsultation Paper</w:t>
                </w:r>
                <w:r w:rsidR="000F74C4">
                  <w:rPr>
                    <w:rFonts w:asciiTheme="minorHAnsi" w:hAnsiTheme="minorHAnsi" w:cstheme="minorHAnsi"/>
                    <w:sz w:val="48"/>
                    <w:szCs w:val="48"/>
                  </w:rPr>
                  <w:t xml:space="preserve"> </w:t>
                </w:r>
              </w:p>
            </w:tc>
          </w:tr>
          <w:tr w:rsidR="00AB6157" w:rsidRPr="00B8572C" w14:paraId="55CD00A1" w14:textId="77777777" w:rsidTr="00D13661">
            <w:trPr>
              <w:trHeight w:hRule="exact" w:val="747"/>
            </w:trPr>
            <w:tc>
              <w:tcPr>
                <w:tcW w:w="10490" w:type="dxa"/>
                <w:tcMar>
                  <w:top w:w="142" w:type="dxa"/>
                </w:tcMar>
              </w:tcPr>
              <w:p w14:paraId="0EA87B4C" w14:textId="77777777" w:rsidR="0063070E" w:rsidRDefault="0063070E" w:rsidP="0063070E">
                <w:pPr>
                  <w:pStyle w:val="Subtitle"/>
                  <w:rPr>
                    <w:rFonts w:cs="Arial"/>
                  </w:rPr>
                </w:pPr>
                <w:r>
                  <w:rPr>
                    <w:rFonts w:cs="Arial"/>
                  </w:rPr>
                  <w:t xml:space="preserve">MiFID II review report on position limits and position management </w:t>
                </w:r>
              </w:p>
              <w:p w14:paraId="708ED465" w14:textId="77777777" w:rsidR="0063070E" w:rsidRDefault="0063070E" w:rsidP="0063070E">
                <w:pPr>
                  <w:pStyle w:val="Subtitle"/>
                  <w:rPr>
                    <w:rFonts w:cs="Arial"/>
                  </w:rPr>
                </w:pPr>
                <w:r>
                  <w:rPr>
                    <w:rFonts w:cs="Arial"/>
                  </w:rPr>
                  <w:t>Draft Technical Advice on weekly position reports</w:t>
                </w:r>
              </w:p>
              <w:p w14:paraId="327712F7" w14:textId="77777777" w:rsidR="0063070E" w:rsidRPr="0063070E" w:rsidRDefault="0063070E" w:rsidP="0063070E"/>
              <w:p w14:paraId="1D1F5357" w14:textId="77777777" w:rsidR="00AB6157" w:rsidRPr="00B8572C" w:rsidRDefault="00AB6157" w:rsidP="00AB6157">
                <w:pPr>
                  <w:pStyle w:val="Heading2"/>
                  <w:numPr>
                    <w:ilvl w:val="0"/>
                    <w:numId w:val="0"/>
                  </w:numPr>
                  <w:ind w:left="576" w:hanging="576"/>
                </w:pPr>
              </w:p>
            </w:tc>
          </w:tr>
        </w:tbl>
        <w:p w14:paraId="349DFA07" w14:textId="77777777" w:rsidR="00AF2EF7" w:rsidRPr="00B8572C" w:rsidRDefault="00AF2EF7" w:rsidP="00AF2EF7">
          <w:pPr>
            <w:spacing w:line="276" w:lineRule="auto"/>
            <w:rPr>
              <w:rFonts w:asciiTheme="minorHAnsi" w:hAnsiTheme="minorHAnsi" w:cstheme="minorHAnsi"/>
            </w:rPr>
          </w:pPr>
        </w:p>
        <w:p w14:paraId="2B8DBAB5"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77407543"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7EDF7E6D"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5F021BCC"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6EF1593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BF899B4"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B2D58A5"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25AE8C0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343DE8F1"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w:t>
          </w:r>
          <w:r w:rsidRPr="002C56FD">
            <w:rPr>
              <w:rFonts w:asciiTheme="minorHAnsi" w:eastAsiaTheme="minorEastAsia" w:hAnsiTheme="minorHAnsi" w:cstheme="minorBidi"/>
              <w:sz w:val="22"/>
              <w:szCs w:val="20"/>
              <w:lang w:eastAsia="en-US"/>
            </w:rPr>
            <w:t>received by</w:t>
          </w:r>
          <w:r w:rsidRPr="002C56FD">
            <w:rPr>
              <w:rFonts w:asciiTheme="minorHAnsi" w:eastAsiaTheme="minorEastAsia" w:hAnsiTheme="minorHAnsi" w:cstheme="minorBidi"/>
              <w:b/>
              <w:sz w:val="22"/>
              <w:szCs w:val="20"/>
              <w:lang w:eastAsia="en-US"/>
            </w:rPr>
            <w:t xml:space="preserve"> </w:t>
          </w:r>
          <w:r w:rsidR="00223F79" w:rsidRPr="002C56FD">
            <w:rPr>
              <w:rFonts w:asciiTheme="minorHAnsi" w:eastAsiaTheme="minorEastAsia" w:hAnsiTheme="minorHAnsi" w:cstheme="minorBidi"/>
              <w:b/>
              <w:sz w:val="22"/>
              <w:szCs w:val="20"/>
              <w:lang w:eastAsia="en-US"/>
            </w:rPr>
            <w:t>8</w:t>
          </w:r>
          <w:r w:rsidR="009C3F1A" w:rsidRPr="002C56FD">
            <w:rPr>
              <w:rFonts w:asciiTheme="minorHAnsi" w:eastAsiaTheme="minorEastAsia" w:hAnsiTheme="minorHAnsi" w:cstheme="minorBidi"/>
              <w:b/>
              <w:sz w:val="22"/>
              <w:szCs w:val="20"/>
              <w:lang w:eastAsia="en-US"/>
            </w:rPr>
            <w:t xml:space="preserve"> January </w:t>
          </w:r>
          <w:r w:rsidRPr="002C56FD">
            <w:rPr>
              <w:rFonts w:asciiTheme="minorHAnsi" w:eastAsiaTheme="minorEastAsia" w:hAnsiTheme="minorHAnsi" w:cstheme="minorBidi"/>
              <w:b/>
              <w:sz w:val="22"/>
              <w:szCs w:val="20"/>
              <w:lang w:eastAsia="en-US"/>
            </w:rPr>
            <w:t>20</w:t>
          </w:r>
          <w:r w:rsidR="009C3F1A" w:rsidRPr="002C56FD">
            <w:rPr>
              <w:rFonts w:asciiTheme="minorHAnsi" w:eastAsiaTheme="minorEastAsia" w:hAnsiTheme="minorHAnsi" w:cstheme="minorBidi"/>
              <w:b/>
              <w:sz w:val="22"/>
              <w:szCs w:val="20"/>
              <w:lang w:eastAsia="en-US"/>
            </w:rPr>
            <w:t>20</w:t>
          </w:r>
          <w:r w:rsidRPr="002C56FD">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461E329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w:t>
          </w:r>
          <w:r w:rsidR="009C3F1A">
            <w:rPr>
              <w:rFonts w:asciiTheme="minorHAnsi" w:eastAsiaTheme="minorEastAsia" w:hAnsiTheme="minorHAnsi" w:cstheme="minorBidi"/>
              <w:sz w:val="22"/>
              <w:szCs w:val="20"/>
              <w:lang w:eastAsia="en-US"/>
            </w:rPr>
            <w:t>consultation paper o</w:t>
          </w:r>
          <w:r w:rsidRPr="00AB6157">
            <w:rPr>
              <w:rFonts w:asciiTheme="minorHAnsi" w:eastAsiaTheme="minorEastAsia" w:hAnsiTheme="minorHAnsi" w:cstheme="minorBidi"/>
              <w:sz w:val="22"/>
              <w:szCs w:val="20"/>
              <w:lang w:eastAsia="en-US"/>
            </w:rPr>
            <w:t xml:space="preserve">n </w:t>
          </w:r>
          <w:r w:rsidR="009C3F1A">
            <w:rPr>
              <w:rFonts w:asciiTheme="minorHAnsi" w:eastAsiaTheme="minorEastAsia" w:hAnsiTheme="minorHAnsi" w:cstheme="minorBidi"/>
              <w:sz w:val="22"/>
              <w:szCs w:val="20"/>
              <w:lang w:eastAsia="en-US"/>
            </w:rPr>
            <w:t>“</w:t>
          </w:r>
          <w:r w:rsidR="009C3F1A" w:rsidRPr="009C3F1A">
            <w:rPr>
              <w:rFonts w:asciiTheme="minorHAnsi" w:eastAsiaTheme="minorEastAsia" w:hAnsiTheme="minorHAnsi" w:cstheme="minorBidi"/>
              <w:color w:val="2F5496" w:themeColor="accent5" w:themeShade="BF"/>
              <w:sz w:val="22"/>
              <w:szCs w:val="20"/>
              <w:lang w:eastAsia="en-US"/>
            </w:rPr>
            <w:t xml:space="preserve">MiFID II review report on position limits and position management and </w:t>
          </w:r>
          <w:r w:rsidR="009C3F1A">
            <w:rPr>
              <w:rFonts w:asciiTheme="minorHAnsi" w:eastAsiaTheme="minorEastAsia" w:hAnsiTheme="minorHAnsi" w:cstheme="minorBidi"/>
              <w:color w:val="2F5496" w:themeColor="accent5" w:themeShade="BF"/>
              <w:sz w:val="22"/>
              <w:szCs w:val="20"/>
              <w:lang w:eastAsia="en-US"/>
            </w:rPr>
            <w:t>draft technical advice on weekly position reports</w:t>
          </w:r>
          <w:r w:rsidRPr="00AB6157">
            <w:rPr>
              <w:rFonts w:asciiTheme="minorHAnsi" w:eastAsiaTheme="minorEastAsia" w:hAnsiTheme="minorHAnsi" w:cstheme="minorBidi"/>
              <w:sz w:val="22"/>
              <w:szCs w:val="20"/>
              <w:lang w:eastAsia="en-US"/>
            </w:rPr>
            <w:t>’ also published on the ESMA website.</w:t>
          </w:r>
        </w:p>
        <w:p w14:paraId="0F87271E"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4EF46B16"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w:t>
          </w:r>
          <w:r w:rsidR="009C3F1A">
            <w:rPr>
              <w:rFonts w:asciiTheme="minorHAnsi" w:eastAsiaTheme="minorEastAsia" w:hAnsiTheme="minorHAnsi" w:cstheme="minorBidi"/>
              <w:sz w:val="22"/>
              <w:szCs w:val="20"/>
              <w:lang w:eastAsia="en-US"/>
            </w:rPr>
            <w:t xml:space="preserve"> </w:t>
          </w:r>
          <w:r w:rsidR="00223F79">
            <w:rPr>
              <w:rFonts w:asciiTheme="minorHAnsi" w:eastAsiaTheme="minorEastAsia" w:hAnsiTheme="minorHAnsi" w:cstheme="minorBidi"/>
              <w:sz w:val="22"/>
              <w:szCs w:val="20"/>
              <w:lang w:eastAsia="en-US"/>
            </w:rPr>
            <w:t>C</w:t>
          </w:r>
          <w:r w:rsidR="009C3F1A">
            <w:rPr>
              <w:rFonts w:asciiTheme="minorHAnsi" w:eastAsiaTheme="minorEastAsia" w:hAnsiTheme="minorHAnsi" w:cstheme="minorBidi"/>
              <w:sz w:val="22"/>
              <w:szCs w:val="20"/>
              <w:lang w:eastAsia="en-US"/>
            </w:rPr>
            <w:t>onsultation paper</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1BD05E2" w14:textId="77777777" w:rsidR="00C85C8B" w:rsidRPr="00C85C8B" w:rsidRDefault="00C85C8B" w:rsidP="00600E46">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w:t>
          </w:r>
          <w:r w:rsidR="00223F79">
            <w:rPr>
              <w:rFonts w:eastAsiaTheme="minorEastAsia" w:cstheme="minorBidi"/>
              <w:szCs w:val="20"/>
              <w:lang w:eastAsia="en-US"/>
            </w:rPr>
            <w:t>C</w:t>
          </w:r>
          <w:r w:rsidR="009C3F1A">
            <w:rPr>
              <w:rFonts w:eastAsiaTheme="minorEastAsia" w:cstheme="minorBidi"/>
              <w:szCs w:val="20"/>
              <w:lang w:eastAsia="en-US"/>
            </w:rPr>
            <w:t xml:space="preserve">onsultation paper </w:t>
          </w:r>
          <w:r w:rsidRPr="00C85C8B">
            <w:rPr>
              <w:rFonts w:eastAsiaTheme="minorEastAsia" w:cstheme="minorBidi"/>
              <w:szCs w:val="20"/>
              <w:lang w:eastAsia="en-US"/>
            </w:rPr>
            <w:t xml:space="preserve">in the present response form. </w:t>
          </w:r>
        </w:p>
        <w:p w14:paraId="1B976F3E"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5365A">
            <w:rPr>
              <w:rFonts w:eastAsiaTheme="minorEastAsia" w:cstheme="minorBidi"/>
              <w:szCs w:val="20"/>
              <w:lang w:eastAsia="en-US"/>
            </w:rPr>
            <w:t>WPR</w:t>
          </w:r>
          <w:r w:rsidRPr="00C85C8B">
            <w:rPr>
              <w:rFonts w:eastAsiaTheme="minorEastAsia" w:cstheme="minorBidi"/>
              <w:szCs w:val="20"/>
              <w:lang w:eastAsia="en-US"/>
            </w:rPr>
            <w:t>_1&gt;. Your response to each question has to be framed by the two tags corresponding to the question.</w:t>
          </w:r>
        </w:p>
        <w:p w14:paraId="1B936395"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00601E9A"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5365A">
            <w:rPr>
              <w:rFonts w:eastAsiaTheme="minorEastAsia" w:cstheme="minorBidi"/>
              <w:szCs w:val="20"/>
              <w:lang w:eastAsia="en-US"/>
            </w:rPr>
            <w:t>WPR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5365A">
            <w:rPr>
              <w:rFonts w:eastAsiaTheme="minorEastAsia" w:cstheme="minorBidi"/>
              <w:szCs w:val="20"/>
              <w:lang w:eastAsia="en-US"/>
            </w:rPr>
            <w:t>WPR</w:t>
          </w:r>
          <w:r w:rsidRPr="00C85C8B">
            <w:rPr>
              <w:rFonts w:eastAsiaTheme="minorEastAsia" w:cstheme="minorBidi"/>
              <w:szCs w:val="20"/>
              <w:lang w:eastAsia="en-US"/>
            </w:rPr>
            <w:t>_ABCD_RESPONSEFORM.</w:t>
          </w:r>
        </w:p>
        <w:p w14:paraId="0282BAC3"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6C4382E3"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75012195"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4772371B"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03B8E8E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67CB43C0"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BF2FD2E"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33E7C52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5D830AF6"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07485623"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7D1D3D3A" w14:textId="77777777" w:rsidR="00AF2EF7" w:rsidRPr="00B8572C" w:rsidRDefault="00301F47" w:rsidP="00AF2EF7">
          <w:pPr>
            <w:spacing w:after="120" w:line="276" w:lineRule="auto"/>
            <w:rPr>
              <w:rFonts w:asciiTheme="minorHAnsi" w:hAnsiTheme="minorHAnsi" w:cstheme="minorHAnsi"/>
            </w:rPr>
          </w:pPr>
        </w:p>
      </w:sdtContent>
    </w:sdt>
    <w:p w14:paraId="65C2C2F8" w14:textId="77777777" w:rsidR="00AF2EF7" w:rsidRPr="00B8572C" w:rsidRDefault="00AF2EF7" w:rsidP="00AF2EF7">
      <w:pPr>
        <w:spacing w:after="120" w:line="276" w:lineRule="auto"/>
        <w:rPr>
          <w:rFonts w:asciiTheme="minorHAnsi" w:hAnsiTheme="minorHAnsi" w:cstheme="minorHAnsi"/>
        </w:rPr>
      </w:pPr>
    </w:p>
    <w:p w14:paraId="7BBE8952" w14:textId="77777777" w:rsidR="00AF2EF7" w:rsidRPr="00B8572C" w:rsidRDefault="00AF2EF7" w:rsidP="00AF2EF7">
      <w:pPr>
        <w:spacing w:after="120" w:line="276" w:lineRule="auto"/>
        <w:rPr>
          <w:rFonts w:asciiTheme="minorHAnsi" w:hAnsiTheme="minorHAnsi" w:cstheme="minorHAnsi"/>
        </w:rPr>
      </w:pPr>
    </w:p>
    <w:p w14:paraId="57A6F7D6"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3B7EC00F" w14:textId="77777777" w:rsidR="00C85C8B" w:rsidRDefault="00C85C8B" w:rsidP="00C1698A">
      <w:pPr>
        <w:spacing w:line="276" w:lineRule="auto"/>
        <w:rPr>
          <w:rFonts w:asciiTheme="minorHAnsi" w:hAnsiTheme="minorHAnsi" w:cstheme="minorHAnsi"/>
          <w:b/>
          <w:sz w:val="28"/>
          <w:szCs w:val="28"/>
        </w:rPr>
      </w:pPr>
      <w:bookmarkStart w:id="0" w:name="_Toc515564428"/>
    </w:p>
    <w:p w14:paraId="089AC7D5" w14:textId="77777777" w:rsidR="00C85C8B" w:rsidRDefault="00C85C8B" w:rsidP="00C1698A">
      <w:pPr>
        <w:spacing w:line="276" w:lineRule="auto"/>
        <w:rPr>
          <w:rFonts w:asciiTheme="minorHAnsi" w:hAnsiTheme="minorHAnsi" w:cstheme="minorHAnsi"/>
          <w:b/>
          <w:sz w:val="28"/>
          <w:szCs w:val="28"/>
        </w:rPr>
      </w:pPr>
    </w:p>
    <w:p w14:paraId="34F0FBB0" w14:textId="77777777" w:rsidR="00C85C8B" w:rsidRDefault="00C85C8B" w:rsidP="00C1698A">
      <w:pPr>
        <w:spacing w:line="276" w:lineRule="auto"/>
        <w:rPr>
          <w:rFonts w:asciiTheme="minorHAnsi" w:hAnsiTheme="minorHAnsi" w:cstheme="minorHAnsi"/>
          <w:b/>
          <w:sz w:val="28"/>
          <w:szCs w:val="28"/>
        </w:rPr>
      </w:pPr>
    </w:p>
    <w:p w14:paraId="1BF46974"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21829150" w14:textId="77777777" w:rsidTr="00600E46">
        <w:tc>
          <w:tcPr>
            <w:tcW w:w="3929" w:type="dxa"/>
            <w:shd w:val="clear" w:color="auto" w:fill="auto"/>
          </w:tcPr>
          <w:p w14:paraId="0A7E4ACE" w14:textId="77777777" w:rsidR="00C85C8B" w:rsidRPr="00C85C8B" w:rsidRDefault="00C85C8B" w:rsidP="00C85C8B">
            <w:pPr>
              <w:rPr>
                <w:rFonts w:ascii="Arial" w:hAnsi="Arial" w:cs="Arial"/>
                <w:sz w:val="22"/>
                <w:lang w:eastAsia="de-DE"/>
              </w:rPr>
            </w:pPr>
            <w:permStart w:id="962746571"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2A087523" w14:textId="77777777" w:rsidR="00C85C8B" w:rsidRPr="00C85C8B" w:rsidRDefault="004F088C" w:rsidP="004F088C">
                <w:pPr>
                  <w:rPr>
                    <w:rFonts w:ascii="Arial" w:hAnsi="Arial" w:cs="Arial"/>
                    <w:color w:val="808080"/>
                    <w:sz w:val="20"/>
                    <w:lang w:eastAsia="de-DE"/>
                  </w:rPr>
                </w:pPr>
                <w:r>
                  <w:rPr>
                    <w:rFonts w:ascii="Arial" w:hAnsi="Arial" w:cs="Arial"/>
                    <w:color w:val="808080"/>
                    <w:sz w:val="20"/>
                    <w:lang w:eastAsia="de-DE"/>
                  </w:rPr>
                  <w:t>London Stock Exchange Group (“LSEG”)</w:t>
                </w:r>
              </w:p>
            </w:tc>
          </w:sdtContent>
        </w:sdt>
      </w:tr>
      <w:tr w:rsidR="00C85C8B" w:rsidRPr="00C85C8B" w14:paraId="52F0B512" w14:textId="77777777" w:rsidTr="00600E46">
        <w:tc>
          <w:tcPr>
            <w:tcW w:w="3929" w:type="dxa"/>
            <w:shd w:val="clear" w:color="auto" w:fill="auto"/>
          </w:tcPr>
          <w:p w14:paraId="290D7C7C" w14:textId="77777777" w:rsidR="00C85C8B" w:rsidRPr="00C85C8B" w:rsidRDefault="00C85C8B" w:rsidP="00C85C8B">
            <w:pPr>
              <w:rPr>
                <w:rFonts w:ascii="Arial" w:hAnsi="Arial" w:cs="Arial"/>
                <w:sz w:val="22"/>
                <w:lang w:eastAsia="de-DE"/>
              </w:rPr>
            </w:pPr>
            <w:permStart w:id="1031680901" w:edGrp="everyone" w:colFirst="1" w:colLast="1"/>
            <w:permEnd w:id="962746571"/>
            <w:r w:rsidRPr="00C85C8B">
              <w:rPr>
                <w:rFonts w:ascii="Arial" w:hAnsi="Arial" w:cs="Arial"/>
                <w:sz w:val="22"/>
                <w:lang w:eastAsia="de-DE"/>
              </w:rPr>
              <w:t>Activity</w:t>
            </w:r>
          </w:p>
        </w:tc>
        <w:tc>
          <w:tcPr>
            <w:tcW w:w="5595" w:type="dxa"/>
            <w:shd w:val="clear" w:color="auto" w:fill="auto"/>
          </w:tcPr>
          <w:p w14:paraId="056D7366" w14:textId="77777777" w:rsidR="00C85C8B" w:rsidRPr="00C85C8B" w:rsidRDefault="004F088C" w:rsidP="004F088C">
            <w:pPr>
              <w:rPr>
                <w:rFonts w:ascii="Arial" w:hAnsi="Arial" w:cs="Arial"/>
                <w:sz w:val="20"/>
                <w:lang w:eastAsia="de-DE"/>
              </w:rPr>
            </w:pPr>
            <w:r>
              <w:rPr>
                <w:rFonts w:ascii="Arial" w:hAnsi="Arial" w:cs="Arial"/>
                <w:sz w:val="20"/>
                <w:lang w:eastAsia="de-DE"/>
              </w:rPr>
              <w:t>Regulated markets/Exchanges/Trading System</w:t>
            </w:r>
          </w:p>
        </w:tc>
      </w:tr>
      <w:tr w:rsidR="00C85C8B" w:rsidRPr="00C85C8B" w14:paraId="1A32D620" w14:textId="77777777" w:rsidTr="00600E46">
        <w:tc>
          <w:tcPr>
            <w:tcW w:w="3929" w:type="dxa"/>
            <w:shd w:val="clear" w:color="auto" w:fill="auto"/>
          </w:tcPr>
          <w:p w14:paraId="775F4309" w14:textId="77777777" w:rsidR="00C85C8B" w:rsidRPr="00C85C8B" w:rsidRDefault="00C85C8B" w:rsidP="00C85C8B">
            <w:pPr>
              <w:rPr>
                <w:rFonts w:ascii="Arial" w:hAnsi="Arial" w:cs="Arial"/>
                <w:sz w:val="22"/>
                <w:lang w:eastAsia="de-DE"/>
              </w:rPr>
            </w:pPr>
            <w:permStart w:id="1834899541" w:edGrp="everyone" w:colFirst="1" w:colLast="1"/>
            <w:permEnd w:id="1031680901"/>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1C9BA5C2"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0F37C2B8" w14:textId="77777777" w:rsidTr="00600E46">
        <w:tc>
          <w:tcPr>
            <w:tcW w:w="3929" w:type="dxa"/>
            <w:shd w:val="clear" w:color="auto" w:fill="auto"/>
          </w:tcPr>
          <w:p w14:paraId="2B4D4A84" w14:textId="77777777" w:rsidR="00C85C8B" w:rsidRPr="00C85C8B" w:rsidRDefault="00C85C8B" w:rsidP="00C85C8B">
            <w:pPr>
              <w:rPr>
                <w:rFonts w:ascii="Arial" w:hAnsi="Arial" w:cs="Arial"/>
                <w:sz w:val="22"/>
                <w:lang w:eastAsia="de-DE"/>
              </w:rPr>
            </w:pPr>
            <w:permStart w:id="959185056" w:edGrp="everyone" w:colFirst="1" w:colLast="1"/>
            <w:permEnd w:id="1834899541"/>
            <w:r w:rsidRPr="00C85C8B">
              <w:rPr>
                <w:rFonts w:ascii="Arial" w:hAnsi="Arial" w:cs="Arial"/>
                <w:sz w:val="22"/>
                <w:lang w:eastAsia="de-DE"/>
              </w:rPr>
              <w:t>Country/Region</w:t>
            </w:r>
          </w:p>
        </w:tc>
        <w:sdt>
          <w:sdtPr>
            <w:rPr>
              <w:rFonts w:ascii="Arial" w:hAnsi="Arial" w:cs="Arial"/>
              <w:color w:val="000000" w:themeColor="text1"/>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F3068F8" w14:textId="1067F63C" w:rsidR="00C85C8B" w:rsidRPr="00C85C8B" w:rsidRDefault="00040A16" w:rsidP="004F088C">
                <w:pPr>
                  <w:rPr>
                    <w:rFonts w:ascii="Arial" w:hAnsi="Arial" w:cs="Arial"/>
                    <w:sz w:val="20"/>
                    <w:lang w:eastAsia="de-DE"/>
                  </w:rPr>
                </w:pPr>
                <w:r w:rsidRPr="00571DF6">
                  <w:rPr>
                    <w:rFonts w:ascii="Arial" w:hAnsi="Arial" w:cs="Arial"/>
                    <w:color w:val="000000" w:themeColor="text1"/>
                    <w:sz w:val="20"/>
                    <w:lang w:eastAsia="de-DE"/>
                  </w:rPr>
                  <w:t>Europe</w:t>
                </w:r>
              </w:p>
            </w:tc>
          </w:sdtContent>
        </w:sdt>
      </w:tr>
      <w:permEnd w:id="959185056"/>
    </w:tbl>
    <w:p w14:paraId="6935D16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0AF3DF9"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6DE9665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2E077B6F"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70171FC6"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422ACF96"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theme="minorBidi"/>
          <w:sz w:val="22"/>
          <w:szCs w:val="20"/>
          <w:lang w:eastAsia="en-US"/>
        </w:rPr>
        <w:t>WPR</w:t>
      </w:r>
      <w:r w:rsidRPr="00C85C8B">
        <w:rPr>
          <w:rFonts w:asciiTheme="minorHAnsi" w:eastAsiaTheme="minorEastAsia" w:hAnsiTheme="minorHAnsi" w:cstheme="minorBidi"/>
          <w:sz w:val="22"/>
          <w:szCs w:val="20"/>
          <w:lang w:eastAsia="en-US"/>
        </w:rPr>
        <w:t>_1&gt;</w:t>
      </w:r>
    </w:p>
    <w:p w14:paraId="7F6A939E" w14:textId="33818805" w:rsidR="004F088C" w:rsidRPr="00725095" w:rsidRDefault="004F088C" w:rsidP="004F088C">
      <w:pPr>
        <w:pStyle w:val="Signature"/>
        <w:jc w:val="both"/>
        <w:rPr>
          <w:rFonts w:eastAsiaTheme="minorEastAsia" w:cs="Arial"/>
          <w:sz w:val="22"/>
          <w:szCs w:val="20"/>
          <w:lang w:val="en-US"/>
        </w:rPr>
      </w:pPr>
      <w:bookmarkStart w:id="1" w:name="_Hlk27486496"/>
      <w:permStart w:id="759562987" w:edGrp="everyone"/>
      <w:r w:rsidRPr="00725095">
        <w:rPr>
          <w:rFonts w:eastAsiaTheme="minorEastAsia" w:cs="Arial"/>
          <w:sz w:val="22"/>
          <w:szCs w:val="20"/>
          <w:lang w:val="en-US"/>
        </w:rPr>
        <w:t xml:space="preserve">London Stock Exchange Group (“LSEG”) </w:t>
      </w:r>
      <w:r w:rsidR="00040A16" w:rsidRPr="00571DF6">
        <w:rPr>
          <w:rFonts w:eastAsiaTheme="minorEastAsia" w:cs="Arial"/>
          <w:color w:val="000000" w:themeColor="text1"/>
          <w:sz w:val="22"/>
          <w:szCs w:val="20"/>
          <w:lang w:val="en-US"/>
        </w:rPr>
        <w:t>welcomes the opportunity to respond to</w:t>
      </w:r>
      <w:r w:rsidRPr="00571DF6">
        <w:rPr>
          <w:rFonts w:eastAsiaTheme="minorEastAsia" w:cs="Arial"/>
          <w:color w:val="000000" w:themeColor="text1"/>
          <w:sz w:val="22"/>
          <w:szCs w:val="20"/>
          <w:lang w:val="en-US"/>
        </w:rPr>
        <w:t xml:space="preserve"> </w:t>
      </w:r>
      <w:r w:rsidRPr="00725095">
        <w:rPr>
          <w:rFonts w:eastAsiaTheme="minorEastAsia" w:cs="Arial"/>
          <w:sz w:val="22"/>
          <w:szCs w:val="20"/>
          <w:lang w:val="en-US"/>
        </w:rPr>
        <w:t>this consultation pa</w:t>
      </w:r>
      <w:r w:rsidR="00933E0D">
        <w:rPr>
          <w:rFonts w:eastAsiaTheme="minorEastAsia" w:cs="Arial"/>
          <w:sz w:val="22"/>
          <w:szCs w:val="20"/>
          <w:lang w:val="en-US"/>
        </w:rPr>
        <w:t>p</w:t>
      </w:r>
      <w:r w:rsidRPr="00725095">
        <w:rPr>
          <w:rFonts w:eastAsiaTheme="minorEastAsia" w:cs="Arial"/>
          <w:sz w:val="22"/>
          <w:szCs w:val="20"/>
          <w:lang w:val="en-US"/>
        </w:rPr>
        <w:t xml:space="preserve">er on MiFID II review report on position limits and position management. </w:t>
      </w:r>
    </w:p>
    <w:p w14:paraId="36AE0458" w14:textId="77777777" w:rsidR="004F088C" w:rsidRPr="00725095" w:rsidRDefault="004F088C" w:rsidP="004F088C">
      <w:pPr>
        <w:pStyle w:val="Signature"/>
        <w:jc w:val="both"/>
        <w:rPr>
          <w:rFonts w:asciiTheme="minorHAnsi" w:hAnsiTheme="minorHAnsi" w:cstheme="minorHAnsi"/>
          <w:sz w:val="22"/>
          <w:lang w:val="en-US"/>
        </w:rPr>
      </w:pPr>
    </w:p>
    <w:p w14:paraId="4CE965D5" w14:textId="59681FC8" w:rsidR="004F088C" w:rsidRPr="00571DF6" w:rsidRDefault="004F088C" w:rsidP="004F088C">
      <w:pPr>
        <w:pStyle w:val="Signature"/>
        <w:jc w:val="both"/>
        <w:rPr>
          <w:rFonts w:asciiTheme="minorHAnsi" w:eastAsia="SimSun" w:hAnsiTheme="minorHAnsi" w:cstheme="minorHAnsi"/>
          <w:color w:val="000000" w:themeColor="text1"/>
          <w:sz w:val="22"/>
          <w:lang w:val="en-US" w:eastAsia="zh-CN"/>
        </w:rPr>
      </w:pPr>
      <w:r w:rsidRPr="00571DF6">
        <w:rPr>
          <w:rFonts w:asciiTheme="minorHAnsi" w:hAnsiTheme="minorHAnsi" w:cstheme="minorHAnsi"/>
          <w:color w:val="000000" w:themeColor="text1"/>
          <w:sz w:val="22"/>
          <w:lang w:val="en-US"/>
        </w:rPr>
        <w:t xml:space="preserve">Borsa Italiana, part of the London Stock Exchange Group (“LSEG”), </w:t>
      </w:r>
      <w:r w:rsidR="00040A16" w:rsidRPr="00571DF6">
        <w:rPr>
          <w:rFonts w:asciiTheme="minorHAnsi" w:hAnsiTheme="minorHAnsi" w:cstheme="minorHAnsi"/>
          <w:color w:val="000000" w:themeColor="text1"/>
          <w:sz w:val="22"/>
          <w:lang w:val="en-US"/>
        </w:rPr>
        <w:t>operates</w:t>
      </w:r>
      <w:r w:rsidRPr="00571DF6">
        <w:rPr>
          <w:rFonts w:asciiTheme="minorHAnsi" w:hAnsiTheme="minorHAnsi" w:cstheme="minorHAnsi"/>
          <w:color w:val="000000" w:themeColor="text1"/>
          <w:sz w:val="22"/>
          <w:lang w:val="en-US"/>
        </w:rPr>
        <w:t xml:space="preserve"> a derivatives market where </w:t>
      </w:r>
      <w:r w:rsidR="008C152B" w:rsidRPr="00571DF6">
        <w:rPr>
          <w:rFonts w:asciiTheme="minorHAnsi" w:hAnsiTheme="minorHAnsi" w:cstheme="minorHAnsi"/>
          <w:i/>
          <w:color w:val="000000" w:themeColor="text1"/>
          <w:sz w:val="22"/>
          <w:lang w:val="en-US"/>
        </w:rPr>
        <w:t>power</w:t>
      </w:r>
      <w:r w:rsidRPr="00571DF6">
        <w:rPr>
          <w:rFonts w:asciiTheme="minorHAnsi" w:hAnsiTheme="minorHAnsi" w:cstheme="minorHAnsi"/>
          <w:i/>
          <w:color w:val="000000" w:themeColor="text1"/>
          <w:sz w:val="22"/>
          <w:lang w:val="en-US"/>
        </w:rPr>
        <w:t xml:space="preserve"> futures</w:t>
      </w:r>
      <w:r w:rsidRPr="00571DF6">
        <w:rPr>
          <w:rFonts w:asciiTheme="minorHAnsi" w:hAnsiTheme="minorHAnsi" w:cstheme="minorHAnsi"/>
          <w:color w:val="000000" w:themeColor="text1"/>
          <w:sz w:val="22"/>
          <w:lang w:val="en-US"/>
        </w:rPr>
        <w:t xml:space="preserve"> and </w:t>
      </w:r>
      <w:r w:rsidRPr="00571DF6">
        <w:rPr>
          <w:rFonts w:asciiTheme="minorHAnsi" w:hAnsiTheme="minorHAnsi" w:cstheme="minorHAnsi"/>
          <w:i/>
          <w:color w:val="000000" w:themeColor="text1"/>
          <w:sz w:val="22"/>
          <w:lang w:val="en-US"/>
        </w:rPr>
        <w:t>durum wheat futures</w:t>
      </w:r>
      <w:r w:rsidRPr="00571DF6">
        <w:rPr>
          <w:rFonts w:asciiTheme="minorHAnsi" w:hAnsiTheme="minorHAnsi" w:cstheme="minorHAnsi"/>
          <w:color w:val="000000" w:themeColor="text1"/>
          <w:sz w:val="22"/>
          <w:lang w:val="en-US"/>
        </w:rPr>
        <w:t xml:space="preserve"> are traded</w:t>
      </w:r>
      <w:r w:rsidR="00040A16" w:rsidRPr="00571DF6">
        <w:rPr>
          <w:rFonts w:asciiTheme="minorHAnsi" w:hAnsiTheme="minorHAnsi" w:cstheme="minorHAnsi"/>
          <w:color w:val="000000" w:themeColor="text1"/>
          <w:sz w:val="22"/>
          <w:lang w:val="en-US"/>
        </w:rPr>
        <w:t xml:space="preserve">. We also operate an </w:t>
      </w:r>
      <w:r w:rsidRPr="00725095">
        <w:rPr>
          <w:rFonts w:asciiTheme="minorHAnsi" w:hAnsiTheme="minorHAnsi" w:cstheme="minorHAnsi"/>
          <w:sz w:val="22"/>
          <w:lang w:val="en-US"/>
        </w:rPr>
        <w:t xml:space="preserve">MTF </w:t>
      </w:r>
      <w:r w:rsidR="00371EB8" w:rsidRPr="00371EB8">
        <w:rPr>
          <w:rFonts w:asciiTheme="minorHAnsi" w:hAnsiTheme="minorHAnsi" w:cstheme="minorHAnsi"/>
          <w:color w:val="000000" w:themeColor="text1"/>
          <w:sz w:val="22"/>
          <w:lang w:val="en-US"/>
        </w:rPr>
        <w:t>(</w:t>
      </w:r>
      <w:proofErr w:type="spellStart"/>
      <w:r w:rsidR="00082E34" w:rsidRPr="00082E34">
        <w:rPr>
          <w:rFonts w:asciiTheme="minorHAnsi" w:hAnsiTheme="minorHAnsi" w:cstheme="minorHAnsi"/>
          <w:color w:val="000000" w:themeColor="text1"/>
          <w:sz w:val="22"/>
          <w:lang w:val="en-US"/>
        </w:rPr>
        <w:t>SeDeX</w:t>
      </w:r>
      <w:proofErr w:type="spellEnd"/>
      <w:r w:rsidR="00371EB8">
        <w:rPr>
          <w:rFonts w:asciiTheme="minorHAnsi" w:hAnsiTheme="minorHAnsi" w:cstheme="minorHAnsi"/>
          <w:color w:val="000000" w:themeColor="text1"/>
          <w:sz w:val="22"/>
          <w:lang w:val="en-US"/>
        </w:rPr>
        <w:t>)</w:t>
      </w:r>
      <w:r w:rsidR="00082E34">
        <w:rPr>
          <w:rFonts w:asciiTheme="minorHAnsi" w:hAnsiTheme="minorHAnsi" w:cstheme="minorHAnsi"/>
          <w:color w:val="FF0000"/>
          <w:sz w:val="22"/>
          <w:lang w:val="en-US"/>
        </w:rPr>
        <w:t xml:space="preserve"> </w:t>
      </w:r>
      <w:r w:rsidRPr="00725095">
        <w:rPr>
          <w:rFonts w:asciiTheme="minorHAnsi" w:hAnsiTheme="minorHAnsi" w:cstheme="minorHAnsi"/>
          <w:sz w:val="22"/>
          <w:lang w:val="en-US"/>
        </w:rPr>
        <w:t xml:space="preserve">dedicated to </w:t>
      </w:r>
      <w:r w:rsidRPr="00DE679D">
        <w:rPr>
          <w:rFonts w:asciiTheme="minorHAnsi" w:hAnsiTheme="minorHAnsi" w:cstheme="minorHAnsi"/>
          <w:color w:val="auto"/>
          <w:sz w:val="22"/>
          <w:lang w:val="en-US"/>
        </w:rPr>
        <w:t>securities derivatives</w:t>
      </w:r>
      <w:r w:rsidR="00040A16" w:rsidRPr="00DE679D">
        <w:rPr>
          <w:rFonts w:asciiTheme="minorHAnsi" w:hAnsiTheme="minorHAnsi" w:cstheme="minorHAnsi"/>
          <w:color w:val="auto"/>
          <w:sz w:val="22"/>
          <w:lang w:val="en-US"/>
        </w:rPr>
        <w:t>,</w:t>
      </w:r>
      <w:r w:rsidRPr="00DE679D">
        <w:rPr>
          <w:rFonts w:asciiTheme="minorHAnsi" w:hAnsiTheme="minorHAnsi" w:cstheme="minorHAnsi"/>
          <w:color w:val="auto"/>
          <w:sz w:val="22"/>
          <w:lang w:val="en-US"/>
        </w:rPr>
        <w:t xml:space="preserve"> </w:t>
      </w:r>
      <w:r w:rsidRPr="00725095">
        <w:rPr>
          <w:rFonts w:asciiTheme="minorHAnsi" w:hAnsiTheme="minorHAnsi" w:cstheme="minorHAnsi"/>
          <w:sz w:val="22"/>
          <w:lang w:val="en-US"/>
        </w:rPr>
        <w:t>where more than 10.000 financial instruments are traded</w:t>
      </w:r>
      <w:r w:rsidR="00040A16">
        <w:rPr>
          <w:rFonts w:asciiTheme="minorHAnsi" w:hAnsiTheme="minorHAnsi" w:cstheme="minorHAnsi"/>
          <w:sz w:val="22"/>
          <w:lang w:val="en-US"/>
        </w:rPr>
        <w:t xml:space="preserve">, </w:t>
      </w:r>
      <w:r w:rsidR="00040A16" w:rsidRPr="00571DF6">
        <w:rPr>
          <w:rFonts w:asciiTheme="minorHAnsi" w:hAnsiTheme="minorHAnsi" w:cstheme="minorHAnsi"/>
          <w:color w:val="000000" w:themeColor="text1"/>
          <w:sz w:val="22"/>
          <w:lang w:val="en-US"/>
        </w:rPr>
        <w:t xml:space="preserve">subject to </w:t>
      </w:r>
      <w:r w:rsidRPr="00571DF6">
        <w:rPr>
          <w:rFonts w:asciiTheme="minorHAnsi" w:eastAsia="SimSun" w:hAnsiTheme="minorHAnsi" w:cstheme="minorHAnsi"/>
          <w:color w:val="000000" w:themeColor="text1"/>
          <w:sz w:val="22"/>
          <w:lang w:val="en-US" w:eastAsia="zh-CN"/>
        </w:rPr>
        <w:t>position limits regime.</w:t>
      </w:r>
    </w:p>
    <w:p w14:paraId="30F46942" w14:textId="77777777" w:rsidR="004F088C" w:rsidRPr="00571DF6" w:rsidRDefault="004F088C" w:rsidP="004F088C">
      <w:pPr>
        <w:pStyle w:val="Signature"/>
        <w:jc w:val="both"/>
        <w:rPr>
          <w:rFonts w:asciiTheme="minorHAnsi" w:eastAsia="SimSun" w:hAnsiTheme="minorHAnsi" w:cstheme="minorHAnsi"/>
          <w:color w:val="000000" w:themeColor="text1"/>
          <w:sz w:val="22"/>
          <w:lang w:val="en-US" w:eastAsia="zh-CN"/>
        </w:rPr>
      </w:pPr>
    </w:p>
    <w:p w14:paraId="2B76CA64" w14:textId="4912AE86" w:rsidR="004F088C" w:rsidRPr="00725095" w:rsidRDefault="00040A16" w:rsidP="004F088C">
      <w:pPr>
        <w:pStyle w:val="Signature"/>
        <w:jc w:val="both"/>
        <w:rPr>
          <w:rFonts w:asciiTheme="minorHAnsi" w:hAnsiTheme="minorHAnsi" w:cstheme="minorHAnsi"/>
          <w:sz w:val="22"/>
          <w:lang w:val="en-US"/>
        </w:rPr>
      </w:pPr>
      <w:r w:rsidRPr="00571DF6">
        <w:rPr>
          <w:rFonts w:asciiTheme="minorHAnsi" w:hAnsiTheme="minorHAnsi" w:cstheme="minorHAnsi"/>
          <w:color w:val="000000" w:themeColor="text1"/>
          <w:sz w:val="22"/>
          <w:lang w:val="en-US"/>
        </w:rPr>
        <w:t>We</w:t>
      </w:r>
      <w:r w:rsidR="004F088C" w:rsidRPr="00571DF6">
        <w:rPr>
          <w:rFonts w:asciiTheme="minorHAnsi" w:hAnsiTheme="minorHAnsi" w:cstheme="minorHAnsi"/>
          <w:color w:val="000000" w:themeColor="text1"/>
          <w:sz w:val="22"/>
          <w:lang w:val="en-US"/>
        </w:rPr>
        <w:t xml:space="preserve"> actively collaborate with issuers and intermediaries to promote efficient and orderly functioning of the markets</w:t>
      </w:r>
      <w:r w:rsidRPr="00571DF6">
        <w:rPr>
          <w:rFonts w:asciiTheme="minorHAnsi" w:hAnsiTheme="minorHAnsi" w:cstheme="minorHAnsi"/>
          <w:color w:val="000000" w:themeColor="text1"/>
          <w:sz w:val="22"/>
          <w:lang w:val="en-US"/>
        </w:rPr>
        <w:t>. W</w:t>
      </w:r>
      <w:r w:rsidR="004F088C" w:rsidRPr="00571DF6">
        <w:rPr>
          <w:rFonts w:asciiTheme="minorHAnsi" w:hAnsiTheme="minorHAnsi" w:cstheme="minorHAnsi"/>
          <w:color w:val="000000" w:themeColor="text1"/>
          <w:sz w:val="22"/>
          <w:lang w:val="en-US"/>
        </w:rPr>
        <w:t>ith this objective</w:t>
      </w:r>
      <w:r w:rsidRPr="00571DF6">
        <w:rPr>
          <w:rFonts w:asciiTheme="minorHAnsi" w:hAnsiTheme="minorHAnsi" w:cstheme="minorHAnsi"/>
          <w:color w:val="000000" w:themeColor="text1"/>
          <w:sz w:val="22"/>
          <w:lang w:val="en-US"/>
        </w:rPr>
        <w:t xml:space="preserve"> in mind,</w:t>
      </w:r>
      <w:r w:rsidR="004F088C" w:rsidRPr="00571DF6">
        <w:rPr>
          <w:rFonts w:asciiTheme="minorHAnsi" w:hAnsiTheme="minorHAnsi" w:cstheme="minorHAnsi"/>
          <w:color w:val="000000" w:themeColor="text1"/>
          <w:sz w:val="22"/>
          <w:lang w:val="en-US"/>
        </w:rPr>
        <w:t xml:space="preserve"> </w:t>
      </w:r>
      <w:r>
        <w:rPr>
          <w:rFonts w:asciiTheme="minorHAnsi" w:hAnsiTheme="minorHAnsi" w:cstheme="minorHAnsi"/>
          <w:sz w:val="22"/>
          <w:lang w:val="en-US"/>
        </w:rPr>
        <w:t>we have</w:t>
      </w:r>
      <w:r w:rsidR="004F088C" w:rsidRPr="00725095">
        <w:rPr>
          <w:rFonts w:asciiTheme="minorHAnsi" w:hAnsiTheme="minorHAnsi" w:cstheme="minorHAnsi"/>
          <w:sz w:val="22"/>
          <w:lang w:val="en-US"/>
        </w:rPr>
        <w:t xml:space="preserve"> developed an automated </w:t>
      </w:r>
      <w:r w:rsidR="00FA0B37">
        <w:rPr>
          <w:rFonts w:asciiTheme="minorHAnsi" w:hAnsiTheme="minorHAnsi" w:cstheme="minorHAnsi"/>
          <w:sz w:val="22"/>
          <w:lang w:val="en-US"/>
        </w:rPr>
        <w:t>tool</w:t>
      </w:r>
      <w:r>
        <w:rPr>
          <w:rFonts w:asciiTheme="minorHAnsi" w:hAnsiTheme="minorHAnsi" w:cstheme="minorHAnsi"/>
          <w:sz w:val="22"/>
          <w:lang w:val="en-US"/>
        </w:rPr>
        <w:t xml:space="preserve"> </w:t>
      </w:r>
      <w:r w:rsidR="004F088C" w:rsidRPr="00725095">
        <w:rPr>
          <w:rFonts w:asciiTheme="minorHAnsi" w:hAnsiTheme="minorHAnsi" w:cstheme="minorHAnsi"/>
          <w:sz w:val="22"/>
          <w:lang w:val="en-US"/>
        </w:rPr>
        <w:t>for position reporting of commodit</w:t>
      </w:r>
      <w:r w:rsidR="008C152B">
        <w:rPr>
          <w:rFonts w:asciiTheme="minorHAnsi" w:hAnsiTheme="minorHAnsi" w:cstheme="minorHAnsi"/>
          <w:sz w:val="22"/>
          <w:lang w:val="en-US"/>
        </w:rPr>
        <w:t>y</w:t>
      </w:r>
      <w:r w:rsidR="004F088C" w:rsidRPr="00725095">
        <w:rPr>
          <w:rFonts w:asciiTheme="minorHAnsi" w:hAnsiTheme="minorHAnsi" w:cstheme="minorHAnsi"/>
          <w:sz w:val="22"/>
          <w:lang w:val="en-US"/>
        </w:rPr>
        <w:t xml:space="preserve"> derivatives in compliance with the position reporting regulation.</w:t>
      </w:r>
    </w:p>
    <w:p w14:paraId="073F27C3" w14:textId="77777777" w:rsidR="004F088C" w:rsidRDefault="004F088C" w:rsidP="004F088C">
      <w:pPr>
        <w:pStyle w:val="Signature"/>
        <w:jc w:val="both"/>
        <w:rPr>
          <w:rFonts w:asciiTheme="minorHAnsi" w:hAnsiTheme="minorHAnsi" w:cstheme="minorHAnsi"/>
          <w:sz w:val="22"/>
          <w:lang w:val="en-US"/>
        </w:rPr>
      </w:pPr>
      <w:bookmarkStart w:id="2" w:name="_Hlk27486941"/>
    </w:p>
    <w:p w14:paraId="1CE5179E" w14:textId="34EFC739" w:rsidR="004332F4" w:rsidRPr="00571DF6" w:rsidRDefault="00040A16" w:rsidP="004332F4">
      <w:pPr>
        <w:pStyle w:val="Signature"/>
        <w:jc w:val="both"/>
        <w:rPr>
          <w:rFonts w:asciiTheme="minorHAnsi" w:hAnsiTheme="minorHAnsi" w:cstheme="minorHAnsi"/>
          <w:color w:val="000000" w:themeColor="text1"/>
          <w:sz w:val="22"/>
          <w:lang w:val="en-US"/>
        </w:rPr>
      </w:pPr>
      <w:r w:rsidRPr="00571DF6">
        <w:rPr>
          <w:rFonts w:asciiTheme="minorHAnsi" w:hAnsiTheme="minorHAnsi" w:cstheme="minorHAnsi"/>
          <w:color w:val="000000" w:themeColor="text1"/>
          <w:sz w:val="22"/>
          <w:lang w:val="en-US"/>
        </w:rPr>
        <w:t>Based on our</w:t>
      </w:r>
      <w:r w:rsidR="004332F4" w:rsidRPr="00571DF6">
        <w:rPr>
          <w:rFonts w:asciiTheme="minorHAnsi" w:hAnsiTheme="minorHAnsi" w:cstheme="minorHAnsi"/>
          <w:color w:val="000000" w:themeColor="text1"/>
          <w:sz w:val="22"/>
          <w:lang w:val="en-US"/>
        </w:rPr>
        <w:t xml:space="preserve"> experience since the </w:t>
      </w:r>
      <w:r w:rsidRPr="00571DF6">
        <w:rPr>
          <w:rFonts w:asciiTheme="minorHAnsi" w:hAnsiTheme="minorHAnsi" w:cstheme="minorHAnsi"/>
          <w:color w:val="000000" w:themeColor="text1"/>
          <w:sz w:val="22"/>
          <w:lang w:val="en-US"/>
        </w:rPr>
        <w:t>entry into force of</w:t>
      </w:r>
      <w:r w:rsidR="004332F4" w:rsidRPr="00571DF6">
        <w:rPr>
          <w:rFonts w:asciiTheme="minorHAnsi" w:hAnsiTheme="minorHAnsi" w:cstheme="minorHAnsi"/>
          <w:color w:val="000000" w:themeColor="text1"/>
          <w:sz w:val="22"/>
          <w:lang w:val="en-US"/>
        </w:rPr>
        <w:t xml:space="preserve"> MiFID II, </w:t>
      </w:r>
      <w:r w:rsidRPr="00571DF6">
        <w:rPr>
          <w:rFonts w:asciiTheme="minorHAnsi" w:hAnsiTheme="minorHAnsi" w:cstheme="minorHAnsi"/>
          <w:color w:val="000000" w:themeColor="text1"/>
          <w:sz w:val="22"/>
          <w:lang w:val="en-US"/>
        </w:rPr>
        <w:t>we would like to raise the following issues</w:t>
      </w:r>
      <w:r w:rsidR="004332F4" w:rsidRPr="00571DF6">
        <w:rPr>
          <w:rFonts w:asciiTheme="minorHAnsi" w:hAnsiTheme="minorHAnsi" w:cstheme="minorHAnsi"/>
          <w:color w:val="000000" w:themeColor="text1"/>
          <w:sz w:val="22"/>
          <w:lang w:val="en-US"/>
        </w:rPr>
        <w:t>:</w:t>
      </w:r>
    </w:p>
    <w:p w14:paraId="1BC7CF95" w14:textId="77777777" w:rsidR="00B55BE9" w:rsidRPr="00ED0617" w:rsidRDefault="004332F4" w:rsidP="004F088C">
      <w:pPr>
        <w:pStyle w:val="Signature"/>
        <w:jc w:val="both"/>
        <w:rPr>
          <w:rFonts w:asciiTheme="minorHAnsi" w:hAnsiTheme="minorHAnsi" w:cstheme="minorHAnsi"/>
          <w:sz w:val="22"/>
          <w:lang w:val="en-US"/>
        </w:rPr>
      </w:pPr>
      <w:r w:rsidRPr="00ED0617">
        <w:rPr>
          <w:rFonts w:asciiTheme="minorHAnsi" w:hAnsiTheme="minorHAnsi" w:cstheme="minorHAnsi"/>
          <w:sz w:val="22"/>
          <w:lang w:val="en-US"/>
        </w:rPr>
        <w:t xml:space="preserve"> </w:t>
      </w:r>
    </w:p>
    <w:p w14:paraId="5B735008" w14:textId="77777777" w:rsidR="004332F4" w:rsidRPr="00ED0617" w:rsidRDefault="004332F4" w:rsidP="004F088C">
      <w:pPr>
        <w:pStyle w:val="Signature"/>
        <w:jc w:val="both"/>
        <w:rPr>
          <w:rFonts w:asciiTheme="minorHAnsi" w:hAnsiTheme="minorHAnsi" w:cstheme="minorHAnsi"/>
          <w:sz w:val="22"/>
          <w:lang w:val="en-US"/>
        </w:rPr>
      </w:pPr>
    </w:p>
    <w:p w14:paraId="71D238FE" w14:textId="178CBC4F" w:rsidR="004332F4" w:rsidRPr="00571DF6" w:rsidRDefault="00040A16" w:rsidP="004332F4">
      <w:pPr>
        <w:pStyle w:val="Signature"/>
        <w:numPr>
          <w:ilvl w:val="0"/>
          <w:numId w:val="22"/>
        </w:numPr>
        <w:jc w:val="both"/>
        <w:rPr>
          <w:rFonts w:asciiTheme="minorHAnsi" w:hAnsiTheme="minorHAnsi" w:cstheme="minorHAnsi"/>
          <w:color w:val="000000" w:themeColor="text1"/>
          <w:sz w:val="22"/>
          <w:lang w:val="en-US"/>
        </w:rPr>
      </w:pPr>
      <w:bookmarkStart w:id="3" w:name="_Hlk27673473"/>
      <w:r w:rsidRPr="00571DF6">
        <w:rPr>
          <w:rFonts w:asciiTheme="minorHAnsi" w:hAnsiTheme="minorHAnsi" w:cstheme="minorHAnsi"/>
          <w:color w:val="000000" w:themeColor="text1"/>
          <w:sz w:val="22"/>
          <w:lang w:val="en-US"/>
        </w:rPr>
        <w:t>We</w:t>
      </w:r>
      <w:r w:rsidR="004332F4" w:rsidRPr="00571DF6">
        <w:rPr>
          <w:rFonts w:asciiTheme="minorHAnsi" w:hAnsiTheme="minorHAnsi" w:cstheme="minorHAnsi"/>
          <w:color w:val="000000" w:themeColor="text1"/>
          <w:sz w:val="22"/>
          <w:lang w:val="en-US"/>
        </w:rPr>
        <w:t xml:space="preserve"> agree with ESMA analysis </w:t>
      </w:r>
      <w:r w:rsidR="00534763" w:rsidRPr="00571DF6">
        <w:rPr>
          <w:rFonts w:asciiTheme="minorHAnsi" w:hAnsiTheme="minorHAnsi" w:cstheme="minorHAnsi"/>
          <w:color w:val="000000" w:themeColor="text1"/>
          <w:sz w:val="22"/>
          <w:lang w:val="en-US"/>
        </w:rPr>
        <w:t>to exclude</w:t>
      </w:r>
      <w:r w:rsidR="004332F4" w:rsidRPr="00571DF6">
        <w:rPr>
          <w:rFonts w:asciiTheme="minorHAnsi" w:hAnsiTheme="minorHAnsi" w:cstheme="minorHAnsi"/>
          <w:color w:val="000000" w:themeColor="text1"/>
          <w:sz w:val="22"/>
          <w:lang w:val="en-US"/>
        </w:rPr>
        <w:t xml:space="preserve"> </w:t>
      </w:r>
      <w:proofErr w:type="spellStart"/>
      <w:r w:rsidR="004332F4" w:rsidRPr="00571DF6">
        <w:rPr>
          <w:rFonts w:asciiTheme="minorHAnsi" w:hAnsiTheme="minorHAnsi" w:cstheme="minorHAnsi"/>
          <w:color w:val="000000" w:themeColor="text1"/>
          <w:sz w:val="22"/>
          <w:lang w:val="en-US"/>
        </w:rPr>
        <w:t>securitised</w:t>
      </w:r>
      <w:proofErr w:type="spellEnd"/>
      <w:r w:rsidR="004332F4" w:rsidRPr="00571DF6">
        <w:rPr>
          <w:rFonts w:asciiTheme="minorHAnsi" w:hAnsiTheme="minorHAnsi" w:cstheme="minorHAnsi"/>
          <w:color w:val="000000" w:themeColor="text1"/>
          <w:sz w:val="22"/>
          <w:lang w:val="en-US"/>
        </w:rPr>
        <w:t xml:space="preserve"> derivatives </w:t>
      </w:r>
      <w:bookmarkEnd w:id="3"/>
      <w:r w:rsidR="004332F4" w:rsidRPr="00571DF6">
        <w:rPr>
          <w:rFonts w:asciiTheme="minorHAnsi" w:hAnsiTheme="minorHAnsi" w:cstheme="minorHAnsi"/>
          <w:color w:val="000000" w:themeColor="text1"/>
          <w:sz w:val="22"/>
          <w:lang w:val="en-US"/>
        </w:rPr>
        <w:t xml:space="preserve">(SDs) from the scope of position limits </w:t>
      </w:r>
      <w:r w:rsidR="00ED0617" w:rsidRPr="00571DF6">
        <w:rPr>
          <w:rFonts w:asciiTheme="minorHAnsi" w:hAnsiTheme="minorHAnsi" w:cstheme="minorHAnsi"/>
          <w:color w:val="000000" w:themeColor="text1"/>
          <w:sz w:val="22"/>
          <w:lang w:val="en-US"/>
        </w:rPr>
        <w:t>regime</w:t>
      </w:r>
      <w:r w:rsidR="004332F4" w:rsidRPr="00571DF6">
        <w:rPr>
          <w:rFonts w:asciiTheme="minorHAnsi" w:hAnsiTheme="minorHAnsi" w:cstheme="minorHAnsi"/>
          <w:color w:val="000000" w:themeColor="text1"/>
          <w:sz w:val="22"/>
          <w:lang w:val="en-US"/>
        </w:rPr>
        <w:t xml:space="preserve">. </w:t>
      </w:r>
      <w:r w:rsidR="00AE1651" w:rsidRPr="00571DF6">
        <w:rPr>
          <w:rFonts w:asciiTheme="minorHAnsi" w:hAnsiTheme="minorHAnsi" w:cstheme="minorHAnsi"/>
          <w:color w:val="000000" w:themeColor="text1"/>
          <w:sz w:val="22"/>
          <w:lang w:val="en-US"/>
        </w:rPr>
        <w:t xml:space="preserve">These instruments are </w:t>
      </w:r>
      <w:proofErr w:type="spellStart"/>
      <w:r w:rsidR="0070349A" w:rsidRPr="00571DF6">
        <w:rPr>
          <w:rFonts w:asciiTheme="minorHAnsi" w:hAnsiTheme="minorHAnsi" w:cstheme="minorHAnsi"/>
          <w:color w:val="000000" w:themeColor="text1"/>
          <w:sz w:val="22"/>
          <w:lang w:val="en-US"/>
        </w:rPr>
        <w:t>characterised</w:t>
      </w:r>
      <w:proofErr w:type="spellEnd"/>
      <w:r w:rsidR="00AE1651" w:rsidRPr="00571DF6">
        <w:rPr>
          <w:rFonts w:asciiTheme="minorHAnsi" w:hAnsiTheme="minorHAnsi" w:cstheme="minorHAnsi"/>
          <w:color w:val="000000" w:themeColor="text1"/>
          <w:sz w:val="22"/>
          <w:lang w:val="en-US"/>
        </w:rPr>
        <w:t xml:space="preserve"> by </w:t>
      </w:r>
      <w:proofErr w:type="gramStart"/>
      <w:r w:rsidR="00534763" w:rsidRPr="00571DF6">
        <w:rPr>
          <w:rFonts w:asciiTheme="minorHAnsi" w:hAnsiTheme="minorHAnsi" w:cstheme="minorHAnsi"/>
          <w:color w:val="000000" w:themeColor="text1"/>
          <w:sz w:val="22"/>
          <w:lang w:val="en-US"/>
        </w:rPr>
        <w:t>a</w:t>
      </w:r>
      <w:r w:rsidR="00AE1651" w:rsidRPr="00571DF6">
        <w:rPr>
          <w:rFonts w:asciiTheme="minorHAnsi" w:hAnsiTheme="minorHAnsi" w:cstheme="minorHAnsi"/>
          <w:color w:val="000000" w:themeColor="text1"/>
          <w:sz w:val="22"/>
          <w:lang w:val="en-US"/>
        </w:rPr>
        <w:t xml:space="preserve"> number of</w:t>
      </w:r>
      <w:proofErr w:type="gramEnd"/>
      <w:r w:rsidR="00AE1651" w:rsidRPr="00571DF6">
        <w:rPr>
          <w:rFonts w:asciiTheme="minorHAnsi" w:hAnsiTheme="minorHAnsi" w:cstheme="minorHAnsi"/>
          <w:color w:val="000000" w:themeColor="text1"/>
          <w:sz w:val="22"/>
          <w:lang w:val="en-US"/>
        </w:rPr>
        <w:t xml:space="preserve"> different issuances registered within the central securities depository</w:t>
      </w:r>
      <w:r w:rsidR="004332F4" w:rsidRPr="00571DF6">
        <w:rPr>
          <w:rFonts w:asciiTheme="minorHAnsi" w:hAnsiTheme="minorHAnsi" w:cstheme="minorHAnsi"/>
          <w:color w:val="000000" w:themeColor="text1"/>
          <w:sz w:val="22"/>
          <w:lang w:val="en-US"/>
        </w:rPr>
        <w:t xml:space="preserve"> </w:t>
      </w:r>
      <w:r w:rsidR="00AE1651" w:rsidRPr="00571DF6">
        <w:rPr>
          <w:rFonts w:asciiTheme="minorHAnsi" w:hAnsiTheme="minorHAnsi" w:cstheme="minorHAnsi"/>
          <w:color w:val="000000" w:themeColor="text1"/>
          <w:sz w:val="22"/>
          <w:lang w:val="en-US"/>
        </w:rPr>
        <w:t xml:space="preserve">and </w:t>
      </w:r>
      <w:r w:rsidR="004332F4" w:rsidRPr="00571DF6">
        <w:rPr>
          <w:rFonts w:asciiTheme="minorHAnsi" w:hAnsiTheme="minorHAnsi" w:cstheme="minorHAnsi"/>
          <w:color w:val="000000" w:themeColor="text1"/>
          <w:sz w:val="22"/>
          <w:lang w:val="en-US"/>
        </w:rPr>
        <w:t>the regime provides limited benefits also considering that the issuance size already constitutes a position limit.</w:t>
      </w:r>
    </w:p>
    <w:p w14:paraId="28E14C4E" w14:textId="77777777" w:rsidR="004332F4" w:rsidRPr="00571DF6" w:rsidRDefault="004332F4" w:rsidP="004332F4">
      <w:pPr>
        <w:pStyle w:val="Signature"/>
        <w:jc w:val="both"/>
        <w:rPr>
          <w:rFonts w:asciiTheme="minorHAnsi" w:hAnsiTheme="minorHAnsi" w:cstheme="minorHAnsi"/>
          <w:color w:val="000000" w:themeColor="text1"/>
          <w:sz w:val="22"/>
          <w:lang w:val="en-US"/>
        </w:rPr>
      </w:pPr>
    </w:p>
    <w:p w14:paraId="663912B1" w14:textId="58FADD0E" w:rsidR="00AE1651" w:rsidRPr="00571DF6" w:rsidRDefault="001C77F4" w:rsidP="00AE1651">
      <w:pPr>
        <w:pStyle w:val="Signature"/>
        <w:numPr>
          <w:ilvl w:val="0"/>
          <w:numId w:val="22"/>
        </w:numPr>
        <w:jc w:val="both"/>
        <w:rPr>
          <w:rFonts w:asciiTheme="minorHAnsi" w:hAnsiTheme="minorHAnsi" w:cstheme="minorHAnsi"/>
          <w:color w:val="000000" w:themeColor="text1"/>
          <w:sz w:val="22"/>
          <w:lang w:val="en-US"/>
        </w:rPr>
      </w:pPr>
      <w:r w:rsidRPr="00571DF6">
        <w:rPr>
          <w:rFonts w:asciiTheme="minorHAnsi" w:hAnsiTheme="minorHAnsi" w:cstheme="minorHAnsi"/>
          <w:color w:val="000000" w:themeColor="text1"/>
          <w:sz w:val="22"/>
          <w:lang w:val="en-US"/>
        </w:rPr>
        <w:t>We believe that t</w:t>
      </w:r>
      <w:r w:rsidR="004332F4" w:rsidRPr="00571DF6">
        <w:rPr>
          <w:rFonts w:asciiTheme="minorHAnsi" w:hAnsiTheme="minorHAnsi" w:cstheme="minorHAnsi"/>
          <w:color w:val="000000" w:themeColor="text1"/>
          <w:sz w:val="22"/>
          <w:lang w:val="en-US"/>
        </w:rPr>
        <w:t xml:space="preserve">he position </w:t>
      </w:r>
      <w:r w:rsidR="00ED0617" w:rsidRPr="00571DF6">
        <w:rPr>
          <w:rFonts w:asciiTheme="minorHAnsi" w:hAnsiTheme="minorHAnsi" w:cstheme="minorHAnsi"/>
          <w:color w:val="000000" w:themeColor="text1"/>
          <w:sz w:val="22"/>
          <w:lang w:val="en-US"/>
        </w:rPr>
        <w:t>limits</w:t>
      </w:r>
      <w:r w:rsidR="004332F4" w:rsidRPr="00571DF6">
        <w:rPr>
          <w:rFonts w:asciiTheme="minorHAnsi" w:hAnsiTheme="minorHAnsi" w:cstheme="minorHAnsi"/>
          <w:color w:val="000000" w:themeColor="text1"/>
          <w:sz w:val="22"/>
          <w:lang w:val="en-US"/>
        </w:rPr>
        <w:t xml:space="preserve"> regime for new and illiquid contracts could be better calibrated</w:t>
      </w:r>
      <w:r w:rsidR="00ED0617" w:rsidRPr="00571DF6">
        <w:rPr>
          <w:rFonts w:asciiTheme="minorHAnsi" w:hAnsiTheme="minorHAnsi" w:cstheme="minorHAnsi"/>
          <w:color w:val="000000" w:themeColor="text1"/>
          <w:sz w:val="22"/>
          <w:lang w:val="en-US"/>
        </w:rPr>
        <w:t>.</w:t>
      </w:r>
      <w:r w:rsidR="004332F4" w:rsidRPr="00571DF6">
        <w:rPr>
          <w:rFonts w:asciiTheme="minorHAnsi" w:hAnsiTheme="minorHAnsi" w:cstheme="minorHAnsi"/>
          <w:color w:val="000000" w:themeColor="text1"/>
          <w:sz w:val="22"/>
          <w:lang w:val="en-US"/>
        </w:rPr>
        <w:t xml:space="preserve"> </w:t>
      </w:r>
      <w:r w:rsidR="00ED0617" w:rsidRPr="00571DF6">
        <w:rPr>
          <w:rFonts w:asciiTheme="minorHAnsi" w:hAnsiTheme="minorHAnsi" w:cstheme="minorHAnsi"/>
          <w:color w:val="000000" w:themeColor="text1"/>
          <w:sz w:val="22"/>
          <w:lang w:val="en-US"/>
        </w:rPr>
        <w:t>In</w:t>
      </w:r>
      <w:r w:rsidR="004332F4" w:rsidRPr="00571DF6">
        <w:rPr>
          <w:rFonts w:asciiTheme="minorHAnsi" w:hAnsiTheme="minorHAnsi" w:cstheme="minorHAnsi"/>
          <w:color w:val="000000" w:themeColor="text1"/>
          <w:sz w:val="22"/>
          <w:lang w:val="en-US"/>
        </w:rPr>
        <w:t xml:space="preserve"> order to limit the negative impact of position limits on new and illiquid contracts, </w:t>
      </w:r>
      <w:r w:rsidRPr="00571DF6">
        <w:rPr>
          <w:rFonts w:asciiTheme="minorHAnsi" w:hAnsiTheme="minorHAnsi" w:cstheme="minorHAnsi"/>
          <w:color w:val="000000" w:themeColor="text1"/>
          <w:sz w:val="22"/>
          <w:lang w:val="en-US"/>
        </w:rPr>
        <w:t>we suggest reducing</w:t>
      </w:r>
      <w:r w:rsidR="00AE1651" w:rsidRPr="00571DF6">
        <w:rPr>
          <w:rFonts w:asciiTheme="minorHAnsi" w:hAnsiTheme="minorHAnsi" w:cstheme="minorHAnsi"/>
          <w:color w:val="000000" w:themeColor="text1"/>
          <w:sz w:val="22"/>
          <w:lang w:val="en-US"/>
        </w:rPr>
        <w:t xml:space="preserve"> </w:t>
      </w:r>
      <w:r w:rsidR="00AE1651" w:rsidRPr="0070349A">
        <w:rPr>
          <w:rFonts w:asciiTheme="minorHAnsi" w:hAnsiTheme="minorHAnsi" w:cstheme="minorHAnsi"/>
          <w:color w:val="auto"/>
          <w:sz w:val="22"/>
          <w:lang w:val="en-US"/>
        </w:rPr>
        <w:t xml:space="preserve">the scope to a limited set of </w:t>
      </w:r>
      <w:r w:rsidR="00AE1651" w:rsidRPr="00082E34">
        <w:rPr>
          <w:rFonts w:asciiTheme="minorHAnsi" w:hAnsiTheme="minorHAnsi" w:cstheme="minorHAnsi"/>
          <w:color w:val="000000" w:themeColor="text1"/>
          <w:sz w:val="22"/>
          <w:lang w:val="en-US"/>
        </w:rPr>
        <w:t>significant</w:t>
      </w:r>
      <w:r w:rsidRPr="00082E34">
        <w:rPr>
          <w:rFonts w:asciiTheme="minorHAnsi" w:hAnsiTheme="minorHAnsi" w:cstheme="minorHAnsi"/>
          <w:color w:val="000000" w:themeColor="text1"/>
          <w:sz w:val="22"/>
          <w:lang w:val="en-US"/>
        </w:rPr>
        <w:t xml:space="preserve">, </w:t>
      </w:r>
      <w:r w:rsidR="00AE1651" w:rsidRPr="00082E34">
        <w:rPr>
          <w:rFonts w:asciiTheme="minorHAnsi" w:hAnsiTheme="minorHAnsi" w:cstheme="minorHAnsi"/>
          <w:color w:val="000000" w:themeColor="text1"/>
          <w:sz w:val="22"/>
          <w:lang w:val="en-US"/>
        </w:rPr>
        <w:t>more critical contracts</w:t>
      </w:r>
      <w:r w:rsidR="0088174B" w:rsidRPr="00082E34">
        <w:rPr>
          <w:rFonts w:asciiTheme="minorHAnsi" w:hAnsiTheme="minorHAnsi" w:cstheme="minorHAnsi"/>
          <w:color w:val="000000" w:themeColor="text1"/>
          <w:sz w:val="22"/>
          <w:lang w:val="en-US"/>
        </w:rPr>
        <w:t xml:space="preserve"> as reflected in the ESMA proposed option 1</w:t>
      </w:r>
      <w:r w:rsidR="00AE1651" w:rsidRPr="00082E34">
        <w:rPr>
          <w:rFonts w:asciiTheme="minorHAnsi" w:hAnsiTheme="minorHAnsi" w:cstheme="minorHAnsi"/>
          <w:color w:val="000000" w:themeColor="text1"/>
          <w:sz w:val="22"/>
          <w:lang w:val="en-US"/>
        </w:rPr>
        <w:t xml:space="preserve">. This will result </w:t>
      </w:r>
      <w:r w:rsidR="0070349A" w:rsidRPr="0070349A">
        <w:rPr>
          <w:rFonts w:asciiTheme="minorHAnsi" w:hAnsiTheme="minorHAnsi" w:cstheme="minorHAnsi"/>
          <w:color w:val="auto"/>
          <w:sz w:val="22"/>
          <w:lang w:val="en-US"/>
        </w:rPr>
        <w:t xml:space="preserve">in </w:t>
      </w:r>
      <w:r w:rsidR="0088174B" w:rsidRPr="0070349A">
        <w:rPr>
          <w:rFonts w:asciiTheme="minorHAnsi" w:hAnsiTheme="minorHAnsi" w:cstheme="minorHAnsi"/>
          <w:color w:val="auto"/>
          <w:sz w:val="22"/>
          <w:lang w:val="en-US"/>
        </w:rPr>
        <w:t>various advantages i.e. indirectly l</w:t>
      </w:r>
      <w:r w:rsidR="00AE1651" w:rsidRPr="0070349A">
        <w:rPr>
          <w:rFonts w:asciiTheme="minorHAnsi" w:hAnsiTheme="minorHAnsi" w:cstheme="minorHAnsi"/>
          <w:color w:val="auto"/>
          <w:sz w:val="22"/>
          <w:lang w:val="en-US"/>
        </w:rPr>
        <w:t xml:space="preserve">imiting the impact of </w:t>
      </w:r>
      <w:r w:rsidR="0088174B" w:rsidRPr="0070349A">
        <w:rPr>
          <w:rFonts w:asciiTheme="minorHAnsi" w:hAnsiTheme="minorHAnsi" w:cstheme="minorHAnsi"/>
          <w:color w:val="auto"/>
          <w:sz w:val="22"/>
          <w:lang w:val="en-US"/>
        </w:rPr>
        <w:t xml:space="preserve">position limits </w:t>
      </w:r>
      <w:r w:rsidR="00AE1651" w:rsidRPr="0070349A">
        <w:rPr>
          <w:rFonts w:asciiTheme="minorHAnsi" w:hAnsiTheme="minorHAnsi" w:cstheme="minorHAnsi"/>
          <w:color w:val="auto"/>
          <w:sz w:val="22"/>
          <w:lang w:val="en-US"/>
        </w:rPr>
        <w:t xml:space="preserve">on new and </w:t>
      </w:r>
      <w:r w:rsidR="00AE1651" w:rsidRPr="0070349A">
        <w:rPr>
          <w:rFonts w:asciiTheme="minorHAnsi" w:hAnsiTheme="minorHAnsi" w:cstheme="minorHAnsi"/>
          <w:color w:val="auto"/>
          <w:sz w:val="22"/>
          <w:lang w:val="en-US"/>
        </w:rPr>
        <w:lastRenderedPageBreak/>
        <w:t xml:space="preserve">illiquid contracts and </w:t>
      </w:r>
      <w:r w:rsidR="0088174B" w:rsidRPr="0070349A">
        <w:rPr>
          <w:rFonts w:asciiTheme="minorHAnsi" w:hAnsiTheme="minorHAnsi" w:cstheme="minorHAnsi"/>
          <w:color w:val="auto"/>
          <w:sz w:val="22"/>
          <w:lang w:val="en-US"/>
        </w:rPr>
        <w:t>increase the consistency</w:t>
      </w:r>
      <w:r w:rsidR="00AE1651" w:rsidRPr="0070349A">
        <w:rPr>
          <w:rFonts w:asciiTheme="minorHAnsi" w:hAnsiTheme="minorHAnsi" w:cstheme="minorHAnsi"/>
          <w:color w:val="auto"/>
          <w:sz w:val="22"/>
          <w:lang w:val="en-US"/>
        </w:rPr>
        <w:t xml:space="preserve"> with the US market</w:t>
      </w:r>
      <w:r w:rsidR="0088174B" w:rsidRPr="0070349A">
        <w:rPr>
          <w:rFonts w:asciiTheme="minorHAnsi" w:hAnsiTheme="minorHAnsi" w:cstheme="minorHAnsi"/>
          <w:color w:val="auto"/>
          <w:sz w:val="22"/>
          <w:lang w:val="en-US"/>
        </w:rPr>
        <w:t xml:space="preserve"> applicable </w:t>
      </w:r>
      <w:r w:rsidR="0088174B" w:rsidRPr="00571DF6">
        <w:rPr>
          <w:rFonts w:asciiTheme="minorHAnsi" w:hAnsiTheme="minorHAnsi" w:cstheme="minorHAnsi"/>
          <w:color w:val="000000" w:themeColor="text1"/>
          <w:sz w:val="22"/>
          <w:lang w:val="en-US"/>
        </w:rPr>
        <w:t>discipline</w:t>
      </w:r>
      <w:r w:rsidR="00AE1651" w:rsidRPr="00571DF6">
        <w:rPr>
          <w:rFonts w:asciiTheme="minorHAnsi" w:hAnsiTheme="minorHAnsi" w:cstheme="minorHAnsi"/>
          <w:color w:val="000000" w:themeColor="text1"/>
          <w:sz w:val="22"/>
          <w:lang w:val="en-US"/>
        </w:rPr>
        <w:t>.</w:t>
      </w:r>
    </w:p>
    <w:p w14:paraId="368EFFA5" w14:textId="77777777" w:rsidR="00AE1651" w:rsidRPr="00571DF6" w:rsidRDefault="00AE1651" w:rsidP="00AE1651">
      <w:pPr>
        <w:pStyle w:val="Signature"/>
        <w:ind w:left="720"/>
        <w:jc w:val="both"/>
        <w:rPr>
          <w:rFonts w:asciiTheme="minorHAnsi" w:hAnsiTheme="minorHAnsi" w:cstheme="minorHAnsi"/>
          <w:color w:val="000000" w:themeColor="text1"/>
          <w:sz w:val="22"/>
          <w:lang w:val="en-US"/>
        </w:rPr>
      </w:pPr>
    </w:p>
    <w:p w14:paraId="26F233A3" w14:textId="36D3CD01" w:rsidR="004F088C" w:rsidRDefault="001C77F4" w:rsidP="00783954">
      <w:pPr>
        <w:pStyle w:val="Signature"/>
        <w:numPr>
          <w:ilvl w:val="0"/>
          <w:numId w:val="22"/>
        </w:numPr>
        <w:jc w:val="both"/>
        <w:rPr>
          <w:rFonts w:asciiTheme="minorHAnsi" w:hAnsiTheme="minorHAnsi" w:cstheme="minorHAnsi"/>
          <w:color w:val="000000" w:themeColor="text1"/>
          <w:sz w:val="22"/>
          <w:lang w:val="en-US"/>
        </w:rPr>
      </w:pPr>
      <w:r w:rsidRPr="00571DF6">
        <w:rPr>
          <w:rFonts w:asciiTheme="minorHAnsi" w:hAnsiTheme="minorHAnsi" w:cstheme="minorHAnsi"/>
          <w:color w:val="000000" w:themeColor="text1"/>
          <w:sz w:val="22"/>
          <w:lang w:val="en-US"/>
        </w:rPr>
        <w:t>We</w:t>
      </w:r>
      <w:r w:rsidR="00AE1651" w:rsidRPr="00571DF6">
        <w:rPr>
          <w:rFonts w:asciiTheme="minorHAnsi" w:hAnsiTheme="minorHAnsi" w:cstheme="minorHAnsi"/>
          <w:color w:val="000000" w:themeColor="text1"/>
          <w:sz w:val="22"/>
          <w:lang w:val="en-US"/>
        </w:rPr>
        <w:t xml:space="preserve"> believe that only the information needed for supervisory purposes </w:t>
      </w:r>
      <w:r w:rsidRPr="00571DF6">
        <w:rPr>
          <w:rFonts w:asciiTheme="minorHAnsi" w:hAnsiTheme="minorHAnsi" w:cstheme="minorHAnsi"/>
          <w:color w:val="000000" w:themeColor="text1"/>
          <w:sz w:val="22"/>
          <w:lang w:val="en-US"/>
        </w:rPr>
        <w:t>should be</w:t>
      </w:r>
      <w:r w:rsidR="00AE1651" w:rsidRPr="00571DF6">
        <w:rPr>
          <w:rFonts w:asciiTheme="minorHAnsi" w:hAnsiTheme="minorHAnsi" w:cstheme="minorHAnsi"/>
          <w:color w:val="000000" w:themeColor="text1"/>
          <w:sz w:val="22"/>
          <w:lang w:val="en-US"/>
        </w:rPr>
        <w:t xml:space="preserve"> reported, </w:t>
      </w:r>
      <w:r w:rsidRPr="00571DF6">
        <w:rPr>
          <w:rFonts w:asciiTheme="minorHAnsi" w:hAnsiTheme="minorHAnsi" w:cstheme="minorHAnsi"/>
          <w:color w:val="000000" w:themeColor="text1"/>
          <w:sz w:val="22"/>
          <w:lang w:val="en-US"/>
        </w:rPr>
        <w:t>therefore</w:t>
      </w:r>
      <w:r w:rsidR="00AE1651" w:rsidRPr="00571DF6">
        <w:rPr>
          <w:rFonts w:asciiTheme="minorHAnsi" w:hAnsiTheme="minorHAnsi" w:cstheme="minorHAnsi"/>
          <w:color w:val="000000" w:themeColor="text1"/>
          <w:sz w:val="22"/>
          <w:lang w:val="en-US"/>
        </w:rPr>
        <w:t xml:space="preserve"> in </w:t>
      </w:r>
      <w:r w:rsidRPr="00571DF6">
        <w:rPr>
          <w:rFonts w:asciiTheme="minorHAnsi" w:hAnsiTheme="minorHAnsi" w:cstheme="minorHAnsi"/>
          <w:color w:val="000000" w:themeColor="text1"/>
          <w:sz w:val="22"/>
          <w:lang w:val="en-US"/>
        </w:rPr>
        <w:t xml:space="preserve">the </w:t>
      </w:r>
      <w:r w:rsidR="00AE1651" w:rsidRPr="00571DF6">
        <w:rPr>
          <w:rFonts w:asciiTheme="minorHAnsi" w:hAnsiTheme="minorHAnsi" w:cstheme="minorHAnsi"/>
          <w:color w:val="000000" w:themeColor="text1"/>
          <w:sz w:val="22"/>
          <w:lang w:val="en-US"/>
        </w:rPr>
        <w:t>absence of position limits</w:t>
      </w:r>
      <w:r w:rsidRPr="00571DF6">
        <w:rPr>
          <w:rFonts w:asciiTheme="minorHAnsi" w:hAnsiTheme="minorHAnsi" w:cstheme="minorHAnsi"/>
          <w:color w:val="000000" w:themeColor="text1"/>
          <w:sz w:val="22"/>
          <w:lang w:val="en-US"/>
        </w:rPr>
        <w:t>,</w:t>
      </w:r>
      <w:r w:rsidR="00AE1651" w:rsidRPr="00571DF6">
        <w:rPr>
          <w:rFonts w:asciiTheme="minorHAnsi" w:hAnsiTheme="minorHAnsi" w:cstheme="minorHAnsi"/>
          <w:color w:val="000000" w:themeColor="text1"/>
          <w:sz w:val="22"/>
          <w:lang w:val="en-US"/>
        </w:rPr>
        <w:t xml:space="preserve"> the position reporting should be waived</w:t>
      </w:r>
      <w:r w:rsidRPr="00571DF6">
        <w:rPr>
          <w:rFonts w:asciiTheme="minorHAnsi" w:hAnsiTheme="minorHAnsi" w:cstheme="minorHAnsi"/>
          <w:color w:val="000000" w:themeColor="text1"/>
          <w:sz w:val="22"/>
          <w:lang w:val="en-US"/>
        </w:rPr>
        <w:t xml:space="preserve"> accordingly</w:t>
      </w:r>
      <w:r w:rsidR="00783954" w:rsidRPr="00571DF6">
        <w:rPr>
          <w:rFonts w:asciiTheme="minorHAnsi" w:hAnsiTheme="minorHAnsi" w:cstheme="minorHAnsi"/>
          <w:color w:val="000000" w:themeColor="text1"/>
          <w:sz w:val="22"/>
          <w:lang w:val="en-US"/>
        </w:rPr>
        <w:t>.</w:t>
      </w:r>
    </w:p>
    <w:p w14:paraId="766C7BAC" w14:textId="19426DD4" w:rsidR="00392C7F" w:rsidRDefault="00392C7F" w:rsidP="00392C7F">
      <w:pPr>
        <w:ind w:left="1068" w:hanging="360"/>
        <w:rPr>
          <w:color w:val="000000" w:themeColor="text1"/>
          <w:lang w:val="en-US"/>
        </w:rPr>
      </w:pPr>
    </w:p>
    <w:p w14:paraId="247C220D" w14:textId="77777777" w:rsidR="00392C7F" w:rsidRPr="00392C7F" w:rsidRDefault="00392C7F" w:rsidP="00392C7F">
      <w:pPr>
        <w:ind w:left="1068" w:hanging="360"/>
        <w:rPr>
          <w:color w:val="000000" w:themeColor="text1"/>
          <w:lang w:val="en-US"/>
        </w:rPr>
      </w:pPr>
    </w:p>
    <w:bookmarkEnd w:id="1"/>
    <w:bookmarkEnd w:id="2"/>
    <w:permEnd w:id="759562987"/>
    <w:p w14:paraId="46BA2AA2"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5365A">
        <w:rPr>
          <w:rFonts w:asciiTheme="minorHAnsi" w:eastAsiaTheme="minorEastAsia" w:hAnsiTheme="minorHAnsi" w:cs="Arial"/>
          <w:sz w:val="22"/>
          <w:szCs w:val="20"/>
          <w:lang w:eastAsia="en-US"/>
        </w:rPr>
        <w:t>WPR</w:t>
      </w:r>
      <w:r w:rsidRPr="00C85C8B">
        <w:rPr>
          <w:rFonts w:asciiTheme="minorHAnsi" w:eastAsiaTheme="minorEastAsia" w:hAnsiTheme="minorHAnsi" w:cstheme="minorBidi"/>
          <w:sz w:val="22"/>
          <w:szCs w:val="20"/>
          <w:lang w:eastAsia="en-US"/>
        </w:rPr>
        <w:t>_1&gt;</w:t>
      </w:r>
    </w:p>
    <w:p w14:paraId="6F0251D4" w14:textId="77777777" w:rsidR="00C85C8B" w:rsidRDefault="00C85C8B" w:rsidP="00C1698A">
      <w:pPr>
        <w:spacing w:line="276" w:lineRule="auto"/>
        <w:rPr>
          <w:rFonts w:asciiTheme="minorHAnsi" w:hAnsiTheme="minorHAnsi" w:cstheme="minorHAnsi"/>
          <w:b/>
          <w:sz w:val="28"/>
          <w:szCs w:val="28"/>
        </w:rPr>
      </w:pPr>
    </w:p>
    <w:p w14:paraId="470A2F12" w14:textId="77777777" w:rsidR="00C85C8B" w:rsidRDefault="00C85C8B" w:rsidP="00C1698A">
      <w:pPr>
        <w:spacing w:line="276" w:lineRule="auto"/>
        <w:rPr>
          <w:rFonts w:asciiTheme="minorHAnsi" w:hAnsiTheme="minorHAnsi" w:cstheme="minorHAnsi"/>
          <w:b/>
          <w:sz w:val="28"/>
          <w:szCs w:val="28"/>
        </w:rPr>
      </w:pPr>
    </w:p>
    <w:p w14:paraId="6CBCA585" w14:textId="77777777" w:rsidR="00C85C8B" w:rsidRDefault="00C85C8B" w:rsidP="00C1698A">
      <w:pPr>
        <w:spacing w:line="276" w:lineRule="auto"/>
        <w:rPr>
          <w:rFonts w:asciiTheme="minorHAnsi" w:hAnsiTheme="minorHAnsi" w:cstheme="minorHAnsi"/>
          <w:b/>
          <w:sz w:val="28"/>
          <w:szCs w:val="28"/>
        </w:rPr>
      </w:pPr>
    </w:p>
    <w:p w14:paraId="1C26D34F" w14:textId="77777777" w:rsidR="00C85C8B" w:rsidRDefault="00C85C8B" w:rsidP="00C1698A">
      <w:pPr>
        <w:spacing w:line="276" w:lineRule="auto"/>
        <w:rPr>
          <w:rFonts w:asciiTheme="minorHAnsi" w:hAnsiTheme="minorHAnsi" w:cstheme="minorHAnsi"/>
          <w:b/>
          <w:sz w:val="28"/>
          <w:szCs w:val="28"/>
        </w:rPr>
      </w:pPr>
    </w:p>
    <w:p w14:paraId="18853812" w14:textId="77777777" w:rsidR="00C85C8B" w:rsidRDefault="00C85C8B" w:rsidP="00C1698A">
      <w:pPr>
        <w:spacing w:line="276" w:lineRule="auto"/>
        <w:rPr>
          <w:rFonts w:asciiTheme="minorHAnsi" w:hAnsiTheme="minorHAnsi" w:cstheme="minorHAnsi"/>
          <w:b/>
          <w:sz w:val="28"/>
          <w:szCs w:val="28"/>
        </w:rPr>
      </w:pPr>
    </w:p>
    <w:p w14:paraId="49C4D11F"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1E977026" w14:textId="77777777"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32B62C22" w14:textId="77777777" w:rsidR="00D5365A" w:rsidRDefault="00D5365A" w:rsidP="00C1698A">
      <w:pPr>
        <w:spacing w:line="276" w:lineRule="auto"/>
        <w:rPr>
          <w:rFonts w:asciiTheme="minorHAnsi" w:hAnsiTheme="minorHAnsi" w:cstheme="minorHAnsi"/>
          <w:b/>
          <w:sz w:val="28"/>
          <w:szCs w:val="28"/>
        </w:rPr>
      </w:pPr>
    </w:p>
    <w:p w14:paraId="11C7F563" w14:textId="77777777" w:rsidR="00D5365A" w:rsidRPr="002847A4" w:rsidRDefault="00D5365A" w:rsidP="00D5365A">
      <w:pPr>
        <w:rPr>
          <w:b/>
        </w:rPr>
      </w:pPr>
      <w:r w:rsidRPr="002847A4">
        <w:rPr>
          <w:b/>
        </w:rPr>
        <w:t>Part I</w:t>
      </w:r>
    </w:p>
    <w:p w14:paraId="3F1D930F" w14:textId="77777777" w:rsidR="00D5365A" w:rsidRDefault="00D5365A" w:rsidP="00C1698A">
      <w:pPr>
        <w:spacing w:line="276" w:lineRule="auto"/>
        <w:rPr>
          <w:rFonts w:asciiTheme="minorHAnsi" w:hAnsiTheme="minorHAnsi" w:cstheme="minorHAnsi"/>
          <w:b/>
          <w:sz w:val="28"/>
          <w:szCs w:val="28"/>
        </w:rPr>
      </w:pPr>
    </w:p>
    <w:p w14:paraId="6C9F73D9" w14:textId="77777777" w:rsidR="00D5365A" w:rsidRDefault="00D5365A" w:rsidP="00D5365A">
      <w:pPr>
        <w:pStyle w:val="Questionstyle"/>
        <w:numPr>
          <w:ilvl w:val="0"/>
          <w:numId w:val="17"/>
        </w:numPr>
        <w:spacing w:after="250" w:line="276" w:lineRule="auto"/>
      </w:pPr>
      <w:r>
        <w:t>: Which option (Option 1 or Option 2) do you support for dealing with competing contracts? Please explain why. If you support Option 1, do you have any suggestions for amending the definition of “same contract” in Article 5(1) of RTS 21?  If you support another alternative, please explain which one and why.</w:t>
      </w:r>
    </w:p>
    <w:p w14:paraId="3C2C3E06" w14:textId="77777777" w:rsidR="00D5365A" w:rsidRDefault="00D5365A" w:rsidP="00D5365A">
      <w:pPr>
        <w:rPr>
          <w:rFonts w:ascii="Arial" w:hAnsi="Arial" w:cs="Arial"/>
        </w:rPr>
      </w:pPr>
      <w:r>
        <w:rPr>
          <w:rFonts w:ascii="Arial" w:hAnsi="Arial" w:cs="Arial"/>
        </w:rPr>
        <w:t>&lt;ESMA_QUESTION_WPR_1&gt;</w:t>
      </w:r>
    </w:p>
    <w:p w14:paraId="1938AF0C" w14:textId="57D3A762" w:rsidR="008C152B" w:rsidRPr="00571DF6" w:rsidRDefault="001C77F4" w:rsidP="008C152B">
      <w:pPr>
        <w:jc w:val="both"/>
        <w:rPr>
          <w:rFonts w:ascii="Arial" w:hAnsi="Arial" w:cs="Arial"/>
          <w:color w:val="000000" w:themeColor="text1"/>
        </w:rPr>
      </w:pPr>
      <w:permStart w:id="1206720518" w:edGrp="everyone"/>
      <w:r>
        <w:rPr>
          <w:rFonts w:ascii="Arial" w:hAnsi="Arial" w:cs="Arial"/>
        </w:rPr>
        <w:t>While b</w:t>
      </w:r>
      <w:r w:rsidR="000F0F73" w:rsidRPr="000F0F73">
        <w:rPr>
          <w:rFonts w:ascii="Arial" w:hAnsi="Arial" w:cs="Arial"/>
        </w:rPr>
        <w:t xml:space="preserve">oth options </w:t>
      </w:r>
      <w:r w:rsidRPr="00571DF6">
        <w:rPr>
          <w:rFonts w:ascii="Arial" w:hAnsi="Arial" w:cs="Arial"/>
          <w:color w:val="000000" w:themeColor="text1"/>
        </w:rPr>
        <w:t>could</w:t>
      </w:r>
      <w:r w:rsidR="000F0F73" w:rsidRPr="00571DF6">
        <w:rPr>
          <w:rFonts w:ascii="Arial" w:hAnsi="Arial" w:cs="Arial"/>
          <w:color w:val="000000" w:themeColor="text1"/>
        </w:rPr>
        <w:t xml:space="preserve"> improve the condition</w:t>
      </w:r>
      <w:r w:rsidRPr="00571DF6">
        <w:rPr>
          <w:rFonts w:ascii="Arial" w:hAnsi="Arial" w:cs="Arial"/>
          <w:color w:val="000000" w:themeColor="text1"/>
        </w:rPr>
        <w:t>s</w:t>
      </w:r>
      <w:r w:rsidR="000F0F73" w:rsidRPr="00571DF6">
        <w:rPr>
          <w:rFonts w:ascii="Arial" w:hAnsi="Arial" w:cs="Arial"/>
          <w:color w:val="000000" w:themeColor="text1"/>
        </w:rPr>
        <w:t xml:space="preserve"> </w:t>
      </w:r>
      <w:r w:rsidRPr="00571DF6">
        <w:rPr>
          <w:rFonts w:ascii="Arial" w:hAnsi="Arial" w:cs="Arial"/>
          <w:color w:val="000000" w:themeColor="text1"/>
        </w:rPr>
        <w:t>for</w:t>
      </w:r>
      <w:r w:rsidR="000F0F73" w:rsidRPr="00571DF6">
        <w:rPr>
          <w:rFonts w:ascii="Arial" w:hAnsi="Arial" w:cs="Arial"/>
          <w:color w:val="000000" w:themeColor="text1"/>
        </w:rPr>
        <w:t xml:space="preserve"> fair competition between more liquid and less liquid markets, </w:t>
      </w:r>
      <w:r w:rsidR="008C152B" w:rsidRPr="00571DF6">
        <w:rPr>
          <w:rFonts w:ascii="Arial" w:hAnsi="Arial" w:cs="Arial"/>
          <w:color w:val="000000" w:themeColor="text1"/>
        </w:rPr>
        <w:t xml:space="preserve">the </w:t>
      </w:r>
      <w:r w:rsidR="00DA6ECB" w:rsidRPr="00571DF6">
        <w:rPr>
          <w:rFonts w:ascii="Arial" w:hAnsi="Arial" w:cs="Arial"/>
          <w:color w:val="000000" w:themeColor="text1"/>
        </w:rPr>
        <w:t>O</w:t>
      </w:r>
      <w:r w:rsidR="000F0F73" w:rsidRPr="00571DF6">
        <w:rPr>
          <w:rFonts w:ascii="Arial" w:hAnsi="Arial" w:cs="Arial"/>
          <w:color w:val="000000" w:themeColor="text1"/>
        </w:rPr>
        <w:t>ption 2</w:t>
      </w:r>
      <w:r w:rsidR="008C152B" w:rsidRPr="00571DF6">
        <w:rPr>
          <w:rFonts w:ascii="Arial" w:hAnsi="Arial" w:cs="Arial"/>
          <w:color w:val="000000" w:themeColor="text1"/>
        </w:rPr>
        <w:t xml:space="preserve"> is </w:t>
      </w:r>
      <w:proofErr w:type="spellStart"/>
      <w:r w:rsidR="008C152B" w:rsidRPr="00571DF6">
        <w:rPr>
          <w:rFonts w:ascii="Arial" w:hAnsi="Arial" w:cs="Arial"/>
          <w:color w:val="000000" w:themeColor="text1"/>
        </w:rPr>
        <w:t>prefereble</w:t>
      </w:r>
      <w:proofErr w:type="spellEnd"/>
      <w:r w:rsidR="000F0F73" w:rsidRPr="00571DF6">
        <w:rPr>
          <w:rFonts w:ascii="Arial" w:hAnsi="Arial" w:cs="Arial"/>
          <w:color w:val="000000" w:themeColor="text1"/>
        </w:rPr>
        <w:t xml:space="preserve">. </w:t>
      </w:r>
      <w:r w:rsidR="008C152B" w:rsidRPr="00571DF6">
        <w:rPr>
          <w:rFonts w:ascii="Arial" w:hAnsi="Arial" w:cs="Arial"/>
          <w:color w:val="000000" w:themeColor="text1"/>
        </w:rPr>
        <w:t>C</w:t>
      </w:r>
      <w:r w:rsidR="000F0F73" w:rsidRPr="00571DF6">
        <w:rPr>
          <w:rFonts w:ascii="Arial" w:hAnsi="Arial" w:cs="Arial"/>
          <w:color w:val="000000" w:themeColor="text1"/>
        </w:rPr>
        <w:t xml:space="preserve">orrecting Level 1 legislation could limit the risk that some CDs that do not share </w:t>
      </w:r>
      <w:proofErr w:type="gramStart"/>
      <w:r w:rsidR="008C152B" w:rsidRPr="00571DF6">
        <w:rPr>
          <w:rFonts w:ascii="Arial" w:hAnsi="Arial" w:cs="Arial"/>
          <w:color w:val="000000" w:themeColor="text1"/>
        </w:rPr>
        <w:t xml:space="preserve">exactly </w:t>
      </w:r>
      <w:r w:rsidR="000F0F73" w:rsidRPr="00571DF6">
        <w:rPr>
          <w:rFonts w:ascii="Arial" w:hAnsi="Arial" w:cs="Arial"/>
          <w:color w:val="000000" w:themeColor="text1"/>
        </w:rPr>
        <w:t>the same</w:t>
      </w:r>
      <w:proofErr w:type="gramEnd"/>
      <w:r w:rsidR="000F0F73" w:rsidRPr="00571DF6">
        <w:rPr>
          <w:rFonts w:ascii="Arial" w:hAnsi="Arial" w:cs="Arial"/>
          <w:color w:val="000000" w:themeColor="text1"/>
        </w:rPr>
        <w:t xml:space="preserve"> characteristics </w:t>
      </w:r>
      <w:r w:rsidR="008C152B" w:rsidRPr="00571DF6">
        <w:rPr>
          <w:rFonts w:ascii="Arial" w:hAnsi="Arial" w:cs="Arial"/>
          <w:color w:val="000000" w:themeColor="text1"/>
        </w:rPr>
        <w:t xml:space="preserve">could be </w:t>
      </w:r>
      <w:r w:rsidR="000F0F73" w:rsidRPr="00571DF6">
        <w:rPr>
          <w:rFonts w:ascii="Arial" w:hAnsi="Arial" w:cs="Arial"/>
          <w:color w:val="000000" w:themeColor="text1"/>
        </w:rPr>
        <w:t>treated differently</w:t>
      </w:r>
      <w:r w:rsidR="00DA6ECB" w:rsidRPr="00571DF6">
        <w:rPr>
          <w:rFonts w:ascii="Arial" w:hAnsi="Arial" w:cs="Arial"/>
          <w:color w:val="000000" w:themeColor="text1"/>
        </w:rPr>
        <w:t xml:space="preserve">, </w:t>
      </w:r>
      <w:r w:rsidR="00C55FA5" w:rsidRPr="00571DF6">
        <w:rPr>
          <w:rFonts w:ascii="Arial" w:hAnsi="Arial" w:cs="Arial"/>
          <w:color w:val="000000" w:themeColor="text1"/>
        </w:rPr>
        <w:t>avoiding the poten</w:t>
      </w:r>
      <w:r w:rsidR="008C152B" w:rsidRPr="00571DF6">
        <w:rPr>
          <w:rFonts w:ascii="Arial" w:hAnsi="Arial" w:cs="Arial"/>
          <w:color w:val="000000" w:themeColor="text1"/>
        </w:rPr>
        <w:t xml:space="preserve">tial </w:t>
      </w:r>
      <w:proofErr w:type="spellStart"/>
      <w:r w:rsidR="008C152B" w:rsidRPr="00571DF6">
        <w:rPr>
          <w:rFonts w:ascii="Arial" w:hAnsi="Arial" w:cs="Arial"/>
          <w:color w:val="000000" w:themeColor="text1"/>
        </w:rPr>
        <w:t>uninted</w:t>
      </w:r>
      <w:proofErr w:type="spellEnd"/>
      <w:r w:rsidR="008C152B" w:rsidRPr="00571DF6">
        <w:rPr>
          <w:rFonts w:ascii="Arial" w:hAnsi="Arial" w:cs="Arial"/>
          <w:color w:val="000000" w:themeColor="text1"/>
        </w:rPr>
        <w:t xml:space="preserve"> effects of </w:t>
      </w:r>
      <w:r w:rsidR="00DA6ECB" w:rsidRPr="00571DF6">
        <w:rPr>
          <w:rFonts w:ascii="Arial" w:hAnsi="Arial" w:cs="Arial"/>
          <w:color w:val="000000" w:themeColor="text1"/>
        </w:rPr>
        <w:t>O</w:t>
      </w:r>
      <w:r w:rsidR="008C152B" w:rsidRPr="00571DF6">
        <w:rPr>
          <w:rFonts w:ascii="Arial" w:hAnsi="Arial" w:cs="Arial"/>
          <w:color w:val="000000" w:themeColor="text1"/>
        </w:rPr>
        <w:t xml:space="preserve">ption 1. </w:t>
      </w:r>
    </w:p>
    <w:p w14:paraId="2EA015D5" w14:textId="77777777" w:rsidR="008C152B" w:rsidRPr="00571DF6" w:rsidRDefault="008C152B" w:rsidP="000F0F73">
      <w:pPr>
        <w:jc w:val="both"/>
        <w:rPr>
          <w:rFonts w:ascii="Arial" w:hAnsi="Arial" w:cs="Arial"/>
          <w:b/>
          <w:color w:val="000000" w:themeColor="text1"/>
        </w:rPr>
      </w:pPr>
    </w:p>
    <w:p w14:paraId="4E72683E" w14:textId="77777777" w:rsidR="000B797F" w:rsidRPr="00571DF6" w:rsidRDefault="008C152B" w:rsidP="000F0F73">
      <w:pPr>
        <w:jc w:val="both"/>
        <w:rPr>
          <w:rFonts w:ascii="Arial" w:hAnsi="Arial" w:cs="Arial"/>
          <w:color w:val="000000" w:themeColor="text1"/>
        </w:rPr>
      </w:pPr>
      <w:r w:rsidRPr="00571DF6">
        <w:rPr>
          <w:rFonts w:ascii="Arial" w:hAnsi="Arial" w:cs="Arial"/>
          <w:color w:val="000000" w:themeColor="text1"/>
        </w:rPr>
        <w:t>T</w:t>
      </w:r>
      <w:r w:rsidR="000F0F73" w:rsidRPr="00571DF6">
        <w:rPr>
          <w:rFonts w:ascii="Arial" w:hAnsi="Arial" w:cs="Arial"/>
          <w:color w:val="000000" w:themeColor="text1"/>
        </w:rPr>
        <w:t xml:space="preserve">he recognition of a mandate to CA </w:t>
      </w:r>
      <w:r w:rsidR="00794A48" w:rsidRPr="00571DF6">
        <w:rPr>
          <w:rFonts w:ascii="Arial" w:hAnsi="Arial" w:cs="Arial"/>
          <w:color w:val="000000" w:themeColor="text1"/>
        </w:rPr>
        <w:t xml:space="preserve">to agree on the application of the same limits as baseline for the position limits regime </w:t>
      </w:r>
      <w:r w:rsidR="000F0F73" w:rsidRPr="00571DF6">
        <w:rPr>
          <w:rFonts w:ascii="Arial" w:hAnsi="Arial" w:cs="Arial"/>
          <w:color w:val="000000" w:themeColor="text1"/>
        </w:rPr>
        <w:t>could allow greater flexibility</w:t>
      </w:r>
      <w:r w:rsidR="00794A48" w:rsidRPr="00571DF6">
        <w:rPr>
          <w:rFonts w:ascii="Arial" w:hAnsi="Arial" w:cs="Arial"/>
          <w:color w:val="000000" w:themeColor="text1"/>
        </w:rPr>
        <w:t>,</w:t>
      </w:r>
      <w:r w:rsidR="000F0F73" w:rsidRPr="00571DF6">
        <w:rPr>
          <w:rFonts w:ascii="Arial" w:hAnsi="Arial" w:cs="Arial"/>
          <w:color w:val="000000" w:themeColor="text1"/>
        </w:rPr>
        <w:t xml:space="preserve"> </w:t>
      </w:r>
      <w:proofErr w:type="gramStart"/>
      <w:r w:rsidR="00933E0D" w:rsidRPr="00571DF6">
        <w:rPr>
          <w:rFonts w:ascii="Arial" w:hAnsi="Arial" w:cs="Arial"/>
          <w:color w:val="000000" w:themeColor="text1"/>
        </w:rPr>
        <w:t>taking into account</w:t>
      </w:r>
      <w:proofErr w:type="gramEnd"/>
      <w:r w:rsidR="00933E0D" w:rsidRPr="00571DF6">
        <w:rPr>
          <w:rFonts w:ascii="Arial" w:hAnsi="Arial" w:cs="Arial"/>
          <w:color w:val="000000" w:themeColor="text1"/>
        </w:rPr>
        <w:t xml:space="preserve"> </w:t>
      </w:r>
      <w:r w:rsidR="000F0F73" w:rsidRPr="00571DF6">
        <w:rPr>
          <w:rFonts w:ascii="Arial" w:hAnsi="Arial" w:cs="Arial"/>
          <w:color w:val="000000" w:themeColor="text1"/>
        </w:rPr>
        <w:t xml:space="preserve">the characteristics and diversity arising from both the CDs and the markets. </w:t>
      </w:r>
    </w:p>
    <w:p w14:paraId="1615E087" w14:textId="77777777" w:rsidR="000B797F" w:rsidRPr="00571DF6" w:rsidRDefault="000B797F" w:rsidP="000F0F73">
      <w:pPr>
        <w:jc w:val="both"/>
        <w:rPr>
          <w:rFonts w:ascii="Arial" w:hAnsi="Arial" w:cs="Arial"/>
          <w:color w:val="000000" w:themeColor="text1"/>
        </w:rPr>
      </w:pPr>
    </w:p>
    <w:p w14:paraId="7779702A" w14:textId="155A9B75" w:rsidR="000F0F73" w:rsidRPr="000F0F73" w:rsidRDefault="00794A48" w:rsidP="000F0F73">
      <w:pPr>
        <w:jc w:val="both"/>
        <w:rPr>
          <w:rFonts w:ascii="Arial" w:hAnsi="Arial" w:cs="Arial"/>
        </w:rPr>
      </w:pPr>
      <w:r w:rsidRPr="00571DF6">
        <w:rPr>
          <w:rFonts w:ascii="Arial" w:hAnsi="Arial" w:cs="Arial"/>
          <w:color w:val="000000" w:themeColor="text1"/>
        </w:rPr>
        <w:t>I</w:t>
      </w:r>
      <w:r w:rsidR="00A91A11" w:rsidRPr="00571DF6">
        <w:rPr>
          <w:rFonts w:ascii="Arial" w:hAnsi="Arial" w:cs="Arial"/>
          <w:color w:val="000000" w:themeColor="text1"/>
        </w:rPr>
        <w:t>n this context</w:t>
      </w:r>
      <w:r w:rsidR="00DA6ECB" w:rsidRPr="00571DF6">
        <w:rPr>
          <w:rFonts w:ascii="Arial" w:hAnsi="Arial" w:cs="Arial"/>
          <w:color w:val="000000" w:themeColor="text1"/>
        </w:rPr>
        <w:t>,</w:t>
      </w:r>
      <w:r w:rsidR="00A91A11" w:rsidRPr="00571DF6">
        <w:rPr>
          <w:rFonts w:ascii="Arial" w:hAnsi="Arial" w:cs="Arial"/>
          <w:color w:val="000000" w:themeColor="text1"/>
        </w:rPr>
        <w:t xml:space="preserve"> i</w:t>
      </w:r>
      <w:r w:rsidRPr="00571DF6">
        <w:rPr>
          <w:rFonts w:ascii="Arial" w:hAnsi="Arial" w:cs="Arial"/>
          <w:color w:val="000000" w:themeColor="text1"/>
        </w:rPr>
        <w:t>t is also worth consider</w:t>
      </w:r>
      <w:r w:rsidR="008C152B" w:rsidRPr="00571DF6">
        <w:rPr>
          <w:rFonts w:ascii="Arial" w:hAnsi="Arial" w:cs="Arial"/>
          <w:color w:val="000000" w:themeColor="text1"/>
        </w:rPr>
        <w:t>ing</w:t>
      </w:r>
      <w:r w:rsidRPr="00571DF6">
        <w:rPr>
          <w:rFonts w:ascii="Arial" w:hAnsi="Arial" w:cs="Arial"/>
          <w:color w:val="000000" w:themeColor="text1"/>
        </w:rPr>
        <w:t xml:space="preserve"> the role that ESMA </w:t>
      </w:r>
      <w:r w:rsidR="00DA6ECB" w:rsidRPr="00571DF6">
        <w:rPr>
          <w:rFonts w:ascii="Arial" w:hAnsi="Arial" w:cs="Arial"/>
          <w:color w:val="000000" w:themeColor="text1"/>
        </w:rPr>
        <w:t>could</w:t>
      </w:r>
      <w:r w:rsidRPr="00571DF6">
        <w:rPr>
          <w:rFonts w:ascii="Arial" w:hAnsi="Arial" w:cs="Arial"/>
          <w:color w:val="000000" w:themeColor="text1"/>
        </w:rPr>
        <w:t xml:space="preserve"> have in facilitat</w:t>
      </w:r>
      <w:r w:rsidR="00DA6ECB" w:rsidRPr="00571DF6">
        <w:rPr>
          <w:rFonts w:ascii="Arial" w:hAnsi="Arial" w:cs="Arial"/>
          <w:color w:val="000000" w:themeColor="text1"/>
        </w:rPr>
        <w:t>ing</w:t>
      </w:r>
      <w:r w:rsidRPr="00571DF6">
        <w:rPr>
          <w:rFonts w:ascii="Arial" w:hAnsi="Arial" w:cs="Arial"/>
          <w:color w:val="000000" w:themeColor="text1"/>
        </w:rPr>
        <w:t xml:space="preserve"> and </w:t>
      </w:r>
      <w:r w:rsidR="0044160B" w:rsidRPr="00571DF6">
        <w:rPr>
          <w:rFonts w:ascii="Arial" w:hAnsi="Arial" w:cs="Arial"/>
          <w:color w:val="000000" w:themeColor="text1"/>
        </w:rPr>
        <w:t>coordinat</w:t>
      </w:r>
      <w:r w:rsidR="00DA6ECB" w:rsidRPr="00571DF6">
        <w:rPr>
          <w:rFonts w:ascii="Arial" w:hAnsi="Arial" w:cs="Arial"/>
          <w:color w:val="000000" w:themeColor="text1"/>
        </w:rPr>
        <w:t>ing</w:t>
      </w:r>
      <w:r w:rsidR="0044160B" w:rsidRPr="00571DF6">
        <w:rPr>
          <w:rFonts w:ascii="Arial" w:hAnsi="Arial" w:cs="Arial"/>
          <w:color w:val="000000" w:themeColor="text1"/>
        </w:rPr>
        <w:t xml:space="preserve"> </w:t>
      </w:r>
      <w:r w:rsidR="00A91A11" w:rsidRPr="00571DF6">
        <w:rPr>
          <w:rFonts w:ascii="Arial" w:hAnsi="Arial" w:cs="Arial"/>
          <w:color w:val="000000" w:themeColor="text1"/>
        </w:rPr>
        <w:t>the achieve</w:t>
      </w:r>
      <w:r w:rsidR="008C152B" w:rsidRPr="00571DF6">
        <w:rPr>
          <w:rFonts w:ascii="Arial" w:hAnsi="Arial" w:cs="Arial"/>
          <w:color w:val="000000" w:themeColor="text1"/>
        </w:rPr>
        <w:t>me</w:t>
      </w:r>
      <w:r w:rsidR="00A91A11" w:rsidRPr="00571DF6">
        <w:rPr>
          <w:rFonts w:ascii="Arial" w:hAnsi="Arial" w:cs="Arial"/>
          <w:color w:val="000000" w:themeColor="text1"/>
        </w:rPr>
        <w:t xml:space="preserve">nt of such </w:t>
      </w:r>
      <w:r w:rsidR="008B388E" w:rsidRPr="00571DF6">
        <w:rPr>
          <w:rFonts w:ascii="Arial" w:hAnsi="Arial" w:cs="Arial"/>
          <w:color w:val="000000" w:themeColor="text1"/>
        </w:rPr>
        <w:t xml:space="preserve">agreements between </w:t>
      </w:r>
      <w:r w:rsidR="00263FD3" w:rsidRPr="00571DF6">
        <w:rPr>
          <w:rFonts w:ascii="Arial" w:hAnsi="Arial" w:cs="Arial"/>
          <w:color w:val="000000" w:themeColor="text1"/>
        </w:rPr>
        <w:t>N</w:t>
      </w:r>
      <w:r w:rsidR="008B388E" w:rsidRPr="00571DF6">
        <w:rPr>
          <w:rFonts w:ascii="Arial" w:hAnsi="Arial" w:cs="Arial"/>
          <w:color w:val="000000" w:themeColor="text1"/>
        </w:rPr>
        <w:t>CAs</w:t>
      </w:r>
      <w:r w:rsidR="00DA6ECB" w:rsidRPr="00571DF6">
        <w:rPr>
          <w:rFonts w:ascii="Arial" w:hAnsi="Arial" w:cs="Arial"/>
          <w:color w:val="000000" w:themeColor="text1"/>
        </w:rPr>
        <w:t xml:space="preserve">, </w:t>
      </w:r>
      <w:r w:rsidR="00A91A11" w:rsidRPr="00571DF6">
        <w:rPr>
          <w:rFonts w:ascii="Arial" w:hAnsi="Arial" w:cs="Arial"/>
          <w:color w:val="000000" w:themeColor="text1"/>
        </w:rPr>
        <w:t xml:space="preserve">in order to ensure that a common approach is in </w:t>
      </w:r>
      <w:r w:rsidR="00A91A11" w:rsidRPr="000B797F">
        <w:rPr>
          <w:rFonts w:ascii="Arial" w:hAnsi="Arial" w:cs="Arial"/>
        </w:rPr>
        <w:t>place</w:t>
      </w:r>
      <w:r w:rsidR="008B388E">
        <w:rPr>
          <w:rFonts w:ascii="Arial" w:hAnsi="Arial" w:cs="Arial"/>
        </w:rPr>
        <w:t xml:space="preserve">. </w:t>
      </w:r>
    </w:p>
    <w:permEnd w:id="1206720518"/>
    <w:p w14:paraId="08D10162" w14:textId="77777777" w:rsidR="00D5365A" w:rsidRDefault="00D5365A" w:rsidP="00D5365A">
      <w:pPr>
        <w:rPr>
          <w:rFonts w:ascii="Arial" w:hAnsi="Arial" w:cs="Arial"/>
        </w:rPr>
      </w:pPr>
      <w:r>
        <w:rPr>
          <w:rFonts w:ascii="Arial" w:hAnsi="Arial" w:cs="Arial"/>
        </w:rPr>
        <w:t>&lt;ESMA_QUESTION_WPR_1&gt;</w:t>
      </w:r>
    </w:p>
    <w:p w14:paraId="552EC579" w14:textId="77777777" w:rsidR="00D5365A" w:rsidRDefault="00D5365A" w:rsidP="00D5365A">
      <w:pPr>
        <w:rPr>
          <w:rFonts w:ascii="Arial" w:hAnsi="Arial" w:cs="Arial"/>
        </w:rPr>
      </w:pPr>
    </w:p>
    <w:p w14:paraId="7E5A879F" w14:textId="77777777" w:rsidR="00D5365A" w:rsidRDefault="00D5365A" w:rsidP="00D5365A">
      <w:pPr>
        <w:pStyle w:val="Questionstyle"/>
        <w:numPr>
          <w:ilvl w:val="0"/>
          <w:numId w:val="17"/>
        </w:numPr>
        <w:spacing w:after="250" w:line="276" w:lineRule="auto"/>
        <w:rPr>
          <w:rFonts w:ascii="Arial" w:hAnsi="Arial" w:cs="Arial"/>
        </w:rPr>
      </w:pPr>
      <w:r>
        <w:t>: Do you agree that the C(6) carve-out creates an unlevel playing field across trading venues and should be reconsidered? If not, please explain why.</w:t>
      </w:r>
    </w:p>
    <w:p w14:paraId="7211E8B4" w14:textId="77777777" w:rsidR="00D5365A" w:rsidRDefault="00D5365A" w:rsidP="00D5365A">
      <w:pPr>
        <w:rPr>
          <w:rFonts w:ascii="Arial" w:hAnsi="Arial" w:cs="Arial"/>
        </w:rPr>
      </w:pPr>
      <w:r>
        <w:rPr>
          <w:rFonts w:ascii="Arial" w:hAnsi="Arial" w:cs="Arial"/>
        </w:rPr>
        <w:t>&lt;ESMA_QUESTION_WPR_2&gt;</w:t>
      </w:r>
    </w:p>
    <w:p w14:paraId="4340CF6A" w14:textId="0A9285FD" w:rsidR="000F0F73" w:rsidRPr="0044160B" w:rsidRDefault="00DA6ECB" w:rsidP="00DA6ECB">
      <w:pPr>
        <w:jc w:val="both"/>
        <w:rPr>
          <w:rFonts w:ascii="Arial" w:hAnsi="Arial" w:cs="Arial"/>
        </w:rPr>
      </w:pPr>
      <w:bookmarkStart w:id="4" w:name="_Hlk26369148"/>
      <w:permStart w:id="9571458" w:edGrp="everyone"/>
      <w:r>
        <w:rPr>
          <w:rFonts w:ascii="Arial" w:hAnsi="Arial" w:cs="Arial"/>
        </w:rPr>
        <w:t>We agree</w:t>
      </w:r>
      <w:r w:rsidR="0044160B" w:rsidRPr="00B55BE9">
        <w:rPr>
          <w:rFonts w:ascii="Arial" w:hAnsi="Arial" w:cs="Arial"/>
        </w:rPr>
        <w:t xml:space="preserve"> with </w:t>
      </w:r>
      <w:r w:rsidR="00EF762A" w:rsidRPr="00082E34">
        <w:rPr>
          <w:rFonts w:ascii="Arial" w:hAnsi="Arial" w:cs="Arial"/>
          <w:color w:val="000000" w:themeColor="text1"/>
        </w:rPr>
        <w:t xml:space="preserve">applying </w:t>
      </w:r>
      <w:r w:rsidR="0044160B" w:rsidRPr="00082E34">
        <w:rPr>
          <w:rFonts w:ascii="Arial" w:hAnsi="Arial" w:cs="Arial"/>
          <w:color w:val="000000" w:themeColor="text1"/>
        </w:rPr>
        <w:t>the same rule to the same instrument</w:t>
      </w:r>
      <w:bookmarkEnd w:id="4"/>
      <w:r w:rsidR="00263FD3" w:rsidRPr="00082E34">
        <w:rPr>
          <w:rFonts w:ascii="Arial" w:hAnsi="Arial" w:cs="Arial"/>
          <w:color w:val="000000" w:themeColor="text1"/>
        </w:rPr>
        <w:t>s</w:t>
      </w:r>
      <w:r w:rsidR="00EF762A" w:rsidRPr="00082E34">
        <w:rPr>
          <w:rFonts w:ascii="Arial" w:hAnsi="Arial" w:cs="Arial"/>
          <w:color w:val="000000" w:themeColor="text1"/>
        </w:rPr>
        <w:t xml:space="preserve">, </w:t>
      </w:r>
      <w:r w:rsidR="0044160B" w:rsidRPr="00082E34">
        <w:rPr>
          <w:rFonts w:ascii="Arial" w:hAnsi="Arial" w:cs="Arial"/>
          <w:color w:val="000000" w:themeColor="text1"/>
        </w:rPr>
        <w:t>independently of the EU trading venue where those instruments are traded</w:t>
      </w:r>
      <w:r w:rsidR="00EF762A" w:rsidRPr="00082E34">
        <w:rPr>
          <w:rFonts w:ascii="Arial" w:hAnsi="Arial" w:cs="Arial"/>
          <w:color w:val="000000" w:themeColor="text1"/>
        </w:rPr>
        <w:t>, as</w:t>
      </w:r>
      <w:r w:rsidR="0044160B" w:rsidRPr="00082E34">
        <w:rPr>
          <w:rFonts w:ascii="Arial" w:hAnsi="Arial" w:cs="Arial"/>
          <w:color w:val="000000" w:themeColor="text1"/>
        </w:rPr>
        <w:t xml:space="preserve"> the logic for any such differentiation remains unclear and unjustified. </w:t>
      </w:r>
      <w:r w:rsidR="00EF762A" w:rsidRPr="00082E34">
        <w:rPr>
          <w:rFonts w:ascii="Arial" w:hAnsi="Arial" w:cs="Arial"/>
          <w:color w:val="000000" w:themeColor="text1"/>
        </w:rPr>
        <w:t>Therefore</w:t>
      </w:r>
      <w:r w:rsidR="00EF762A">
        <w:rPr>
          <w:rFonts w:ascii="Arial" w:hAnsi="Arial" w:cs="Arial"/>
        </w:rPr>
        <w:t>,</w:t>
      </w:r>
      <w:r w:rsidR="008C152B">
        <w:rPr>
          <w:rFonts w:ascii="Arial" w:hAnsi="Arial" w:cs="Arial"/>
        </w:rPr>
        <w:t xml:space="preserve"> the </w:t>
      </w:r>
      <w:proofErr w:type="gramStart"/>
      <w:r w:rsidR="008C152B">
        <w:rPr>
          <w:rFonts w:ascii="Arial" w:hAnsi="Arial" w:cs="Arial"/>
        </w:rPr>
        <w:t>C(</w:t>
      </w:r>
      <w:proofErr w:type="gramEnd"/>
      <w:r w:rsidR="008C152B">
        <w:rPr>
          <w:rFonts w:ascii="Arial" w:hAnsi="Arial" w:cs="Arial"/>
        </w:rPr>
        <w:t xml:space="preserve">6) carve-out rule should be reconsidered. </w:t>
      </w:r>
    </w:p>
    <w:permEnd w:id="9571458"/>
    <w:p w14:paraId="2861E529" w14:textId="77777777" w:rsidR="00D5365A" w:rsidRDefault="00D5365A" w:rsidP="00D5365A">
      <w:pPr>
        <w:rPr>
          <w:rFonts w:ascii="Arial" w:hAnsi="Arial" w:cs="Arial"/>
        </w:rPr>
      </w:pPr>
      <w:r>
        <w:rPr>
          <w:rFonts w:ascii="Arial" w:hAnsi="Arial" w:cs="Arial"/>
        </w:rPr>
        <w:t>&lt;ESMA_QUESTION_WPR_2&gt;</w:t>
      </w:r>
    </w:p>
    <w:p w14:paraId="4EA10C97" w14:textId="77777777" w:rsidR="00D5365A" w:rsidRDefault="00D5365A" w:rsidP="00D5365A">
      <w:pPr>
        <w:rPr>
          <w:rFonts w:ascii="Arial" w:hAnsi="Arial" w:cs="Arial"/>
        </w:rPr>
      </w:pPr>
    </w:p>
    <w:p w14:paraId="136CEDA0" w14:textId="77777777" w:rsidR="00D5365A" w:rsidRDefault="00D5365A" w:rsidP="00D5365A">
      <w:pPr>
        <w:pStyle w:val="Questionstyle"/>
        <w:numPr>
          <w:ilvl w:val="0"/>
          <w:numId w:val="17"/>
        </w:numPr>
        <w:spacing w:after="250" w:line="276" w:lineRule="auto"/>
        <w:rPr>
          <w:rFonts w:ascii="Arial" w:hAnsi="Arial" w:cs="Arial"/>
        </w:rPr>
      </w:pPr>
      <w:r>
        <w:t>: Do you agree that the position limit framework should not apply to securitised derivatives? If not, please explain why.</w:t>
      </w:r>
    </w:p>
    <w:p w14:paraId="54E4D4C3" w14:textId="77777777" w:rsidR="00D5365A" w:rsidRDefault="00D5365A" w:rsidP="00D5365A">
      <w:pPr>
        <w:rPr>
          <w:rFonts w:ascii="Arial" w:hAnsi="Arial" w:cs="Arial"/>
        </w:rPr>
      </w:pPr>
      <w:r>
        <w:rPr>
          <w:rFonts w:ascii="Arial" w:hAnsi="Arial" w:cs="Arial"/>
        </w:rPr>
        <w:t>&lt;ESMA_QUESTION_WPR_3&gt;</w:t>
      </w:r>
    </w:p>
    <w:p w14:paraId="7001693D" w14:textId="3C39BE1D" w:rsidR="00824F2C" w:rsidRPr="00824F2C" w:rsidRDefault="00EF762A" w:rsidP="00824F2C">
      <w:pPr>
        <w:jc w:val="both"/>
        <w:rPr>
          <w:rFonts w:ascii="Arial" w:hAnsi="Arial" w:cs="Arial"/>
        </w:rPr>
      </w:pPr>
      <w:permStart w:id="1356858699" w:edGrp="everyone"/>
      <w:r w:rsidRPr="00082E34">
        <w:rPr>
          <w:rFonts w:asciiTheme="minorHAnsi" w:hAnsiTheme="minorHAnsi" w:cstheme="minorHAnsi"/>
          <w:color w:val="000000" w:themeColor="text1"/>
          <w:szCs w:val="28"/>
          <w:lang w:val="en-US"/>
        </w:rPr>
        <w:t xml:space="preserve">We agree with ESMA analysis to exclude </w:t>
      </w:r>
      <w:proofErr w:type="spellStart"/>
      <w:r w:rsidRPr="00082E34">
        <w:rPr>
          <w:rFonts w:asciiTheme="minorHAnsi" w:hAnsiTheme="minorHAnsi" w:cstheme="minorHAnsi"/>
          <w:color w:val="000000" w:themeColor="text1"/>
          <w:szCs w:val="28"/>
          <w:lang w:val="en-US"/>
        </w:rPr>
        <w:t>securitised</w:t>
      </w:r>
      <w:proofErr w:type="spellEnd"/>
      <w:r w:rsidRPr="00082E34">
        <w:rPr>
          <w:rFonts w:asciiTheme="minorHAnsi" w:hAnsiTheme="minorHAnsi" w:cstheme="minorHAnsi"/>
          <w:color w:val="000000" w:themeColor="text1"/>
          <w:szCs w:val="28"/>
          <w:lang w:val="en-US"/>
        </w:rPr>
        <w:t xml:space="preserve"> derivatives </w:t>
      </w:r>
      <w:r w:rsidR="00824F2C" w:rsidRPr="00082E34">
        <w:rPr>
          <w:rFonts w:ascii="Arial" w:hAnsi="Arial" w:cs="Arial"/>
          <w:color w:val="000000" w:themeColor="text1"/>
        </w:rPr>
        <w:t>from the scope of position limits reporting.</w:t>
      </w:r>
      <w:r w:rsidRPr="00082E34">
        <w:rPr>
          <w:rFonts w:ascii="Arial" w:hAnsi="Arial" w:cs="Arial"/>
          <w:color w:val="000000" w:themeColor="text1"/>
        </w:rPr>
        <w:t xml:space="preserve"> </w:t>
      </w:r>
      <w:r w:rsidR="00824F2C" w:rsidRPr="00082E34">
        <w:rPr>
          <w:rFonts w:ascii="Arial" w:hAnsi="Arial" w:cs="Arial"/>
          <w:color w:val="000000" w:themeColor="text1"/>
        </w:rPr>
        <w:t xml:space="preserve">As outlined in </w:t>
      </w:r>
      <w:r w:rsidRPr="00082E34">
        <w:rPr>
          <w:rFonts w:ascii="Arial" w:hAnsi="Arial" w:cs="Arial"/>
          <w:color w:val="000000" w:themeColor="text1"/>
        </w:rPr>
        <w:t>our</w:t>
      </w:r>
      <w:r w:rsidR="00824F2C" w:rsidRPr="00082E34">
        <w:rPr>
          <w:rFonts w:ascii="Arial" w:hAnsi="Arial" w:cs="Arial"/>
          <w:color w:val="000000" w:themeColor="text1"/>
        </w:rPr>
        <w:t xml:space="preserve"> </w:t>
      </w:r>
      <w:r w:rsidRPr="00082E34">
        <w:rPr>
          <w:rFonts w:ascii="Arial" w:hAnsi="Arial" w:cs="Arial"/>
          <w:color w:val="000000" w:themeColor="text1"/>
        </w:rPr>
        <w:t>response</w:t>
      </w:r>
      <w:r w:rsidR="00824F2C" w:rsidRPr="00082E34">
        <w:rPr>
          <w:rFonts w:ascii="Arial" w:hAnsi="Arial" w:cs="Arial"/>
          <w:color w:val="000000" w:themeColor="text1"/>
        </w:rPr>
        <w:t xml:space="preserve"> to 24 May 2019 ESMA call for evidence on position limits and position management in commodities derivatives</w:t>
      </w:r>
      <w:r w:rsidRPr="00082E34">
        <w:rPr>
          <w:rFonts w:ascii="Arial" w:hAnsi="Arial" w:cs="Arial"/>
          <w:color w:val="000000" w:themeColor="text1"/>
        </w:rPr>
        <w:t>,</w:t>
      </w:r>
      <w:r w:rsidR="00824F2C" w:rsidRPr="00082E34">
        <w:rPr>
          <w:rFonts w:ascii="Arial" w:hAnsi="Arial" w:cs="Arial"/>
          <w:color w:val="000000" w:themeColor="text1"/>
        </w:rPr>
        <w:t xml:space="preserve"> and as reported in </w:t>
      </w:r>
      <w:r w:rsidRPr="00082E34">
        <w:rPr>
          <w:rFonts w:ascii="Arial" w:hAnsi="Arial" w:cs="Arial"/>
          <w:color w:val="000000" w:themeColor="text1"/>
        </w:rPr>
        <w:t>this</w:t>
      </w:r>
      <w:r w:rsidR="00824F2C" w:rsidRPr="00082E34">
        <w:rPr>
          <w:rFonts w:ascii="Arial" w:hAnsi="Arial" w:cs="Arial"/>
          <w:color w:val="000000" w:themeColor="text1"/>
        </w:rPr>
        <w:t xml:space="preserve"> consultation paper, the position limit framework fails to recognise the unique characteristics of securitised derivatives</w:t>
      </w:r>
      <w:r w:rsidRPr="00082E34">
        <w:rPr>
          <w:rFonts w:ascii="Arial" w:hAnsi="Arial" w:cs="Arial"/>
          <w:color w:val="000000" w:themeColor="text1"/>
        </w:rPr>
        <w:t>,</w:t>
      </w:r>
      <w:r w:rsidR="00824F2C" w:rsidRPr="00082E34">
        <w:rPr>
          <w:rFonts w:ascii="Arial" w:hAnsi="Arial" w:cs="Arial"/>
          <w:color w:val="000000" w:themeColor="text1"/>
        </w:rPr>
        <w:t xml:space="preserve"> compared to other commodity derivatives</w:t>
      </w:r>
      <w:r w:rsidRPr="00082E34">
        <w:rPr>
          <w:rFonts w:ascii="Arial" w:hAnsi="Arial" w:cs="Arial"/>
          <w:color w:val="000000" w:themeColor="text1"/>
        </w:rPr>
        <w:t>. T</w:t>
      </w:r>
      <w:r w:rsidR="00824F2C" w:rsidRPr="00082E34">
        <w:rPr>
          <w:rFonts w:ascii="Arial" w:hAnsi="Arial" w:cs="Arial"/>
          <w:color w:val="000000" w:themeColor="text1"/>
        </w:rPr>
        <w:t>herefore</w:t>
      </w:r>
      <w:r w:rsidRPr="00EF762A">
        <w:rPr>
          <w:rFonts w:ascii="Arial" w:hAnsi="Arial" w:cs="Arial"/>
          <w:color w:val="FF0000"/>
        </w:rPr>
        <w:t>,</w:t>
      </w:r>
      <w:r>
        <w:rPr>
          <w:rFonts w:ascii="Arial" w:hAnsi="Arial" w:cs="Arial"/>
        </w:rPr>
        <w:t xml:space="preserve"> </w:t>
      </w:r>
      <w:r w:rsidR="00824F2C" w:rsidRPr="00824F2C">
        <w:rPr>
          <w:rFonts w:ascii="Arial" w:hAnsi="Arial" w:cs="Arial"/>
        </w:rPr>
        <w:t>we support a legislative amendment to exclude securitised derivatives from the scope of the entire Title IV of the MiFID Directive.</w:t>
      </w:r>
    </w:p>
    <w:p w14:paraId="012F2EC4" w14:textId="77777777" w:rsidR="00824F2C" w:rsidRPr="00824F2C" w:rsidRDefault="00824F2C" w:rsidP="00824F2C">
      <w:pPr>
        <w:jc w:val="both"/>
        <w:rPr>
          <w:rFonts w:ascii="Arial" w:hAnsi="Arial" w:cs="Arial"/>
        </w:rPr>
      </w:pPr>
    </w:p>
    <w:p w14:paraId="0A21D45F" w14:textId="6CC47580" w:rsidR="00824F2C" w:rsidRPr="00082E34" w:rsidRDefault="00937119" w:rsidP="00824F2C">
      <w:pPr>
        <w:jc w:val="both"/>
        <w:rPr>
          <w:rFonts w:ascii="Arial" w:hAnsi="Arial" w:cs="Arial"/>
          <w:color w:val="000000" w:themeColor="text1"/>
        </w:rPr>
      </w:pPr>
      <w:r>
        <w:rPr>
          <w:rFonts w:ascii="Arial" w:hAnsi="Arial" w:cs="Arial"/>
        </w:rPr>
        <w:lastRenderedPageBreak/>
        <w:t>W</w:t>
      </w:r>
      <w:r w:rsidRPr="00824F2C">
        <w:rPr>
          <w:rFonts w:ascii="Arial" w:hAnsi="Arial" w:cs="Arial"/>
        </w:rPr>
        <w:t xml:space="preserve">e would like to highlight that not only the position limits </w:t>
      </w:r>
      <w:r>
        <w:rPr>
          <w:rFonts w:ascii="Arial" w:hAnsi="Arial" w:cs="Arial"/>
        </w:rPr>
        <w:t xml:space="preserve">regime </w:t>
      </w:r>
      <w:r w:rsidRPr="00824F2C">
        <w:rPr>
          <w:rFonts w:ascii="Arial" w:hAnsi="Arial" w:cs="Arial"/>
        </w:rPr>
        <w:t>is</w:t>
      </w:r>
      <w:r>
        <w:rPr>
          <w:rFonts w:ascii="Arial" w:hAnsi="Arial" w:cs="Arial"/>
        </w:rPr>
        <w:t xml:space="preserve"> </w:t>
      </w:r>
      <w:r w:rsidRPr="00824F2C">
        <w:rPr>
          <w:rFonts w:ascii="Arial" w:hAnsi="Arial" w:cs="Arial"/>
        </w:rPr>
        <w:t>inappropriate for monitoring the SD markets</w:t>
      </w:r>
      <w:r w:rsidR="00EF762A" w:rsidRPr="00082E34">
        <w:rPr>
          <w:rFonts w:ascii="Arial" w:hAnsi="Arial" w:cs="Arial"/>
          <w:color w:val="000000" w:themeColor="text1"/>
        </w:rPr>
        <w:t xml:space="preserve">, </w:t>
      </w:r>
      <w:r w:rsidRPr="00937119">
        <w:rPr>
          <w:rFonts w:ascii="Arial" w:hAnsi="Arial" w:cs="Arial"/>
        </w:rPr>
        <w:t xml:space="preserve">but we also </w:t>
      </w:r>
      <w:r>
        <w:rPr>
          <w:rFonts w:ascii="Arial" w:hAnsi="Arial" w:cs="Arial"/>
        </w:rPr>
        <w:t xml:space="preserve">have </w:t>
      </w:r>
      <w:proofErr w:type="spellStart"/>
      <w:r>
        <w:rPr>
          <w:rFonts w:ascii="Arial" w:hAnsi="Arial" w:cs="Arial"/>
        </w:rPr>
        <w:t>exeperinced</w:t>
      </w:r>
      <w:proofErr w:type="spellEnd"/>
      <w:r>
        <w:rPr>
          <w:rFonts w:ascii="Arial" w:hAnsi="Arial" w:cs="Arial"/>
        </w:rPr>
        <w:t xml:space="preserve"> </w:t>
      </w:r>
      <w:r w:rsidRPr="00937119">
        <w:rPr>
          <w:rFonts w:ascii="Arial" w:hAnsi="Arial" w:cs="Arial"/>
        </w:rPr>
        <w:t>tha</w:t>
      </w:r>
      <w:r>
        <w:rPr>
          <w:rFonts w:ascii="Arial" w:hAnsi="Arial" w:cs="Arial"/>
        </w:rPr>
        <w:t xml:space="preserve">t </w:t>
      </w:r>
      <w:r w:rsidR="00824F2C" w:rsidRPr="00082E34">
        <w:rPr>
          <w:rFonts w:ascii="Arial" w:hAnsi="Arial" w:cs="Arial"/>
          <w:color w:val="000000" w:themeColor="text1"/>
        </w:rPr>
        <w:t xml:space="preserve">the duties to report </w:t>
      </w:r>
      <w:r>
        <w:rPr>
          <w:rFonts w:ascii="Arial" w:hAnsi="Arial" w:cs="Arial"/>
          <w:color w:val="000000" w:themeColor="text1"/>
        </w:rPr>
        <w:t xml:space="preserve">the </w:t>
      </w:r>
      <w:r w:rsidR="00824F2C" w:rsidRPr="00082E34">
        <w:rPr>
          <w:rFonts w:ascii="Arial" w:hAnsi="Arial" w:cs="Arial"/>
          <w:color w:val="000000" w:themeColor="text1"/>
        </w:rPr>
        <w:t xml:space="preserve">positions according to article 58 of MiFID </w:t>
      </w:r>
      <w:r w:rsidR="00EF762A" w:rsidRPr="00082E34">
        <w:rPr>
          <w:rFonts w:ascii="Arial" w:hAnsi="Arial" w:cs="Arial"/>
          <w:color w:val="000000" w:themeColor="text1"/>
        </w:rPr>
        <w:t>should</w:t>
      </w:r>
      <w:r w:rsidR="00824F2C" w:rsidRPr="00082E34">
        <w:rPr>
          <w:rFonts w:ascii="Arial" w:hAnsi="Arial" w:cs="Arial"/>
          <w:color w:val="000000" w:themeColor="text1"/>
        </w:rPr>
        <w:t xml:space="preserve"> be waived, given that both position limits thresholds and the relevant reporting activity represent a unique set of rules with a unique purpose.</w:t>
      </w:r>
    </w:p>
    <w:p w14:paraId="4EDCF8B5" w14:textId="77777777" w:rsidR="00824F2C" w:rsidRPr="00082E34" w:rsidRDefault="00824F2C" w:rsidP="00824F2C">
      <w:pPr>
        <w:jc w:val="both"/>
        <w:rPr>
          <w:rFonts w:ascii="Arial" w:hAnsi="Arial" w:cs="Arial"/>
          <w:color w:val="000000" w:themeColor="text1"/>
        </w:rPr>
      </w:pPr>
    </w:p>
    <w:p w14:paraId="014232D2" w14:textId="62179E79" w:rsidR="000F0F73" w:rsidRPr="00AF72C0" w:rsidRDefault="00937119" w:rsidP="00EF762A">
      <w:pPr>
        <w:jc w:val="both"/>
        <w:rPr>
          <w:rFonts w:ascii="Arial" w:hAnsi="Arial" w:cs="Arial"/>
        </w:rPr>
      </w:pPr>
      <w:proofErr w:type="gramStart"/>
      <w:r>
        <w:rPr>
          <w:rFonts w:ascii="Arial" w:hAnsi="Arial" w:cs="Arial"/>
          <w:color w:val="000000" w:themeColor="text1"/>
        </w:rPr>
        <w:t>In particular, w</w:t>
      </w:r>
      <w:r w:rsidR="00EF762A" w:rsidRPr="00082E34">
        <w:rPr>
          <w:rFonts w:ascii="Arial" w:hAnsi="Arial" w:cs="Arial"/>
          <w:color w:val="000000" w:themeColor="text1"/>
        </w:rPr>
        <w:t>e</w:t>
      </w:r>
      <w:proofErr w:type="gramEnd"/>
      <w:r w:rsidR="00EF762A" w:rsidRPr="00082E34">
        <w:rPr>
          <w:rFonts w:ascii="Arial" w:hAnsi="Arial" w:cs="Arial"/>
          <w:color w:val="000000" w:themeColor="text1"/>
        </w:rPr>
        <w:t xml:space="preserve"> </w:t>
      </w:r>
      <w:r w:rsidR="00824F2C" w:rsidRPr="00082E34">
        <w:rPr>
          <w:rFonts w:ascii="Arial" w:hAnsi="Arial" w:cs="Arial"/>
          <w:color w:val="000000" w:themeColor="text1"/>
        </w:rPr>
        <w:t>share ESMA</w:t>
      </w:r>
      <w:r w:rsidR="00EF762A" w:rsidRPr="00082E34">
        <w:rPr>
          <w:rFonts w:ascii="Arial" w:hAnsi="Arial" w:cs="Arial"/>
          <w:color w:val="000000" w:themeColor="text1"/>
        </w:rPr>
        <w:t>’s</w:t>
      </w:r>
      <w:r w:rsidR="00824F2C" w:rsidRPr="00082E34">
        <w:rPr>
          <w:rFonts w:ascii="Arial" w:hAnsi="Arial" w:cs="Arial"/>
          <w:color w:val="000000" w:themeColor="text1"/>
        </w:rPr>
        <w:t xml:space="preserve"> view that </w:t>
      </w:r>
      <w:r w:rsidRPr="00824F2C">
        <w:rPr>
          <w:rFonts w:ascii="Arial" w:hAnsi="Arial" w:cs="Arial"/>
        </w:rPr>
        <w:t xml:space="preserve">the characteristics of the securitised derivatives market are such </w:t>
      </w:r>
      <w:r>
        <w:rPr>
          <w:rFonts w:ascii="Arial" w:hAnsi="Arial" w:cs="Arial"/>
        </w:rPr>
        <w:t xml:space="preserve">that </w:t>
      </w:r>
      <w:r w:rsidR="00824F2C" w:rsidRPr="00082E34">
        <w:rPr>
          <w:rFonts w:ascii="Arial" w:hAnsi="Arial" w:cs="Arial"/>
          <w:color w:val="000000" w:themeColor="text1"/>
        </w:rPr>
        <w:t xml:space="preserve">a large number of products is held by a large number of retail investors, making </w:t>
      </w:r>
      <w:r>
        <w:rPr>
          <w:rFonts w:ascii="Arial" w:hAnsi="Arial" w:cs="Arial"/>
          <w:color w:val="000000" w:themeColor="text1"/>
        </w:rPr>
        <w:t xml:space="preserve">the </w:t>
      </w:r>
      <w:r w:rsidR="00824F2C" w:rsidRPr="00082E34">
        <w:rPr>
          <w:rFonts w:ascii="Arial" w:hAnsi="Arial" w:cs="Arial"/>
          <w:color w:val="000000" w:themeColor="text1"/>
        </w:rPr>
        <w:t xml:space="preserve">reporting a burdensome activity for market participants, with </w:t>
      </w:r>
      <w:r w:rsidR="00EF762A" w:rsidRPr="00082E34">
        <w:rPr>
          <w:rFonts w:ascii="Arial" w:hAnsi="Arial" w:cs="Arial"/>
          <w:color w:val="000000" w:themeColor="text1"/>
        </w:rPr>
        <w:t>a</w:t>
      </w:r>
      <w:r w:rsidR="00824F2C" w:rsidRPr="00082E34">
        <w:rPr>
          <w:rFonts w:ascii="Arial" w:hAnsi="Arial" w:cs="Arial"/>
          <w:color w:val="000000" w:themeColor="text1"/>
        </w:rPr>
        <w:t xml:space="preserve"> li</w:t>
      </w:r>
      <w:r w:rsidR="00824F2C" w:rsidRPr="00824F2C">
        <w:rPr>
          <w:rFonts w:ascii="Arial" w:hAnsi="Arial" w:cs="Arial"/>
        </w:rPr>
        <w:t>mited value for monitoring purposes.</w:t>
      </w:r>
    </w:p>
    <w:permEnd w:id="1356858699"/>
    <w:p w14:paraId="63A45277" w14:textId="77777777" w:rsidR="00D5365A" w:rsidRDefault="00D5365A" w:rsidP="00D5365A">
      <w:pPr>
        <w:rPr>
          <w:rFonts w:ascii="Arial" w:hAnsi="Arial" w:cs="Arial"/>
        </w:rPr>
      </w:pPr>
      <w:r>
        <w:rPr>
          <w:rFonts w:ascii="Arial" w:hAnsi="Arial" w:cs="Arial"/>
        </w:rPr>
        <w:t>&lt;ESMA_QUESTION_WPR_3&gt;</w:t>
      </w:r>
    </w:p>
    <w:p w14:paraId="31FC9791" w14:textId="77777777" w:rsidR="00D5365A" w:rsidRDefault="00D5365A" w:rsidP="00D5365A">
      <w:pPr>
        <w:rPr>
          <w:rFonts w:ascii="Arial" w:hAnsi="Arial" w:cs="Arial"/>
        </w:rPr>
      </w:pPr>
    </w:p>
    <w:p w14:paraId="424F700A" w14:textId="77777777" w:rsidR="00D5365A" w:rsidRDefault="00D5365A" w:rsidP="00D5365A">
      <w:pPr>
        <w:pStyle w:val="Questionstyle"/>
        <w:numPr>
          <w:ilvl w:val="0"/>
          <w:numId w:val="17"/>
        </w:numPr>
        <w:spacing w:after="250" w:line="276" w:lineRule="auto"/>
        <w:rPr>
          <w:rFonts w:ascii="Arial" w:hAnsi="Arial" w:cs="Arial"/>
        </w:rPr>
      </w:pPr>
      <w:r>
        <w:t xml:space="preserve">: Which option do you support to address the negative impact of position limits on new and illiquid commodity derivatives: Option 1 or Option 2? Please explain why. If you support another alternative, please explain which one and why. </w:t>
      </w:r>
    </w:p>
    <w:p w14:paraId="7C8A0BB7" w14:textId="77777777" w:rsidR="00D5365A" w:rsidRDefault="00D5365A" w:rsidP="00D5365A">
      <w:pPr>
        <w:rPr>
          <w:rFonts w:ascii="Arial" w:hAnsi="Arial" w:cs="Arial"/>
        </w:rPr>
      </w:pPr>
      <w:r>
        <w:rPr>
          <w:rFonts w:ascii="Arial" w:hAnsi="Arial" w:cs="Arial"/>
        </w:rPr>
        <w:t>&lt;ESMA_QUESTION_WPR_4&gt;</w:t>
      </w:r>
    </w:p>
    <w:p w14:paraId="614EF68D" w14:textId="23D44204" w:rsidR="00CF75B5" w:rsidRDefault="00101D27" w:rsidP="00CF75B5">
      <w:pPr>
        <w:jc w:val="both"/>
        <w:rPr>
          <w:rFonts w:ascii="Arial" w:hAnsi="Arial" w:cs="Arial"/>
        </w:rPr>
      </w:pPr>
      <w:permStart w:id="701525206" w:edGrp="everyone"/>
      <w:r w:rsidRPr="00E75921">
        <w:rPr>
          <w:rFonts w:ascii="Arial" w:hAnsi="Arial" w:cs="Arial"/>
          <w:color w:val="000000" w:themeColor="text1"/>
        </w:rPr>
        <w:t xml:space="preserve">We prefer Option 1 to address the negative impact of position limits on new and illiquid commodity derivatives. </w:t>
      </w:r>
      <w:r w:rsidR="00E75921" w:rsidRPr="00E75921">
        <w:rPr>
          <w:rFonts w:ascii="Arial" w:hAnsi="Arial" w:cs="Arial"/>
          <w:color w:val="000000" w:themeColor="text1"/>
          <w:highlight w:val="yellow"/>
        </w:rPr>
        <w:t>I</w:t>
      </w:r>
      <w:r w:rsidR="00CF75B5" w:rsidRPr="00E75921">
        <w:rPr>
          <w:rFonts w:ascii="Arial" w:hAnsi="Arial" w:cs="Arial"/>
          <w:color w:val="000000" w:themeColor="text1"/>
          <w:highlight w:val="yellow"/>
        </w:rPr>
        <w:t>dentify</w:t>
      </w:r>
      <w:r w:rsidRPr="00E75921">
        <w:rPr>
          <w:rFonts w:ascii="Arial" w:hAnsi="Arial" w:cs="Arial"/>
          <w:color w:val="000000" w:themeColor="text1"/>
          <w:highlight w:val="yellow"/>
        </w:rPr>
        <w:t>ing</w:t>
      </w:r>
      <w:r w:rsidR="00CF75B5" w:rsidRPr="00E75921">
        <w:rPr>
          <w:rFonts w:ascii="Arial" w:hAnsi="Arial" w:cs="Arial"/>
          <w:color w:val="000000" w:themeColor="text1"/>
        </w:rPr>
        <w:t xml:space="preserve"> </w:t>
      </w:r>
      <w:r w:rsidR="00CF75B5">
        <w:rPr>
          <w:rFonts w:ascii="Arial" w:hAnsi="Arial" w:cs="Arial"/>
        </w:rPr>
        <w:t>the critical commodity derivatives</w:t>
      </w:r>
      <w:r>
        <w:rPr>
          <w:rFonts w:ascii="Arial" w:hAnsi="Arial" w:cs="Arial"/>
        </w:rPr>
        <w:t xml:space="preserve"> </w:t>
      </w:r>
      <w:r w:rsidR="00CF75B5">
        <w:rPr>
          <w:rFonts w:ascii="Arial" w:hAnsi="Arial" w:cs="Arial"/>
        </w:rPr>
        <w:t xml:space="preserve">would provide </w:t>
      </w:r>
      <w:proofErr w:type="gramStart"/>
      <w:r w:rsidR="00CF75B5">
        <w:rPr>
          <w:rFonts w:ascii="Arial" w:hAnsi="Arial" w:cs="Arial"/>
        </w:rPr>
        <w:t>a number of</w:t>
      </w:r>
      <w:proofErr w:type="gramEnd"/>
      <w:r w:rsidR="00CF75B5">
        <w:rPr>
          <w:rFonts w:ascii="Arial" w:hAnsi="Arial" w:cs="Arial"/>
        </w:rPr>
        <w:t xml:space="preserve"> benefits</w:t>
      </w:r>
      <w:r w:rsidR="00AE1651">
        <w:rPr>
          <w:rFonts w:ascii="Arial" w:hAnsi="Arial" w:cs="Arial"/>
        </w:rPr>
        <w:t>.</w:t>
      </w:r>
      <w:r w:rsidR="00CF75B5" w:rsidRPr="000F0F73">
        <w:rPr>
          <w:rFonts w:ascii="Arial" w:hAnsi="Arial" w:cs="Arial"/>
        </w:rPr>
        <w:t xml:space="preserve"> </w:t>
      </w:r>
    </w:p>
    <w:p w14:paraId="2D556D4B" w14:textId="77777777" w:rsidR="00CF75B5" w:rsidRDefault="00CF75B5" w:rsidP="00CF75B5">
      <w:pPr>
        <w:jc w:val="both"/>
        <w:rPr>
          <w:rFonts w:ascii="Arial" w:hAnsi="Arial" w:cs="Arial"/>
        </w:rPr>
      </w:pPr>
    </w:p>
    <w:p w14:paraId="09190FAA" w14:textId="6AD9CF28" w:rsidR="000F0F73" w:rsidRPr="00082E34" w:rsidRDefault="006B7F9C" w:rsidP="000F0F73">
      <w:pPr>
        <w:jc w:val="both"/>
        <w:rPr>
          <w:rFonts w:ascii="Arial" w:hAnsi="Arial" w:cs="Arial"/>
          <w:color w:val="000000" w:themeColor="text1"/>
        </w:rPr>
      </w:pPr>
      <w:r>
        <w:rPr>
          <w:rFonts w:ascii="Arial" w:hAnsi="Arial" w:cs="Arial"/>
        </w:rPr>
        <w:t>First, it</w:t>
      </w:r>
      <w:r w:rsidR="001D6E2E">
        <w:rPr>
          <w:rFonts w:ascii="Arial" w:hAnsi="Arial" w:cs="Arial"/>
        </w:rPr>
        <w:t xml:space="preserve"> will </w:t>
      </w:r>
      <w:r w:rsidR="000F0F73" w:rsidRPr="000F0F73">
        <w:rPr>
          <w:rFonts w:ascii="Arial" w:hAnsi="Arial" w:cs="Arial"/>
        </w:rPr>
        <w:t>reduce the number of CDs subject to position limit</w:t>
      </w:r>
      <w:r w:rsidR="00933E0D">
        <w:rPr>
          <w:rFonts w:ascii="Arial" w:hAnsi="Arial" w:cs="Arial"/>
        </w:rPr>
        <w:t>s</w:t>
      </w:r>
      <w:r w:rsidR="000F0F73" w:rsidRPr="000F0F73">
        <w:rPr>
          <w:rFonts w:ascii="Arial" w:hAnsi="Arial" w:cs="Arial"/>
        </w:rPr>
        <w:t xml:space="preserve"> </w:t>
      </w:r>
      <w:r w:rsidR="000F0F73" w:rsidRPr="00082E34">
        <w:rPr>
          <w:rFonts w:ascii="Arial" w:hAnsi="Arial" w:cs="Arial"/>
          <w:color w:val="000000" w:themeColor="text1"/>
        </w:rPr>
        <w:t>discipline</w:t>
      </w:r>
      <w:r w:rsidR="00101D27" w:rsidRPr="00082E34">
        <w:rPr>
          <w:rFonts w:ascii="Arial" w:hAnsi="Arial" w:cs="Arial"/>
          <w:color w:val="000000" w:themeColor="text1"/>
        </w:rPr>
        <w:t>,</w:t>
      </w:r>
      <w:r w:rsidR="000F0F73" w:rsidRPr="00082E34">
        <w:rPr>
          <w:rFonts w:ascii="Arial" w:hAnsi="Arial" w:cs="Arial"/>
          <w:color w:val="000000" w:themeColor="text1"/>
        </w:rPr>
        <w:t xml:space="preserve"> </w:t>
      </w:r>
      <w:r w:rsidR="001D6E2E" w:rsidRPr="00082E34">
        <w:rPr>
          <w:rFonts w:ascii="Arial" w:hAnsi="Arial" w:cs="Arial"/>
          <w:color w:val="000000" w:themeColor="text1"/>
        </w:rPr>
        <w:t>indirectly limiting the impact of such discipline on new and illiquid contracts</w:t>
      </w:r>
      <w:r w:rsidR="000F0F73" w:rsidRPr="00082E34">
        <w:rPr>
          <w:rFonts w:ascii="Arial" w:hAnsi="Arial" w:cs="Arial"/>
          <w:color w:val="000000" w:themeColor="text1"/>
        </w:rPr>
        <w:t xml:space="preserve">. </w:t>
      </w:r>
      <w:r w:rsidR="00101D27" w:rsidRPr="00082E34">
        <w:rPr>
          <w:rFonts w:ascii="Arial" w:hAnsi="Arial" w:cs="Arial"/>
          <w:color w:val="000000" w:themeColor="text1"/>
        </w:rPr>
        <w:t>T</w:t>
      </w:r>
      <w:r w:rsidR="000F0F73" w:rsidRPr="00082E34">
        <w:rPr>
          <w:rFonts w:ascii="Arial" w:hAnsi="Arial" w:cs="Arial"/>
          <w:color w:val="000000" w:themeColor="text1"/>
        </w:rPr>
        <w:t xml:space="preserve">his approach </w:t>
      </w:r>
      <w:r w:rsidR="00CF75B5" w:rsidRPr="00082E34">
        <w:rPr>
          <w:rFonts w:ascii="Arial" w:hAnsi="Arial" w:cs="Arial"/>
          <w:color w:val="000000" w:themeColor="text1"/>
        </w:rPr>
        <w:t>would be</w:t>
      </w:r>
      <w:r w:rsidR="000F0F73" w:rsidRPr="00082E34">
        <w:rPr>
          <w:rFonts w:ascii="Arial" w:hAnsi="Arial" w:cs="Arial"/>
          <w:color w:val="000000" w:themeColor="text1"/>
        </w:rPr>
        <w:t xml:space="preserve"> more consistent with the US market</w:t>
      </w:r>
      <w:r w:rsidRPr="00082E34">
        <w:rPr>
          <w:rFonts w:ascii="Arial" w:hAnsi="Arial" w:cs="Arial"/>
          <w:color w:val="000000" w:themeColor="text1"/>
        </w:rPr>
        <w:t>,</w:t>
      </w:r>
      <w:r w:rsidR="000F0F73" w:rsidRPr="00082E34">
        <w:rPr>
          <w:rFonts w:ascii="Arial" w:hAnsi="Arial" w:cs="Arial"/>
          <w:color w:val="000000" w:themeColor="text1"/>
        </w:rPr>
        <w:t xml:space="preserve"> </w:t>
      </w:r>
      <w:r w:rsidR="001D6E2E" w:rsidRPr="00082E34">
        <w:rPr>
          <w:rFonts w:ascii="Arial" w:hAnsi="Arial" w:cs="Arial"/>
          <w:color w:val="000000" w:themeColor="text1"/>
        </w:rPr>
        <w:t xml:space="preserve">where position limits apply to a </w:t>
      </w:r>
      <w:proofErr w:type="gramStart"/>
      <w:r w:rsidR="001D6E2E" w:rsidRPr="00082E34">
        <w:rPr>
          <w:rFonts w:ascii="Arial" w:hAnsi="Arial" w:cs="Arial"/>
          <w:color w:val="000000" w:themeColor="text1"/>
        </w:rPr>
        <w:t>limited set commodities</w:t>
      </w:r>
      <w:proofErr w:type="gramEnd"/>
      <w:r w:rsidR="00101D27" w:rsidRPr="00082E34">
        <w:rPr>
          <w:rFonts w:ascii="Arial" w:hAnsi="Arial" w:cs="Arial"/>
          <w:color w:val="000000" w:themeColor="text1"/>
        </w:rPr>
        <w:t>, thereby</w:t>
      </w:r>
      <w:r w:rsidR="000F0F73" w:rsidRPr="00082E34">
        <w:rPr>
          <w:rFonts w:ascii="Arial" w:hAnsi="Arial" w:cs="Arial"/>
          <w:color w:val="000000" w:themeColor="text1"/>
        </w:rPr>
        <w:t xml:space="preserve"> avoid</w:t>
      </w:r>
      <w:r w:rsidR="00101D27" w:rsidRPr="00082E34">
        <w:rPr>
          <w:rFonts w:ascii="Arial" w:hAnsi="Arial" w:cs="Arial"/>
          <w:color w:val="000000" w:themeColor="text1"/>
        </w:rPr>
        <w:t>ing</w:t>
      </w:r>
      <w:r w:rsidR="000F0F73" w:rsidRPr="00082E34">
        <w:rPr>
          <w:rFonts w:ascii="Arial" w:hAnsi="Arial" w:cs="Arial"/>
          <w:color w:val="000000" w:themeColor="text1"/>
        </w:rPr>
        <w:t xml:space="preserve"> regulatory arbitrage between the US and EU markets. </w:t>
      </w:r>
    </w:p>
    <w:p w14:paraId="217A9A65" w14:textId="77777777" w:rsidR="000F0F73" w:rsidRDefault="000F0F73" w:rsidP="000F0F73">
      <w:pPr>
        <w:jc w:val="both"/>
        <w:rPr>
          <w:rFonts w:ascii="Arial" w:hAnsi="Arial" w:cs="Arial"/>
        </w:rPr>
      </w:pPr>
    </w:p>
    <w:p w14:paraId="7781D08C" w14:textId="5149318D" w:rsidR="009C7A9B" w:rsidRDefault="00522440" w:rsidP="000F0F73">
      <w:pPr>
        <w:jc w:val="both"/>
        <w:rPr>
          <w:rFonts w:ascii="Arial" w:hAnsi="Arial" w:cs="Arial"/>
        </w:rPr>
      </w:pPr>
      <w:r w:rsidRPr="00082E34">
        <w:rPr>
          <w:rFonts w:ascii="Arial" w:hAnsi="Arial" w:cs="Arial"/>
          <w:color w:val="000000" w:themeColor="text1"/>
        </w:rPr>
        <w:t>Regarding</w:t>
      </w:r>
      <w:r w:rsidR="009C7A9B" w:rsidRPr="00082E34">
        <w:rPr>
          <w:rFonts w:ascii="Arial" w:hAnsi="Arial" w:cs="Arial"/>
          <w:color w:val="000000" w:themeColor="text1"/>
        </w:rPr>
        <w:t xml:space="preserve"> the factors to be assessed for the </w:t>
      </w:r>
      <w:r w:rsidRPr="00082E34">
        <w:rPr>
          <w:rFonts w:ascii="Arial" w:hAnsi="Arial" w:cs="Arial"/>
          <w:color w:val="000000" w:themeColor="text1"/>
        </w:rPr>
        <w:t xml:space="preserve">purposes of </w:t>
      </w:r>
      <w:r w:rsidR="009C7A9B" w:rsidRPr="00082E34">
        <w:rPr>
          <w:rFonts w:ascii="Arial" w:hAnsi="Arial" w:cs="Arial"/>
          <w:color w:val="000000" w:themeColor="text1"/>
        </w:rPr>
        <w:t>identification of the critical contracts</w:t>
      </w:r>
      <w:r w:rsidR="00CF75B5" w:rsidRPr="00082E34">
        <w:rPr>
          <w:rFonts w:ascii="Arial" w:hAnsi="Arial" w:cs="Arial"/>
          <w:color w:val="000000" w:themeColor="text1"/>
        </w:rPr>
        <w:t xml:space="preserve">, the </w:t>
      </w:r>
      <w:r w:rsidR="009C7A9B" w:rsidRPr="00082E34">
        <w:rPr>
          <w:rFonts w:ascii="Arial" w:hAnsi="Arial" w:cs="Arial"/>
          <w:color w:val="000000" w:themeColor="text1"/>
        </w:rPr>
        <w:t>notion of market partic</w:t>
      </w:r>
      <w:r w:rsidR="00CF75B5" w:rsidRPr="00082E34">
        <w:rPr>
          <w:rFonts w:ascii="Arial" w:hAnsi="Arial" w:cs="Arial"/>
          <w:color w:val="000000" w:themeColor="text1"/>
        </w:rPr>
        <w:t>i</w:t>
      </w:r>
      <w:r w:rsidR="009C7A9B" w:rsidRPr="00082E34">
        <w:rPr>
          <w:rFonts w:ascii="Arial" w:hAnsi="Arial" w:cs="Arial"/>
          <w:color w:val="000000" w:themeColor="text1"/>
        </w:rPr>
        <w:t xml:space="preserve">pants </w:t>
      </w:r>
      <w:r w:rsidRPr="00082E34">
        <w:rPr>
          <w:rFonts w:ascii="Arial" w:hAnsi="Arial" w:cs="Arial"/>
          <w:color w:val="000000" w:themeColor="text1"/>
        </w:rPr>
        <w:t xml:space="preserve">should </w:t>
      </w:r>
      <w:r w:rsidR="00CF75B5">
        <w:rPr>
          <w:rFonts w:ascii="Arial" w:hAnsi="Arial" w:cs="Arial"/>
        </w:rPr>
        <w:t xml:space="preserve">not to be limited to the “market members” considering that the </w:t>
      </w:r>
      <w:r w:rsidR="009C7A9B">
        <w:rPr>
          <w:rFonts w:ascii="Arial" w:hAnsi="Arial" w:cs="Arial"/>
        </w:rPr>
        <w:t xml:space="preserve">effective </w:t>
      </w:r>
      <w:r w:rsidR="00CF75B5">
        <w:rPr>
          <w:rFonts w:ascii="Arial" w:hAnsi="Arial" w:cs="Arial"/>
        </w:rPr>
        <w:t xml:space="preserve">market </w:t>
      </w:r>
      <w:r w:rsidR="009C7A9B">
        <w:rPr>
          <w:rFonts w:ascii="Arial" w:hAnsi="Arial" w:cs="Arial"/>
        </w:rPr>
        <w:t>participants</w:t>
      </w:r>
      <w:r w:rsidR="00CF75B5">
        <w:rPr>
          <w:rFonts w:ascii="Arial" w:hAnsi="Arial" w:cs="Arial"/>
        </w:rPr>
        <w:t xml:space="preserve"> </w:t>
      </w:r>
      <w:r w:rsidR="009C7A9B">
        <w:rPr>
          <w:rFonts w:ascii="Arial" w:hAnsi="Arial" w:cs="Arial"/>
        </w:rPr>
        <w:t xml:space="preserve">in some </w:t>
      </w:r>
      <w:r w:rsidR="00CF75B5">
        <w:rPr>
          <w:rFonts w:ascii="Arial" w:hAnsi="Arial" w:cs="Arial"/>
        </w:rPr>
        <w:t xml:space="preserve">trading venues </w:t>
      </w:r>
      <w:r w:rsidR="009C7A9B">
        <w:rPr>
          <w:rFonts w:ascii="Arial" w:hAnsi="Arial" w:cs="Arial"/>
        </w:rPr>
        <w:t xml:space="preserve">operate thorough a broker. </w:t>
      </w:r>
    </w:p>
    <w:p w14:paraId="4A2A80D5" w14:textId="77777777" w:rsidR="009C7A9B" w:rsidRDefault="009C7A9B" w:rsidP="000F0F73">
      <w:pPr>
        <w:jc w:val="both"/>
        <w:rPr>
          <w:rFonts w:ascii="Arial" w:hAnsi="Arial" w:cs="Arial"/>
        </w:rPr>
      </w:pPr>
    </w:p>
    <w:p w14:paraId="5B9D5840" w14:textId="76EBBFE4" w:rsidR="009C7A9B" w:rsidRDefault="009C7A9B" w:rsidP="00FA29BA">
      <w:pPr>
        <w:jc w:val="both"/>
        <w:rPr>
          <w:rFonts w:ascii="Arial" w:hAnsi="Arial" w:cs="Arial"/>
        </w:rPr>
      </w:pPr>
      <w:r w:rsidRPr="009C7A9B">
        <w:rPr>
          <w:rFonts w:ascii="Arial" w:hAnsi="Arial" w:cs="Arial"/>
        </w:rPr>
        <w:t xml:space="preserve">In addition, Borsa Italiana has experienced </w:t>
      </w:r>
      <w:r w:rsidR="000F0F73" w:rsidRPr="000F0F73">
        <w:rPr>
          <w:rFonts w:ascii="Arial" w:hAnsi="Arial" w:cs="Arial"/>
        </w:rPr>
        <w:t>that</w:t>
      </w:r>
      <w:r>
        <w:rPr>
          <w:rFonts w:ascii="Arial" w:hAnsi="Arial" w:cs="Arial"/>
        </w:rPr>
        <w:t xml:space="preserve"> not only position limits but also </w:t>
      </w:r>
      <w:r w:rsidR="000F0F73" w:rsidRPr="00522440">
        <w:rPr>
          <w:rFonts w:ascii="Arial" w:hAnsi="Arial" w:cs="Arial"/>
        </w:rPr>
        <w:t>reporting obligations</w:t>
      </w:r>
      <w:r w:rsidR="000F0F73" w:rsidRPr="000F0F73">
        <w:rPr>
          <w:rFonts w:ascii="Arial" w:hAnsi="Arial" w:cs="Arial"/>
        </w:rPr>
        <w:t xml:space="preserve"> </w:t>
      </w:r>
      <w:r w:rsidR="00522440" w:rsidRPr="00082E34">
        <w:rPr>
          <w:rFonts w:ascii="Arial" w:hAnsi="Arial" w:cs="Arial"/>
          <w:color w:val="000000" w:themeColor="text1"/>
        </w:rPr>
        <w:t>represent</w:t>
      </w:r>
      <w:r w:rsidR="000F0F73" w:rsidRPr="00082E34">
        <w:rPr>
          <w:rFonts w:ascii="Arial" w:hAnsi="Arial" w:cs="Arial"/>
          <w:color w:val="000000" w:themeColor="text1"/>
        </w:rPr>
        <w:t xml:space="preserve"> </w:t>
      </w:r>
      <w:r w:rsidR="00522440" w:rsidRPr="00082E34">
        <w:rPr>
          <w:rFonts w:ascii="Arial" w:hAnsi="Arial" w:cs="Arial"/>
          <w:color w:val="000000" w:themeColor="text1"/>
        </w:rPr>
        <w:t xml:space="preserve">a </w:t>
      </w:r>
      <w:r w:rsidR="000F0F73" w:rsidRPr="00082E34">
        <w:rPr>
          <w:rFonts w:ascii="Arial" w:hAnsi="Arial" w:cs="Arial"/>
          <w:color w:val="000000" w:themeColor="text1"/>
        </w:rPr>
        <w:t xml:space="preserve">high cost of compliance and </w:t>
      </w:r>
      <w:r w:rsidR="00522440" w:rsidRPr="00082E34">
        <w:rPr>
          <w:rFonts w:ascii="Arial" w:hAnsi="Arial" w:cs="Arial"/>
          <w:color w:val="000000" w:themeColor="text1"/>
        </w:rPr>
        <w:t xml:space="preserve">an </w:t>
      </w:r>
      <w:r w:rsidR="000F0F73" w:rsidRPr="00082E34">
        <w:rPr>
          <w:rFonts w:ascii="Arial" w:hAnsi="Arial" w:cs="Arial"/>
          <w:color w:val="000000" w:themeColor="text1"/>
        </w:rPr>
        <w:t xml:space="preserve">operational burden </w:t>
      </w:r>
      <w:r w:rsidR="00DA661F" w:rsidRPr="00082E34">
        <w:rPr>
          <w:rFonts w:ascii="Arial" w:hAnsi="Arial" w:cs="Arial"/>
          <w:color w:val="000000" w:themeColor="text1"/>
        </w:rPr>
        <w:t xml:space="preserve">in new and illiquid markets, </w:t>
      </w:r>
      <w:r w:rsidR="00522440" w:rsidRPr="00082E34">
        <w:rPr>
          <w:rFonts w:ascii="Arial" w:hAnsi="Arial" w:cs="Arial"/>
          <w:color w:val="000000" w:themeColor="text1"/>
        </w:rPr>
        <w:t>which has</w:t>
      </w:r>
      <w:r w:rsidR="00DA661F" w:rsidRPr="00082E34">
        <w:rPr>
          <w:rFonts w:ascii="Arial" w:hAnsi="Arial" w:cs="Arial"/>
          <w:color w:val="000000" w:themeColor="text1"/>
        </w:rPr>
        <w:t xml:space="preserve"> resulted in a decrease of the number </w:t>
      </w:r>
      <w:r w:rsidRPr="00082E34">
        <w:rPr>
          <w:rFonts w:ascii="Arial" w:hAnsi="Arial" w:cs="Arial"/>
          <w:color w:val="000000" w:themeColor="text1"/>
        </w:rPr>
        <w:t xml:space="preserve">of market participants. </w:t>
      </w:r>
      <w:r w:rsidR="00522440" w:rsidRPr="00082E34">
        <w:rPr>
          <w:rFonts w:ascii="Arial" w:hAnsi="Arial" w:cs="Arial"/>
          <w:color w:val="000000" w:themeColor="text1"/>
        </w:rPr>
        <w:t>Therefore,</w:t>
      </w:r>
      <w:r w:rsidRPr="00082E34">
        <w:rPr>
          <w:rFonts w:ascii="Arial" w:hAnsi="Arial" w:cs="Arial"/>
          <w:color w:val="000000" w:themeColor="text1"/>
        </w:rPr>
        <w:t xml:space="preserve"> we do not share the ESMA</w:t>
      </w:r>
      <w:r w:rsidR="00522440" w:rsidRPr="00082E34">
        <w:rPr>
          <w:rFonts w:ascii="Arial" w:hAnsi="Arial" w:cs="Arial"/>
          <w:color w:val="000000" w:themeColor="text1"/>
        </w:rPr>
        <w:t>’s</w:t>
      </w:r>
      <w:r w:rsidRPr="00082E34">
        <w:rPr>
          <w:rFonts w:ascii="Arial" w:hAnsi="Arial" w:cs="Arial"/>
          <w:color w:val="000000" w:themeColor="text1"/>
        </w:rPr>
        <w:t xml:space="preserve"> view that</w:t>
      </w:r>
      <w:r w:rsidR="001F6DE1" w:rsidRPr="00082E34">
        <w:rPr>
          <w:rFonts w:ascii="Arial" w:hAnsi="Arial" w:cs="Arial"/>
          <w:color w:val="000000" w:themeColor="text1"/>
        </w:rPr>
        <w:t>,</w:t>
      </w:r>
      <w:r w:rsidRPr="00082E34">
        <w:rPr>
          <w:rFonts w:ascii="Arial" w:hAnsi="Arial" w:cs="Arial"/>
          <w:color w:val="000000" w:themeColor="text1"/>
        </w:rPr>
        <w:t xml:space="preserve"> also in </w:t>
      </w:r>
      <w:r w:rsidR="001F6DE1" w:rsidRPr="00082E34">
        <w:rPr>
          <w:rFonts w:ascii="Arial" w:hAnsi="Arial" w:cs="Arial"/>
          <w:color w:val="000000" w:themeColor="text1"/>
        </w:rPr>
        <w:t>a reduced position limits discipline, “</w:t>
      </w:r>
      <w:r w:rsidR="00DA661F" w:rsidRPr="00082E34">
        <w:rPr>
          <w:rFonts w:ascii="Arial" w:hAnsi="Arial" w:cs="Arial"/>
          <w:i/>
          <w:color w:val="000000" w:themeColor="text1"/>
        </w:rPr>
        <w:t>all commodity</w:t>
      </w:r>
      <w:r w:rsidRPr="00082E34">
        <w:rPr>
          <w:rFonts w:ascii="Arial" w:hAnsi="Arial" w:cs="Arial"/>
          <w:i/>
          <w:color w:val="000000" w:themeColor="text1"/>
        </w:rPr>
        <w:t xml:space="preserve"> deriva</w:t>
      </w:r>
      <w:r w:rsidRPr="001F6DE1">
        <w:rPr>
          <w:rFonts w:ascii="Arial" w:hAnsi="Arial" w:cs="Arial"/>
          <w:i/>
        </w:rPr>
        <w:t>tives and related EEOTC should continue to be subject to daily position reporting</w:t>
      </w:r>
      <w:r w:rsidR="001F6DE1">
        <w:rPr>
          <w:rFonts w:ascii="Arial" w:hAnsi="Arial" w:cs="Arial"/>
        </w:rPr>
        <w:t>”</w:t>
      </w:r>
      <w:r w:rsidR="00085955">
        <w:rPr>
          <w:rFonts w:ascii="Arial" w:hAnsi="Arial" w:cs="Arial"/>
        </w:rPr>
        <w:t>.</w:t>
      </w:r>
    </w:p>
    <w:p w14:paraId="3E4F662B" w14:textId="77777777" w:rsidR="009C7A9B" w:rsidRDefault="009C7A9B" w:rsidP="00FA29BA">
      <w:pPr>
        <w:jc w:val="both"/>
        <w:rPr>
          <w:rFonts w:ascii="Arial" w:hAnsi="Arial" w:cs="Arial"/>
        </w:rPr>
      </w:pPr>
    </w:p>
    <w:p w14:paraId="070F4E13" w14:textId="31D59A84" w:rsidR="001F6DE1" w:rsidRDefault="00522440" w:rsidP="00FA29BA">
      <w:pPr>
        <w:jc w:val="both"/>
        <w:rPr>
          <w:rFonts w:ascii="Arial" w:hAnsi="Arial" w:cs="Arial"/>
        </w:rPr>
      </w:pPr>
      <w:proofErr w:type="gramStart"/>
      <w:r w:rsidRPr="00082E34">
        <w:rPr>
          <w:rFonts w:ascii="Arial" w:hAnsi="Arial" w:cs="Arial"/>
          <w:color w:val="000000" w:themeColor="text1"/>
        </w:rPr>
        <w:t>In spite of the fact that</w:t>
      </w:r>
      <w:proofErr w:type="gramEnd"/>
      <w:r w:rsidRPr="00082E34">
        <w:rPr>
          <w:rFonts w:ascii="Arial" w:hAnsi="Arial" w:cs="Arial"/>
          <w:color w:val="000000" w:themeColor="text1"/>
        </w:rPr>
        <w:t xml:space="preserve"> we have</w:t>
      </w:r>
      <w:r w:rsidR="00DA661F" w:rsidRPr="00082E34">
        <w:rPr>
          <w:rFonts w:ascii="Arial" w:hAnsi="Arial" w:cs="Arial"/>
          <w:color w:val="000000" w:themeColor="text1"/>
        </w:rPr>
        <w:t xml:space="preserve"> implemented an </w:t>
      </w:r>
      <w:r w:rsidR="000F0F73" w:rsidRPr="00082E34">
        <w:rPr>
          <w:rFonts w:ascii="Arial" w:hAnsi="Arial" w:cs="Arial"/>
          <w:color w:val="000000" w:themeColor="text1"/>
        </w:rPr>
        <w:t>integrated and user-friendly system</w:t>
      </w:r>
      <w:r w:rsidR="00933E0D" w:rsidRPr="00082E34">
        <w:rPr>
          <w:rFonts w:ascii="Arial" w:hAnsi="Arial" w:cs="Arial"/>
          <w:color w:val="000000" w:themeColor="text1"/>
        </w:rPr>
        <w:t>s</w:t>
      </w:r>
      <w:r w:rsidR="000F0F73" w:rsidRPr="00082E34">
        <w:rPr>
          <w:rFonts w:ascii="Arial" w:hAnsi="Arial" w:cs="Arial"/>
          <w:color w:val="000000" w:themeColor="text1"/>
        </w:rPr>
        <w:t xml:space="preserve"> </w:t>
      </w:r>
      <w:r w:rsidR="00933E0D" w:rsidRPr="00082E34">
        <w:rPr>
          <w:rFonts w:ascii="Arial" w:hAnsi="Arial" w:cs="Arial"/>
          <w:color w:val="000000" w:themeColor="text1"/>
        </w:rPr>
        <w:t xml:space="preserve">to </w:t>
      </w:r>
      <w:proofErr w:type="spellStart"/>
      <w:r w:rsidR="00933E0D" w:rsidRPr="00082E34">
        <w:rPr>
          <w:rFonts w:ascii="Arial" w:hAnsi="Arial" w:cs="Arial"/>
          <w:color w:val="000000" w:themeColor="text1"/>
        </w:rPr>
        <w:t>faciliatate</w:t>
      </w:r>
      <w:proofErr w:type="spellEnd"/>
      <w:r w:rsidR="00933E0D" w:rsidRPr="00082E34">
        <w:rPr>
          <w:rFonts w:ascii="Arial" w:hAnsi="Arial" w:cs="Arial"/>
          <w:color w:val="000000" w:themeColor="text1"/>
        </w:rPr>
        <w:t xml:space="preserve"> </w:t>
      </w:r>
      <w:r w:rsidR="00DA661F" w:rsidRPr="00082E34">
        <w:rPr>
          <w:rFonts w:ascii="Arial" w:hAnsi="Arial" w:cs="Arial"/>
          <w:color w:val="000000" w:themeColor="text1"/>
        </w:rPr>
        <w:t>position reporting</w:t>
      </w:r>
      <w:r w:rsidR="00F91144" w:rsidRPr="00082E34">
        <w:rPr>
          <w:rFonts w:ascii="Arial" w:hAnsi="Arial" w:cs="Arial"/>
          <w:color w:val="000000" w:themeColor="text1"/>
        </w:rPr>
        <w:t>,</w:t>
      </w:r>
      <w:r w:rsidR="001F6DE1" w:rsidRPr="00082E34">
        <w:rPr>
          <w:rFonts w:ascii="Arial" w:hAnsi="Arial" w:cs="Arial"/>
          <w:color w:val="000000" w:themeColor="text1"/>
        </w:rPr>
        <w:t xml:space="preserve"> we believe that </w:t>
      </w:r>
      <w:r w:rsidR="00DA661F" w:rsidRPr="00082E34">
        <w:rPr>
          <w:rFonts w:ascii="Arial" w:hAnsi="Arial" w:cs="Arial"/>
          <w:color w:val="000000" w:themeColor="text1"/>
        </w:rPr>
        <w:t>only</w:t>
      </w:r>
      <w:r w:rsidR="001F6DE1" w:rsidRPr="00082E34">
        <w:rPr>
          <w:rFonts w:ascii="Arial" w:hAnsi="Arial" w:cs="Arial"/>
          <w:color w:val="000000" w:themeColor="text1"/>
        </w:rPr>
        <w:t xml:space="preserve"> the information needed for supervisory purposes </w:t>
      </w:r>
      <w:r w:rsidRPr="00082E34">
        <w:rPr>
          <w:rFonts w:ascii="Arial" w:hAnsi="Arial" w:cs="Arial"/>
          <w:color w:val="000000" w:themeColor="text1"/>
        </w:rPr>
        <w:t>should</w:t>
      </w:r>
      <w:r w:rsidR="001F6DE1" w:rsidRPr="00082E34">
        <w:rPr>
          <w:rFonts w:ascii="Arial" w:hAnsi="Arial" w:cs="Arial"/>
          <w:color w:val="000000" w:themeColor="text1"/>
        </w:rPr>
        <w:t xml:space="preserve"> be reported and in absence of a position limits the position reporting does not fulfil suc</w:t>
      </w:r>
      <w:r w:rsidR="00F91144" w:rsidRPr="00082E34">
        <w:rPr>
          <w:rFonts w:ascii="Arial" w:hAnsi="Arial" w:cs="Arial"/>
          <w:color w:val="000000" w:themeColor="text1"/>
        </w:rPr>
        <w:t>h</w:t>
      </w:r>
      <w:r w:rsidR="001F6DE1" w:rsidRPr="00082E34">
        <w:rPr>
          <w:rFonts w:ascii="Arial" w:hAnsi="Arial" w:cs="Arial"/>
          <w:color w:val="000000" w:themeColor="text1"/>
        </w:rPr>
        <w:t xml:space="preserve"> requirement</w:t>
      </w:r>
      <w:r w:rsidR="000F0F73" w:rsidRPr="000F0F73">
        <w:rPr>
          <w:rFonts w:ascii="Arial" w:hAnsi="Arial" w:cs="Arial"/>
        </w:rPr>
        <w:t xml:space="preserve">. </w:t>
      </w:r>
    </w:p>
    <w:p w14:paraId="7132E932" w14:textId="77777777" w:rsidR="001F6DE1" w:rsidRDefault="001F6DE1" w:rsidP="00FA29BA">
      <w:pPr>
        <w:jc w:val="both"/>
        <w:rPr>
          <w:rFonts w:ascii="Arial" w:hAnsi="Arial" w:cs="Arial"/>
        </w:rPr>
      </w:pPr>
    </w:p>
    <w:p w14:paraId="464ADD7F" w14:textId="3F276492" w:rsidR="005C3348" w:rsidRPr="00E75921" w:rsidRDefault="00522440" w:rsidP="00FA29BA">
      <w:pPr>
        <w:jc w:val="both"/>
        <w:rPr>
          <w:rFonts w:ascii="Arial" w:hAnsi="Arial" w:cs="Arial"/>
          <w:color w:val="000000" w:themeColor="text1"/>
        </w:rPr>
      </w:pPr>
      <w:r w:rsidRPr="00082E34">
        <w:rPr>
          <w:rFonts w:ascii="Arial" w:hAnsi="Arial" w:cs="Arial"/>
          <w:color w:val="000000" w:themeColor="text1"/>
        </w:rPr>
        <w:t>O</w:t>
      </w:r>
      <w:r w:rsidR="00DA661F" w:rsidRPr="00082E34">
        <w:rPr>
          <w:rFonts w:ascii="Arial" w:hAnsi="Arial" w:cs="Arial"/>
          <w:color w:val="000000" w:themeColor="text1"/>
        </w:rPr>
        <w:t>ur und</w:t>
      </w:r>
      <w:bookmarkStart w:id="5" w:name="_GoBack"/>
      <w:bookmarkEnd w:id="5"/>
      <w:r w:rsidR="00DA661F" w:rsidRPr="00082E34">
        <w:rPr>
          <w:rFonts w:ascii="Arial" w:hAnsi="Arial" w:cs="Arial"/>
          <w:color w:val="000000" w:themeColor="text1"/>
        </w:rPr>
        <w:t xml:space="preserve">erstanding is that ESMA was of the opinion </w:t>
      </w:r>
      <w:r w:rsidRPr="00082E34">
        <w:rPr>
          <w:rFonts w:ascii="Arial" w:hAnsi="Arial" w:cs="Arial"/>
          <w:color w:val="000000" w:themeColor="text1"/>
        </w:rPr>
        <w:t>to exclude</w:t>
      </w:r>
      <w:r w:rsidR="00DA661F" w:rsidRPr="00082E34">
        <w:rPr>
          <w:rFonts w:ascii="Arial" w:hAnsi="Arial" w:cs="Arial"/>
          <w:color w:val="000000" w:themeColor="text1"/>
        </w:rPr>
        <w:t xml:space="preserve"> daily reporting obligations when there are not position limits in the latest “Q&amp;A on MiFID II and </w:t>
      </w:r>
      <w:proofErr w:type="spellStart"/>
      <w:r w:rsidR="00DA661F" w:rsidRPr="00082E34">
        <w:rPr>
          <w:rFonts w:ascii="Arial" w:hAnsi="Arial" w:cs="Arial"/>
          <w:color w:val="000000" w:themeColor="text1"/>
        </w:rPr>
        <w:t>MiFIR</w:t>
      </w:r>
      <w:proofErr w:type="spellEnd"/>
      <w:r w:rsidR="00DA661F" w:rsidRPr="00082E34">
        <w:rPr>
          <w:rFonts w:ascii="Arial" w:hAnsi="Arial" w:cs="Arial"/>
          <w:color w:val="000000" w:themeColor="text1"/>
        </w:rPr>
        <w:t xml:space="preserve"> commodity derivatives topics” on March 2019. </w:t>
      </w:r>
      <w:r w:rsidRPr="00082E34">
        <w:rPr>
          <w:rFonts w:ascii="Arial" w:hAnsi="Arial" w:cs="Arial"/>
          <w:color w:val="000000" w:themeColor="text1"/>
        </w:rPr>
        <w:t>In the</w:t>
      </w:r>
      <w:r w:rsidR="00DA661F" w:rsidRPr="00082E34">
        <w:rPr>
          <w:rFonts w:ascii="Arial" w:hAnsi="Arial" w:cs="Arial"/>
          <w:color w:val="000000" w:themeColor="text1"/>
        </w:rPr>
        <w:t xml:space="preserve"> answer 4.9 excluding SDs with a total number of securities in issue not </w:t>
      </w:r>
      <w:r w:rsidR="00DA661F" w:rsidRPr="00F91144">
        <w:rPr>
          <w:rFonts w:ascii="Arial" w:hAnsi="Arial" w:cs="Arial"/>
        </w:rPr>
        <w:t xml:space="preserve">exceeding 2.5 million from the daily position reporting, ESMA states that </w:t>
      </w:r>
      <w:r w:rsidR="00DA661F" w:rsidRPr="00E75921">
        <w:rPr>
          <w:rFonts w:ascii="Arial" w:hAnsi="Arial" w:cs="Arial"/>
          <w:color w:val="000000" w:themeColor="text1"/>
        </w:rPr>
        <w:t>“</w:t>
      </w:r>
      <w:r w:rsidR="00DA661F" w:rsidRPr="00E75921">
        <w:rPr>
          <w:rFonts w:ascii="Arial" w:hAnsi="Arial" w:cs="Arial"/>
          <w:i/>
          <w:iCs/>
          <w:color w:val="000000" w:themeColor="text1"/>
        </w:rPr>
        <w:t xml:space="preserve">The purpose of daily reporting is to monitor for </w:t>
      </w:r>
      <w:r w:rsidR="00DA661F" w:rsidRPr="00E75921">
        <w:rPr>
          <w:rFonts w:ascii="Arial" w:hAnsi="Arial" w:cs="Arial"/>
          <w:i/>
          <w:iCs/>
          <w:color w:val="000000" w:themeColor="text1"/>
        </w:rPr>
        <w:lastRenderedPageBreak/>
        <w:t xml:space="preserve">potential breaches of position limits. To that end, Article 58(3) of MiFID II stipulates that daily position reporting shall enable monitoring of compliance with Article 57(1) of MiFID II. Accordingly, the reporting requirement has been set for situations in which reporting is necessary to enable monitoring. </w:t>
      </w:r>
      <w:proofErr w:type="gramStart"/>
      <w:r w:rsidR="00DA661F" w:rsidRPr="00E75921">
        <w:rPr>
          <w:rFonts w:ascii="Arial" w:hAnsi="Arial" w:cs="Arial"/>
          <w:i/>
          <w:iCs/>
          <w:color w:val="000000" w:themeColor="text1"/>
        </w:rPr>
        <w:t>As a consequence</w:t>
      </w:r>
      <w:proofErr w:type="gramEnd"/>
      <w:r w:rsidR="00DA661F" w:rsidRPr="00E75921">
        <w:rPr>
          <w:rFonts w:ascii="Arial" w:hAnsi="Arial" w:cs="Arial"/>
          <w:i/>
          <w:iCs/>
          <w:color w:val="000000" w:themeColor="text1"/>
        </w:rPr>
        <w:t>, NCAs do not need to require daily reporting if the possibility of a breach of position limits can be ruled out from the outset</w:t>
      </w:r>
      <w:r w:rsidR="00DA661F" w:rsidRPr="00E75921">
        <w:rPr>
          <w:rFonts w:ascii="Arial" w:hAnsi="Arial" w:cs="Arial"/>
          <w:color w:val="000000" w:themeColor="text1"/>
        </w:rPr>
        <w:t>.”.</w:t>
      </w:r>
      <w:r w:rsidR="005C3348" w:rsidRPr="00E75921">
        <w:rPr>
          <w:rFonts w:ascii="Arial" w:hAnsi="Arial" w:cs="Arial"/>
          <w:color w:val="000000" w:themeColor="text1"/>
        </w:rPr>
        <w:t xml:space="preserve"> This position is also confirmed in a</w:t>
      </w:r>
      <w:r w:rsidR="00DA661F" w:rsidRPr="00E75921">
        <w:rPr>
          <w:rFonts w:ascii="Arial" w:hAnsi="Arial" w:cs="Arial"/>
          <w:color w:val="000000" w:themeColor="text1"/>
        </w:rPr>
        <w:t xml:space="preserve">nswer 4.15 </w:t>
      </w:r>
      <w:r w:rsidR="005C3348" w:rsidRPr="00E75921">
        <w:rPr>
          <w:rFonts w:ascii="Arial" w:hAnsi="Arial" w:cs="Arial"/>
          <w:color w:val="000000" w:themeColor="text1"/>
        </w:rPr>
        <w:t>of the same Q&amp;A, about C(10) derivatives, where ESMA states “</w:t>
      </w:r>
      <w:r w:rsidR="00DA661F" w:rsidRPr="00E75921">
        <w:rPr>
          <w:rFonts w:ascii="Arial" w:hAnsi="Arial" w:cs="Arial"/>
          <w:i/>
          <w:iCs/>
          <w:color w:val="000000" w:themeColor="text1"/>
        </w:rPr>
        <w:t>The purpose of daily reporting is to monitor for potential breaches of position limits as Article 58(3) of MiFID II stipulates that daily position reporting shall enable monitoring of compliance with Article 57(1) of MiFID II (…)</w:t>
      </w:r>
      <w:r w:rsidR="005C3348" w:rsidRPr="00E75921">
        <w:rPr>
          <w:rFonts w:ascii="Arial" w:hAnsi="Arial" w:cs="Arial"/>
          <w:i/>
          <w:iCs/>
          <w:color w:val="000000" w:themeColor="text1"/>
        </w:rPr>
        <w:t>]</w:t>
      </w:r>
      <w:r w:rsidR="00DA661F" w:rsidRPr="00E75921">
        <w:rPr>
          <w:rFonts w:ascii="Arial" w:hAnsi="Arial" w:cs="Arial"/>
          <w:i/>
          <w:iCs/>
          <w:color w:val="000000" w:themeColor="text1"/>
        </w:rPr>
        <w:t>”</w:t>
      </w:r>
      <w:r w:rsidR="005C3348" w:rsidRPr="00E75921">
        <w:rPr>
          <w:rFonts w:ascii="Arial" w:hAnsi="Arial" w:cs="Arial"/>
          <w:i/>
          <w:iCs/>
          <w:color w:val="000000" w:themeColor="text1"/>
        </w:rPr>
        <w:t>.</w:t>
      </w:r>
    </w:p>
    <w:p w14:paraId="003B4145" w14:textId="77777777" w:rsidR="00E75921" w:rsidRDefault="00E75921" w:rsidP="00FA29BA">
      <w:pPr>
        <w:jc w:val="both"/>
        <w:rPr>
          <w:rFonts w:ascii="Arial" w:hAnsi="Arial" w:cs="Arial"/>
        </w:rPr>
      </w:pPr>
    </w:p>
    <w:permEnd w:id="701525206"/>
    <w:p w14:paraId="41201925" w14:textId="77777777" w:rsidR="00D5365A" w:rsidRDefault="00D5365A" w:rsidP="00D5365A">
      <w:pPr>
        <w:rPr>
          <w:rFonts w:ascii="Arial" w:hAnsi="Arial" w:cs="Arial"/>
        </w:rPr>
      </w:pPr>
      <w:r>
        <w:rPr>
          <w:rFonts w:ascii="Arial" w:hAnsi="Arial" w:cs="Arial"/>
        </w:rPr>
        <w:t>&lt;ESMA_QUESTION_WPR_4&gt;</w:t>
      </w:r>
    </w:p>
    <w:p w14:paraId="07716947" w14:textId="77777777" w:rsidR="00D5365A" w:rsidRDefault="00D5365A" w:rsidP="00D5365A">
      <w:pPr>
        <w:rPr>
          <w:rFonts w:ascii="Arial" w:hAnsi="Arial" w:cs="Arial"/>
        </w:rPr>
      </w:pPr>
    </w:p>
    <w:p w14:paraId="24E06B30" w14:textId="77777777" w:rsidR="00D5365A" w:rsidRDefault="00D5365A" w:rsidP="00D5365A">
      <w:pPr>
        <w:pStyle w:val="Questionstyle"/>
        <w:numPr>
          <w:ilvl w:val="0"/>
          <w:numId w:val="17"/>
        </w:numPr>
        <w:spacing w:after="250" w:line="276" w:lineRule="auto"/>
        <w:rPr>
          <w:rFonts w:ascii="Arial" w:hAnsi="Arial" w:cs="Arial"/>
        </w:rPr>
      </w:pPr>
      <w:r>
        <w:t xml:space="preserve">: If you support Option 1 and would suggest different or additional criteria to determine whether a contract qualifies as a critical contract, please explain which ones.  </w:t>
      </w:r>
    </w:p>
    <w:p w14:paraId="507CD239" w14:textId="77777777" w:rsidR="00D5365A" w:rsidRDefault="00D5365A" w:rsidP="00D5365A">
      <w:pPr>
        <w:rPr>
          <w:rFonts w:ascii="Arial" w:hAnsi="Arial" w:cs="Arial"/>
        </w:rPr>
      </w:pPr>
      <w:r>
        <w:rPr>
          <w:rFonts w:ascii="Arial" w:hAnsi="Arial" w:cs="Arial"/>
        </w:rPr>
        <w:t>&lt;ESMA_QUESTION_WPR_5&gt;</w:t>
      </w:r>
    </w:p>
    <w:p w14:paraId="4979B5E6" w14:textId="30146319" w:rsidR="000F0F73" w:rsidRPr="00313B2B" w:rsidRDefault="00313B2B" w:rsidP="000F616F">
      <w:pPr>
        <w:jc w:val="both"/>
        <w:rPr>
          <w:rFonts w:ascii="Arial" w:hAnsi="Arial" w:cs="Arial"/>
        </w:rPr>
      </w:pPr>
      <w:permStart w:id="1248811285" w:edGrp="everyone"/>
      <w:r w:rsidRPr="00082E34">
        <w:rPr>
          <w:rFonts w:ascii="Arial" w:hAnsi="Arial" w:cs="Arial"/>
          <w:color w:val="000000" w:themeColor="text1"/>
        </w:rPr>
        <w:t>We do</w:t>
      </w:r>
      <w:r w:rsidR="000F0F73" w:rsidRPr="00082E34">
        <w:rPr>
          <w:rFonts w:ascii="Arial" w:hAnsi="Arial" w:cs="Arial"/>
          <w:color w:val="000000" w:themeColor="text1"/>
        </w:rPr>
        <w:t xml:space="preserve"> </w:t>
      </w:r>
      <w:r w:rsidR="000F0F73" w:rsidRPr="006D6F21">
        <w:rPr>
          <w:rFonts w:ascii="Arial" w:hAnsi="Arial" w:cs="Arial"/>
        </w:rPr>
        <w:t>not have any additional criteria to propose</w:t>
      </w:r>
      <w:r w:rsidR="00600573" w:rsidRPr="006D6F21">
        <w:rPr>
          <w:rFonts w:ascii="Arial" w:hAnsi="Arial" w:cs="Arial"/>
        </w:rPr>
        <w:t xml:space="preserve">. </w:t>
      </w:r>
    </w:p>
    <w:permEnd w:id="1248811285"/>
    <w:p w14:paraId="5D441637" w14:textId="77777777" w:rsidR="00D5365A" w:rsidRDefault="00D5365A" w:rsidP="00D5365A">
      <w:pPr>
        <w:rPr>
          <w:rFonts w:ascii="Arial" w:hAnsi="Arial" w:cs="Arial"/>
        </w:rPr>
      </w:pPr>
      <w:r>
        <w:rPr>
          <w:rFonts w:ascii="Arial" w:hAnsi="Arial" w:cs="Arial"/>
        </w:rPr>
        <w:t>&lt;ESMA_QUESTION_WPR_5&gt;</w:t>
      </w:r>
    </w:p>
    <w:p w14:paraId="181517C5" w14:textId="77777777" w:rsidR="00D5365A" w:rsidRDefault="00D5365A" w:rsidP="00D5365A">
      <w:pPr>
        <w:rPr>
          <w:rFonts w:ascii="Arial" w:hAnsi="Arial" w:cs="Arial"/>
        </w:rPr>
      </w:pPr>
    </w:p>
    <w:p w14:paraId="7C3DA798" w14:textId="77777777" w:rsidR="00D5365A" w:rsidRDefault="00D5365A" w:rsidP="00D5365A">
      <w:pPr>
        <w:pStyle w:val="Questionstyle"/>
        <w:numPr>
          <w:ilvl w:val="0"/>
          <w:numId w:val="17"/>
        </w:numPr>
        <w:spacing w:after="250" w:line="276" w:lineRule="auto"/>
        <w:rPr>
          <w:rFonts w:ascii="Arial" w:hAnsi="Arial" w:cs="Arial"/>
        </w:rPr>
      </w:pPr>
      <w:r>
        <w:t>: Which open interest and participant threshold would you suggest for qualifying a commodity derivative as a critical one?</w:t>
      </w:r>
    </w:p>
    <w:p w14:paraId="645379E9" w14:textId="77777777" w:rsidR="00D5365A" w:rsidRDefault="00D5365A" w:rsidP="00D5365A">
      <w:pPr>
        <w:rPr>
          <w:rFonts w:ascii="Arial" w:hAnsi="Arial" w:cs="Arial"/>
        </w:rPr>
      </w:pPr>
      <w:r>
        <w:rPr>
          <w:rFonts w:ascii="Arial" w:hAnsi="Arial" w:cs="Arial"/>
        </w:rPr>
        <w:t>&lt;ESMA_QUESTION_WPR_6&gt;</w:t>
      </w:r>
    </w:p>
    <w:p w14:paraId="44EB5C9C" w14:textId="3C935AE6" w:rsidR="00DD320E" w:rsidRPr="00EF762A" w:rsidRDefault="00EF762A" w:rsidP="00D5365A">
      <w:pPr>
        <w:rPr>
          <w:rFonts w:ascii="Arial" w:hAnsi="Arial" w:cs="Arial"/>
        </w:rPr>
      </w:pPr>
      <w:permStart w:id="1311263650" w:edGrp="everyone"/>
      <w:r w:rsidRPr="00082E34">
        <w:rPr>
          <w:rFonts w:ascii="Arial" w:hAnsi="Arial" w:cs="Arial"/>
          <w:color w:val="000000" w:themeColor="text1"/>
        </w:rPr>
        <w:t>We do not have any comment.</w:t>
      </w:r>
      <w:r w:rsidR="000F0F73" w:rsidRPr="00082E34">
        <w:rPr>
          <w:rFonts w:ascii="Arial" w:hAnsi="Arial" w:cs="Arial"/>
          <w:color w:val="000000" w:themeColor="text1"/>
        </w:rPr>
        <w:t xml:space="preserve"> </w:t>
      </w:r>
    </w:p>
    <w:permEnd w:id="1311263650"/>
    <w:p w14:paraId="144C9608" w14:textId="77777777" w:rsidR="00D5365A" w:rsidRDefault="00D5365A" w:rsidP="00D5365A">
      <w:pPr>
        <w:rPr>
          <w:rFonts w:ascii="Arial" w:hAnsi="Arial" w:cs="Arial"/>
        </w:rPr>
      </w:pPr>
      <w:r>
        <w:rPr>
          <w:rFonts w:ascii="Arial" w:hAnsi="Arial" w:cs="Arial"/>
        </w:rPr>
        <w:t>&lt;ESMA_QUESTION_WPR_6&gt;</w:t>
      </w:r>
    </w:p>
    <w:p w14:paraId="59245DB6" w14:textId="77777777" w:rsidR="00D5365A" w:rsidRDefault="00D5365A" w:rsidP="00D5365A">
      <w:pPr>
        <w:rPr>
          <w:rFonts w:ascii="Arial" w:hAnsi="Arial" w:cs="Arial"/>
        </w:rPr>
      </w:pPr>
    </w:p>
    <w:p w14:paraId="632C00C8" w14:textId="77777777" w:rsidR="00D5365A" w:rsidRDefault="00D5365A" w:rsidP="00D5365A">
      <w:pPr>
        <w:pStyle w:val="Questionstyle"/>
        <w:numPr>
          <w:ilvl w:val="0"/>
          <w:numId w:val="17"/>
        </w:numPr>
        <w:spacing w:after="250" w:line="276" w:lineRule="auto"/>
        <w:rPr>
          <w:rFonts w:ascii="Arial" w:hAnsi="Arial" w:cs="Arial"/>
        </w:rPr>
      </w:pPr>
      <w:r>
        <w:t>: Would you support a position limit exemption for financial counterparties under mandatory liquidity provision obligations? If not, please explain why.</w:t>
      </w:r>
    </w:p>
    <w:p w14:paraId="2A26E78D" w14:textId="77777777" w:rsidR="00D5365A" w:rsidRDefault="00D5365A" w:rsidP="00D5365A">
      <w:pPr>
        <w:rPr>
          <w:rFonts w:ascii="Arial" w:hAnsi="Arial" w:cs="Arial"/>
        </w:rPr>
      </w:pPr>
      <w:r>
        <w:rPr>
          <w:rFonts w:ascii="Arial" w:hAnsi="Arial" w:cs="Arial"/>
        </w:rPr>
        <w:t>&lt;ESMA_QUESTION_WPR_7&gt;</w:t>
      </w:r>
    </w:p>
    <w:p w14:paraId="2AC2D0DE" w14:textId="4391DB2F" w:rsidR="00493867" w:rsidRPr="00CE1473" w:rsidRDefault="00313B2B" w:rsidP="00703235">
      <w:pPr>
        <w:jc w:val="both"/>
        <w:rPr>
          <w:rFonts w:ascii="Arial" w:hAnsi="Arial" w:cs="Arial"/>
        </w:rPr>
      </w:pPr>
      <w:permStart w:id="498082161" w:edGrp="everyone"/>
      <w:r w:rsidRPr="00082E34">
        <w:rPr>
          <w:rFonts w:ascii="Arial" w:hAnsi="Arial" w:cs="Arial"/>
          <w:color w:val="000000" w:themeColor="text1"/>
        </w:rPr>
        <w:t>We support</w:t>
      </w:r>
      <w:r w:rsidR="00703235" w:rsidRPr="00082E34">
        <w:rPr>
          <w:rFonts w:ascii="Arial" w:hAnsi="Arial" w:cs="Arial"/>
          <w:color w:val="000000" w:themeColor="text1"/>
        </w:rPr>
        <w:t xml:space="preserve"> a position limit exemption for financial counterparties </w:t>
      </w:r>
      <w:r w:rsidR="00160B1D" w:rsidRPr="00082E34">
        <w:rPr>
          <w:rFonts w:ascii="Arial" w:hAnsi="Arial" w:cs="Arial"/>
          <w:color w:val="000000" w:themeColor="text1"/>
        </w:rPr>
        <w:t xml:space="preserve">(FC) </w:t>
      </w:r>
      <w:r w:rsidRPr="00082E34">
        <w:rPr>
          <w:rFonts w:ascii="Arial" w:hAnsi="Arial" w:cs="Arial"/>
          <w:color w:val="000000" w:themeColor="text1"/>
        </w:rPr>
        <w:t>for</w:t>
      </w:r>
      <w:r w:rsidR="00DD320E" w:rsidRPr="00082E34">
        <w:rPr>
          <w:rFonts w:ascii="Arial" w:hAnsi="Arial" w:cs="Arial"/>
          <w:color w:val="000000" w:themeColor="text1"/>
        </w:rPr>
        <w:t xml:space="preserve"> the </w:t>
      </w:r>
      <w:r w:rsidR="00DD320E">
        <w:rPr>
          <w:rFonts w:ascii="Arial" w:hAnsi="Arial" w:cs="Arial"/>
        </w:rPr>
        <w:t>positions held</w:t>
      </w:r>
      <w:r w:rsidR="00DA6ECB">
        <w:rPr>
          <w:rFonts w:ascii="Arial" w:hAnsi="Arial" w:cs="Arial"/>
        </w:rPr>
        <w:t>,</w:t>
      </w:r>
      <w:r w:rsidR="00DD320E">
        <w:rPr>
          <w:rFonts w:ascii="Arial" w:hAnsi="Arial" w:cs="Arial"/>
        </w:rPr>
        <w:t xml:space="preserve"> which are objectively measurable as fulfilling obligations to provide liquidity.</w:t>
      </w:r>
      <w:r w:rsidR="00703235" w:rsidRPr="00CE1473">
        <w:rPr>
          <w:rFonts w:ascii="Arial" w:hAnsi="Arial" w:cs="Arial"/>
        </w:rPr>
        <w:t xml:space="preserve"> </w:t>
      </w:r>
    </w:p>
    <w:p w14:paraId="0ED39910" w14:textId="77777777" w:rsidR="00493867" w:rsidRPr="00CE1473" w:rsidRDefault="00CE1473" w:rsidP="00703235">
      <w:pPr>
        <w:jc w:val="both"/>
        <w:rPr>
          <w:rFonts w:ascii="Arial" w:hAnsi="Arial" w:cs="Arial"/>
        </w:rPr>
      </w:pPr>
      <w:r w:rsidRPr="00CE1473">
        <w:rPr>
          <w:rFonts w:ascii="Arial" w:hAnsi="Arial" w:cs="Arial"/>
        </w:rPr>
        <w:t xml:space="preserve"> </w:t>
      </w:r>
    </w:p>
    <w:p w14:paraId="44C97237" w14:textId="70480B0B" w:rsidR="000F0F73" w:rsidRPr="00CE1473" w:rsidRDefault="00703235" w:rsidP="00313B2B">
      <w:pPr>
        <w:jc w:val="both"/>
        <w:rPr>
          <w:rFonts w:ascii="Arial" w:hAnsi="Arial" w:cs="Arial"/>
        </w:rPr>
      </w:pPr>
      <w:r w:rsidRPr="00CE1473">
        <w:rPr>
          <w:rFonts w:ascii="Arial" w:hAnsi="Arial" w:cs="Arial"/>
        </w:rPr>
        <w:t xml:space="preserve">Moreover, considering that </w:t>
      </w:r>
      <w:r w:rsidR="00DD320E">
        <w:rPr>
          <w:rFonts w:ascii="Arial" w:hAnsi="Arial" w:cs="Arial"/>
        </w:rPr>
        <w:t xml:space="preserve">in some markets </w:t>
      </w:r>
      <w:r w:rsidRPr="00CE1473">
        <w:rPr>
          <w:rFonts w:ascii="Arial" w:hAnsi="Arial" w:cs="Arial"/>
        </w:rPr>
        <w:t xml:space="preserve">a significant </w:t>
      </w:r>
      <w:proofErr w:type="spellStart"/>
      <w:r w:rsidRPr="00CE1473">
        <w:rPr>
          <w:rFonts w:ascii="Arial" w:hAnsi="Arial" w:cs="Arial"/>
        </w:rPr>
        <w:t>amout</w:t>
      </w:r>
      <w:proofErr w:type="spellEnd"/>
      <w:r w:rsidRPr="00CE1473">
        <w:rPr>
          <w:rFonts w:ascii="Arial" w:hAnsi="Arial" w:cs="Arial"/>
        </w:rPr>
        <w:t xml:space="preserve"> o</w:t>
      </w:r>
      <w:r w:rsidR="00160B1D" w:rsidRPr="00CE1473">
        <w:rPr>
          <w:rFonts w:ascii="Arial" w:hAnsi="Arial" w:cs="Arial"/>
        </w:rPr>
        <w:t xml:space="preserve">f market makers are </w:t>
      </w:r>
      <w:proofErr w:type="gramStart"/>
      <w:r w:rsidR="00160B1D" w:rsidRPr="00CE1473">
        <w:rPr>
          <w:rFonts w:ascii="Arial" w:hAnsi="Arial" w:cs="Arial"/>
        </w:rPr>
        <w:t>non financial</w:t>
      </w:r>
      <w:proofErr w:type="gramEnd"/>
      <w:r w:rsidR="00160B1D" w:rsidRPr="00CE1473">
        <w:rPr>
          <w:rFonts w:ascii="Arial" w:hAnsi="Arial" w:cs="Arial"/>
        </w:rPr>
        <w:t xml:space="preserve"> counterparties (NFC), it could be </w:t>
      </w:r>
      <w:r w:rsidR="00493867" w:rsidRPr="00CE1473">
        <w:rPr>
          <w:rFonts w:ascii="Arial" w:hAnsi="Arial" w:cs="Arial"/>
        </w:rPr>
        <w:t>consistent to</w:t>
      </w:r>
      <w:r w:rsidR="00160B1D" w:rsidRPr="00CE1473">
        <w:rPr>
          <w:rFonts w:ascii="Arial" w:hAnsi="Arial" w:cs="Arial"/>
        </w:rPr>
        <w:t xml:space="preserve"> </w:t>
      </w:r>
      <w:proofErr w:type="spellStart"/>
      <w:r w:rsidR="00160B1D" w:rsidRPr="00CE1473">
        <w:rPr>
          <w:rFonts w:ascii="Arial" w:hAnsi="Arial" w:cs="Arial"/>
        </w:rPr>
        <w:t>exend</w:t>
      </w:r>
      <w:proofErr w:type="spellEnd"/>
      <w:r w:rsidR="00160B1D" w:rsidRPr="00CE1473">
        <w:rPr>
          <w:rFonts w:ascii="Arial" w:hAnsi="Arial" w:cs="Arial"/>
        </w:rPr>
        <w:t xml:space="preserve"> this exemption </w:t>
      </w:r>
      <w:r w:rsidR="00493867" w:rsidRPr="00CE1473">
        <w:rPr>
          <w:rFonts w:ascii="Arial" w:hAnsi="Arial" w:cs="Arial"/>
        </w:rPr>
        <w:t xml:space="preserve">also </w:t>
      </w:r>
      <w:r w:rsidR="00160B1D" w:rsidRPr="00CE1473">
        <w:rPr>
          <w:rFonts w:ascii="Arial" w:hAnsi="Arial" w:cs="Arial"/>
        </w:rPr>
        <w:t xml:space="preserve">to NFC </w:t>
      </w:r>
      <w:r w:rsidR="00493867" w:rsidRPr="00CE1473">
        <w:rPr>
          <w:rFonts w:ascii="Arial" w:hAnsi="Arial" w:cs="Arial"/>
        </w:rPr>
        <w:t xml:space="preserve">performing </w:t>
      </w:r>
      <w:r w:rsidR="00DD320E">
        <w:rPr>
          <w:rFonts w:ascii="Arial" w:hAnsi="Arial" w:cs="Arial"/>
        </w:rPr>
        <w:t xml:space="preserve">the same </w:t>
      </w:r>
      <w:proofErr w:type="spellStart"/>
      <w:r w:rsidR="00493867" w:rsidRPr="00CE1473">
        <w:rPr>
          <w:rFonts w:ascii="Arial" w:hAnsi="Arial" w:cs="Arial"/>
        </w:rPr>
        <w:t>mak</w:t>
      </w:r>
      <w:r w:rsidR="0039403E">
        <w:rPr>
          <w:rFonts w:ascii="Arial" w:hAnsi="Arial" w:cs="Arial"/>
        </w:rPr>
        <w:t>e</w:t>
      </w:r>
      <w:r w:rsidR="00493867" w:rsidRPr="00CE1473">
        <w:rPr>
          <w:rFonts w:ascii="Arial" w:hAnsi="Arial" w:cs="Arial"/>
        </w:rPr>
        <w:t>t</w:t>
      </w:r>
      <w:proofErr w:type="spellEnd"/>
      <w:r w:rsidR="00493867" w:rsidRPr="00CE1473">
        <w:rPr>
          <w:rFonts w:ascii="Arial" w:hAnsi="Arial" w:cs="Arial"/>
        </w:rPr>
        <w:t xml:space="preserve"> making activity in trading venues.</w:t>
      </w:r>
    </w:p>
    <w:permEnd w:id="498082161"/>
    <w:p w14:paraId="7F2F8B8E" w14:textId="77777777" w:rsidR="00D5365A" w:rsidRDefault="00D5365A" w:rsidP="00D5365A">
      <w:pPr>
        <w:rPr>
          <w:rFonts w:ascii="Arial" w:hAnsi="Arial" w:cs="Arial"/>
        </w:rPr>
      </w:pPr>
      <w:r>
        <w:rPr>
          <w:rFonts w:ascii="Arial" w:hAnsi="Arial" w:cs="Arial"/>
        </w:rPr>
        <w:t>&lt;ESMA_QUESTION_WPR_7&gt;</w:t>
      </w:r>
    </w:p>
    <w:p w14:paraId="5E09D626" w14:textId="77777777" w:rsidR="00D5365A" w:rsidRDefault="00D5365A" w:rsidP="00D5365A">
      <w:pPr>
        <w:rPr>
          <w:rFonts w:ascii="Arial" w:hAnsi="Arial" w:cs="Arial"/>
        </w:rPr>
      </w:pPr>
    </w:p>
    <w:p w14:paraId="3A694A8B" w14:textId="77777777" w:rsidR="00D5365A" w:rsidRDefault="00D5365A" w:rsidP="00D5365A">
      <w:pPr>
        <w:pStyle w:val="Questionstyle"/>
        <w:numPr>
          <w:ilvl w:val="0"/>
          <w:numId w:val="17"/>
        </w:numPr>
        <w:spacing w:after="250" w:line="276" w:lineRule="auto"/>
        <w:rPr>
          <w:rFonts w:ascii="Arial" w:hAnsi="Arial" w:cs="Arial"/>
        </w:rPr>
      </w:pPr>
      <w:r>
        <w:t>: Would you support introducing a hedging exemption for financial counterparties along the lines described above? If not, please explain why.</w:t>
      </w:r>
    </w:p>
    <w:p w14:paraId="745D8F0F" w14:textId="77777777" w:rsidR="00D5365A" w:rsidRDefault="00D5365A" w:rsidP="00D5365A">
      <w:pPr>
        <w:rPr>
          <w:rFonts w:ascii="Arial" w:hAnsi="Arial" w:cs="Arial"/>
        </w:rPr>
      </w:pPr>
      <w:r>
        <w:rPr>
          <w:rFonts w:ascii="Arial" w:hAnsi="Arial" w:cs="Arial"/>
        </w:rPr>
        <w:t>&lt;ESMA_QUESTION_WPR_8&gt;</w:t>
      </w:r>
    </w:p>
    <w:p w14:paraId="0921DB88" w14:textId="64496F84" w:rsidR="00CE1473" w:rsidRPr="00313B2B" w:rsidRDefault="00313B2B" w:rsidP="00313B2B">
      <w:pPr>
        <w:jc w:val="both"/>
        <w:rPr>
          <w:rFonts w:ascii="Arial" w:hAnsi="Arial" w:cs="Arial"/>
        </w:rPr>
      </w:pPr>
      <w:permStart w:id="362359310" w:edGrp="everyone"/>
      <w:r w:rsidRPr="00082E34">
        <w:rPr>
          <w:rFonts w:ascii="Arial" w:hAnsi="Arial" w:cs="Arial"/>
          <w:color w:val="000000" w:themeColor="text1"/>
        </w:rPr>
        <w:t>We</w:t>
      </w:r>
      <w:r w:rsidR="00160B1D" w:rsidRPr="00082E34">
        <w:rPr>
          <w:rFonts w:ascii="Arial" w:hAnsi="Arial" w:cs="Arial"/>
          <w:color w:val="000000" w:themeColor="text1"/>
        </w:rPr>
        <w:t xml:space="preserve"> support </w:t>
      </w:r>
      <w:r w:rsidRPr="00082E34">
        <w:rPr>
          <w:rFonts w:ascii="Arial" w:hAnsi="Arial" w:cs="Arial"/>
          <w:color w:val="000000" w:themeColor="text1"/>
        </w:rPr>
        <w:t>introduction of</w:t>
      </w:r>
      <w:r w:rsidR="00160B1D" w:rsidRPr="00082E34">
        <w:rPr>
          <w:rFonts w:ascii="Arial" w:hAnsi="Arial" w:cs="Arial"/>
          <w:color w:val="000000" w:themeColor="text1"/>
        </w:rPr>
        <w:t xml:space="preserve"> a hedging exemption for financial counterparties</w:t>
      </w:r>
      <w:r w:rsidR="003729D3" w:rsidRPr="00082E34">
        <w:rPr>
          <w:rFonts w:ascii="Arial" w:hAnsi="Arial" w:cs="Arial"/>
          <w:color w:val="000000" w:themeColor="text1"/>
        </w:rPr>
        <w:t xml:space="preserve"> who</w:t>
      </w:r>
      <w:r w:rsidR="00DD320E" w:rsidRPr="00082E34">
        <w:rPr>
          <w:rFonts w:ascii="Arial" w:hAnsi="Arial" w:cs="Arial"/>
          <w:color w:val="000000" w:themeColor="text1"/>
        </w:rPr>
        <w:t>,</w:t>
      </w:r>
      <w:r w:rsidR="003729D3" w:rsidRPr="00082E34">
        <w:rPr>
          <w:rFonts w:ascii="Arial" w:hAnsi="Arial" w:cs="Arial"/>
          <w:color w:val="000000" w:themeColor="text1"/>
        </w:rPr>
        <w:t xml:space="preserve"> within a commercial group</w:t>
      </w:r>
      <w:r w:rsidR="00DD320E" w:rsidRPr="00082E34">
        <w:rPr>
          <w:rFonts w:ascii="Arial" w:hAnsi="Arial" w:cs="Arial"/>
          <w:color w:val="000000" w:themeColor="text1"/>
        </w:rPr>
        <w:t>,</w:t>
      </w:r>
      <w:r w:rsidR="003729D3" w:rsidRPr="00082E34">
        <w:rPr>
          <w:rFonts w:ascii="Arial" w:hAnsi="Arial" w:cs="Arial"/>
          <w:color w:val="000000" w:themeColor="text1"/>
        </w:rPr>
        <w:t xml:space="preserve"> </w:t>
      </w:r>
      <w:r w:rsidR="003729D3" w:rsidRPr="00F81040">
        <w:rPr>
          <w:rFonts w:ascii="Arial" w:hAnsi="Arial" w:cs="Arial"/>
        </w:rPr>
        <w:t>man</w:t>
      </w:r>
      <w:r w:rsidR="00DD320E">
        <w:rPr>
          <w:rFonts w:ascii="Arial" w:hAnsi="Arial" w:cs="Arial"/>
        </w:rPr>
        <w:t>a</w:t>
      </w:r>
      <w:r w:rsidR="003729D3" w:rsidRPr="00F81040">
        <w:rPr>
          <w:rFonts w:ascii="Arial" w:hAnsi="Arial" w:cs="Arial"/>
        </w:rPr>
        <w:t>ge the position</w:t>
      </w:r>
      <w:r w:rsidR="00CE1473" w:rsidRPr="00F81040">
        <w:rPr>
          <w:rFonts w:ascii="Arial" w:hAnsi="Arial" w:cs="Arial"/>
        </w:rPr>
        <w:t>s</w:t>
      </w:r>
      <w:r w:rsidR="003729D3" w:rsidRPr="00F81040">
        <w:rPr>
          <w:rFonts w:ascii="Arial" w:hAnsi="Arial" w:cs="Arial"/>
        </w:rPr>
        <w:t xml:space="preserve"> of </w:t>
      </w:r>
      <w:r w:rsidR="00DD320E">
        <w:rPr>
          <w:rFonts w:ascii="Arial" w:hAnsi="Arial" w:cs="Arial"/>
        </w:rPr>
        <w:t xml:space="preserve">the </w:t>
      </w:r>
      <w:r w:rsidR="00CE1473" w:rsidRPr="00F81040">
        <w:rPr>
          <w:rFonts w:ascii="Arial" w:hAnsi="Arial" w:cs="Arial"/>
        </w:rPr>
        <w:t xml:space="preserve">group </w:t>
      </w:r>
      <w:r w:rsidR="003729D3" w:rsidRPr="00F81040">
        <w:rPr>
          <w:rFonts w:ascii="Arial" w:hAnsi="Arial" w:cs="Arial"/>
        </w:rPr>
        <w:t>non-financial</w:t>
      </w:r>
      <w:r w:rsidR="00CE1473" w:rsidRPr="00F81040">
        <w:rPr>
          <w:rFonts w:ascii="Arial" w:hAnsi="Arial" w:cs="Arial"/>
        </w:rPr>
        <w:t xml:space="preserve"> entities</w:t>
      </w:r>
      <w:r w:rsidR="00160B1D" w:rsidRPr="00F81040">
        <w:rPr>
          <w:rFonts w:ascii="Arial" w:hAnsi="Arial" w:cs="Arial"/>
        </w:rPr>
        <w:t xml:space="preserve">. </w:t>
      </w:r>
    </w:p>
    <w:permEnd w:id="362359310"/>
    <w:p w14:paraId="72EF9B7D" w14:textId="77777777" w:rsidR="00D5365A" w:rsidRDefault="00D5365A" w:rsidP="00D5365A">
      <w:pPr>
        <w:rPr>
          <w:rFonts w:ascii="Arial" w:hAnsi="Arial" w:cs="Arial"/>
        </w:rPr>
      </w:pPr>
      <w:r>
        <w:rPr>
          <w:rFonts w:ascii="Arial" w:hAnsi="Arial" w:cs="Arial"/>
        </w:rPr>
        <w:t>&lt;ESMA_QUESTION_WPR_8&gt;</w:t>
      </w:r>
    </w:p>
    <w:p w14:paraId="6D2CF541" w14:textId="77777777" w:rsidR="00D5365A" w:rsidRDefault="00D5365A" w:rsidP="00D5365A">
      <w:pPr>
        <w:rPr>
          <w:rFonts w:ascii="Arial" w:hAnsi="Arial" w:cs="Arial"/>
        </w:rPr>
      </w:pPr>
    </w:p>
    <w:p w14:paraId="70C9BFB6" w14:textId="77777777" w:rsidR="00D5365A" w:rsidRDefault="00D5365A" w:rsidP="00D5365A">
      <w:pPr>
        <w:pStyle w:val="Questionstyle"/>
        <w:numPr>
          <w:ilvl w:val="0"/>
          <w:numId w:val="17"/>
        </w:numPr>
        <w:spacing w:after="250" w:line="276" w:lineRule="auto"/>
        <w:rPr>
          <w:rFonts w:ascii="Arial" w:hAnsi="Arial" w:cs="Arial"/>
        </w:rPr>
      </w:pPr>
      <w:r>
        <w:lastRenderedPageBreak/>
        <w:t xml:space="preserve">: Do you agree with ESMA’s proposals to amend Article 57(8)(b) of MiFID II and to introduce Level 2 measures on position management controls? If not, please explain why. </w:t>
      </w:r>
    </w:p>
    <w:p w14:paraId="06CCA820" w14:textId="77777777" w:rsidR="00D5365A" w:rsidRDefault="00D5365A" w:rsidP="00D5365A">
      <w:pPr>
        <w:rPr>
          <w:rFonts w:ascii="Arial" w:hAnsi="Arial" w:cs="Arial"/>
        </w:rPr>
      </w:pPr>
      <w:r>
        <w:rPr>
          <w:rFonts w:ascii="Arial" w:hAnsi="Arial" w:cs="Arial"/>
        </w:rPr>
        <w:t>&lt;ESMA_QUESTION_WPR_9&gt;</w:t>
      </w:r>
    </w:p>
    <w:p w14:paraId="4F5149E0" w14:textId="3270F014" w:rsidR="00F81040" w:rsidRPr="00082E34" w:rsidRDefault="00EF5AC3" w:rsidP="00DF1E4B">
      <w:pPr>
        <w:jc w:val="both"/>
        <w:rPr>
          <w:rFonts w:ascii="Arial" w:hAnsi="Arial" w:cs="Arial"/>
          <w:color w:val="000000" w:themeColor="text1"/>
        </w:rPr>
      </w:pPr>
      <w:permStart w:id="1622299829" w:edGrp="everyone"/>
      <w:r w:rsidRPr="00082E34">
        <w:rPr>
          <w:rFonts w:ascii="Arial" w:hAnsi="Arial" w:cs="Arial"/>
          <w:color w:val="000000" w:themeColor="text1"/>
        </w:rPr>
        <w:t xml:space="preserve"> </w:t>
      </w:r>
      <w:r w:rsidR="001C77F4" w:rsidRPr="00082E34">
        <w:rPr>
          <w:rFonts w:ascii="Arial" w:hAnsi="Arial" w:cs="Arial"/>
          <w:color w:val="000000" w:themeColor="text1"/>
        </w:rPr>
        <w:t>We do</w:t>
      </w:r>
      <w:r w:rsidR="00DF1E4B" w:rsidRPr="00082E34">
        <w:rPr>
          <w:rFonts w:ascii="Arial" w:hAnsi="Arial" w:cs="Arial"/>
          <w:color w:val="000000" w:themeColor="text1"/>
        </w:rPr>
        <w:t xml:space="preserve"> not consider a further specification of </w:t>
      </w:r>
      <w:r w:rsidR="001C77F4" w:rsidRPr="00082E34">
        <w:rPr>
          <w:rFonts w:ascii="Arial" w:hAnsi="Arial" w:cs="Arial"/>
          <w:color w:val="000000" w:themeColor="text1"/>
        </w:rPr>
        <w:t>A</w:t>
      </w:r>
      <w:r w:rsidR="00DF1E4B" w:rsidRPr="00082E34">
        <w:rPr>
          <w:rFonts w:ascii="Arial" w:hAnsi="Arial" w:cs="Arial"/>
          <w:color w:val="000000" w:themeColor="text1"/>
        </w:rPr>
        <w:t xml:space="preserve">rt. 57(8)(b) MiFID II </w:t>
      </w:r>
      <w:r w:rsidR="001C77F4" w:rsidRPr="00082E34">
        <w:rPr>
          <w:rFonts w:ascii="Arial" w:hAnsi="Arial" w:cs="Arial"/>
          <w:color w:val="000000" w:themeColor="text1"/>
        </w:rPr>
        <w:t>necessary</w:t>
      </w:r>
      <w:r w:rsidR="00DF1E4B" w:rsidRPr="00082E34">
        <w:rPr>
          <w:rFonts w:ascii="Arial" w:hAnsi="Arial" w:cs="Arial"/>
          <w:color w:val="000000" w:themeColor="text1"/>
        </w:rPr>
        <w:t xml:space="preserve">. </w:t>
      </w:r>
    </w:p>
    <w:p w14:paraId="7C8C00FF" w14:textId="77777777" w:rsidR="00F81040" w:rsidRPr="00082E34" w:rsidRDefault="00F81040" w:rsidP="00DF1E4B">
      <w:pPr>
        <w:jc w:val="both"/>
        <w:rPr>
          <w:rFonts w:ascii="Arial" w:hAnsi="Arial" w:cs="Arial"/>
          <w:color w:val="000000" w:themeColor="text1"/>
        </w:rPr>
      </w:pPr>
    </w:p>
    <w:p w14:paraId="220F22AF" w14:textId="72B3938B" w:rsidR="00E26C06" w:rsidRPr="00082E34" w:rsidRDefault="00F81040" w:rsidP="00DF1E4B">
      <w:pPr>
        <w:jc w:val="both"/>
        <w:rPr>
          <w:rFonts w:ascii="Arial" w:hAnsi="Arial" w:cs="Arial"/>
          <w:color w:val="000000" w:themeColor="text1"/>
        </w:rPr>
      </w:pPr>
      <w:r w:rsidRPr="00082E34">
        <w:rPr>
          <w:rFonts w:ascii="Arial" w:hAnsi="Arial" w:cs="Arial"/>
          <w:color w:val="000000" w:themeColor="text1"/>
        </w:rPr>
        <w:t>T</w:t>
      </w:r>
      <w:r w:rsidR="00DF1E4B" w:rsidRPr="00082E34">
        <w:rPr>
          <w:rFonts w:ascii="Arial" w:hAnsi="Arial" w:cs="Arial"/>
          <w:color w:val="000000" w:themeColor="text1"/>
        </w:rPr>
        <w:t xml:space="preserve">he </w:t>
      </w:r>
      <w:r w:rsidR="0006026E" w:rsidRPr="00082E34">
        <w:rPr>
          <w:rFonts w:ascii="Arial" w:hAnsi="Arial" w:cs="Arial"/>
          <w:color w:val="000000" w:themeColor="text1"/>
        </w:rPr>
        <w:t>controls performed by trading venues are appropriate</w:t>
      </w:r>
      <w:r w:rsidR="00313B2B" w:rsidRPr="00082E34">
        <w:rPr>
          <w:rFonts w:ascii="Arial" w:hAnsi="Arial" w:cs="Arial"/>
          <w:color w:val="000000" w:themeColor="text1"/>
        </w:rPr>
        <w:t xml:space="preserve">, </w:t>
      </w:r>
      <w:r w:rsidR="0006026E" w:rsidRPr="00082E34">
        <w:rPr>
          <w:rFonts w:ascii="Arial" w:hAnsi="Arial" w:cs="Arial"/>
          <w:color w:val="000000" w:themeColor="text1"/>
        </w:rPr>
        <w:t xml:space="preserve">with the </w:t>
      </w:r>
      <w:r w:rsidR="00C5731D" w:rsidRPr="00082E34">
        <w:rPr>
          <w:rFonts w:ascii="Arial" w:hAnsi="Arial" w:cs="Arial"/>
          <w:color w:val="000000" w:themeColor="text1"/>
        </w:rPr>
        <w:t xml:space="preserve">information </w:t>
      </w:r>
      <w:r w:rsidR="0006026E" w:rsidRPr="00082E34">
        <w:rPr>
          <w:rFonts w:ascii="Arial" w:hAnsi="Arial" w:cs="Arial"/>
          <w:color w:val="000000" w:themeColor="text1"/>
        </w:rPr>
        <w:t xml:space="preserve">gathered </w:t>
      </w:r>
      <w:r w:rsidR="00313B2B" w:rsidRPr="00082E34">
        <w:rPr>
          <w:rFonts w:ascii="Arial" w:hAnsi="Arial" w:cs="Arial"/>
          <w:color w:val="000000" w:themeColor="text1"/>
        </w:rPr>
        <w:t>from</w:t>
      </w:r>
      <w:r w:rsidR="0006026E" w:rsidRPr="00082E34">
        <w:rPr>
          <w:rFonts w:ascii="Arial" w:hAnsi="Arial" w:cs="Arial"/>
          <w:color w:val="000000" w:themeColor="text1"/>
        </w:rPr>
        <w:t xml:space="preserve"> the trading activity and </w:t>
      </w:r>
      <w:r w:rsidR="00313B2B" w:rsidRPr="00082E34">
        <w:rPr>
          <w:rFonts w:ascii="Arial" w:hAnsi="Arial" w:cs="Arial"/>
          <w:color w:val="000000" w:themeColor="text1"/>
        </w:rPr>
        <w:t>from</w:t>
      </w:r>
      <w:r w:rsidR="00C5731D" w:rsidRPr="00082E34">
        <w:rPr>
          <w:rFonts w:ascii="Arial" w:hAnsi="Arial" w:cs="Arial"/>
          <w:color w:val="000000" w:themeColor="text1"/>
        </w:rPr>
        <w:t xml:space="preserve"> the existing </w:t>
      </w:r>
      <w:r w:rsidR="0006026E" w:rsidRPr="00082E34">
        <w:rPr>
          <w:rFonts w:ascii="Arial" w:hAnsi="Arial" w:cs="Arial"/>
          <w:color w:val="000000" w:themeColor="text1"/>
        </w:rPr>
        <w:t xml:space="preserve">reporting </w:t>
      </w:r>
      <w:r w:rsidR="00C5731D" w:rsidRPr="00082E34">
        <w:rPr>
          <w:rFonts w:ascii="Arial" w:hAnsi="Arial" w:cs="Arial"/>
          <w:color w:val="000000" w:themeColor="text1"/>
        </w:rPr>
        <w:t>from members. Moreover</w:t>
      </w:r>
      <w:r w:rsidR="0039403E" w:rsidRPr="00082E34">
        <w:rPr>
          <w:rFonts w:ascii="Arial" w:hAnsi="Arial" w:cs="Arial"/>
          <w:color w:val="000000" w:themeColor="text1"/>
        </w:rPr>
        <w:t>,</w:t>
      </w:r>
      <w:r w:rsidR="00C5731D" w:rsidRPr="00082E34">
        <w:rPr>
          <w:rFonts w:ascii="Arial" w:hAnsi="Arial" w:cs="Arial"/>
          <w:color w:val="000000" w:themeColor="text1"/>
        </w:rPr>
        <w:t xml:space="preserve"> when the</w:t>
      </w:r>
      <w:r w:rsidR="00E26C06" w:rsidRPr="00082E34">
        <w:rPr>
          <w:rFonts w:ascii="Arial" w:hAnsi="Arial" w:cs="Arial"/>
          <w:color w:val="000000" w:themeColor="text1"/>
        </w:rPr>
        <w:t xml:space="preserve"> trading venues investigate</w:t>
      </w:r>
      <w:r w:rsidR="00C5731D" w:rsidRPr="00082E34">
        <w:rPr>
          <w:rFonts w:ascii="Arial" w:hAnsi="Arial" w:cs="Arial"/>
          <w:color w:val="000000" w:themeColor="text1"/>
        </w:rPr>
        <w:t xml:space="preserve"> </w:t>
      </w:r>
      <w:r w:rsidR="00E26C06" w:rsidRPr="00082E34">
        <w:rPr>
          <w:rFonts w:ascii="Arial" w:hAnsi="Arial" w:cs="Arial"/>
          <w:color w:val="000000" w:themeColor="text1"/>
        </w:rPr>
        <w:t xml:space="preserve">their trading </w:t>
      </w:r>
      <w:r w:rsidR="00C5731D" w:rsidRPr="00082E34">
        <w:rPr>
          <w:rFonts w:ascii="Arial" w:hAnsi="Arial" w:cs="Arial"/>
          <w:color w:val="000000" w:themeColor="text1"/>
        </w:rPr>
        <w:t>member</w:t>
      </w:r>
      <w:r w:rsidR="001C77F4" w:rsidRPr="00082E34">
        <w:rPr>
          <w:rFonts w:ascii="Arial" w:hAnsi="Arial" w:cs="Arial"/>
          <w:color w:val="000000" w:themeColor="text1"/>
        </w:rPr>
        <w:t>’s</w:t>
      </w:r>
      <w:r w:rsidR="00C5731D" w:rsidRPr="00082E34">
        <w:rPr>
          <w:rFonts w:ascii="Arial" w:hAnsi="Arial" w:cs="Arial"/>
          <w:color w:val="000000" w:themeColor="text1"/>
        </w:rPr>
        <w:t xml:space="preserve"> activity</w:t>
      </w:r>
      <w:r w:rsidR="00313B2B" w:rsidRPr="00082E34">
        <w:rPr>
          <w:rFonts w:ascii="Arial" w:hAnsi="Arial" w:cs="Arial"/>
          <w:color w:val="000000" w:themeColor="text1"/>
        </w:rPr>
        <w:t>,</w:t>
      </w:r>
      <w:r w:rsidR="00C5731D" w:rsidRPr="00082E34">
        <w:rPr>
          <w:rFonts w:ascii="Arial" w:hAnsi="Arial" w:cs="Arial"/>
          <w:color w:val="000000" w:themeColor="text1"/>
        </w:rPr>
        <w:t xml:space="preserve"> it is up to the trading member to provide the additional information necessary to clarify </w:t>
      </w:r>
      <w:r w:rsidR="00313B2B" w:rsidRPr="00082E34">
        <w:rPr>
          <w:rFonts w:ascii="Arial" w:hAnsi="Arial" w:cs="Arial"/>
          <w:color w:val="000000" w:themeColor="text1"/>
        </w:rPr>
        <w:t>their</w:t>
      </w:r>
      <w:r w:rsidR="00C5731D" w:rsidRPr="00082E34">
        <w:rPr>
          <w:rFonts w:ascii="Arial" w:hAnsi="Arial" w:cs="Arial"/>
          <w:color w:val="000000" w:themeColor="text1"/>
        </w:rPr>
        <w:t xml:space="preserve"> trading behaviour</w:t>
      </w:r>
      <w:r w:rsidR="00E26C06" w:rsidRPr="00082E34">
        <w:rPr>
          <w:rFonts w:ascii="Arial" w:hAnsi="Arial" w:cs="Arial"/>
          <w:color w:val="000000" w:themeColor="text1"/>
        </w:rPr>
        <w:t xml:space="preserve">. </w:t>
      </w:r>
    </w:p>
    <w:p w14:paraId="39B26AB7" w14:textId="77777777" w:rsidR="00E26C06" w:rsidRPr="00082E34" w:rsidRDefault="00E26C06" w:rsidP="00DF1E4B">
      <w:pPr>
        <w:jc w:val="both"/>
        <w:rPr>
          <w:rFonts w:ascii="Arial" w:hAnsi="Arial" w:cs="Arial"/>
          <w:color w:val="000000" w:themeColor="text1"/>
        </w:rPr>
      </w:pPr>
    </w:p>
    <w:p w14:paraId="0CB4D1D7" w14:textId="7ED8D196" w:rsidR="00E26C06" w:rsidRPr="00082E34" w:rsidRDefault="00313B2B" w:rsidP="00DF1E4B">
      <w:pPr>
        <w:jc w:val="both"/>
        <w:rPr>
          <w:rFonts w:ascii="Arial" w:hAnsi="Arial" w:cs="Arial"/>
          <w:color w:val="000000" w:themeColor="text1"/>
        </w:rPr>
      </w:pPr>
      <w:r w:rsidRPr="00082E34">
        <w:rPr>
          <w:rFonts w:ascii="Arial" w:hAnsi="Arial" w:cs="Arial"/>
          <w:color w:val="000000" w:themeColor="text1"/>
        </w:rPr>
        <w:t>Therefore</w:t>
      </w:r>
      <w:r w:rsidR="00E26C06" w:rsidRPr="00082E34">
        <w:rPr>
          <w:rFonts w:ascii="Arial" w:hAnsi="Arial" w:cs="Arial"/>
          <w:color w:val="000000" w:themeColor="text1"/>
        </w:rPr>
        <w:t xml:space="preserve">, </w:t>
      </w:r>
      <w:r w:rsidRPr="00082E34">
        <w:rPr>
          <w:rFonts w:ascii="Arial" w:hAnsi="Arial" w:cs="Arial"/>
          <w:color w:val="000000" w:themeColor="text1"/>
        </w:rPr>
        <w:t xml:space="preserve">a </w:t>
      </w:r>
      <w:r w:rsidR="00DF1E4B" w:rsidRPr="00082E34">
        <w:rPr>
          <w:rFonts w:ascii="Arial" w:hAnsi="Arial" w:cs="Arial"/>
          <w:color w:val="000000" w:themeColor="text1"/>
        </w:rPr>
        <w:t xml:space="preserve">further specification </w:t>
      </w:r>
      <w:r w:rsidR="00480734" w:rsidRPr="00082E34">
        <w:rPr>
          <w:rFonts w:ascii="Arial" w:hAnsi="Arial" w:cs="Arial"/>
          <w:color w:val="000000" w:themeColor="text1"/>
        </w:rPr>
        <w:t>of trading venues</w:t>
      </w:r>
      <w:r w:rsidRPr="00082E34">
        <w:rPr>
          <w:rFonts w:ascii="Arial" w:hAnsi="Arial" w:cs="Arial"/>
          <w:color w:val="000000" w:themeColor="text1"/>
        </w:rPr>
        <w:t>’</w:t>
      </w:r>
      <w:r w:rsidR="00480734" w:rsidRPr="00082E34">
        <w:rPr>
          <w:rFonts w:ascii="Arial" w:hAnsi="Arial" w:cs="Arial"/>
          <w:color w:val="000000" w:themeColor="text1"/>
        </w:rPr>
        <w:t xml:space="preserve"> </w:t>
      </w:r>
      <w:r w:rsidR="00DF1E4B" w:rsidRPr="00082E34">
        <w:rPr>
          <w:rFonts w:ascii="Arial" w:hAnsi="Arial" w:cs="Arial"/>
          <w:color w:val="000000" w:themeColor="text1"/>
        </w:rPr>
        <w:t>control</w:t>
      </w:r>
      <w:r w:rsidR="00923813" w:rsidRPr="00082E34">
        <w:rPr>
          <w:rFonts w:ascii="Arial" w:hAnsi="Arial" w:cs="Arial"/>
          <w:color w:val="000000" w:themeColor="text1"/>
        </w:rPr>
        <w:t xml:space="preserve"> powers</w:t>
      </w:r>
      <w:r w:rsidR="00DF1E4B" w:rsidRPr="00082E34">
        <w:rPr>
          <w:rFonts w:ascii="Arial" w:hAnsi="Arial" w:cs="Arial"/>
          <w:color w:val="000000" w:themeColor="text1"/>
        </w:rPr>
        <w:t xml:space="preserve"> </w:t>
      </w:r>
      <w:r w:rsidR="00E26C06" w:rsidRPr="00082E34">
        <w:rPr>
          <w:rFonts w:ascii="Arial" w:hAnsi="Arial" w:cs="Arial"/>
          <w:color w:val="000000" w:themeColor="text1"/>
        </w:rPr>
        <w:t xml:space="preserve">may not be </w:t>
      </w:r>
      <w:r w:rsidRPr="00082E34">
        <w:rPr>
          <w:rFonts w:ascii="Arial" w:hAnsi="Arial" w:cs="Arial"/>
          <w:color w:val="000000" w:themeColor="text1"/>
        </w:rPr>
        <w:t>advisable</w:t>
      </w:r>
      <w:r w:rsidR="00E26C06" w:rsidRPr="00082E34">
        <w:rPr>
          <w:rFonts w:ascii="Arial" w:hAnsi="Arial" w:cs="Arial"/>
          <w:color w:val="000000" w:themeColor="text1"/>
        </w:rPr>
        <w:t xml:space="preserve"> as well as it may not be </w:t>
      </w:r>
      <w:r w:rsidRPr="00082E34">
        <w:rPr>
          <w:rFonts w:ascii="Arial" w:hAnsi="Arial" w:cs="Arial"/>
          <w:color w:val="000000" w:themeColor="text1"/>
        </w:rPr>
        <w:t>advisable to extend</w:t>
      </w:r>
      <w:r w:rsidR="00E26C06" w:rsidRPr="00082E34">
        <w:rPr>
          <w:rFonts w:ascii="Arial" w:hAnsi="Arial" w:cs="Arial"/>
          <w:color w:val="000000" w:themeColor="text1"/>
        </w:rPr>
        <w:t xml:space="preserve"> </w:t>
      </w:r>
      <w:r w:rsidRPr="00082E34">
        <w:rPr>
          <w:rFonts w:ascii="Arial" w:hAnsi="Arial" w:cs="Arial"/>
          <w:color w:val="000000" w:themeColor="text1"/>
        </w:rPr>
        <w:t xml:space="preserve">the scope </w:t>
      </w:r>
      <w:r w:rsidR="00E26C06" w:rsidRPr="00082E34">
        <w:rPr>
          <w:rFonts w:ascii="Arial" w:hAnsi="Arial" w:cs="Arial"/>
          <w:color w:val="000000" w:themeColor="text1"/>
        </w:rPr>
        <w:t>of the information to be provided by trading members to trading venues</w:t>
      </w:r>
      <w:r w:rsidRPr="00082E34">
        <w:rPr>
          <w:rFonts w:ascii="Arial" w:hAnsi="Arial" w:cs="Arial"/>
          <w:color w:val="000000" w:themeColor="text1"/>
        </w:rPr>
        <w:t xml:space="preserve">, </w:t>
      </w:r>
      <w:r w:rsidR="00E26C06" w:rsidRPr="00082E34">
        <w:rPr>
          <w:rFonts w:ascii="Arial" w:hAnsi="Arial" w:cs="Arial"/>
          <w:color w:val="000000" w:themeColor="text1"/>
        </w:rPr>
        <w:t>cover</w:t>
      </w:r>
      <w:r w:rsidRPr="00082E34">
        <w:rPr>
          <w:rFonts w:ascii="Arial" w:hAnsi="Arial" w:cs="Arial"/>
          <w:color w:val="000000" w:themeColor="text1"/>
        </w:rPr>
        <w:t>ing</w:t>
      </w:r>
      <w:r w:rsidR="00E26C06" w:rsidRPr="00082E34">
        <w:rPr>
          <w:rFonts w:ascii="Arial" w:hAnsi="Arial" w:cs="Arial"/>
          <w:color w:val="000000" w:themeColor="text1"/>
        </w:rPr>
        <w:t xml:space="preserve"> also the contracts on the same underlying</w:t>
      </w:r>
      <w:r w:rsidRPr="00082E34">
        <w:rPr>
          <w:rFonts w:ascii="Arial" w:hAnsi="Arial" w:cs="Arial"/>
          <w:color w:val="000000" w:themeColor="text1"/>
        </w:rPr>
        <w:t>,</w:t>
      </w:r>
      <w:r w:rsidR="00E26C06" w:rsidRPr="00082E34">
        <w:rPr>
          <w:rFonts w:ascii="Arial" w:hAnsi="Arial" w:cs="Arial"/>
          <w:color w:val="000000" w:themeColor="text1"/>
        </w:rPr>
        <w:t xml:space="preserve"> on competing</w:t>
      </w:r>
      <w:r w:rsidR="00085955" w:rsidRPr="00082E34">
        <w:rPr>
          <w:rFonts w:ascii="Arial" w:hAnsi="Arial" w:cs="Arial"/>
          <w:color w:val="000000" w:themeColor="text1"/>
        </w:rPr>
        <w:t xml:space="preserve"> </w:t>
      </w:r>
      <w:r w:rsidR="00E26C06" w:rsidRPr="00082E34">
        <w:rPr>
          <w:rFonts w:ascii="Arial" w:hAnsi="Arial" w:cs="Arial"/>
          <w:color w:val="000000" w:themeColor="text1"/>
        </w:rPr>
        <w:t>trading venues or traded OTC</w:t>
      </w:r>
      <w:r w:rsidR="00085955" w:rsidRPr="00082E34">
        <w:rPr>
          <w:rFonts w:ascii="Arial" w:hAnsi="Arial" w:cs="Arial"/>
          <w:color w:val="000000" w:themeColor="text1"/>
        </w:rPr>
        <w:t>.</w:t>
      </w:r>
    </w:p>
    <w:p w14:paraId="0FE2D30A" w14:textId="77777777" w:rsidR="00E26C06" w:rsidRPr="00082E34" w:rsidRDefault="00E26C06" w:rsidP="00DF1E4B">
      <w:pPr>
        <w:jc w:val="both"/>
        <w:rPr>
          <w:rFonts w:ascii="Arial" w:hAnsi="Arial" w:cs="Arial"/>
          <w:color w:val="000000" w:themeColor="text1"/>
        </w:rPr>
      </w:pPr>
    </w:p>
    <w:p w14:paraId="698FAF81" w14:textId="16F2B41D" w:rsidR="00DF1E4B" w:rsidRPr="00082E34" w:rsidRDefault="00313B2B" w:rsidP="00DF1E4B">
      <w:pPr>
        <w:jc w:val="both"/>
        <w:rPr>
          <w:rFonts w:ascii="Arial" w:hAnsi="Arial" w:cs="Arial"/>
          <w:color w:val="000000" w:themeColor="text1"/>
        </w:rPr>
      </w:pPr>
      <w:r w:rsidRPr="00082E34">
        <w:rPr>
          <w:rFonts w:ascii="Arial" w:hAnsi="Arial" w:cs="Arial"/>
          <w:color w:val="000000" w:themeColor="text1"/>
        </w:rPr>
        <w:t>T</w:t>
      </w:r>
      <w:r w:rsidR="00DF1E4B" w:rsidRPr="00082E34">
        <w:rPr>
          <w:rFonts w:ascii="Arial" w:hAnsi="Arial" w:cs="Arial"/>
          <w:color w:val="000000" w:themeColor="text1"/>
        </w:rPr>
        <w:t xml:space="preserve">rading venues </w:t>
      </w:r>
      <w:r w:rsidRPr="00082E34">
        <w:rPr>
          <w:rFonts w:ascii="Arial" w:hAnsi="Arial" w:cs="Arial"/>
          <w:color w:val="000000" w:themeColor="text1"/>
        </w:rPr>
        <w:t xml:space="preserve">have no possibility </w:t>
      </w:r>
      <w:r w:rsidR="00DF1E4B" w:rsidRPr="00082E34">
        <w:rPr>
          <w:rFonts w:ascii="Arial" w:hAnsi="Arial" w:cs="Arial"/>
          <w:color w:val="000000" w:themeColor="text1"/>
        </w:rPr>
        <w:t>to verify the data th</w:t>
      </w:r>
      <w:r w:rsidR="00F81040" w:rsidRPr="00082E34">
        <w:rPr>
          <w:rFonts w:ascii="Arial" w:hAnsi="Arial" w:cs="Arial"/>
          <w:color w:val="000000" w:themeColor="text1"/>
        </w:rPr>
        <w:t>r</w:t>
      </w:r>
      <w:r w:rsidR="00DF1E4B" w:rsidRPr="00082E34">
        <w:rPr>
          <w:rFonts w:ascii="Arial" w:hAnsi="Arial" w:cs="Arial"/>
          <w:color w:val="000000" w:themeColor="text1"/>
        </w:rPr>
        <w:t>ough a cross-</w:t>
      </w:r>
      <w:r w:rsidR="00480734" w:rsidRPr="00082E34">
        <w:rPr>
          <w:rFonts w:ascii="Arial" w:hAnsi="Arial" w:cs="Arial"/>
          <w:color w:val="000000" w:themeColor="text1"/>
        </w:rPr>
        <w:t>reference</w:t>
      </w:r>
      <w:r w:rsidR="0006026E" w:rsidRPr="00082E34">
        <w:rPr>
          <w:rFonts w:ascii="Arial" w:hAnsi="Arial" w:cs="Arial"/>
          <w:color w:val="000000" w:themeColor="text1"/>
        </w:rPr>
        <w:t xml:space="preserve"> with </w:t>
      </w:r>
      <w:r w:rsidR="00E26C06" w:rsidRPr="00082E34">
        <w:rPr>
          <w:rFonts w:ascii="Arial" w:hAnsi="Arial" w:cs="Arial"/>
          <w:color w:val="000000" w:themeColor="text1"/>
        </w:rPr>
        <w:t xml:space="preserve">the </w:t>
      </w:r>
      <w:r w:rsidR="0006026E" w:rsidRPr="00082E34">
        <w:rPr>
          <w:rFonts w:ascii="Arial" w:hAnsi="Arial" w:cs="Arial"/>
          <w:color w:val="000000" w:themeColor="text1"/>
        </w:rPr>
        <w:t>competing trading venues</w:t>
      </w:r>
      <w:r w:rsidRPr="00082E34">
        <w:rPr>
          <w:rFonts w:ascii="Arial" w:hAnsi="Arial" w:cs="Arial"/>
          <w:color w:val="000000" w:themeColor="text1"/>
        </w:rPr>
        <w:t>,</w:t>
      </w:r>
      <w:r w:rsidR="00E26C06" w:rsidRPr="00082E34">
        <w:rPr>
          <w:rFonts w:ascii="Arial" w:hAnsi="Arial" w:cs="Arial"/>
          <w:color w:val="000000" w:themeColor="text1"/>
        </w:rPr>
        <w:t xml:space="preserve"> and such </w:t>
      </w:r>
      <w:r w:rsidR="00C0559A" w:rsidRPr="00082E34">
        <w:rPr>
          <w:rFonts w:ascii="Arial" w:hAnsi="Arial" w:cs="Arial"/>
          <w:color w:val="000000" w:themeColor="text1"/>
        </w:rPr>
        <w:t xml:space="preserve">extended </w:t>
      </w:r>
      <w:r w:rsidR="00E26C06" w:rsidRPr="00082E34">
        <w:rPr>
          <w:rFonts w:ascii="Arial" w:hAnsi="Arial" w:cs="Arial"/>
          <w:color w:val="000000" w:themeColor="text1"/>
        </w:rPr>
        <w:t>monitoring activity is not part of the trading venues</w:t>
      </w:r>
      <w:r w:rsidR="00C0559A" w:rsidRPr="00082E34">
        <w:rPr>
          <w:rFonts w:ascii="Arial" w:hAnsi="Arial" w:cs="Arial"/>
          <w:color w:val="000000" w:themeColor="text1"/>
        </w:rPr>
        <w:t xml:space="preserve"> duties</w:t>
      </w:r>
      <w:r w:rsidR="00DF1E4B" w:rsidRPr="00082E34">
        <w:rPr>
          <w:rFonts w:ascii="Arial" w:hAnsi="Arial" w:cs="Arial"/>
          <w:color w:val="000000" w:themeColor="text1"/>
        </w:rPr>
        <w:t xml:space="preserve">. </w:t>
      </w:r>
      <w:r w:rsidRPr="00082E34">
        <w:rPr>
          <w:rFonts w:ascii="Arial" w:hAnsi="Arial" w:cs="Arial"/>
          <w:color w:val="000000" w:themeColor="text1"/>
        </w:rPr>
        <w:t>S</w:t>
      </w:r>
      <w:r w:rsidR="00C0559A" w:rsidRPr="00082E34">
        <w:rPr>
          <w:rFonts w:ascii="Arial" w:hAnsi="Arial" w:cs="Arial"/>
          <w:color w:val="000000" w:themeColor="text1"/>
        </w:rPr>
        <w:t xml:space="preserve">uch </w:t>
      </w:r>
      <w:r w:rsidR="00DF1E4B" w:rsidRPr="00082E34">
        <w:rPr>
          <w:rFonts w:ascii="Arial" w:hAnsi="Arial" w:cs="Arial"/>
          <w:color w:val="000000" w:themeColor="text1"/>
        </w:rPr>
        <w:t>power</w:t>
      </w:r>
      <w:r w:rsidR="00F81040" w:rsidRPr="00082E34">
        <w:rPr>
          <w:rFonts w:ascii="Arial" w:hAnsi="Arial" w:cs="Arial"/>
          <w:color w:val="000000" w:themeColor="text1"/>
        </w:rPr>
        <w:t xml:space="preserve">s should remain within the </w:t>
      </w:r>
      <w:r w:rsidR="00263FD3" w:rsidRPr="00082E34">
        <w:rPr>
          <w:rFonts w:ascii="Arial" w:hAnsi="Arial" w:cs="Arial"/>
          <w:color w:val="000000" w:themeColor="text1"/>
        </w:rPr>
        <w:t>N</w:t>
      </w:r>
      <w:r w:rsidR="00DF1E4B" w:rsidRPr="00082E34">
        <w:rPr>
          <w:rFonts w:ascii="Arial" w:hAnsi="Arial" w:cs="Arial"/>
          <w:color w:val="000000" w:themeColor="text1"/>
        </w:rPr>
        <w:t>CA</w:t>
      </w:r>
      <w:r w:rsidR="00480734" w:rsidRPr="00082E34">
        <w:rPr>
          <w:rFonts w:ascii="Arial" w:hAnsi="Arial" w:cs="Arial"/>
          <w:color w:val="000000" w:themeColor="text1"/>
        </w:rPr>
        <w:t>s</w:t>
      </w:r>
      <w:r w:rsidRPr="00082E34">
        <w:rPr>
          <w:rFonts w:ascii="Arial" w:hAnsi="Arial" w:cs="Arial"/>
          <w:color w:val="000000" w:themeColor="text1"/>
        </w:rPr>
        <w:t xml:space="preserve"> mandate, as they </w:t>
      </w:r>
      <w:r w:rsidR="0006026E" w:rsidRPr="00082E34">
        <w:rPr>
          <w:rFonts w:ascii="Arial" w:hAnsi="Arial" w:cs="Arial"/>
          <w:color w:val="000000" w:themeColor="text1"/>
        </w:rPr>
        <w:t xml:space="preserve">have a </w:t>
      </w:r>
      <w:r w:rsidRPr="00082E34">
        <w:rPr>
          <w:rFonts w:ascii="Arial" w:hAnsi="Arial" w:cs="Arial"/>
          <w:color w:val="000000" w:themeColor="text1"/>
        </w:rPr>
        <w:t>broader</w:t>
      </w:r>
      <w:r w:rsidR="0006026E" w:rsidRPr="00082E34">
        <w:rPr>
          <w:rFonts w:ascii="Arial" w:hAnsi="Arial" w:cs="Arial"/>
          <w:color w:val="000000" w:themeColor="text1"/>
        </w:rPr>
        <w:t xml:space="preserve"> perspectiv</w:t>
      </w:r>
      <w:r w:rsidRPr="00082E34">
        <w:rPr>
          <w:rFonts w:ascii="Arial" w:hAnsi="Arial" w:cs="Arial"/>
          <w:color w:val="000000" w:themeColor="text1"/>
        </w:rPr>
        <w:t xml:space="preserve">e, </w:t>
      </w:r>
      <w:r w:rsidR="0006026E" w:rsidRPr="00082E34">
        <w:rPr>
          <w:rFonts w:ascii="Arial" w:hAnsi="Arial" w:cs="Arial"/>
          <w:color w:val="000000" w:themeColor="text1"/>
        </w:rPr>
        <w:t xml:space="preserve">are entitled to </w:t>
      </w:r>
      <w:r w:rsidR="00DF1E4B" w:rsidRPr="00082E34">
        <w:rPr>
          <w:rFonts w:ascii="Arial" w:hAnsi="Arial" w:cs="Arial"/>
          <w:color w:val="000000" w:themeColor="text1"/>
        </w:rPr>
        <w:t xml:space="preserve">carry out </w:t>
      </w:r>
      <w:r w:rsidRPr="00082E34">
        <w:rPr>
          <w:rFonts w:ascii="Arial" w:hAnsi="Arial" w:cs="Arial"/>
          <w:color w:val="000000" w:themeColor="text1"/>
        </w:rPr>
        <w:t>the</w:t>
      </w:r>
      <w:r w:rsidR="00DF1E4B" w:rsidRPr="00082E34">
        <w:rPr>
          <w:rFonts w:ascii="Arial" w:hAnsi="Arial" w:cs="Arial"/>
          <w:color w:val="000000" w:themeColor="text1"/>
        </w:rPr>
        <w:t xml:space="preserve"> </w:t>
      </w:r>
      <w:r w:rsidRPr="00082E34">
        <w:rPr>
          <w:rFonts w:ascii="Arial" w:hAnsi="Arial" w:cs="Arial"/>
          <w:color w:val="000000" w:themeColor="text1"/>
        </w:rPr>
        <w:t>analysis</w:t>
      </w:r>
      <w:r w:rsidR="00F81040" w:rsidRPr="00082E34">
        <w:rPr>
          <w:rFonts w:ascii="Arial" w:hAnsi="Arial" w:cs="Arial"/>
          <w:color w:val="000000" w:themeColor="text1"/>
        </w:rPr>
        <w:t xml:space="preserve"> and share information</w:t>
      </w:r>
      <w:r w:rsidR="0006026E" w:rsidRPr="00082E34">
        <w:rPr>
          <w:rFonts w:ascii="Arial" w:hAnsi="Arial" w:cs="Arial"/>
          <w:color w:val="000000" w:themeColor="text1"/>
        </w:rPr>
        <w:t xml:space="preserve"> </w:t>
      </w:r>
      <w:r w:rsidRPr="00082E34">
        <w:rPr>
          <w:rFonts w:ascii="Arial" w:hAnsi="Arial" w:cs="Arial"/>
          <w:color w:val="000000" w:themeColor="text1"/>
        </w:rPr>
        <w:t>among</w:t>
      </w:r>
      <w:r w:rsidR="0006026E" w:rsidRPr="00082E34">
        <w:rPr>
          <w:rFonts w:ascii="Arial" w:hAnsi="Arial" w:cs="Arial"/>
          <w:color w:val="000000" w:themeColor="text1"/>
        </w:rPr>
        <w:t xml:space="preserve"> them</w:t>
      </w:r>
      <w:r w:rsidRPr="00082E34">
        <w:rPr>
          <w:rFonts w:ascii="Arial" w:hAnsi="Arial" w:cs="Arial"/>
          <w:color w:val="000000" w:themeColor="text1"/>
        </w:rPr>
        <w:t>selves</w:t>
      </w:r>
      <w:r w:rsidR="00DF1E4B" w:rsidRPr="00082E34">
        <w:rPr>
          <w:rFonts w:ascii="Arial" w:hAnsi="Arial" w:cs="Arial"/>
          <w:color w:val="000000" w:themeColor="text1"/>
        </w:rPr>
        <w:t>.</w:t>
      </w:r>
    </w:p>
    <w:p w14:paraId="2E187240" w14:textId="67436A9B" w:rsidR="008D5E47" w:rsidRPr="00937119" w:rsidRDefault="008D5E47" w:rsidP="00082E34">
      <w:pPr>
        <w:jc w:val="both"/>
        <w:rPr>
          <w:rFonts w:ascii="Arial" w:hAnsi="Arial" w:cs="Arial"/>
          <w:color w:val="FF0000"/>
          <w:lang w:val="en-US"/>
        </w:rPr>
      </w:pPr>
    </w:p>
    <w:permEnd w:id="1622299829"/>
    <w:p w14:paraId="7AE3D47E" w14:textId="77777777" w:rsidR="00D5365A" w:rsidRDefault="00D5365A" w:rsidP="00D5365A">
      <w:pPr>
        <w:rPr>
          <w:rFonts w:ascii="Arial" w:hAnsi="Arial" w:cs="Arial"/>
        </w:rPr>
      </w:pPr>
      <w:r>
        <w:rPr>
          <w:rFonts w:ascii="Arial" w:hAnsi="Arial" w:cs="Arial"/>
        </w:rPr>
        <w:t>&lt;ESMA_QUESTION_WPR_9&gt;</w:t>
      </w:r>
    </w:p>
    <w:p w14:paraId="115BDE69" w14:textId="77777777" w:rsidR="00D5365A" w:rsidRDefault="00D5365A" w:rsidP="00D5365A">
      <w:pPr>
        <w:rPr>
          <w:rFonts w:ascii="Arial" w:hAnsi="Arial" w:cs="Arial"/>
        </w:rPr>
      </w:pPr>
    </w:p>
    <w:p w14:paraId="0C7026B5" w14:textId="77777777" w:rsidR="00D5365A" w:rsidRDefault="00D5365A" w:rsidP="00D5365A">
      <w:pPr>
        <w:rPr>
          <w:rFonts w:ascii="Arial" w:hAnsi="Arial" w:cs="Arial"/>
        </w:rPr>
      </w:pPr>
    </w:p>
    <w:p w14:paraId="4589A8F2" w14:textId="77777777" w:rsidR="00D5365A" w:rsidRPr="002847A4" w:rsidRDefault="00D5365A" w:rsidP="00D5365A">
      <w:pPr>
        <w:rPr>
          <w:b/>
        </w:rPr>
      </w:pPr>
      <w:r w:rsidRPr="002847A4">
        <w:rPr>
          <w:b/>
        </w:rPr>
        <w:t>Part II</w:t>
      </w:r>
    </w:p>
    <w:p w14:paraId="4D2338C9" w14:textId="77777777" w:rsidR="00D5365A" w:rsidRDefault="00D5365A" w:rsidP="00D5365A">
      <w:pPr>
        <w:rPr>
          <w:rFonts w:ascii="Arial" w:hAnsi="Arial" w:cs="Arial"/>
        </w:rPr>
      </w:pPr>
    </w:p>
    <w:p w14:paraId="5B464DEF" w14:textId="77777777" w:rsidR="00D5365A" w:rsidRDefault="00D5365A" w:rsidP="00D5365A">
      <w:pPr>
        <w:pStyle w:val="Questionstyle"/>
        <w:numPr>
          <w:ilvl w:val="0"/>
          <w:numId w:val="17"/>
        </w:numPr>
        <w:spacing w:after="250" w:line="276" w:lineRule="auto"/>
        <w:rPr>
          <w:rFonts w:ascii="Arial" w:hAnsi="Arial" w:cs="Arial"/>
        </w:rPr>
      </w:pPr>
      <w:r>
        <w:t xml:space="preserve">: Do you agree with the revised proposed minimum threshold level for the open interest criterion for the publication of weekly position reports? If not, please state your preferred alternative for the definition of this threshold and explain why. </w:t>
      </w:r>
    </w:p>
    <w:p w14:paraId="3328BEA3" w14:textId="77777777" w:rsidR="00D5365A" w:rsidRDefault="00D5365A" w:rsidP="00D5365A">
      <w:pPr>
        <w:rPr>
          <w:rFonts w:ascii="Arial" w:hAnsi="Arial" w:cs="Arial"/>
        </w:rPr>
      </w:pPr>
      <w:r>
        <w:rPr>
          <w:rFonts w:ascii="Arial" w:hAnsi="Arial" w:cs="Arial"/>
        </w:rPr>
        <w:t>&lt;ESMA_QUESTION_WPR_10&gt;</w:t>
      </w:r>
    </w:p>
    <w:p w14:paraId="72433919" w14:textId="59BCC703" w:rsidR="000F0F73" w:rsidRPr="00DF1E4B" w:rsidRDefault="00DD320E" w:rsidP="001C77F4">
      <w:pPr>
        <w:jc w:val="both"/>
        <w:rPr>
          <w:rFonts w:ascii="Arial" w:hAnsi="Arial" w:cs="Arial"/>
        </w:rPr>
      </w:pPr>
      <w:permStart w:id="1148997508" w:edGrp="everyone"/>
      <w:r>
        <w:rPr>
          <w:rFonts w:ascii="Arial" w:hAnsi="Arial" w:cs="Arial"/>
        </w:rPr>
        <w:t>W</w:t>
      </w:r>
      <w:r w:rsidRPr="000B797F">
        <w:rPr>
          <w:rFonts w:ascii="Arial" w:hAnsi="Arial" w:cs="Arial"/>
        </w:rPr>
        <w:t xml:space="preserve">e agree that the criterion </w:t>
      </w:r>
      <w:r w:rsidRPr="00082E34">
        <w:rPr>
          <w:rFonts w:ascii="Arial" w:hAnsi="Arial" w:cs="Arial"/>
          <w:color w:val="000000" w:themeColor="text1"/>
        </w:rPr>
        <w:t xml:space="preserve">proposed is </w:t>
      </w:r>
      <w:r w:rsidR="001C77F4" w:rsidRPr="00082E34">
        <w:rPr>
          <w:rFonts w:ascii="Arial" w:hAnsi="Arial" w:cs="Arial"/>
          <w:color w:val="000000" w:themeColor="text1"/>
        </w:rPr>
        <w:t xml:space="preserve">easier to measure and thus </w:t>
      </w:r>
      <w:r w:rsidRPr="00082E34">
        <w:rPr>
          <w:rFonts w:ascii="Arial" w:hAnsi="Arial" w:cs="Arial"/>
          <w:color w:val="000000" w:themeColor="text1"/>
        </w:rPr>
        <w:t xml:space="preserve">preferable. </w:t>
      </w:r>
      <w:r w:rsidR="001C77F4" w:rsidRPr="00082E34">
        <w:rPr>
          <w:rFonts w:ascii="Arial" w:hAnsi="Arial" w:cs="Arial"/>
          <w:color w:val="000000" w:themeColor="text1"/>
        </w:rPr>
        <w:t>T</w:t>
      </w:r>
      <w:r w:rsidRPr="00082E34">
        <w:rPr>
          <w:rFonts w:ascii="Arial" w:hAnsi="Arial" w:cs="Arial"/>
          <w:color w:val="000000" w:themeColor="text1"/>
        </w:rPr>
        <w:t xml:space="preserve">o prevent that the obligation to produce a weekly report depends on how a trading </w:t>
      </w:r>
      <w:r>
        <w:rPr>
          <w:rFonts w:ascii="Arial" w:hAnsi="Arial" w:cs="Arial"/>
        </w:rPr>
        <w:t xml:space="preserve">venue defines the lot, </w:t>
      </w:r>
      <w:r w:rsidR="001C77F4">
        <w:rPr>
          <w:rFonts w:ascii="Arial" w:hAnsi="Arial" w:cs="Arial"/>
        </w:rPr>
        <w:t>we recommend</w:t>
      </w:r>
      <w:r>
        <w:rPr>
          <w:rFonts w:ascii="Arial" w:hAnsi="Arial" w:cs="Arial"/>
        </w:rPr>
        <w:t xml:space="preserve"> </w:t>
      </w:r>
      <w:proofErr w:type="gramStart"/>
      <w:r>
        <w:rPr>
          <w:rFonts w:ascii="Arial" w:hAnsi="Arial" w:cs="Arial"/>
        </w:rPr>
        <w:t>to define</w:t>
      </w:r>
      <w:proofErr w:type="gramEnd"/>
      <w:r>
        <w:rPr>
          <w:rFonts w:ascii="Arial" w:hAnsi="Arial" w:cs="Arial"/>
        </w:rPr>
        <w:t xml:space="preserve"> for each derivative </w:t>
      </w:r>
      <w:r w:rsidR="00AE038A">
        <w:rPr>
          <w:rFonts w:ascii="Arial" w:hAnsi="Arial" w:cs="Arial"/>
        </w:rPr>
        <w:t xml:space="preserve">contract </w:t>
      </w:r>
      <w:r>
        <w:rPr>
          <w:rFonts w:ascii="Arial" w:hAnsi="Arial" w:cs="Arial"/>
        </w:rPr>
        <w:t xml:space="preserve">a </w:t>
      </w:r>
      <w:r w:rsidR="00AE038A">
        <w:rPr>
          <w:rFonts w:ascii="Arial" w:hAnsi="Arial" w:cs="Arial"/>
        </w:rPr>
        <w:t>“</w:t>
      </w:r>
      <w:r>
        <w:rPr>
          <w:rFonts w:ascii="Arial" w:hAnsi="Arial" w:cs="Arial"/>
        </w:rPr>
        <w:t>standard lot</w:t>
      </w:r>
      <w:r w:rsidR="00AE038A">
        <w:rPr>
          <w:rFonts w:ascii="Arial" w:hAnsi="Arial" w:cs="Arial"/>
        </w:rPr>
        <w:t>”</w:t>
      </w:r>
      <w:r>
        <w:rPr>
          <w:rFonts w:ascii="Arial" w:hAnsi="Arial" w:cs="Arial"/>
        </w:rPr>
        <w:t xml:space="preserve"> as a certain amount of the underlying commodity</w:t>
      </w:r>
      <w:r w:rsidR="001C77F4">
        <w:rPr>
          <w:rFonts w:ascii="Arial" w:hAnsi="Arial" w:cs="Arial"/>
        </w:rPr>
        <w:t>.</w:t>
      </w:r>
    </w:p>
    <w:permEnd w:id="1148997508"/>
    <w:p w14:paraId="17F277CF" w14:textId="77777777" w:rsidR="00D5365A" w:rsidRDefault="00D5365A" w:rsidP="00D5365A">
      <w:pPr>
        <w:rPr>
          <w:rFonts w:ascii="Arial" w:hAnsi="Arial" w:cs="Arial"/>
        </w:rPr>
      </w:pPr>
      <w:r>
        <w:rPr>
          <w:rFonts w:ascii="Arial" w:hAnsi="Arial" w:cs="Arial"/>
        </w:rPr>
        <w:t>&lt;ESMA_QUESTION_WPR_10&gt;</w:t>
      </w:r>
    </w:p>
    <w:p w14:paraId="4BEB0043" w14:textId="77777777" w:rsidR="00D5365A" w:rsidRDefault="00D5365A" w:rsidP="00D5365A">
      <w:pPr>
        <w:rPr>
          <w:rFonts w:ascii="Arial" w:hAnsi="Arial" w:cs="Arial"/>
        </w:rPr>
      </w:pPr>
    </w:p>
    <w:p w14:paraId="1175EFCC" w14:textId="77777777" w:rsidR="00D5365A" w:rsidRDefault="00D5365A" w:rsidP="00D5365A">
      <w:pPr>
        <w:pStyle w:val="Questionstyle"/>
        <w:numPr>
          <w:ilvl w:val="0"/>
          <w:numId w:val="17"/>
        </w:numPr>
        <w:spacing w:after="250" w:line="276" w:lineRule="auto"/>
        <w:rPr>
          <w:rFonts w:ascii="Arial" w:hAnsi="Arial" w:cs="Arial"/>
        </w:rPr>
      </w:pPr>
      <w:r>
        <w:t>: Do you have any comment on the current number of position holders required for the publication of weekly position reports?</w:t>
      </w:r>
    </w:p>
    <w:p w14:paraId="747D1656" w14:textId="77777777" w:rsidR="00D5365A" w:rsidRDefault="00D5365A" w:rsidP="00D5365A">
      <w:pPr>
        <w:rPr>
          <w:rFonts w:ascii="Arial" w:hAnsi="Arial" w:cs="Arial"/>
        </w:rPr>
      </w:pPr>
      <w:r>
        <w:rPr>
          <w:rFonts w:ascii="Arial" w:hAnsi="Arial" w:cs="Arial"/>
        </w:rPr>
        <w:t>&lt;ESMA_QUESTION_WPR_11&gt;</w:t>
      </w:r>
    </w:p>
    <w:p w14:paraId="40848086" w14:textId="4C1D2C2C" w:rsidR="000F0F73" w:rsidRPr="00DB57DC" w:rsidRDefault="00443511" w:rsidP="00D5365A">
      <w:pPr>
        <w:rPr>
          <w:rFonts w:ascii="Arial" w:hAnsi="Arial" w:cs="Arial"/>
        </w:rPr>
      </w:pPr>
      <w:permStart w:id="220101456" w:edGrp="everyone"/>
      <w:r w:rsidRPr="00DB57DC">
        <w:rPr>
          <w:rFonts w:ascii="Arial" w:hAnsi="Arial" w:cs="Arial"/>
        </w:rPr>
        <w:t>We do not have any comment.</w:t>
      </w:r>
    </w:p>
    <w:permEnd w:id="220101456"/>
    <w:p w14:paraId="36435DF6" w14:textId="77777777" w:rsidR="00D5365A" w:rsidRDefault="00D5365A" w:rsidP="00D5365A">
      <w:pPr>
        <w:rPr>
          <w:rFonts w:ascii="Arial" w:hAnsi="Arial" w:cs="Arial"/>
        </w:rPr>
      </w:pPr>
      <w:r>
        <w:rPr>
          <w:rFonts w:ascii="Arial" w:hAnsi="Arial" w:cs="Arial"/>
        </w:rPr>
        <w:t>&lt;ESMA_QUESTION_WPR_11&gt;</w:t>
      </w:r>
    </w:p>
    <w:p w14:paraId="51787E08" w14:textId="77777777" w:rsidR="00D5365A" w:rsidRDefault="00D5365A" w:rsidP="00D5365A">
      <w:pPr>
        <w:rPr>
          <w:rFonts w:ascii="Arial" w:hAnsi="Arial" w:cs="Arial"/>
        </w:rPr>
      </w:pPr>
    </w:p>
    <w:p w14:paraId="1687E6AE" w14:textId="77777777" w:rsidR="00D5365A" w:rsidRDefault="00D5365A" w:rsidP="00D5365A">
      <w:pPr>
        <w:rPr>
          <w:rFonts w:ascii="Arial" w:hAnsi="Arial" w:cs="Arial"/>
        </w:rPr>
      </w:pPr>
    </w:p>
    <w:bookmarkEnd w:id="0"/>
    <w:p w14:paraId="76A958A8" w14:textId="77777777"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DC96" w14:textId="77777777" w:rsidR="00941AC3" w:rsidRDefault="00941AC3" w:rsidP="007E7997">
      <w:r>
        <w:separator/>
      </w:r>
    </w:p>
  </w:endnote>
  <w:endnote w:type="continuationSeparator" w:id="0">
    <w:p w14:paraId="7F1D0DD4" w14:textId="77777777" w:rsidR="00941AC3" w:rsidRDefault="00941AC3" w:rsidP="007E7997">
      <w:r>
        <w:continuationSeparator/>
      </w:r>
    </w:p>
  </w:endnote>
  <w:endnote w:type="continuationNotice" w:id="1">
    <w:p w14:paraId="11EB0882" w14:textId="77777777" w:rsidR="00941AC3" w:rsidRDefault="00941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40F66E84" w14:textId="77777777" w:rsidR="00FA0B37" w:rsidRDefault="00FA0B3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8FAA5F4" w14:textId="77777777" w:rsidR="00FA0B37" w:rsidRDefault="00FA0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E92B" w14:textId="77777777" w:rsidR="00FA0B37" w:rsidRDefault="00FA0B37"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5 November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78346DA7" w14:textId="77777777" w:rsidR="00FA0B37" w:rsidRDefault="00FA0B37">
        <w:pPr>
          <w:pStyle w:val="Footer"/>
          <w:jc w:val="center"/>
        </w:pPr>
        <w:r>
          <w:fldChar w:fldCharType="begin"/>
        </w:r>
        <w:r>
          <w:instrText xml:space="preserve"> PAGE   \* MERGEFORMAT </w:instrText>
        </w:r>
        <w:r>
          <w:fldChar w:fldCharType="separate"/>
        </w:r>
        <w:r w:rsidR="00E579FF">
          <w:rPr>
            <w:noProof/>
          </w:rPr>
          <w:t>1</w:t>
        </w:r>
        <w:r>
          <w:rPr>
            <w:noProof/>
          </w:rPr>
          <w:fldChar w:fldCharType="end"/>
        </w:r>
      </w:p>
    </w:sdtContent>
  </w:sdt>
  <w:p w14:paraId="0E5F8C2B" w14:textId="77777777" w:rsidR="00FA0B37" w:rsidRDefault="00FA0B37"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36A0" w14:textId="77777777" w:rsidR="00941AC3" w:rsidRDefault="00941AC3" w:rsidP="007E7997">
      <w:r>
        <w:separator/>
      </w:r>
    </w:p>
  </w:footnote>
  <w:footnote w:type="continuationSeparator" w:id="0">
    <w:p w14:paraId="5828D1E7" w14:textId="77777777" w:rsidR="00941AC3" w:rsidRDefault="00941AC3" w:rsidP="007E7997">
      <w:r>
        <w:continuationSeparator/>
      </w:r>
    </w:p>
  </w:footnote>
  <w:footnote w:type="continuationNotice" w:id="1">
    <w:p w14:paraId="5478E976" w14:textId="77777777" w:rsidR="00941AC3" w:rsidRDefault="00941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5ACC" w14:textId="77777777" w:rsidR="00FA0B37" w:rsidRDefault="00FA0B37">
    <w:pPr>
      <w:pStyle w:val="Header"/>
    </w:pPr>
  </w:p>
  <w:p w14:paraId="0B74ED66" w14:textId="77777777" w:rsidR="00FA0B37" w:rsidRDefault="00FA0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C799" w14:textId="77777777" w:rsidR="00FA0B37" w:rsidRDefault="00FA0B37">
    <w:pPr>
      <w:pStyle w:val="Header"/>
    </w:pPr>
    <w:r>
      <w:rPr>
        <w:noProof/>
        <w:lang w:val="en-US" w:eastAsia="en-US"/>
      </w:rPr>
      <w:drawing>
        <wp:anchor distT="0" distB="0" distL="114300" distR="114300" simplePos="0" relativeHeight="251658752" behindDoc="0" locked="0" layoutInCell="1" allowOverlap="1" wp14:anchorId="28582DA2" wp14:editId="59DB61B6">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5040765B" wp14:editId="540968D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A843" w14:textId="77777777" w:rsidR="00FA0B37" w:rsidRDefault="00FA0B37"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0807A32D" wp14:editId="280BA920">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04CC5"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7E68F085" w14:textId="77777777" w:rsidR="00FA0B37" w:rsidRPr="00D13661" w:rsidRDefault="00FA0B37"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5680" behindDoc="0" locked="0" layoutInCell="1" allowOverlap="1" wp14:anchorId="6263F7CE" wp14:editId="3026891B">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1AE02AE2" w14:textId="77777777" w:rsidR="00FA0B37" w:rsidRPr="00C3170E" w:rsidRDefault="00FA0B37" w:rsidP="00B50534">
    <w:pPr>
      <w:pStyle w:val="Header"/>
      <w:jc w:val="right"/>
      <w:rPr>
        <w:color w:val="2F5496" w:themeColor="accent5" w:themeShade="BF"/>
        <w:sz w:val="20"/>
      </w:rPr>
    </w:pPr>
  </w:p>
  <w:p w14:paraId="24D9F0A7" w14:textId="77777777" w:rsidR="00FA0B37" w:rsidRPr="00B50534" w:rsidRDefault="00FA0B37"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D7257"/>
    <w:multiLevelType w:val="hybridMultilevel"/>
    <w:tmpl w:val="482C3B12"/>
    <w:lvl w:ilvl="0" w:tplc="FBB608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9306E"/>
    <w:multiLevelType w:val="hybridMultilevel"/>
    <w:tmpl w:val="39168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F74391"/>
    <w:multiLevelType w:val="hybridMultilevel"/>
    <w:tmpl w:val="918C0F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9725065"/>
    <w:multiLevelType w:val="hybridMultilevel"/>
    <w:tmpl w:val="B11AE9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062BCF"/>
    <w:multiLevelType w:val="hybridMultilevel"/>
    <w:tmpl w:val="CD8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3"/>
  </w:num>
  <w:num w:numId="4">
    <w:abstractNumId w:val="3"/>
  </w:num>
  <w:num w:numId="5">
    <w:abstractNumId w:val="10"/>
  </w:num>
  <w:num w:numId="6">
    <w:abstractNumId w:val="15"/>
  </w:num>
  <w:num w:numId="7">
    <w:abstractNumId w:val="9"/>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num>
  <w:num w:numId="20">
    <w:abstractNumId w:val="8"/>
  </w:num>
  <w:num w:numId="21">
    <w:abstractNumId w:val="1"/>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pt-BR"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3T4gHCw/36fZJqGjBpVdxSvdxJQQuQQ0Z20mR1FA0lQXwCE12LqF/2U4umVg3AevknaitzM/1I4cfr8FMyFGGw==" w:salt="5FaIoUXA3WEmdJfgWb4/l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1EE"/>
    <w:rsid w:val="00036C09"/>
    <w:rsid w:val="000372BF"/>
    <w:rsid w:val="00040A16"/>
    <w:rsid w:val="00040A52"/>
    <w:rsid w:val="00044C5A"/>
    <w:rsid w:val="00044E0A"/>
    <w:rsid w:val="000461AB"/>
    <w:rsid w:val="00053549"/>
    <w:rsid w:val="00054E00"/>
    <w:rsid w:val="0006026E"/>
    <w:rsid w:val="00061B2B"/>
    <w:rsid w:val="0006448C"/>
    <w:rsid w:val="0006449B"/>
    <w:rsid w:val="000655AD"/>
    <w:rsid w:val="00066FD1"/>
    <w:rsid w:val="00072BF9"/>
    <w:rsid w:val="00073DF9"/>
    <w:rsid w:val="0007767E"/>
    <w:rsid w:val="0007796D"/>
    <w:rsid w:val="00082E34"/>
    <w:rsid w:val="000830DA"/>
    <w:rsid w:val="00083FBB"/>
    <w:rsid w:val="00085955"/>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B797F"/>
    <w:rsid w:val="000C0CE0"/>
    <w:rsid w:val="000C2400"/>
    <w:rsid w:val="000C299C"/>
    <w:rsid w:val="000C5ACC"/>
    <w:rsid w:val="000D0293"/>
    <w:rsid w:val="000D0850"/>
    <w:rsid w:val="000D1038"/>
    <w:rsid w:val="000D11A9"/>
    <w:rsid w:val="000D2D7B"/>
    <w:rsid w:val="000E2232"/>
    <w:rsid w:val="000E3DB1"/>
    <w:rsid w:val="000F0169"/>
    <w:rsid w:val="000F0951"/>
    <w:rsid w:val="000F0F73"/>
    <w:rsid w:val="000F2598"/>
    <w:rsid w:val="000F29C0"/>
    <w:rsid w:val="000F2BE6"/>
    <w:rsid w:val="000F474D"/>
    <w:rsid w:val="000F5C90"/>
    <w:rsid w:val="000F5EA6"/>
    <w:rsid w:val="000F616F"/>
    <w:rsid w:val="000F74C4"/>
    <w:rsid w:val="000F7998"/>
    <w:rsid w:val="00100308"/>
    <w:rsid w:val="00100ADC"/>
    <w:rsid w:val="00101D27"/>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470F5"/>
    <w:rsid w:val="001608B2"/>
    <w:rsid w:val="00160B1D"/>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7F4"/>
    <w:rsid w:val="001C7E0A"/>
    <w:rsid w:val="001D0112"/>
    <w:rsid w:val="001D19F5"/>
    <w:rsid w:val="001D385A"/>
    <w:rsid w:val="001D6B39"/>
    <w:rsid w:val="001D6E2E"/>
    <w:rsid w:val="001E1ECD"/>
    <w:rsid w:val="001E3E0D"/>
    <w:rsid w:val="001E4A45"/>
    <w:rsid w:val="001E5E30"/>
    <w:rsid w:val="001F0079"/>
    <w:rsid w:val="001F0479"/>
    <w:rsid w:val="001F1F10"/>
    <w:rsid w:val="001F3999"/>
    <w:rsid w:val="001F3D9D"/>
    <w:rsid w:val="001F6DE1"/>
    <w:rsid w:val="00200894"/>
    <w:rsid w:val="00202333"/>
    <w:rsid w:val="00202FA8"/>
    <w:rsid w:val="002034B8"/>
    <w:rsid w:val="00205922"/>
    <w:rsid w:val="00206FB8"/>
    <w:rsid w:val="0020766F"/>
    <w:rsid w:val="00207A07"/>
    <w:rsid w:val="00210498"/>
    <w:rsid w:val="0021147A"/>
    <w:rsid w:val="00213BFB"/>
    <w:rsid w:val="00217478"/>
    <w:rsid w:val="002228C7"/>
    <w:rsid w:val="00223F79"/>
    <w:rsid w:val="00224806"/>
    <w:rsid w:val="00227835"/>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3FD3"/>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78"/>
    <w:rsid w:val="002B53F3"/>
    <w:rsid w:val="002C03FD"/>
    <w:rsid w:val="002C044D"/>
    <w:rsid w:val="002C1AA5"/>
    <w:rsid w:val="002C2A46"/>
    <w:rsid w:val="002C3048"/>
    <w:rsid w:val="002C56FD"/>
    <w:rsid w:val="002D2992"/>
    <w:rsid w:val="002D37A0"/>
    <w:rsid w:val="002D5AB5"/>
    <w:rsid w:val="002D6667"/>
    <w:rsid w:val="002D79F3"/>
    <w:rsid w:val="002E1C11"/>
    <w:rsid w:val="002E3D0B"/>
    <w:rsid w:val="002E3E7D"/>
    <w:rsid w:val="002F6279"/>
    <w:rsid w:val="003013B7"/>
    <w:rsid w:val="00301993"/>
    <w:rsid w:val="00301E55"/>
    <w:rsid w:val="00301F47"/>
    <w:rsid w:val="00307397"/>
    <w:rsid w:val="003101EF"/>
    <w:rsid w:val="00312BDD"/>
    <w:rsid w:val="00313B2B"/>
    <w:rsid w:val="00314117"/>
    <w:rsid w:val="00317EDF"/>
    <w:rsid w:val="00324B4C"/>
    <w:rsid w:val="003279E7"/>
    <w:rsid w:val="00327B62"/>
    <w:rsid w:val="00331FE9"/>
    <w:rsid w:val="003327B9"/>
    <w:rsid w:val="0033324D"/>
    <w:rsid w:val="0033587C"/>
    <w:rsid w:val="00336BF9"/>
    <w:rsid w:val="00337047"/>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1EB8"/>
    <w:rsid w:val="00372615"/>
    <w:rsid w:val="003729D3"/>
    <w:rsid w:val="00373A3C"/>
    <w:rsid w:val="00376233"/>
    <w:rsid w:val="00380B30"/>
    <w:rsid w:val="00381784"/>
    <w:rsid w:val="00381EB0"/>
    <w:rsid w:val="00382A72"/>
    <w:rsid w:val="00382EBA"/>
    <w:rsid w:val="0038331A"/>
    <w:rsid w:val="0039135B"/>
    <w:rsid w:val="00392C7F"/>
    <w:rsid w:val="0039403E"/>
    <w:rsid w:val="003A34E7"/>
    <w:rsid w:val="003A3CB1"/>
    <w:rsid w:val="003A3D55"/>
    <w:rsid w:val="003A73A4"/>
    <w:rsid w:val="003B102E"/>
    <w:rsid w:val="003B4E3D"/>
    <w:rsid w:val="003C167E"/>
    <w:rsid w:val="003C481D"/>
    <w:rsid w:val="003C4EB5"/>
    <w:rsid w:val="003D2CED"/>
    <w:rsid w:val="003D344A"/>
    <w:rsid w:val="003D3BB8"/>
    <w:rsid w:val="003D7C07"/>
    <w:rsid w:val="003E0892"/>
    <w:rsid w:val="003E13FD"/>
    <w:rsid w:val="003E1C24"/>
    <w:rsid w:val="003E61FC"/>
    <w:rsid w:val="003E77BC"/>
    <w:rsid w:val="003F0EDF"/>
    <w:rsid w:val="003F20C7"/>
    <w:rsid w:val="003F39B1"/>
    <w:rsid w:val="00400D9C"/>
    <w:rsid w:val="00400FBE"/>
    <w:rsid w:val="004022CF"/>
    <w:rsid w:val="004029B1"/>
    <w:rsid w:val="00403398"/>
    <w:rsid w:val="004038F1"/>
    <w:rsid w:val="00404282"/>
    <w:rsid w:val="0040743A"/>
    <w:rsid w:val="00407623"/>
    <w:rsid w:val="00407A74"/>
    <w:rsid w:val="0041202D"/>
    <w:rsid w:val="00414210"/>
    <w:rsid w:val="004159DB"/>
    <w:rsid w:val="00420FD4"/>
    <w:rsid w:val="004242B3"/>
    <w:rsid w:val="00426D62"/>
    <w:rsid w:val="00427A89"/>
    <w:rsid w:val="00430C5B"/>
    <w:rsid w:val="00431968"/>
    <w:rsid w:val="004332F4"/>
    <w:rsid w:val="00433936"/>
    <w:rsid w:val="0043475E"/>
    <w:rsid w:val="00435FE9"/>
    <w:rsid w:val="00436279"/>
    <w:rsid w:val="0044160B"/>
    <w:rsid w:val="0044199E"/>
    <w:rsid w:val="0044206D"/>
    <w:rsid w:val="00443511"/>
    <w:rsid w:val="00444803"/>
    <w:rsid w:val="00445696"/>
    <w:rsid w:val="00446E5F"/>
    <w:rsid w:val="00450C4E"/>
    <w:rsid w:val="00451D9E"/>
    <w:rsid w:val="0045499B"/>
    <w:rsid w:val="00455577"/>
    <w:rsid w:val="00456795"/>
    <w:rsid w:val="00461CC8"/>
    <w:rsid w:val="00462B2F"/>
    <w:rsid w:val="00465EAA"/>
    <w:rsid w:val="004708CA"/>
    <w:rsid w:val="004709E7"/>
    <w:rsid w:val="00470ADE"/>
    <w:rsid w:val="004712C7"/>
    <w:rsid w:val="004759EB"/>
    <w:rsid w:val="00477919"/>
    <w:rsid w:val="00480734"/>
    <w:rsid w:val="00482611"/>
    <w:rsid w:val="00482A27"/>
    <w:rsid w:val="00487DCE"/>
    <w:rsid w:val="00493867"/>
    <w:rsid w:val="004942A6"/>
    <w:rsid w:val="004950B7"/>
    <w:rsid w:val="00497FEA"/>
    <w:rsid w:val="004B07B2"/>
    <w:rsid w:val="004B0955"/>
    <w:rsid w:val="004B1842"/>
    <w:rsid w:val="004B25D0"/>
    <w:rsid w:val="004B3553"/>
    <w:rsid w:val="004B5E92"/>
    <w:rsid w:val="004C0A30"/>
    <w:rsid w:val="004C2FB1"/>
    <w:rsid w:val="004C357C"/>
    <w:rsid w:val="004C3D18"/>
    <w:rsid w:val="004D42B1"/>
    <w:rsid w:val="004D526F"/>
    <w:rsid w:val="004E19C0"/>
    <w:rsid w:val="004E1C54"/>
    <w:rsid w:val="004E2C37"/>
    <w:rsid w:val="004E5285"/>
    <w:rsid w:val="004F088C"/>
    <w:rsid w:val="004F0CF3"/>
    <w:rsid w:val="004F5740"/>
    <w:rsid w:val="004F58C9"/>
    <w:rsid w:val="005028B9"/>
    <w:rsid w:val="00505E17"/>
    <w:rsid w:val="00511A59"/>
    <w:rsid w:val="00511C3B"/>
    <w:rsid w:val="00514440"/>
    <w:rsid w:val="005166C3"/>
    <w:rsid w:val="00520F7C"/>
    <w:rsid w:val="00522440"/>
    <w:rsid w:val="00523974"/>
    <w:rsid w:val="00526E5D"/>
    <w:rsid w:val="00531432"/>
    <w:rsid w:val="00532BC8"/>
    <w:rsid w:val="005333E8"/>
    <w:rsid w:val="00534763"/>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0896"/>
    <w:rsid w:val="00571DF6"/>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3348"/>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0573"/>
    <w:rsid w:val="00600E46"/>
    <w:rsid w:val="00601541"/>
    <w:rsid w:val="00602AF2"/>
    <w:rsid w:val="0060361E"/>
    <w:rsid w:val="00604A25"/>
    <w:rsid w:val="00606683"/>
    <w:rsid w:val="00613BF6"/>
    <w:rsid w:val="00616D27"/>
    <w:rsid w:val="006234FE"/>
    <w:rsid w:val="00623840"/>
    <w:rsid w:val="006255EC"/>
    <w:rsid w:val="00625A25"/>
    <w:rsid w:val="0062736A"/>
    <w:rsid w:val="0063070E"/>
    <w:rsid w:val="0063565E"/>
    <w:rsid w:val="0063586C"/>
    <w:rsid w:val="00636E02"/>
    <w:rsid w:val="00637C1C"/>
    <w:rsid w:val="00641DB1"/>
    <w:rsid w:val="00642297"/>
    <w:rsid w:val="0064366B"/>
    <w:rsid w:val="00644A34"/>
    <w:rsid w:val="00654824"/>
    <w:rsid w:val="00661766"/>
    <w:rsid w:val="00662882"/>
    <w:rsid w:val="0066298C"/>
    <w:rsid w:val="00663008"/>
    <w:rsid w:val="00663093"/>
    <w:rsid w:val="00665A7C"/>
    <w:rsid w:val="00665B0B"/>
    <w:rsid w:val="006705CD"/>
    <w:rsid w:val="006712E8"/>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B7F9C"/>
    <w:rsid w:val="006C14D7"/>
    <w:rsid w:val="006C1633"/>
    <w:rsid w:val="006C5BF8"/>
    <w:rsid w:val="006C66A8"/>
    <w:rsid w:val="006C7CCB"/>
    <w:rsid w:val="006D6009"/>
    <w:rsid w:val="006D6F21"/>
    <w:rsid w:val="006D7D41"/>
    <w:rsid w:val="006E2F4D"/>
    <w:rsid w:val="006E3FDD"/>
    <w:rsid w:val="006E58FB"/>
    <w:rsid w:val="006E5D82"/>
    <w:rsid w:val="006E66B2"/>
    <w:rsid w:val="006E6C50"/>
    <w:rsid w:val="006E7A69"/>
    <w:rsid w:val="006E7DE4"/>
    <w:rsid w:val="006F53E8"/>
    <w:rsid w:val="006F5FB8"/>
    <w:rsid w:val="0070017B"/>
    <w:rsid w:val="00703235"/>
    <w:rsid w:val="0070349A"/>
    <w:rsid w:val="0070427E"/>
    <w:rsid w:val="00704D53"/>
    <w:rsid w:val="007056C3"/>
    <w:rsid w:val="00706072"/>
    <w:rsid w:val="00713644"/>
    <w:rsid w:val="00721256"/>
    <w:rsid w:val="007217AD"/>
    <w:rsid w:val="00723BA1"/>
    <w:rsid w:val="00724A1B"/>
    <w:rsid w:val="00725095"/>
    <w:rsid w:val="0073173E"/>
    <w:rsid w:val="007319C3"/>
    <w:rsid w:val="0073454F"/>
    <w:rsid w:val="00735C00"/>
    <w:rsid w:val="007364C6"/>
    <w:rsid w:val="00740BF3"/>
    <w:rsid w:val="00741D5C"/>
    <w:rsid w:val="0074352F"/>
    <w:rsid w:val="00746569"/>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3954"/>
    <w:rsid w:val="007844C6"/>
    <w:rsid w:val="007876EF"/>
    <w:rsid w:val="00790306"/>
    <w:rsid w:val="0079364C"/>
    <w:rsid w:val="007942B9"/>
    <w:rsid w:val="00794A48"/>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4F2C"/>
    <w:rsid w:val="00825D43"/>
    <w:rsid w:val="0082632D"/>
    <w:rsid w:val="00832500"/>
    <w:rsid w:val="00832787"/>
    <w:rsid w:val="00834D75"/>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174B"/>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388E"/>
    <w:rsid w:val="008B5191"/>
    <w:rsid w:val="008B710D"/>
    <w:rsid w:val="008B7CA1"/>
    <w:rsid w:val="008C0389"/>
    <w:rsid w:val="008C152B"/>
    <w:rsid w:val="008C27D3"/>
    <w:rsid w:val="008C4B2B"/>
    <w:rsid w:val="008C5E91"/>
    <w:rsid w:val="008C686D"/>
    <w:rsid w:val="008C6B18"/>
    <w:rsid w:val="008C75E6"/>
    <w:rsid w:val="008C767A"/>
    <w:rsid w:val="008C7A73"/>
    <w:rsid w:val="008D0569"/>
    <w:rsid w:val="008D5C28"/>
    <w:rsid w:val="008D5E47"/>
    <w:rsid w:val="008E2D26"/>
    <w:rsid w:val="008E4076"/>
    <w:rsid w:val="008E7DBA"/>
    <w:rsid w:val="008F3386"/>
    <w:rsid w:val="008F3AD9"/>
    <w:rsid w:val="008F4642"/>
    <w:rsid w:val="008F4E00"/>
    <w:rsid w:val="008F761D"/>
    <w:rsid w:val="00900D44"/>
    <w:rsid w:val="00902520"/>
    <w:rsid w:val="00906DC4"/>
    <w:rsid w:val="0091457F"/>
    <w:rsid w:val="0091729E"/>
    <w:rsid w:val="00923813"/>
    <w:rsid w:val="00933E0D"/>
    <w:rsid w:val="00937119"/>
    <w:rsid w:val="0094008E"/>
    <w:rsid w:val="00941AC3"/>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3F1A"/>
    <w:rsid w:val="009C4FB0"/>
    <w:rsid w:val="009C75D1"/>
    <w:rsid w:val="009C7694"/>
    <w:rsid w:val="009C7A9B"/>
    <w:rsid w:val="009D0570"/>
    <w:rsid w:val="009D3E5C"/>
    <w:rsid w:val="009D4914"/>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527E"/>
    <w:rsid w:val="00A16579"/>
    <w:rsid w:val="00A20080"/>
    <w:rsid w:val="00A24843"/>
    <w:rsid w:val="00A26D48"/>
    <w:rsid w:val="00A318E2"/>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A11"/>
    <w:rsid w:val="00A91D91"/>
    <w:rsid w:val="00A96F81"/>
    <w:rsid w:val="00A9709D"/>
    <w:rsid w:val="00AA054E"/>
    <w:rsid w:val="00AA0A10"/>
    <w:rsid w:val="00AA2094"/>
    <w:rsid w:val="00AA2947"/>
    <w:rsid w:val="00AB1894"/>
    <w:rsid w:val="00AB22DF"/>
    <w:rsid w:val="00AB30EA"/>
    <w:rsid w:val="00AB458B"/>
    <w:rsid w:val="00AB45E4"/>
    <w:rsid w:val="00AB6157"/>
    <w:rsid w:val="00AB7250"/>
    <w:rsid w:val="00AB7542"/>
    <w:rsid w:val="00AC022D"/>
    <w:rsid w:val="00AC0629"/>
    <w:rsid w:val="00AC0920"/>
    <w:rsid w:val="00AC70C7"/>
    <w:rsid w:val="00AC79E0"/>
    <w:rsid w:val="00AD32CE"/>
    <w:rsid w:val="00AD5187"/>
    <w:rsid w:val="00AD6B11"/>
    <w:rsid w:val="00AD6B34"/>
    <w:rsid w:val="00AD6F90"/>
    <w:rsid w:val="00AE0286"/>
    <w:rsid w:val="00AE038A"/>
    <w:rsid w:val="00AE1651"/>
    <w:rsid w:val="00AE247F"/>
    <w:rsid w:val="00AE3D53"/>
    <w:rsid w:val="00AE4A24"/>
    <w:rsid w:val="00AE4FC7"/>
    <w:rsid w:val="00AF01E3"/>
    <w:rsid w:val="00AF13A7"/>
    <w:rsid w:val="00AF23AE"/>
    <w:rsid w:val="00AF2EF7"/>
    <w:rsid w:val="00AF3741"/>
    <w:rsid w:val="00AF3B5C"/>
    <w:rsid w:val="00AF4998"/>
    <w:rsid w:val="00AF72C0"/>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364EF"/>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5BE9"/>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559A"/>
    <w:rsid w:val="00C0696A"/>
    <w:rsid w:val="00C12034"/>
    <w:rsid w:val="00C1396B"/>
    <w:rsid w:val="00C1698A"/>
    <w:rsid w:val="00C17E6C"/>
    <w:rsid w:val="00C2270E"/>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55FA5"/>
    <w:rsid w:val="00C5731D"/>
    <w:rsid w:val="00C6108F"/>
    <w:rsid w:val="00C61B1A"/>
    <w:rsid w:val="00C62A53"/>
    <w:rsid w:val="00C73A70"/>
    <w:rsid w:val="00C76054"/>
    <w:rsid w:val="00C779A2"/>
    <w:rsid w:val="00C80546"/>
    <w:rsid w:val="00C81B3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4F90"/>
    <w:rsid w:val="00CC536E"/>
    <w:rsid w:val="00CC59DD"/>
    <w:rsid w:val="00CC7FC6"/>
    <w:rsid w:val="00CD3FF1"/>
    <w:rsid w:val="00CD47B2"/>
    <w:rsid w:val="00CD5AFD"/>
    <w:rsid w:val="00CD74EB"/>
    <w:rsid w:val="00CE1473"/>
    <w:rsid w:val="00CE49F8"/>
    <w:rsid w:val="00CE4E1E"/>
    <w:rsid w:val="00CE66B5"/>
    <w:rsid w:val="00CF52DF"/>
    <w:rsid w:val="00CF5832"/>
    <w:rsid w:val="00CF5911"/>
    <w:rsid w:val="00CF7221"/>
    <w:rsid w:val="00CF724E"/>
    <w:rsid w:val="00CF75B5"/>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365A"/>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661F"/>
    <w:rsid w:val="00DA6ECB"/>
    <w:rsid w:val="00DA726D"/>
    <w:rsid w:val="00DB40BD"/>
    <w:rsid w:val="00DB4B8E"/>
    <w:rsid w:val="00DB4F4B"/>
    <w:rsid w:val="00DB57DC"/>
    <w:rsid w:val="00DC070F"/>
    <w:rsid w:val="00DC3858"/>
    <w:rsid w:val="00DC3A57"/>
    <w:rsid w:val="00DC7A95"/>
    <w:rsid w:val="00DD320E"/>
    <w:rsid w:val="00DD55C2"/>
    <w:rsid w:val="00DD759E"/>
    <w:rsid w:val="00DE314E"/>
    <w:rsid w:val="00DE4CFB"/>
    <w:rsid w:val="00DE679D"/>
    <w:rsid w:val="00DF045B"/>
    <w:rsid w:val="00DF1E4B"/>
    <w:rsid w:val="00DF1ED8"/>
    <w:rsid w:val="00DF3785"/>
    <w:rsid w:val="00DF3D27"/>
    <w:rsid w:val="00DF6074"/>
    <w:rsid w:val="00E02239"/>
    <w:rsid w:val="00E047EC"/>
    <w:rsid w:val="00E07D42"/>
    <w:rsid w:val="00E163E9"/>
    <w:rsid w:val="00E240F5"/>
    <w:rsid w:val="00E26C06"/>
    <w:rsid w:val="00E30004"/>
    <w:rsid w:val="00E333AC"/>
    <w:rsid w:val="00E3456B"/>
    <w:rsid w:val="00E35C16"/>
    <w:rsid w:val="00E36085"/>
    <w:rsid w:val="00E36813"/>
    <w:rsid w:val="00E41B64"/>
    <w:rsid w:val="00E42382"/>
    <w:rsid w:val="00E579FF"/>
    <w:rsid w:val="00E603DF"/>
    <w:rsid w:val="00E63745"/>
    <w:rsid w:val="00E6699F"/>
    <w:rsid w:val="00E67B40"/>
    <w:rsid w:val="00E703AE"/>
    <w:rsid w:val="00E72373"/>
    <w:rsid w:val="00E75921"/>
    <w:rsid w:val="00E76AF9"/>
    <w:rsid w:val="00E84EF0"/>
    <w:rsid w:val="00E8649C"/>
    <w:rsid w:val="00E87886"/>
    <w:rsid w:val="00E87CDE"/>
    <w:rsid w:val="00E91FC1"/>
    <w:rsid w:val="00E92D54"/>
    <w:rsid w:val="00E9323C"/>
    <w:rsid w:val="00E95DD6"/>
    <w:rsid w:val="00E95FD8"/>
    <w:rsid w:val="00EA0283"/>
    <w:rsid w:val="00EA5DE1"/>
    <w:rsid w:val="00EB0C86"/>
    <w:rsid w:val="00EB0E16"/>
    <w:rsid w:val="00EB236F"/>
    <w:rsid w:val="00EB237E"/>
    <w:rsid w:val="00EC1546"/>
    <w:rsid w:val="00EC5B23"/>
    <w:rsid w:val="00EC5DED"/>
    <w:rsid w:val="00EC66BF"/>
    <w:rsid w:val="00EC6BD8"/>
    <w:rsid w:val="00ED0356"/>
    <w:rsid w:val="00ED0617"/>
    <w:rsid w:val="00ED0D71"/>
    <w:rsid w:val="00ED3DCD"/>
    <w:rsid w:val="00ED3DD5"/>
    <w:rsid w:val="00ED56BE"/>
    <w:rsid w:val="00ED74D7"/>
    <w:rsid w:val="00EE40F8"/>
    <w:rsid w:val="00EE6DD6"/>
    <w:rsid w:val="00EF0867"/>
    <w:rsid w:val="00EF1A10"/>
    <w:rsid w:val="00EF1A9F"/>
    <w:rsid w:val="00EF1B27"/>
    <w:rsid w:val="00EF4370"/>
    <w:rsid w:val="00EF5AC3"/>
    <w:rsid w:val="00EF5AD7"/>
    <w:rsid w:val="00EF762A"/>
    <w:rsid w:val="00F03FA7"/>
    <w:rsid w:val="00F048EF"/>
    <w:rsid w:val="00F06179"/>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4E3B"/>
    <w:rsid w:val="00F57787"/>
    <w:rsid w:val="00F61E82"/>
    <w:rsid w:val="00F6243A"/>
    <w:rsid w:val="00F63323"/>
    <w:rsid w:val="00F636FE"/>
    <w:rsid w:val="00F648B2"/>
    <w:rsid w:val="00F67EBD"/>
    <w:rsid w:val="00F70EA4"/>
    <w:rsid w:val="00F77851"/>
    <w:rsid w:val="00F80FAB"/>
    <w:rsid w:val="00F81040"/>
    <w:rsid w:val="00F81E3B"/>
    <w:rsid w:val="00F827E1"/>
    <w:rsid w:val="00F91144"/>
    <w:rsid w:val="00F927B5"/>
    <w:rsid w:val="00F94BD0"/>
    <w:rsid w:val="00F95403"/>
    <w:rsid w:val="00F96705"/>
    <w:rsid w:val="00F96750"/>
    <w:rsid w:val="00F9704D"/>
    <w:rsid w:val="00FA0166"/>
    <w:rsid w:val="00FA0B37"/>
    <w:rsid w:val="00FA2400"/>
    <w:rsid w:val="00FA29BA"/>
    <w:rsid w:val="00FA33E9"/>
    <w:rsid w:val="00FA55C8"/>
    <w:rsid w:val="00FA74C6"/>
    <w:rsid w:val="00FB24ED"/>
    <w:rsid w:val="00FB29AF"/>
    <w:rsid w:val="00FB313D"/>
    <w:rsid w:val="00FB4003"/>
    <w:rsid w:val="00FB4EBA"/>
    <w:rsid w:val="00FB7086"/>
    <w:rsid w:val="00FC6733"/>
    <w:rsid w:val="00FC79E0"/>
    <w:rsid w:val="00FD2677"/>
    <w:rsid w:val="00FD28B8"/>
    <w:rsid w:val="00FE0BD8"/>
    <w:rsid w:val="00FE1709"/>
    <w:rsid w:val="00FE1FC9"/>
    <w:rsid w:val="00FE7B44"/>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9656F"/>
  <w15:docId w15:val="{FAF8F66E-C6D5-4C08-A07C-9075D37D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link w:val="SignatureChar"/>
    <w:uiPriority w:val="99"/>
    <w:unhideWhenUsed/>
    <w:rsid w:val="004F088C"/>
    <w:pPr>
      <w:spacing w:line="260" w:lineRule="exact"/>
      <w:contextualSpacing/>
    </w:pPr>
    <w:rPr>
      <w:rFonts w:ascii="Arial" w:eastAsiaTheme="minorHAnsi" w:hAnsi="Arial" w:cstheme="minorBidi"/>
      <w:color w:val="000000"/>
      <w:sz w:val="20"/>
      <w:szCs w:val="22"/>
      <w:lang w:val="it-IT" w:eastAsia="en-US"/>
    </w:rPr>
  </w:style>
  <w:style w:type="character" w:customStyle="1" w:styleId="SignatureChar">
    <w:name w:val="Signature Char"/>
    <w:basedOn w:val="DefaultParagraphFont"/>
    <w:link w:val="Signature"/>
    <w:uiPriority w:val="99"/>
    <w:rsid w:val="004F088C"/>
    <w:rPr>
      <w:rFonts w:ascii="Arial" w:eastAsiaTheme="minorHAnsi" w:hAnsi="Arial"/>
      <w:color w:val="000000"/>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505886">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ESMA70-156-1933</_dlc_DocId>
    <TaxCatchAll xmlns="20fbe147-bbda-4e53-b6b1-7e8bbff3fe19">
      <Value>474</Value>
      <Value>5</Value>
      <Value>91</Value>
      <Value>2</Value>
      <Value>434</Value>
    </TaxCatchAll>
    <_dlc_DocIdUrl xmlns="20fbe147-bbda-4e53-b6b1-7e8bbff3fe19">
      <Url>https://sherpa.esma.europa.eu/sites/MKT/SMK/_layouts/15/DocIdRedir.aspx?ID=ESMA70-156-1933</Url>
      <Description>ESMA70-156-1933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20fbe147-bbda-4e53-b6b1-7e8bbff3fe19"/>
    <ds:schemaRef ds:uri="http://purl.org/dc/term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6CC4F-1A7D-49FF-B270-E3E9B5EC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TotalTime>
  <Pages>9</Pages>
  <Words>2294</Words>
  <Characters>13080</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Conficconi, Victoria</cp:lastModifiedBy>
  <cp:revision>3</cp:revision>
  <cp:lastPrinted>2017-07-24T14:47:00Z</cp:lastPrinted>
  <dcterms:created xsi:type="dcterms:W3CDTF">2020-01-07T10:22:00Z</dcterms:created>
  <dcterms:modified xsi:type="dcterms:W3CDTF">2020-01-07T14:42:00Z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155ab378-0408-4a09-bf77-47f9e5213ee4</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y fmtid="{D5CDD505-2E9C-101B-9397-08002B2CF9AE}" pid="18" name="_AdHocReviewCycleID">
    <vt:i4>-1858892324</vt:i4>
  </property>
  <property fmtid="{D5CDD505-2E9C-101B-9397-08002B2CF9AE}" pid="19" name="_NewReviewCycle">
    <vt:lpwstr/>
  </property>
  <property fmtid="{D5CDD505-2E9C-101B-9397-08002B2CF9AE}" pid="20" name="_EmailSubject">
    <vt:lpwstr>CP on position limits</vt:lpwstr>
  </property>
  <property fmtid="{D5CDD505-2E9C-101B-9397-08002B2CF9AE}" pid="21" name="_AuthorEmail">
    <vt:lpwstr>Elena.Vantellini@borsaitaliana.it</vt:lpwstr>
  </property>
  <property fmtid="{D5CDD505-2E9C-101B-9397-08002B2CF9AE}" pid="22" name="_AuthorEmailDisplayName">
    <vt:lpwstr>Vantellini, Elena</vt:lpwstr>
  </property>
  <property fmtid="{D5CDD505-2E9C-101B-9397-08002B2CF9AE}" pid="23" name="_PreviousAdHocReviewCycleID">
    <vt:i4>-1517137066</vt:i4>
  </property>
  <property fmtid="{D5CDD505-2E9C-101B-9397-08002B2CF9AE}" pid="24" name="_ReviewingToolsShownOnce">
    <vt:lpwstr/>
  </property>
</Properties>
</file>