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hAnsiTheme="minorHAnsi" w:cstheme="minorHAnsi"/>
        </w:rPr>
        <w:id w:val="-973058580"/>
        <w:docPartObj>
          <w:docPartGallery w:val="Cover Pages"/>
          <w:docPartUnique/>
        </w:docPartObj>
      </w:sdtPr>
      <w:sdtEndPr/>
      <w:sdtContent>
        <w:p w14:paraId="61BFF4B7" w14:textId="77777777" w:rsidR="00AF2EF7" w:rsidRPr="00B8572C" w:rsidRDefault="00AF2EF7" w:rsidP="00AF2EF7">
          <w:pPr>
            <w:spacing w:line="276" w:lineRule="auto"/>
            <w:rPr>
              <w:rFonts w:asciiTheme="minorHAnsi" w:hAnsiTheme="minorHAnsi" w:cstheme="minorHAnsi"/>
              <w:color w:val="FF0000"/>
            </w:rPr>
          </w:pPr>
        </w:p>
        <w:p w14:paraId="1C1BFAE2" w14:textId="77777777" w:rsidR="00AF2EF7" w:rsidRPr="00B8572C" w:rsidRDefault="00AF2EF7" w:rsidP="00AF2EF7">
          <w:pPr>
            <w:spacing w:after="120" w:line="276" w:lineRule="auto"/>
            <w:rPr>
              <w:rFonts w:asciiTheme="minorHAnsi" w:hAnsiTheme="minorHAnsi" w:cstheme="minorHAnsi"/>
            </w:rPr>
          </w:pPr>
        </w:p>
        <w:p w14:paraId="787460E0" w14:textId="77777777" w:rsidR="00AF2EF7" w:rsidRPr="00B8572C" w:rsidRDefault="00AF2EF7" w:rsidP="00AF2EF7">
          <w:pPr>
            <w:spacing w:line="276" w:lineRule="auto"/>
            <w:rPr>
              <w:rFonts w:asciiTheme="minorHAnsi" w:hAnsiTheme="minorHAnsi" w:cstheme="minorHAnsi"/>
            </w:rPr>
          </w:pPr>
        </w:p>
        <w:p w14:paraId="23B57B18" w14:textId="77777777" w:rsidR="00AF2EF7" w:rsidRPr="00B8572C" w:rsidRDefault="00AF2EF7" w:rsidP="00AF2EF7">
          <w:pPr>
            <w:spacing w:line="276" w:lineRule="auto"/>
            <w:rPr>
              <w:rFonts w:asciiTheme="minorHAnsi" w:hAnsiTheme="minorHAnsi" w:cstheme="minorHAnsi"/>
            </w:rPr>
          </w:pPr>
        </w:p>
        <w:p w14:paraId="04401C2B" w14:textId="77777777" w:rsidR="00AF2EF7" w:rsidRPr="00B8572C" w:rsidRDefault="00AF2EF7" w:rsidP="00AF2EF7">
          <w:pPr>
            <w:spacing w:line="276" w:lineRule="auto"/>
            <w:rPr>
              <w:rFonts w:asciiTheme="minorHAnsi" w:hAnsiTheme="minorHAnsi" w:cstheme="minorHAnsi"/>
            </w:rPr>
          </w:pPr>
        </w:p>
        <w:tbl>
          <w:tblPr>
            <w:tblpPr w:leftFromText="8505" w:vertAnchor="page" w:horzAnchor="margin" w:tblpX="-426" w:tblpY="3444"/>
            <w:tblW w:w="10490" w:type="dxa"/>
            <w:tblLayout w:type="fixed"/>
            <w:tblCellMar>
              <w:left w:w="0" w:type="dxa"/>
              <w:right w:w="0" w:type="dxa"/>
            </w:tblCellMar>
            <w:tblLook w:val="01E0" w:firstRow="1" w:lastRow="1" w:firstColumn="1" w:lastColumn="1" w:noHBand="0" w:noVBand="0"/>
          </w:tblPr>
          <w:tblGrid>
            <w:gridCol w:w="10490"/>
          </w:tblGrid>
          <w:tr w:rsidR="00AF2EF7" w:rsidRPr="00B8572C" w14:paraId="55D8B106" w14:textId="77777777" w:rsidTr="00D13661">
            <w:trPr>
              <w:trHeight w:hRule="exact" w:val="1492"/>
            </w:trPr>
            <w:tc>
              <w:tcPr>
                <w:tcW w:w="10490" w:type="dxa"/>
                <w:vAlign w:val="bottom"/>
              </w:tcPr>
              <w:p w14:paraId="2A8545EF" w14:textId="08848791" w:rsidR="00AF2EF7" w:rsidRPr="00B8572C" w:rsidRDefault="00C1698A" w:rsidP="00D13661">
                <w:pPr>
                  <w:pStyle w:val="Title"/>
                  <w:spacing w:line="276" w:lineRule="auto"/>
                  <w:ind w:right="854"/>
                  <w:rPr>
                    <w:rFonts w:asciiTheme="minorHAnsi" w:hAnsiTheme="minorHAnsi" w:cstheme="minorHAnsi"/>
                    <w:sz w:val="48"/>
                    <w:szCs w:val="48"/>
                  </w:rPr>
                </w:pPr>
                <w:r>
                  <w:rPr>
                    <w:rFonts w:asciiTheme="minorHAnsi" w:hAnsiTheme="minorHAnsi" w:cstheme="minorHAnsi"/>
                    <w:sz w:val="48"/>
                    <w:szCs w:val="48"/>
                  </w:rPr>
                  <w:t>Re</w:t>
                </w:r>
                <w:r w:rsidR="00961EE5">
                  <w:rPr>
                    <w:rFonts w:asciiTheme="minorHAnsi" w:hAnsiTheme="minorHAnsi" w:cstheme="minorHAnsi"/>
                    <w:sz w:val="48"/>
                    <w:szCs w:val="48"/>
                  </w:rPr>
                  <w:t xml:space="preserve">ply </w:t>
                </w:r>
                <w:r>
                  <w:rPr>
                    <w:rFonts w:asciiTheme="minorHAnsi" w:hAnsiTheme="minorHAnsi" w:cstheme="minorHAnsi"/>
                    <w:sz w:val="48"/>
                    <w:szCs w:val="48"/>
                  </w:rPr>
                  <w:t xml:space="preserve">Form to the </w:t>
                </w:r>
                <w:r w:rsidR="008B2AF1">
                  <w:rPr>
                    <w:rFonts w:asciiTheme="minorHAnsi" w:hAnsiTheme="minorHAnsi" w:cstheme="minorHAnsi"/>
                    <w:sz w:val="48"/>
                    <w:szCs w:val="48"/>
                  </w:rPr>
                  <w:t>C</w:t>
                </w:r>
                <w:r w:rsidR="0063070E">
                  <w:rPr>
                    <w:rFonts w:asciiTheme="minorHAnsi" w:hAnsiTheme="minorHAnsi" w:cstheme="minorHAnsi"/>
                    <w:sz w:val="48"/>
                    <w:szCs w:val="48"/>
                  </w:rPr>
                  <w:t>onsultation Paper</w:t>
                </w:r>
                <w:r w:rsidR="000F74C4">
                  <w:rPr>
                    <w:rFonts w:asciiTheme="minorHAnsi" w:hAnsiTheme="minorHAnsi" w:cstheme="minorHAnsi"/>
                    <w:sz w:val="48"/>
                    <w:szCs w:val="48"/>
                  </w:rPr>
                  <w:t xml:space="preserve"> </w:t>
                </w:r>
              </w:p>
            </w:tc>
          </w:tr>
          <w:tr w:rsidR="00AB6157" w:rsidRPr="00B8572C" w14:paraId="76D253F5" w14:textId="77777777" w:rsidTr="00D13661">
            <w:trPr>
              <w:trHeight w:hRule="exact" w:val="747"/>
            </w:trPr>
            <w:tc>
              <w:tcPr>
                <w:tcW w:w="10490" w:type="dxa"/>
                <w:tcMar>
                  <w:top w:w="142" w:type="dxa"/>
                </w:tcMar>
              </w:tcPr>
              <w:p w14:paraId="1317ADC8" w14:textId="2C37C777" w:rsidR="0063070E" w:rsidRDefault="0063070E" w:rsidP="0063070E">
                <w:pPr>
                  <w:pStyle w:val="Subtitle"/>
                  <w:rPr>
                    <w:rFonts w:cs="Arial"/>
                  </w:rPr>
                </w:pPr>
                <w:r>
                  <w:rPr>
                    <w:rFonts w:cs="Arial"/>
                  </w:rPr>
                  <w:t xml:space="preserve">MiFID II review report on position limits and position management </w:t>
                </w:r>
              </w:p>
              <w:p w14:paraId="2CBF8F9B" w14:textId="2B39453C" w:rsidR="0063070E" w:rsidRDefault="0063070E" w:rsidP="0063070E">
                <w:pPr>
                  <w:pStyle w:val="Subtitle"/>
                  <w:rPr>
                    <w:rFonts w:cs="Arial"/>
                  </w:rPr>
                </w:pPr>
                <w:r>
                  <w:rPr>
                    <w:rFonts w:cs="Arial"/>
                  </w:rPr>
                  <w:t>Draft Technical Advice on weekly position reports</w:t>
                </w:r>
              </w:p>
              <w:p w14:paraId="72EBF426" w14:textId="641E1005" w:rsidR="0063070E" w:rsidRPr="0063070E" w:rsidRDefault="0063070E" w:rsidP="0063070E"/>
              <w:p w14:paraId="26CF3934" w14:textId="5F517F25" w:rsidR="00AB6157" w:rsidRPr="00B8572C" w:rsidRDefault="00AB6157" w:rsidP="00AB6157">
                <w:pPr>
                  <w:pStyle w:val="Heading2"/>
                  <w:numPr>
                    <w:ilvl w:val="0"/>
                    <w:numId w:val="0"/>
                  </w:numPr>
                  <w:ind w:left="576" w:hanging="576"/>
                </w:pPr>
              </w:p>
            </w:tc>
          </w:tr>
        </w:tbl>
        <w:p w14:paraId="7DEBD68F" w14:textId="77777777" w:rsidR="00AF2EF7" w:rsidRPr="00B8572C" w:rsidRDefault="00AF2EF7" w:rsidP="00AF2EF7">
          <w:pPr>
            <w:spacing w:line="276" w:lineRule="auto"/>
            <w:rPr>
              <w:rFonts w:asciiTheme="minorHAnsi" w:hAnsiTheme="minorHAnsi" w:cstheme="minorHAnsi"/>
            </w:rPr>
          </w:pPr>
        </w:p>
        <w:p w14:paraId="5B933631" w14:textId="77777777" w:rsidR="00AF2EF7" w:rsidRPr="00B8572C" w:rsidRDefault="00AF2EF7" w:rsidP="00AF2EF7">
          <w:pPr>
            <w:spacing w:line="276" w:lineRule="auto"/>
            <w:rPr>
              <w:rFonts w:asciiTheme="minorHAnsi" w:hAnsiTheme="minorHAnsi" w:cstheme="minorHAnsi"/>
            </w:rPr>
            <w:sectPr w:rsidR="00AF2EF7" w:rsidRPr="00B8572C" w:rsidSect="007E7997">
              <w:headerReference w:type="default" r:id="rId12"/>
              <w:footerReference w:type="default" r:id="rId13"/>
              <w:headerReference w:type="first" r:id="rId14"/>
              <w:footerReference w:type="first" r:id="rId15"/>
              <w:pgSz w:w="11906" w:h="16838"/>
              <w:pgMar w:top="1417" w:right="1417" w:bottom="1417" w:left="1417" w:header="708" w:footer="708" w:gutter="0"/>
              <w:pgNumType w:start="0"/>
              <w:cols w:space="708"/>
              <w:titlePg/>
              <w:docGrid w:linePitch="360"/>
            </w:sectPr>
          </w:pPr>
        </w:p>
        <w:p w14:paraId="3992D496" w14:textId="77777777" w:rsidR="00AF2EF7" w:rsidRPr="00B8572C" w:rsidRDefault="00AF2EF7" w:rsidP="00AF2EF7">
          <w:pPr>
            <w:numPr>
              <w:ilvl w:val="1"/>
              <w:numId w:val="0"/>
            </w:numPr>
            <w:spacing w:after="250" w:line="276" w:lineRule="auto"/>
            <w:jc w:val="both"/>
            <w:rPr>
              <w:rFonts w:asciiTheme="majorHAnsi" w:eastAsiaTheme="majorEastAsia" w:hAnsiTheme="majorHAnsi" w:cstheme="majorBidi"/>
              <w:b/>
              <w:sz w:val="28"/>
              <w:lang w:eastAsia="en-US"/>
            </w:rPr>
          </w:pPr>
        </w:p>
        <w:p w14:paraId="50F24FB7" w14:textId="77777777" w:rsidR="00AF2EF7" w:rsidRPr="00B8572C" w:rsidRDefault="00AF2EF7" w:rsidP="00AF2EF7">
          <w:pPr>
            <w:numPr>
              <w:ilvl w:val="1"/>
              <w:numId w:val="0"/>
            </w:numPr>
            <w:spacing w:after="250" w:line="276" w:lineRule="auto"/>
            <w:jc w:val="both"/>
            <w:rPr>
              <w:rFonts w:asciiTheme="majorHAnsi" w:eastAsiaTheme="majorEastAsia" w:hAnsiTheme="majorHAnsi" w:cstheme="majorBidi"/>
              <w:b/>
              <w:sz w:val="28"/>
              <w:lang w:eastAsia="en-US"/>
            </w:rPr>
          </w:pPr>
          <w:r w:rsidRPr="00B8572C">
            <w:rPr>
              <w:rFonts w:asciiTheme="majorHAnsi" w:eastAsiaTheme="majorEastAsia" w:hAnsiTheme="majorHAnsi" w:cstheme="majorBidi"/>
              <w:b/>
              <w:sz w:val="28"/>
              <w:lang w:eastAsia="en-US"/>
            </w:rPr>
            <w:t xml:space="preserve">Responding to this paper </w:t>
          </w:r>
        </w:p>
        <w:p w14:paraId="46CF9AD5" w14:textId="77777777"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ESMA invites comments on all matters in this paper and in particular on the specific questions summarised in Annex 1. Comments are most helpful if they:</w:t>
          </w:r>
        </w:p>
        <w:p w14:paraId="2573C72E"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respond to the question stated;</w:t>
          </w:r>
        </w:p>
        <w:p w14:paraId="65ACF578"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indicate the specific question to which the comment relates;</w:t>
          </w:r>
        </w:p>
        <w:p w14:paraId="3751DA8E"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contain a clear rationale; and</w:t>
          </w:r>
        </w:p>
        <w:p w14:paraId="5A3A4AE2"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describe any alternatives ESMA should consider.</w:t>
          </w:r>
        </w:p>
        <w:p w14:paraId="09579D04" w14:textId="19490734"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ESMA will consider all comments </w:t>
          </w:r>
          <w:r w:rsidRPr="002C56FD">
            <w:rPr>
              <w:rFonts w:asciiTheme="minorHAnsi" w:eastAsiaTheme="minorEastAsia" w:hAnsiTheme="minorHAnsi" w:cstheme="minorBidi"/>
              <w:sz w:val="22"/>
              <w:szCs w:val="20"/>
              <w:lang w:eastAsia="en-US"/>
            </w:rPr>
            <w:t>received by</w:t>
          </w:r>
          <w:r w:rsidRPr="002C56FD">
            <w:rPr>
              <w:rFonts w:asciiTheme="minorHAnsi" w:eastAsiaTheme="minorEastAsia" w:hAnsiTheme="minorHAnsi" w:cstheme="minorBidi"/>
              <w:b/>
              <w:sz w:val="22"/>
              <w:szCs w:val="20"/>
              <w:lang w:eastAsia="en-US"/>
            </w:rPr>
            <w:t xml:space="preserve"> </w:t>
          </w:r>
          <w:r w:rsidR="00223F79" w:rsidRPr="002C56FD">
            <w:rPr>
              <w:rFonts w:asciiTheme="minorHAnsi" w:eastAsiaTheme="minorEastAsia" w:hAnsiTheme="minorHAnsi" w:cstheme="minorBidi"/>
              <w:b/>
              <w:sz w:val="22"/>
              <w:szCs w:val="20"/>
              <w:lang w:eastAsia="en-US"/>
            </w:rPr>
            <w:t>8</w:t>
          </w:r>
          <w:r w:rsidR="009C3F1A" w:rsidRPr="002C56FD">
            <w:rPr>
              <w:rFonts w:asciiTheme="minorHAnsi" w:eastAsiaTheme="minorEastAsia" w:hAnsiTheme="minorHAnsi" w:cstheme="minorBidi"/>
              <w:b/>
              <w:sz w:val="22"/>
              <w:szCs w:val="20"/>
              <w:lang w:eastAsia="en-US"/>
            </w:rPr>
            <w:t xml:space="preserve"> January </w:t>
          </w:r>
          <w:r w:rsidRPr="002C56FD">
            <w:rPr>
              <w:rFonts w:asciiTheme="minorHAnsi" w:eastAsiaTheme="minorEastAsia" w:hAnsiTheme="minorHAnsi" w:cstheme="minorBidi"/>
              <w:b/>
              <w:sz w:val="22"/>
              <w:szCs w:val="20"/>
              <w:lang w:eastAsia="en-US"/>
            </w:rPr>
            <w:t>20</w:t>
          </w:r>
          <w:r w:rsidR="009C3F1A" w:rsidRPr="002C56FD">
            <w:rPr>
              <w:rFonts w:asciiTheme="minorHAnsi" w:eastAsiaTheme="minorEastAsia" w:hAnsiTheme="minorHAnsi" w:cstheme="minorBidi"/>
              <w:b/>
              <w:sz w:val="22"/>
              <w:szCs w:val="20"/>
              <w:lang w:eastAsia="en-US"/>
            </w:rPr>
            <w:t>20</w:t>
          </w:r>
          <w:r w:rsidRPr="002C56FD">
            <w:rPr>
              <w:rFonts w:asciiTheme="minorHAnsi" w:eastAsiaTheme="minorEastAsia" w:hAnsiTheme="minorHAnsi" w:cstheme="minorBidi"/>
              <w:b/>
              <w:sz w:val="22"/>
              <w:szCs w:val="20"/>
              <w:lang w:eastAsia="en-US"/>
            </w:rPr>
            <w:t>.</w:t>
          </w:r>
          <w:r w:rsidRPr="00AB6157">
            <w:rPr>
              <w:rFonts w:asciiTheme="minorHAnsi" w:eastAsiaTheme="minorEastAsia" w:hAnsiTheme="minorHAnsi" w:cstheme="minorBidi"/>
              <w:b/>
              <w:sz w:val="22"/>
              <w:szCs w:val="20"/>
              <w:lang w:eastAsia="en-US"/>
            </w:rPr>
            <w:t xml:space="preserve"> </w:t>
          </w:r>
        </w:p>
        <w:p w14:paraId="6ABAAC1F" w14:textId="209BDB6C"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All contributions should be submitted online at </w:t>
          </w:r>
          <w:hyperlink r:id="rId16" w:history="1">
            <w:r w:rsidRPr="00AB6157">
              <w:rPr>
                <w:rFonts w:asciiTheme="minorHAnsi" w:eastAsiaTheme="minorEastAsia" w:hAnsiTheme="minorHAnsi" w:cstheme="minorBidi"/>
                <w:color w:val="0563C1" w:themeColor="hyperlink"/>
                <w:sz w:val="22"/>
                <w:szCs w:val="20"/>
                <w:u w:val="single"/>
                <w:lang w:eastAsia="en-US"/>
              </w:rPr>
              <w:t>www.esma.europa.eu</w:t>
            </w:r>
          </w:hyperlink>
          <w:r w:rsidRPr="00AB6157">
            <w:rPr>
              <w:rFonts w:asciiTheme="minorHAnsi" w:eastAsiaTheme="minorEastAsia" w:hAnsiTheme="minorHAnsi" w:cstheme="minorBidi"/>
              <w:sz w:val="22"/>
              <w:szCs w:val="20"/>
              <w:lang w:eastAsia="en-US"/>
            </w:rPr>
            <w:t xml:space="preserve"> under the heading ‘Your input - Consultations’. Please follow the instructions given in the document ‘Reply form for the </w:t>
          </w:r>
          <w:r w:rsidR="009C3F1A">
            <w:rPr>
              <w:rFonts w:asciiTheme="minorHAnsi" w:eastAsiaTheme="minorEastAsia" w:hAnsiTheme="minorHAnsi" w:cstheme="minorBidi"/>
              <w:sz w:val="22"/>
              <w:szCs w:val="20"/>
              <w:lang w:eastAsia="en-US"/>
            </w:rPr>
            <w:t>consultation paper o</w:t>
          </w:r>
          <w:r w:rsidRPr="00AB6157">
            <w:rPr>
              <w:rFonts w:asciiTheme="minorHAnsi" w:eastAsiaTheme="minorEastAsia" w:hAnsiTheme="minorHAnsi" w:cstheme="minorBidi"/>
              <w:sz w:val="22"/>
              <w:szCs w:val="20"/>
              <w:lang w:eastAsia="en-US"/>
            </w:rPr>
            <w:t xml:space="preserve">n </w:t>
          </w:r>
          <w:r w:rsidR="009C3F1A">
            <w:rPr>
              <w:rFonts w:asciiTheme="minorHAnsi" w:eastAsiaTheme="minorEastAsia" w:hAnsiTheme="minorHAnsi" w:cstheme="minorBidi"/>
              <w:sz w:val="22"/>
              <w:szCs w:val="20"/>
              <w:lang w:eastAsia="en-US"/>
            </w:rPr>
            <w:t>“</w:t>
          </w:r>
          <w:r w:rsidR="009C3F1A" w:rsidRPr="009C3F1A">
            <w:rPr>
              <w:rFonts w:asciiTheme="minorHAnsi" w:eastAsiaTheme="minorEastAsia" w:hAnsiTheme="minorHAnsi" w:cstheme="minorBidi"/>
              <w:color w:val="2F5496" w:themeColor="accent5" w:themeShade="BF"/>
              <w:sz w:val="22"/>
              <w:szCs w:val="20"/>
              <w:lang w:eastAsia="en-US"/>
            </w:rPr>
            <w:t xml:space="preserve">MiFID II review report on position limits and position management and </w:t>
          </w:r>
          <w:r w:rsidR="009C3F1A">
            <w:rPr>
              <w:rFonts w:asciiTheme="minorHAnsi" w:eastAsiaTheme="minorEastAsia" w:hAnsiTheme="minorHAnsi" w:cstheme="minorBidi"/>
              <w:color w:val="2F5496" w:themeColor="accent5" w:themeShade="BF"/>
              <w:sz w:val="22"/>
              <w:szCs w:val="20"/>
              <w:lang w:eastAsia="en-US"/>
            </w:rPr>
            <w:t>draft technical advice on weekly position reports</w:t>
          </w:r>
          <w:r w:rsidRPr="00AB6157">
            <w:rPr>
              <w:rFonts w:asciiTheme="minorHAnsi" w:eastAsiaTheme="minorEastAsia" w:hAnsiTheme="minorHAnsi" w:cstheme="minorBidi"/>
              <w:sz w:val="22"/>
              <w:szCs w:val="20"/>
              <w:lang w:eastAsia="en-US"/>
            </w:rPr>
            <w:t>’ also published on the ESMA website.</w:t>
          </w:r>
        </w:p>
        <w:p w14:paraId="71848F2A" w14:textId="77777777" w:rsidR="00C85C8B" w:rsidRPr="00C85C8B" w:rsidRDefault="00C85C8B" w:rsidP="00C85C8B">
          <w:pPr>
            <w:spacing w:after="250" w:line="276" w:lineRule="auto"/>
            <w:jc w:val="both"/>
            <w:rPr>
              <w:rFonts w:asciiTheme="minorHAnsi" w:eastAsiaTheme="minorEastAsia" w:hAnsiTheme="minorHAnsi" w:cstheme="minorBidi"/>
              <w:b/>
              <w:sz w:val="22"/>
              <w:szCs w:val="20"/>
              <w:lang w:eastAsia="en-US"/>
            </w:rPr>
          </w:pPr>
          <w:r w:rsidRPr="00C85C8B">
            <w:rPr>
              <w:rFonts w:asciiTheme="minorHAnsi" w:eastAsiaTheme="minorEastAsia" w:hAnsiTheme="minorHAnsi" w:cstheme="minorBidi"/>
              <w:b/>
              <w:sz w:val="22"/>
              <w:szCs w:val="20"/>
              <w:lang w:eastAsia="en-US"/>
            </w:rPr>
            <w:t>Instructions</w:t>
          </w:r>
        </w:p>
        <w:p w14:paraId="057542CF" w14:textId="334CF29B" w:rsidR="00C85C8B" w:rsidRPr="00C85C8B" w:rsidRDefault="00C85C8B" w:rsidP="00C85C8B">
          <w:pPr>
            <w:spacing w:after="250" w:line="276" w:lineRule="auto"/>
            <w:jc w:val="both"/>
            <w:rPr>
              <w:rFonts w:asciiTheme="minorHAnsi" w:eastAsiaTheme="minorEastAsia" w:hAnsiTheme="minorHAnsi" w:cstheme="minorBidi"/>
              <w:sz w:val="22"/>
              <w:szCs w:val="20"/>
              <w:lang w:eastAsia="en-US"/>
            </w:rPr>
          </w:pPr>
          <w:r w:rsidRPr="00C85C8B">
            <w:rPr>
              <w:rFonts w:asciiTheme="minorHAnsi" w:eastAsiaTheme="minorEastAsia" w:hAnsiTheme="minorHAnsi" w:cstheme="minorBidi"/>
              <w:sz w:val="22"/>
              <w:szCs w:val="20"/>
              <w:lang w:eastAsia="en-US"/>
            </w:rPr>
            <w:t>In order to facilitate analysis of responses to the</w:t>
          </w:r>
          <w:r w:rsidR="009C3F1A">
            <w:rPr>
              <w:rFonts w:asciiTheme="minorHAnsi" w:eastAsiaTheme="minorEastAsia" w:hAnsiTheme="minorHAnsi" w:cstheme="minorBidi"/>
              <w:sz w:val="22"/>
              <w:szCs w:val="20"/>
              <w:lang w:eastAsia="en-US"/>
            </w:rPr>
            <w:t xml:space="preserve"> </w:t>
          </w:r>
          <w:r w:rsidR="00223F79">
            <w:rPr>
              <w:rFonts w:asciiTheme="minorHAnsi" w:eastAsiaTheme="minorEastAsia" w:hAnsiTheme="minorHAnsi" w:cstheme="minorBidi"/>
              <w:sz w:val="22"/>
              <w:szCs w:val="20"/>
              <w:lang w:eastAsia="en-US"/>
            </w:rPr>
            <w:t>C</w:t>
          </w:r>
          <w:r w:rsidR="009C3F1A">
            <w:rPr>
              <w:rFonts w:asciiTheme="minorHAnsi" w:eastAsiaTheme="minorEastAsia" w:hAnsiTheme="minorHAnsi" w:cstheme="minorBidi"/>
              <w:sz w:val="22"/>
              <w:szCs w:val="20"/>
              <w:lang w:eastAsia="en-US"/>
            </w:rPr>
            <w:t>onsultation paper</w:t>
          </w:r>
          <w:r w:rsidRPr="00C85C8B">
            <w:rPr>
              <w:rFonts w:asciiTheme="minorHAnsi" w:eastAsiaTheme="minorEastAsia" w:hAnsiTheme="minorHAnsi" w:cstheme="minorBidi"/>
              <w:sz w:val="22"/>
              <w:szCs w:val="20"/>
              <w:lang w:eastAsia="en-US"/>
            </w:rPr>
            <w:t>, respondents are requested to follow the below steps when preparing and submitting their response:</w:t>
          </w:r>
        </w:p>
        <w:p w14:paraId="1200930E" w14:textId="7324BCF9" w:rsidR="00C85C8B" w:rsidRPr="00C85C8B" w:rsidRDefault="00C85C8B" w:rsidP="006F4933">
          <w:pPr>
            <w:pStyle w:val="ListParagraph"/>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 xml:space="preserve">Insert your responses to the questions in the </w:t>
          </w:r>
          <w:r w:rsidR="00223F79">
            <w:rPr>
              <w:rFonts w:eastAsiaTheme="minorEastAsia" w:cstheme="minorBidi"/>
              <w:szCs w:val="20"/>
              <w:lang w:eastAsia="en-US"/>
            </w:rPr>
            <w:t>C</w:t>
          </w:r>
          <w:r w:rsidR="009C3F1A">
            <w:rPr>
              <w:rFonts w:eastAsiaTheme="minorEastAsia" w:cstheme="minorBidi"/>
              <w:szCs w:val="20"/>
              <w:lang w:eastAsia="en-US"/>
            </w:rPr>
            <w:t xml:space="preserve">onsultation paper </w:t>
          </w:r>
          <w:r w:rsidRPr="00C85C8B">
            <w:rPr>
              <w:rFonts w:eastAsiaTheme="minorEastAsia" w:cstheme="minorBidi"/>
              <w:szCs w:val="20"/>
              <w:lang w:eastAsia="en-US"/>
            </w:rPr>
            <w:t xml:space="preserve">in the present response form. </w:t>
          </w:r>
        </w:p>
        <w:p w14:paraId="3B16398E" w14:textId="1D970CA3" w:rsidR="00C85C8B" w:rsidRPr="00C85C8B" w:rsidRDefault="00C85C8B" w:rsidP="00C85C8B">
          <w:pPr>
            <w:pStyle w:val="ListParagraph"/>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Please do not remove t</w:t>
          </w:r>
          <w:r>
            <w:rPr>
              <w:rFonts w:eastAsiaTheme="minorEastAsia" w:cstheme="minorBidi"/>
              <w:szCs w:val="20"/>
              <w:lang w:eastAsia="en-US"/>
            </w:rPr>
            <w:t>ags of the type &lt;ESMA_QUESTION_</w:t>
          </w:r>
          <w:r w:rsidR="00D5365A">
            <w:rPr>
              <w:rFonts w:eastAsiaTheme="minorEastAsia" w:cstheme="minorBidi"/>
              <w:szCs w:val="20"/>
              <w:lang w:eastAsia="en-US"/>
            </w:rPr>
            <w:t>WPR</w:t>
          </w:r>
          <w:r w:rsidRPr="00C85C8B">
            <w:rPr>
              <w:rFonts w:eastAsiaTheme="minorEastAsia" w:cstheme="minorBidi"/>
              <w:szCs w:val="20"/>
              <w:lang w:eastAsia="en-US"/>
            </w:rPr>
            <w:t>_1&gt;. Your response to each question has to be framed by the two tags corresponding to the question.</w:t>
          </w:r>
        </w:p>
        <w:p w14:paraId="5CC57030" w14:textId="77777777" w:rsidR="00C85C8B" w:rsidRPr="00C85C8B" w:rsidRDefault="00C85C8B" w:rsidP="00C85C8B">
          <w:pPr>
            <w:pStyle w:val="ListParagraph"/>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If you do not wish to respond to a given question, please do not delete it but simply leave the text “TYPE YOUR TEXT HERE” between the tags.</w:t>
          </w:r>
        </w:p>
        <w:p w14:paraId="1876A4C8" w14:textId="0E8DA51F" w:rsidR="00C85C8B" w:rsidRPr="00C85C8B" w:rsidRDefault="00C85C8B" w:rsidP="00C85C8B">
          <w:pPr>
            <w:pStyle w:val="ListParagraph"/>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 xml:space="preserve">When you have drafted your response, name your response form according to </w:t>
          </w:r>
          <w:r>
            <w:rPr>
              <w:rFonts w:eastAsiaTheme="minorEastAsia" w:cstheme="minorBidi"/>
              <w:szCs w:val="20"/>
              <w:lang w:eastAsia="en-US"/>
            </w:rPr>
            <w:t>the following convention: ESMA_</w:t>
          </w:r>
          <w:r w:rsidR="00D5365A">
            <w:rPr>
              <w:rFonts w:eastAsiaTheme="minorEastAsia" w:cstheme="minorBidi"/>
              <w:szCs w:val="20"/>
              <w:lang w:eastAsia="en-US"/>
            </w:rPr>
            <w:t>WPR</w:t>
          </w:r>
          <w:r w:rsidRPr="00C85C8B">
            <w:rPr>
              <w:rFonts w:eastAsiaTheme="minorEastAsia" w:cstheme="minorBidi"/>
              <w:szCs w:val="20"/>
              <w:lang w:eastAsia="en-US"/>
            </w:rPr>
            <w:t>_nameofrespondent_RESPONSEFORM. For example, for a respondent named ABCD, the response</w:t>
          </w:r>
          <w:r>
            <w:rPr>
              <w:rFonts w:eastAsiaTheme="minorEastAsia" w:cstheme="minorBidi"/>
              <w:szCs w:val="20"/>
              <w:lang w:eastAsia="en-US"/>
            </w:rPr>
            <w:t xml:space="preserve"> form would be entitled ESMA_</w:t>
          </w:r>
          <w:r w:rsidR="00D5365A">
            <w:rPr>
              <w:rFonts w:eastAsiaTheme="minorEastAsia" w:cstheme="minorBidi"/>
              <w:szCs w:val="20"/>
              <w:lang w:eastAsia="en-US"/>
            </w:rPr>
            <w:t>WPR</w:t>
          </w:r>
          <w:r w:rsidRPr="00C85C8B">
            <w:rPr>
              <w:rFonts w:eastAsiaTheme="minorEastAsia" w:cstheme="minorBidi"/>
              <w:szCs w:val="20"/>
              <w:lang w:eastAsia="en-US"/>
            </w:rPr>
            <w:t>_ABCD_RESPONSEFORM.</w:t>
          </w:r>
        </w:p>
        <w:p w14:paraId="1A9C59D6" w14:textId="013251ED" w:rsidR="00C85C8B" w:rsidRPr="00C85C8B" w:rsidRDefault="00C85C8B" w:rsidP="00C85C8B">
          <w:pPr>
            <w:pStyle w:val="ListParagraph"/>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Upload the form containing your responses, in Word format, to ESMA’s website (</w:t>
          </w:r>
          <w:hyperlink r:id="rId17" w:history="1">
            <w:r w:rsidRPr="00C85C8B">
              <w:rPr>
                <w:rFonts w:eastAsiaTheme="minorEastAsia" w:cstheme="minorBidi"/>
                <w:szCs w:val="20"/>
                <w:lang w:eastAsia="en-US"/>
              </w:rPr>
              <w:t>www.esma.europa.eu</w:t>
            </w:r>
          </w:hyperlink>
          <w:r w:rsidRPr="00C85C8B">
            <w:rPr>
              <w:rFonts w:eastAsiaTheme="minorEastAsia" w:cstheme="minorBidi"/>
              <w:szCs w:val="20"/>
              <w:lang w:eastAsia="en-US"/>
            </w:rPr>
            <w:t xml:space="preserve"> under the heading “Your input – Open consultations” </w:t>
          </w:r>
          <w:r w:rsidRPr="00C85C8B">
            <w:rPr>
              <w:rFonts w:eastAsiaTheme="minorEastAsia"/>
              <w:lang w:eastAsia="en-US"/>
            </w:rPr>
            <w:sym w:font="Wingdings" w:char="F0E0"/>
          </w:r>
          <w:r w:rsidRPr="00C85C8B">
            <w:rPr>
              <w:rFonts w:eastAsiaTheme="minorEastAsia" w:cstheme="minorBidi"/>
              <w:szCs w:val="20"/>
              <w:lang w:eastAsia="en-US"/>
            </w:rPr>
            <w:t xml:space="preserve"> “C</w:t>
          </w:r>
          <w:r w:rsidR="000F74C4">
            <w:rPr>
              <w:rFonts w:eastAsiaTheme="minorEastAsia" w:cstheme="minorBidi"/>
              <w:szCs w:val="20"/>
              <w:lang w:eastAsia="en-US"/>
            </w:rPr>
            <w:t xml:space="preserve">all for Evidence </w:t>
          </w:r>
          <w:r w:rsidRPr="00C85C8B">
            <w:rPr>
              <w:rFonts w:eastAsiaTheme="minorEastAsia" w:cstheme="minorBidi"/>
              <w:szCs w:val="20"/>
              <w:lang w:eastAsia="en-US"/>
            </w:rPr>
            <w:t xml:space="preserve">on </w:t>
          </w:r>
          <w:r w:rsidR="00AB6157">
            <w:rPr>
              <w:rFonts w:eastAsiaTheme="minorEastAsia" w:cstheme="minorBidi"/>
              <w:szCs w:val="20"/>
              <w:lang w:eastAsia="en-US"/>
            </w:rPr>
            <w:t>Position limits and position management in commodities derivatives</w:t>
          </w:r>
          <w:r w:rsidRPr="00C85C8B">
            <w:rPr>
              <w:rFonts w:eastAsiaTheme="minorEastAsia" w:cstheme="minorBidi"/>
              <w:szCs w:val="20"/>
              <w:lang w:eastAsia="en-US"/>
            </w:rPr>
            <w:t>”).</w:t>
          </w:r>
        </w:p>
        <w:p w14:paraId="078FF80C" w14:textId="145F522B" w:rsidR="00C85C8B" w:rsidRDefault="00C85C8B" w:rsidP="00AF2EF7">
          <w:pPr>
            <w:spacing w:after="250" w:line="276" w:lineRule="auto"/>
            <w:jc w:val="both"/>
            <w:rPr>
              <w:rFonts w:asciiTheme="minorHAnsi" w:eastAsiaTheme="minorEastAsia" w:hAnsiTheme="minorHAnsi" w:cstheme="minorBidi"/>
              <w:sz w:val="22"/>
              <w:szCs w:val="20"/>
              <w:lang w:eastAsia="en-US"/>
            </w:rPr>
          </w:pPr>
        </w:p>
        <w:p w14:paraId="27DFECB3" w14:textId="3EF3C58E" w:rsidR="00A02199" w:rsidRDefault="00A02199" w:rsidP="00AF2EF7">
          <w:pPr>
            <w:spacing w:after="250" w:line="276" w:lineRule="auto"/>
            <w:jc w:val="both"/>
            <w:rPr>
              <w:rFonts w:asciiTheme="minorHAnsi" w:eastAsiaTheme="minorEastAsia" w:hAnsiTheme="minorHAnsi" w:cstheme="minorBidi"/>
              <w:sz w:val="22"/>
              <w:szCs w:val="20"/>
              <w:lang w:eastAsia="en-US"/>
            </w:rPr>
          </w:pPr>
        </w:p>
        <w:p w14:paraId="28EEA743" w14:textId="77777777" w:rsidR="00A02199" w:rsidRPr="00C1698A" w:rsidRDefault="00A02199" w:rsidP="00AF2EF7">
          <w:pPr>
            <w:spacing w:after="250" w:line="276" w:lineRule="auto"/>
            <w:jc w:val="both"/>
            <w:rPr>
              <w:rFonts w:asciiTheme="minorHAnsi" w:eastAsiaTheme="minorEastAsia" w:hAnsiTheme="minorHAnsi" w:cstheme="minorBidi"/>
              <w:sz w:val="22"/>
              <w:szCs w:val="20"/>
              <w:lang w:eastAsia="en-US"/>
            </w:rPr>
          </w:pPr>
        </w:p>
        <w:p w14:paraId="6BB993D0" w14:textId="77777777" w:rsidR="00AF2EF7" w:rsidRPr="00B8572C" w:rsidRDefault="00AF2EF7" w:rsidP="00AF2EF7">
          <w:pPr>
            <w:spacing w:after="250" w:line="276" w:lineRule="auto"/>
            <w:jc w:val="both"/>
            <w:rPr>
              <w:rFonts w:asciiTheme="minorHAnsi" w:eastAsiaTheme="minorEastAsia" w:hAnsiTheme="minorHAnsi" w:cstheme="minorBidi"/>
              <w:b/>
              <w:sz w:val="22"/>
              <w:szCs w:val="20"/>
              <w:lang w:eastAsia="en-US"/>
            </w:rPr>
          </w:pPr>
          <w:r w:rsidRPr="00B8572C">
            <w:rPr>
              <w:rFonts w:asciiTheme="minorHAnsi" w:eastAsiaTheme="minorEastAsia" w:hAnsiTheme="minorHAnsi" w:cstheme="minorBidi"/>
              <w:b/>
              <w:sz w:val="22"/>
              <w:szCs w:val="20"/>
              <w:lang w:eastAsia="en-US"/>
            </w:rPr>
            <w:t>Publication of responses</w:t>
          </w:r>
        </w:p>
        <w:p w14:paraId="214D8BBA" w14:textId="77777777"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All contributions received will be published following the close of the consultation, unless you request otherwise. Please clearly and prominently indicate in your submission any part you do not wish to be publically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144C43BA" w14:textId="4C539C0B" w:rsidR="00AF2EF7" w:rsidRPr="00B8572C" w:rsidRDefault="00AF2EF7" w:rsidP="00AF2EF7">
          <w:pPr>
            <w:spacing w:after="250" w:line="276" w:lineRule="auto"/>
            <w:jc w:val="both"/>
            <w:rPr>
              <w:rFonts w:asciiTheme="minorHAnsi" w:eastAsiaTheme="minorEastAsia" w:hAnsiTheme="minorHAnsi" w:cstheme="minorBidi"/>
              <w:b/>
              <w:sz w:val="22"/>
              <w:szCs w:val="20"/>
              <w:lang w:eastAsia="en-US"/>
            </w:rPr>
          </w:pPr>
          <w:r w:rsidRPr="00B8572C">
            <w:rPr>
              <w:rFonts w:asciiTheme="minorHAnsi" w:eastAsiaTheme="minorEastAsia" w:hAnsiTheme="minorHAnsi" w:cstheme="minorBidi"/>
              <w:b/>
              <w:sz w:val="22"/>
              <w:szCs w:val="20"/>
              <w:lang w:eastAsia="en-US"/>
            </w:rPr>
            <w:t>Data protection</w:t>
          </w:r>
        </w:p>
        <w:p w14:paraId="1D46B82F" w14:textId="77777777"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Information on data protection can be found at </w:t>
          </w:r>
          <w:hyperlink r:id="rId18" w:history="1">
            <w:r w:rsidRPr="00AB6157">
              <w:rPr>
                <w:rFonts w:asciiTheme="minorHAnsi" w:eastAsiaTheme="minorEastAsia" w:hAnsiTheme="minorHAnsi" w:cstheme="minorBidi"/>
                <w:color w:val="0563C1" w:themeColor="hyperlink"/>
                <w:sz w:val="22"/>
                <w:szCs w:val="20"/>
                <w:u w:val="single"/>
                <w:lang w:eastAsia="en-US"/>
              </w:rPr>
              <w:t>www.esma.europa.eu</w:t>
            </w:r>
          </w:hyperlink>
          <w:r w:rsidRPr="00AB6157">
            <w:rPr>
              <w:rFonts w:asciiTheme="minorHAnsi" w:eastAsiaTheme="minorEastAsia" w:hAnsiTheme="minorHAnsi" w:cstheme="minorBidi"/>
              <w:sz w:val="22"/>
              <w:szCs w:val="20"/>
              <w:lang w:eastAsia="en-US"/>
            </w:rPr>
            <w:t xml:space="preserve"> under the heading </w:t>
          </w:r>
          <w:hyperlink r:id="rId19" w:history="1">
            <w:r w:rsidRPr="00AB6157">
              <w:rPr>
                <w:rFonts w:asciiTheme="minorHAnsi" w:eastAsiaTheme="minorEastAsia" w:hAnsiTheme="minorHAnsi" w:cstheme="minorBidi"/>
                <w:color w:val="0563C1" w:themeColor="hyperlink"/>
                <w:sz w:val="22"/>
                <w:szCs w:val="20"/>
                <w:u w:val="single"/>
                <w:lang w:eastAsia="en-US"/>
              </w:rPr>
              <w:t>Legal Notice</w:t>
            </w:r>
          </w:hyperlink>
          <w:r w:rsidRPr="00AB6157">
            <w:rPr>
              <w:rFonts w:asciiTheme="minorHAnsi" w:eastAsiaTheme="minorEastAsia" w:hAnsiTheme="minorHAnsi" w:cstheme="minorBidi"/>
              <w:sz w:val="22"/>
              <w:szCs w:val="20"/>
              <w:lang w:eastAsia="en-US"/>
            </w:rPr>
            <w:t>.</w:t>
          </w:r>
        </w:p>
        <w:p w14:paraId="7C02CD7B" w14:textId="77777777" w:rsidR="00AF2EF7" w:rsidRPr="00B8572C" w:rsidRDefault="00AF2EF7" w:rsidP="00AF2EF7">
          <w:pPr>
            <w:spacing w:after="250" w:line="276" w:lineRule="auto"/>
            <w:jc w:val="both"/>
            <w:rPr>
              <w:rFonts w:asciiTheme="minorHAnsi" w:eastAsiaTheme="minorEastAsia" w:hAnsiTheme="minorHAnsi" w:cstheme="minorBidi"/>
              <w:sz w:val="22"/>
              <w:szCs w:val="20"/>
              <w:lang w:eastAsia="en-US"/>
            </w:rPr>
          </w:pPr>
          <w:r w:rsidRPr="00B8572C">
            <w:rPr>
              <w:rFonts w:asciiTheme="minorHAnsi" w:eastAsiaTheme="minorEastAsia" w:hAnsiTheme="minorHAnsi" w:cstheme="minorBidi"/>
              <w:b/>
              <w:sz w:val="22"/>
              <w:szCs w:val="20"/>
              <w:lang w:eastAsia="en-US"/>
            </w:rPr>
            <w:t>Who should read this paper</w:t>
          </w:r>
        </w:p>
        <w:p w14:paraId="5B44E0DB" w14:textId="77777777"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All interested stakeholders are invited to respond to this consultation paper. This consultation paper is primarily of interest to trading venues, investment firms and non-financial counterparties trading in commodity derivatives, but responses are also sought from any other market participant including trade associations, industry bodies and investors.</w:t>
          </w:r>
        </w:p>
        <w:p w14:paraId="14912E5E" w14:textId="1CE85474" w:rsidR="00AF2EF7" w:rsidRPr="00B8572C" w:rsidRDefault="005F5B3D" w:rsidP="00AF2EF7">
          <w:pPr>
            <w:spacing w:after="120" w:line="276" w:lineRule="auto"/>
            <w:rPr>
              <w:rFonts w:asciiTheme="minorHAnsi" w:hAnsiTheme="minorHAnsi" w:cstheme="minorHAnsi"/>
            </w:rPr>
          </w:pPr>
        </w:p>
      </w:sdtContent>
    </w:sdt>
    <w:p w14:paraId="20AC791C" w14:textId="77777777" w:rsidR="00AF2EF7" w:rsidRPr="00B8572C" w:rsidRDefault="00AF2EF7" w:rsidP="00AF2EF7">
      <w:pPr>
        <w:spacing w:after="120" w:line="276" w:lineRule="auto"/>
        <w:rPr>
          <w:rFonts w:asciiTheme="minorHAnsi" w:hAnsiTheme="minorHAnsi" w:cstheme="minorHAnsi"/>
        </w:rPr>
      </w:pPr>
    </w:p>
    <w:p w14:paraId="13AEDA0D" w14:textId="77777777" w:rsidR="00AF2EF7" w:rsidRPr="00B8572C" w:rsidRDefault="00AF2EF7" w:rsidP="00AF2EF7">
      <w:pPr>
        <w:spacing w:after="120" w:line="276" w:lineRule="auto"/>
        <w:rPr>
          <w:rFonts w:asciiTheme="minorHAnsi" w:hAnsiTheme="minorHAnsi" w:cstheme="minorHAnsi"/>
        </w:rPr>
      </w:pPr>
    </w:p>
    <w:p w14:paraId="4F317815" w14:textId="669653C1" w:rsidR="00AF2EF7" w:rsidRPr="00C1698A" w:rsidRDefault="00AF2EF7" w:rsidP="00C1698A">
      <w:pPr>
        <w:pStyle w:val="Heading1"/>
        <w:numPr>
          <w:ilvl w:val="0"/>
          <w:numId w:val="0"/>
        </w:numPr>
        <w:spacing w:line="276" w:lineRule="auto"/>
        <w:rPr>
          <w:rFonts w:asciiTheme="minorHAnsi" w:hAnsiTheme="minorHAnsi" w:cstheme="minorHAnsi"/>
          <w:sz w:val="24"/>
          <w:szCs w:val="24"/>
        </w:rPr>
      </w:pPr>
      <w:r w:rsidRPr="00B8572C">
        <w:rPr>
          <w:rFonts w:asciiTheme="minorHAnsi" w:hAnsiTheme="minorHAnsi" w:cstheme="minorHAnsi"/>
          <w:sz w:val="24"/>
          <w:szCs w:val="24"/>
        </w:rPr>
        <w:br w:type="page"/>
      </w:r>
    </w:p>
    <w:p w14:paraId="54809E84" w14:textId="38073B1E" w:rsidR="00C85C8B" w:rsidRDefault="00C85C8B" w:rsidP="00C1698A">
      <w:pPr>
        <w:spacing w:line="276" w:lineRule="auto"/>
        <w:rPr>
          <w:rFonts w:asciiTheme="minorHAnsi" w:hAnsiTheme="minorHAnsi" w:cstheme="minorHAnsi"/>
          <w:b/>
          <w:sz w:val="28"/>
          <w:szCs w:val="28"/>
        </w:rPr>
      </w:pPr>
      <w:bookmarkStart w:id="0" w:name="_Toc515564428"/>
    </w:p>
    <w:p w14:paraId="0873C4E5" w14:textId="49BAD52B" w:rsidR="00C85C8B" w:rsidRDefault="00C85C8B" w:rsidP="00C1698A">
      <w:pPr>
        <w:spacing w:line="276" w:lineRule="auto"/>
        <w:rPr>
          <w:rFonts w:asciiTheme="minorHAnsi" w:hAnsiTheme="minorHAnsi" w:cstheme="minorHAnsi"/>
          <w:b/>
          <w:sz w:val="28"/>
          <w:szCs w:val="28"/>
        </w:rPr>
      </w:pPr>
    </w:p>
    <w:p w14:paraId="1F90B8D3" w14:textId="77777777" w:rsidR="00C85C8B" w:rsidRDefault="00C85C8B" w:rsidP="00C1698A">
      <w:pPr>
        <w:spacing w:line="276" w:lineRule="auto"/>
        <w:rPr>
          <w:rFonts w:asciiTheme="minorHAnsi" w:hAnsiTheme="minorHAnsi" w:cstheme="minorHAnsi"/>
          <w:b/>
          <w:sz w:val="28"/>
          <w:szCs w:val="28"/>
        </w:rPr>
      </w:pPr>
    </w:p>
    <w:p w14:paraId="622C18E8" w14:textId="77777777" w:rsidR="00C85C8B" w:rsidRPr="00C85C8B" w:rsidRDefault="00C85C8B" w:rsidP="00C85C8B">
      <w:pPr>
        <w:keepNext/>
        <w:keepLines/>
        <w:spacing w:before="320" w:after="250" w:line="276" w:lineRule="auto"/>
        <w:jc w:val="both"/>
        <w:outlineLvl w:val="0"/>
        <w:rPr>
          <w:rFonts w:asciiTheme="majorHAnsi" w:eastAsiaTheme="majorEastAsia" w:hAnsiTheme="majorHAnsi" w:cstheme="majorBidi"/>
          <w:b/>
          <w:sz w:val="32"/>
          <w:szCs w:val="32"/>
          <w:lang w:eastAsia="en-US"/>
        </w:rPr>
      </w:pPr>
      <w:r w:rsidRPr="00C85C8B">
        <w:rPr>
          <w:rFonts w:asciiTheme="majorHAnsi" w:eastAsiaTheme="majorEastAsia" w:hAnsiTheme="majorHAnsi" w:cstheme="majorBidi"/>
          <w:b/>
          <w:sz w:val="32"/>
          <w:szCs w:val="32"/>
          <w:lang w:eastAsia="en-US"/>
        </w:rPr>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85C8B" w:rsidRPr="00C85C8B" w14:paraId="63AA68E2" w14:textId="77777777" w:rsidTr="006F4933">
        <w:tc>
          <w:tcPr>
            <w:tcW w:w="3929" w:type="dxa"/>
            <w:shd w:val="clear" w:color="auto" w:fill="auto"/>
          </w:tcPr>
          <w:p w14:paraId="50C47271" w14:textId="77777777" w:rsidR="00C85C8B" w:rsidRPr="00C85C8B" w:rsidRDefault="00C85C8B" w:rsidP="00C85C8B">
            <w:pPr>
              <w:rPr>
                <w:rFonts w:ascii="Arial" w:hAnsi="Arial" w:cs="Arial"/>
                <w:sz w:val="22"/>
                <w:lang w:eastAsia="de-DE"/>
              </w:rPr>
            </w:pPr>
            <w:permStart w:id="108885406" w:edGrp="everyone" w:colFirst="1" w:colLast="1"/>
            <w:r w:rsidRPr="00C85C8B">
              <w:rPr>
                <w:rFonts w:ascii="Arial" w:hAnsi="Arial" w:cs="Arial"/>
                <w:sz w:val="22"/>
                <w:lang w:eastAsia="de-DE"/>
              </w:rPr>
              <w:t>Name of the company / organisation</w:t>
            </w:r>
          </w:p>
        </w:tc>
        <w:sdt>
          <w:sdtPr>
            <w:rPr>
              <w:rFonts w:ascii="Arial" w:hAnsi="Arial" w:cs="Arial"/>
              <w:color w:val="808080"/>
              <w:sz w:val="20"/>
              <w:lang w:eastAsia="de-DE"/>
            </w:rPr>
            <w:id w:val="-1905066999"/>
            <w:text/>
          </w:sdtPr>
          <w:sdtEndPr/>
          <w:sdtContent>
            <w:tc>
              <w:tcPr>
                <w:tcW w:w="5595" w:type="dxa"/>
                <w:shd w:val="clear" w:color="auto" w:fill="auto"/>
              </w:tcPr>
              <w:p w14:paraId="1B67440D" w14:textId="3A492A13" w:rsidR="00C85C8B" w:rsidRPr="00C85C8B" w:rsidRDefault="00441429" w:rsidP="00441429">
                <w:pPr>
                  <w:rPr>
                    <w:rFonts w:ascii="Arial" w:hAnsi="Arial" w:cs="Arial"/>
                    <w:color w:val="808080"/>
                    <w:sz w:val="20"/>
                    <w:lang w:eastAsia="de-DE"/>
                  </w:rPr>
                </w:pPr>
                <w:r>
                  <w:rPr>
                    <w:rFonts w:ascii="Arial" w:hAnsi="Arial" w:cs="Arial"/>
                    <w:color w:val="808080"/>
                    <w:sz w:val="20"/>
                    <w:lang w:eastAsia="de-DE"/>
                  </w:rPr>
                  <w:t>London Metal Exchange</w:t>
                </w:r>
              </w:p>
            </w:tc>
          </w:sdtContent>
        </w:sdt>
      </w:tr>
      <w:tr w:rsidR="00C85C8B" w:rsidRPr="00C85C8B" w14:paraId="216F3E57" w14:textId="77777777" w:rsidTr="006F4933">
        <w:tc>
          <w:tcPr>
            <w:tcW w:w="3929" w:type="dxa"/>
            <w:shd w:val="clear" w:color="auto" w:fill="auto"/>
          </w:tcPr>
          <w:p w14:paraId="1B868EDB" w14:textId="77777777" w:rsidR="00C85C8B" w:rsidRPr="00C85C8B" w:rsidRDefault="00C85C8B" w:rsidP="00C85C8B">
            <w:pPr>
              <w:rPr>
                <w:rFonts w:ascii="Arial" w:hAnsi="Arial" w:cs="Arial"/>
                <w:sz w:val="22"/>
                <w:lang w:eastAsia="de-DE"/>
              </w:rPr>
            </w:pPr>
            <w:permStart w:id="11734600" w:edGrp="everyone" w:colFirst="1" w:colLast="1"/>
            <w:permEnd w:id="108885406"/>
            <w:r w:rsidRPr="00C85C8B">
              <w:rPr>
                <w:rFonts w:ascii="Arial" w:hAnsi="Arial" w:cs="Arial"/>
                <w:sz w:val="22"/>
                <w:lang w:eastAsia="de-DE"/>
              </w:rPr>
              <w:t>Activity</w:t>
            </w:r>
          </w:p>
        </w:tc>
        <w:tc>
          <w:tcPr>
            <w:tcW w:w="5595" w:type="dxa"/>
            <w:shd w:val="clear" w:color="auto" w:fill="auto"/>
          </w:tcPr>
          <w:p w14:paraId="1423187D" w14:textId="530022B2" w:rsidR="00C85C8B" w:rsidRPr="00C85C8B" w:rsidRDefault="005F5B3D" w:rsidP="00C85C8B">
            <w:pPr>
              <w:rPr>
                <w:rFonts w:ascii="Arial" w:hAnsi="Arial" w:cs="Arial"/>
                <w:sz w:val="20"/>
                <w:lang w:eastAsia="de-DE"/>
              </w:rPr>
            </w:pPr>
            <w:sdt>
              <w:sdtPr>
                <w:rPr>
                  <w:rFonts w:ascii="Arial" w:hAnsi="Arial" w:cs="Arial"/>
                  <w:sz w:val="20"/>
                  <w:lang w:eastAsia="de-DE"/>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441429">
                  <w:rPr>
                    <w:rFonts w:ascii="Arial" w:hAnsi="Arial" w:cs="Arial"/>
                    <w:sz w:val="20"/>
                    <w:lang w:eastAsia="de-DE"/>
                  </w:rPr>
                  <w:t>Regulated markets/Exchanges/Trading Systems</w:t>
                </w:r>
              </w:sdtContent>
            </w:sdt>
          </w:p>
        </w:tc>
      </w:tr>
      <w:tr w:rsidR="00C85C8B" w:rsidRPr="00C85C8B" w14:paraId="0D216581" w14:textId="77777777" w:rsidTr="006F4933">
        <w:tc>
          <w:tcPr>
            <w:tcW w:w="3929" w:type="dxa"/>
            <w:shd w:val="clear" w:color="auto" w:fill="auto"/>
          </w:tcPr>
          <w:p w14:paraId="43B75BA8" w14:textId="77777777" w:rsidR="00C85C8B" w:rsidRPr="00C85C8B" w:rsidRDefault="00C85C8B" w:rsidP="00C85C8B">
            <w:pPr>
              <w:rPr>
                <w:rFonts w:ascii="Arial" w:hAnsi="Arial" w:cs="Arial"/>
                <w:sz w:val="22"/>
                <w:lang w:eastAsia="de-DE"/>
              </w:rPr>
            </w:pPr>
            <w:permStart w:id="310511986" w:edGrp="everyone" w:colFirst="1" w:colLast="1"/>
            <w:permEnd w:id="11734600"/>
            <w:r w:rsidRPr="00C85C8B">
              <w:rPr>
                <w:rFonts w:ascii="Arial" w:hAnsi="Arial" w:cs="Arial"/>
                <w:sz w:val="22"/>
                <w:lang w:eastAsia="de-DE"/>
              </w:rPr>
              <w:t>Are you representing an association?</w:t>
            </w:r>
          </w:p>
        </w:tc>
        <w:sdt>
          <w:sdtPr>
            <w:rPr>
              <w:rFonts w:ascii="Arial" w:hAnsi="Arial" w:cs="Arial"/>
              <w:sz w:val="20"/>
              <w:lang w:eastAsia="de-DE"/>
            </w:rPr>
            <w:id w:val="-242871467"/>
            <w14:checkbox>
              <w14:checked w14:val="0"/>
              <w14:checkedState w14:val="2612" w14:font="MS Gothic"/>
              <w14:uncheckedState w14:val="2610" w14:font="MS Gothic"/>
            </w14:checkbox>
          </w:sdtPr>
          <w:sdtEndPr/>
          <w:sdtContent>
            <w:tc>
              <w:tcPr>
                <w:tcW w:w="5595" w:type="dxa"/>
                <w:shd w:val="clear" w:color="auto" w:fill="auto"/>
              </w:tcPr>
              <w:p w14:paraId="6C4423E1" w14:textId="77777777" w:rsidR="00C85C8B" w:rsidRPr="00C85C8B" w:rsidRDefault="00C85C8B" w:rsidP="00C85C8B">
                <w:pPr>
                  <w:rPr>
                    <w:rFonts w:ascii="Arial" w:hAnsi="Arial" w:cs="Arial"/>
                    <w:sz w:val="20"/>
                    <w:lang w:eastAsia="de-DE"/>
                  </w:rPr>
                </w:pPr>
                <w:r w:rsidRPr="00C85C8B">
                  <w:rPr>
                    <w:rFonts w:ascii="Segoe UI Symbol" w:hAnsi="Segoe UI Symbol" w:cs="Segoe UI Symbol"/>
                    <w:sz w:val="20"/>
                    <w:lang w:eastAsia="de-DE"/>
                  </w:rPr>
                  <w:t>☐</w:t>
                </w:r>
              </w:p>
            </w:tc>
          </w:sdtContent>
        </w:sdt>
      </w:tr>
      <w:tr w:rsidR="00C85C8B" w:rsidRPr="00C85C8B" w14:paraId="41DA9EA6" w14:textId="77777777" w:rsidTr="006F4933">
        <w:tc>
          <w:tcPr>
            <w:tcW w:w="3929" w:type="dxa"/>
            <w:shd w:val="clear" w:color="auto" w:fill="auto"/>
          </w:tcPr>
          <w:p w14:paraId="553FB597" w14:textId="77777777" w:rsidR="00C85C8B" w:rsidRPr="00C85C8B" w:rsidRDefault="00C85C8B" w:rsidP="00C85C8B">
            <w:pPr>
              <w:rPr>
                <w:rFonts w:ascii="Arial" w:hAnsi="Arial" w:cs="Arial"/>
                <w:sz w:val="22"/>
                <w:lang w:eastAsia="de-DE"/>
              </w:rPr>
            </w:pPr>
            <w:permStart w:id="1269442871" w:edGrp="everyone" w:colFirst="1" w:colLast="1"/>
            <w:permEnd w:id="310511986"/>
            <w:r w:rsidRPr="00C85C8B">
              <w:rPr>
                <w:rFonts w:ascii="Arial" w:hAnsi="Arial" w:cs="Arial"/>
                <w:sz w:val="22"/>
                <w:lang w:eastAsia="de-DE"/>
              </w:rPr>
              <w:t>Country/Region</w:t>
            </w:r>
          </w:p>
        </w:tc>
        <w:sdt>
          <w:sdtPr>
            <w:rPr>
              <w:rFonts w:ascii="Arial" w:hAnsi="Arial" w:cs="Arial"/>
              <w:sz w:val="20"/>
              <w:lang w:eastAsia="de-DE"/>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082656BF" w14:textId="5967727F" w:rsidR="00C85C8B" w:rsidRPr="00C85C8B" w:rsidRDefault="00441429" w:rsidP="00441429">
                <w:pPr>
                  <w:rPr>
                    <w:rFonts w:ascii="Arial" w:hAnsi="Arial" w:cs="Arial"/>
                    <w:sz w:val="20"/>
                    <w:lang w:eastAsia="de-DE"/>
                  </w:rPr>
                </w:pPr>
                <w:r>
                  <w:rPr>
                    <w:rFonts w:ascii="Arial" w:hAnsi="Arial" w:cs="Arial"/>
                    <w:sz w:val="20"/>
                    <w:lang w:eastAsia="de-DE"/>
                  </w:rPr>
                  <w:t>UK</w:t>
                </w:r>
              </w:p>
            </w:tc>
          </w:sdtContent>
        </w:sdt>
      </w:tr>
      <w:permEnd w:id="1269442871"/>
    </w:tbl>
    <w:p w14:paraId="7B052828" w14:textId="77777777" w:rsidR="00C85C8B" w:rsidRPr="00C85C8B" w:rsidRDefault="00C85C8B" w:rsidP="00C85C8B">
      <w:pPr>
        <w:spacing w:after="120" w:line="264" w:lineRule="auto"/>
        <w:jc w:val="both"/>
        <w:rPr>
          <w:rFonts w:asciiTheme="minorHAnsi" w:eastAsiaTheme="minorEastAsia" w:hAnsiTheme="minorHAnsi" w:cstheme="minorBidi"/>
          <w:sz w:val="22"/>
          <w:szCs w:val="20"/>
          <w:lang w:eastAsia="en-US"/>
        </w:rPr>
      </w:pPr>
    </w:p>
    <w:p w14:paraId="0FE28F47" w14:textId="77777777" w:rsidR="00C85C8B" w:rsidRPr="00C85C8B" w:rsidRDefault="00C85C8B" w:rsidP="00C85C8B">
      <w:pPr>
        <w:spacing w:after="120" w:line="264" w:lineRule="auto"/>
        <w:jc w:val="both"/>
        <w:rPr>
          <w:rFonts w:asciiTheme="minorHAnsi" w:eastAsiaTheme="minorEastAsia" w:hAnsiTheme="minorHAnsi" w:cstheme="minorBidi"/>
          <w:sz w:val="22"/>
          <w:szCs w:val="20"/>
          <w:lang w:eastAsia="en-US"/>
        </w:rPr>
      </w:pPr>
    </w:p>
    <w:p w14:paraId="019F5D4E" w14:textId="77777777" w:rsidR="00C85C8B" w:rsidRPr="00C85C8B" w:rsidRDefault="00C85C8B" w:rsidP="00C85C8B">
      <w:pPr>
        <w:spacing w:after="120" w:line="264" w:lineRule="auto"/>
        <w:jc w:val="both"/>
        <w:rPr>
          <w:rFonts w:asciiTheme="minorHAnsi" w:eastAsiaTheme="minorEastAsia" w:hAnsiTheme="minorHAnsi" w:cstheme="minorBidi"/>
          <w:sz w:val="22"/>
          <w:szCs w:val="20"/>
          <w:lang w:eastAsia="en-US"/>
        </w:rPr>
      </w:pPr>
    </w:p>
    <w:p w14:paraId="59CB29E3" w14:textId="77777777" w:rsidR="00C85C8B" w:rsidRPr="00C85C8B" w:rsidRDefault="00C85C8B" w:rsidP="00C85C8B">
      <w:pPr>
        <w:keepNext/>
        <w:keepLines/>
        <w:spacing w:before="320" w:after="250" w:line="276" w:lineRule="auto"/>
        <w:ind w:left="431" w:hanging="431"/>
        <w:jc w:val="both"/>
        <w:outlineLvl w:val="0"/>
        <w:rPr>
          <w:rFonts w:asciiTheme="majorHAnsi" w:eastAsiaTheme="majorEastAsia" w:hAnsiTheme="majorHAnsi" w:cstheme="majorBidi"/>
          <w:b/>
          <w:sz w:val="32"/>
          <w:szCs w:val="32"/>
          <w:lang w:eastAsia="en-US"/>
        </w:rPr>
      </w:pPr>
      <w:r w:rsidRPr="00C85C8B">
        <w:rPr>
          <w:rFonts w:asciiTheme="majorHAnsi" w:eastAsiaTheme="majorEastAsia" w:hAnsiTheme="majorHAnsi" w:cstheme="majorBidi"/>
          <w:b/>
          <w:sz w:val="32"/>
          <w:szCs w:val="32"/>
          <w:lang w:eastAsia="en-US"/>
        </w:rPr>
        <w:t>Introduction</w:t>
      </w:r>
    </w:p>
    <w:p w14:paraId="6212DE47" w14:textId="77777777" w:rsidR="00C85C8B" w:rsidRPr="00C85C8B" w:rsidRDefault="00C85C8B" w:rsidP="00C85C8B">
      <w:pPr>
        <w:spacing w:after="250" w:line="276" w:lineRule="auto"/>
        <w:jc w:val="both"/>
        <w:rPr>
          <w:rFonts w:asciiTheme="minorHAnsi" w:eastAsiaTheme="minorEastAsia" w:hAnsiTheme="minorHAnsi" w:cstheme="minorBidi"/>
          <w:b/>
          <w:bCs/>
          <w:i/>
          <w:iCs/>
          <w:sz w:val="22"/>
          <w:szCs w:val="20"/>
          <w:lang w:eastAsia="en-US"/>
        </w:rPr>
      </w:pPr>
      <w:r w:rsidRPr="00C85C8B">
        <w:rPr>
          <w:rFonts w:asciiTheme="minorHAnsi" w:eastAsiaTheme="minorEastAsia" w:hAnsiTheme="minorHAnsi" w:cstheme="minorBidi"/>
          <w:b/>
          <w:bCs/>
          <w:i/>
          <w:iCs/>
          <w:sz w:val="22"/>
          <w:szCs w:val="20"/>
          <w:lang w:eastAsia="en-US"/>
        </w:rPr>
        <w:t>Please make your introductory comments below, if any</w:t>
      </w:r>
    </w:p>
    <w:p w14:paraId="08E635EB" w14:textId="21EEEC92" w:rsidR="00C85C8B" w:rsidRPr="00C85C8B" w:rsidRDefault="00C85C8B" w:rsidP="00C85C8B">
      <w:pPr>
        <w:spacing w:after="250" w:line="276" w:lineRule="auto"/>
        <w:jc w:val="both"/>
        <w:rPr>
          <w:rFonts w:asciiTheme="minorHAnsi" w:eastAsiaTheme="minorEastAsia" w:hAnsiTheme="minorHAnsi" w:cstheme="minorBidi"/>
          <w:sz w:val="22"/>
          <w:szCs w:val="20"/>
          <w:lang w:eastAsia="en-US"/>
        </w:rPr>
      </w:pPr>
      <w:r w:rsidRPr="00C85C8B">
        <w:rPr>
          <w:rFonts w:asciiTheme="minorHAnsi" w:eastAsiaTheme="minorEastAsia" w:hAnsiTheme="minorHAnsi" w:cstheme="minorBidi"/>
          <w:sz w:val="22"/>
          <w:szCs w:val="20"/>
          <w:lang w:eastAsia="en-US"/>
        </w:rPr>
        <w:t>&lt;ESMA_COMMENT_</w:t>
      </w:r>
      <w:r w:rsidR="00D5365A">
        <w:rPr>
          <w:rFonts w:asciiTheme="minorHAnsi" w:eastAsiaTheme="minorEastAsia" w:hAnsiTheme="minorHAnsi" w:cstheme="minorBidi"/>
          <w:sz w:val="22"/>
          <w:szCs w:val="20"/>
          <w:lang w:eastAsia="en-US"/>
        </w:rPr>
        <w:t>WPR</w:t>
      </w:r>
      <w:r w:rsidRPr="00C85C8B">
        <w:rPr>
          <w:rFonts w:asciiTheme="minorHAnsi" w:eastAsiaTheme="minorEastAsia" w:hAnsiTheme="minorHAnsi" w:cstheme="minorBidi"/>
          <w:sz w:val="22"/>
          <w:szCs w:val="20"/>
          <w:lang w:eastAsia="en-US"/>
        </w:rPr>
        <w:t>_1&gt;</w:t>
      </w:r>
    </w:p>
    <w:p w14:paraId="5AD5C38D" w14:textId="19CDC4C2" w:rsidR="002025D0" w:rsidRPr="002025D0" w:rsidRDefault="002025D0" w:rsidP="00441429">
      <w:pPr>
        <w:spacing w:line="276" w:lineRule="auto"/>
        <w:jc w:val="both"/>
        <w:rPr>
          <w:rFonts w:asciiTheme="minorHAnsi" w:hAnsiTheme="minorHAnsi" w:cstheme="minorHAnsi"/>
          <w:b/>
          <w:u w:val="single"/>
        </w:rPr>
      </w:pPr>
      <w:permStart w:id="885457707" w:edGrp="everyone"/>
      <w:r w:rsidRPr="002025D0">
        <w:rPr>
          <w:rFonts w:asciiTheme="minorHAnsi" w:hAnsiTheme="minorHAnsi" w:cstheme="minorHAnsi"/>
          <w:b/>
          <w:u w:val="single"/>
        </w:rPr>
        <w:t>Introduction</w:t>
      </w:r>
    </w:p>
    <w:p w14:paraId="4F348360" w14:textId="77777777" w:rsidR="002025D0" w:rsidRDefault="002025D0" w:rsidP="00441429">
      <w:pPr>
        <w:spacing w:line="276" w:lineRule="auto"/>
        <w:jc w:val="both"/>
        <w:rPr>
          <w:rFonts w:asciiTheme="minorHAnsi" w:hAnsiTheme="minorHAnsi" w:cstheme="minorHAnsi"/>
        </w:rPr>
      </w:pPr>
    </w:p>
    <w:p w14:paraId="02AF2FF9" w14:textId="07F175FF" w:rsidR="00C85C8B" w:rsidRDefault="00441429" w:rsidP="00441429">
      <w:pPr>
        <w:spacing w:line="276" w:lineRule="auto"/>
        <w:jc w:val="both"/>
        <w:rPr>
          <w:rFonts w:asciiTheme="minorHAnsi" w:hAnsiTheme="minorHAnsi" w:cstheme="minorHAnsi"/>
        </w:rPr>
      </w:pPr>
      <w:r w:rsidRPr="00D62889">
        <w:rPr>
          <w:rFonts w:asciiTheme="minorHAnsi" w:hAnsiTheme="minorHAnsi" w:cstheme="minorHAnsi"/>
        </w:rPr>
        <w:t>The LME supports the underlying policy objectives of the position limits regime which was introduced through MiFID II. These objectives fulfil the commitments made during the 2009 meeting of the G20 in Pittsburgh, which pledged to “improve the regulation, functioning and transparency of financial and commodity markets to address excessive price volatility”. The ten year anniversary of that commitment, combined with the obligation on ESMA to prepare advice to the European Commission’s report on the impact of position limits and position management controls on commodity derivatives markets, presents an appropriate opportunity to review and assess the efficacy of the regime and consider the manner in which it may be appropriate to improve or revise it.</w:t>
      </w:r>
    </w:p>
    <w:p w14:paraId="1201ADDE" w14:textId="533312E8" w:rsidR="004F2928" w:rsidRDefault="004F2928" w:rsidP="00441429">
      <w:pPr>
        <w:spacing w:line="276" w:lineRule="auto"/>
        <w:jc w:val="both"/>
        <w:rPr>
          <w:rFonts w:asciiTheme="minorHAnsi" w:hAnsiTheme="minorHAnsi" w:cstheme="minorHAnsi"/>
        </w:rPr>
      </w:pPr>
    </w:p>
    <w:p w14:paraId="08700D54" w14:textId="003E9DC8" w:rsidR="002025D0" w:rsidRPr="002025D0" w:rsidRDefault="002025D0" w:rsidP="00441429">
      <w:pPr>
        <w:spacing w:line="276" w:lineRule="auto"/>
        <w:jc w:val="both"/>
        <w:rPr>
          <w:rFonts w:ascii="Arial" w:eastAsiaTheme="minorEastAsia" w:hAnsi="Arial" w:cs="Arial"/>
          <w:b/>
          <w:sz w:val="22"/>
          <w:szCs w:val="20"/>
          <w:u w:val="single"/>
          <w:lang w:eastAsia="en-US"/>
        </w:rPr>
      </w:pPr>
      <w:r>
        <w:rPr>
          <w:rFonts w:ascii="Arial" w:eastAsiaTheme="minorEastAsia" w:hAnsi="Arial" w:cs="Arial"/>
          <w:b/>
          <w:sz w:val="22"/>
          <w:szCs w:val="20"/>
          <w:u w:val="single"/>
          <w:lang w:eastAsia="en-US"/>
        </w:rPr>
        <w:t>New and illiquid contracts</w:t>
      </w:r>
    </w:p>
    <w:p w14:paraId="6200BD90" w14:textId="77777777" w:rsidR="002025D0" w:rsidRDefault="002025D0" w:rsidP="00441429">
      <w:pPr>
        <w:spacing w:line="276" w:lineRule="auto"/>
        <w:jc w:val="both"/>
        <w:rPr>
          <w:rFonts w:ascii="Arial" w:eastAsiaTheme="minorEastAsia" w:hAnsi="Arial" w:cs="Arial"/>
          <w:sz w:val="22"/>
          <w:szCs w:val="20"/>
          <w:lang w:eastAsia="en-US"/>
        </w:rPr>
      </w:pPr>
    </w:p>
    <w:p w14:paraId="696933BB" w14:textId="5F0314C9" w:rsidR="004F2928" w:rsidRPr="00DF4B6A" w:rsidRDefault="001E30C1" w:rsidP="00441429">
      <w:pPr>
        <w:spacing w:line="276" w:lineRule="auto"/>
        <w:jc w:val="both"/>
        <w:rPr>
          <w:rFonts w:ascii="Arial" w:eastAsiaTheme="minorEastAsia" w:hAnsi="Arial" w:cs="Arial"/>
          <w:sz w:val="22"/>
          <w:szCs w:val="20"/>
          <w:lang w:eastAsia="en-US"/>
        </w:rPr>
      </w:pPr>
      <w:r w:rsidRPr="008C4DE0">
        <w:rPr>
          <w:rFonts w:ascii="Arial" w:eastAsiaTheme="minorEastAsia" w:hAnsi="Arial" w:cs="Arial"/>
          <w:lang w:eastAsia="en-US"/>
        </w:rPr>
        <w:t>In its response to the ESMA Call for Evidence on position limits and position management, the LME outlined its concerns relating to the application of the position limits regime to new and illiquid contracts.  The LME therefore appreciates ESMA’s focus on this issue and in particular the pragmatic approach it has taken to engaging with the market in order to find a workable solution.  As described more fully in this response, the LME supports a complete review of the scope of the position limit</w:t>
      </w:r>
      <w:r w:rsidR="009431B6">
        <w:rPr>
          <w:rFonts w:ascii="Arial" w:eastAsiaTheme="minorEastAsia" w:hAnsi="Arial" w:cs="Arial"/>
          <w:lang w:eastAsia="en-US"/>
        </w:rPr>
        <w:t xml:space="preserve"> regime to a finite list of “cr</w:t>
      </w:r>
      <w:r w:rsidRPr="008C4DE0">
        <w:rPr>
          <w:rFonts w:ascii="Arial" w:eastAsiaTheme="minorEastAsia" w:hAnsi="Arial" w:cs="Arial"/>
          <w:lang w:eastAsia="en-US"/>
        </w:rPr>
        <w:t xml:space="preserve">itical contracts” which fall within identified thresholds. However, as noted in the consultation paper, should this approach be implemented then the changes needed at Level 1 may take some time to be completed.  As such the LME </w:t>
      </w:r>
      <w:r w:rsidRPr="008C4DE0">
        <w:rPr>
          <w:rFonts w:ascii="Arial" w:eastAsiaTheme="minorEastAsia" w:hAnsi="Arial" w:cs="Arial"/>
          <w:lang w:eastAsia="en-US"/>
        </w:rPr>
        <w:lastRenderedPageBreak/>
        <w:t>support</w:t>
      </w:r>
      <w:r w:rsidR="00DF4B6A" w:rsidRPr="008C4DE0">
        <w:rPr>
          <w:rFonts w:ascii="Arial" w:eastAsiaTheme="minorEastAsia" w:hAnsi="Arial" w:cs="Arial"/>
          <w:lang w:eastAsia="en-US"/>
        </w:rPr>
        <w:t>s</w:t>
      </w:r>
      <w:r w:rsidRPr="008C4DE0">
        <w:rPr>
          <w:rFonts w:ascii="Arial" w:eastAsiaTheme="minorEastAsia" w:hAnsi="Arial" w:cs="Arial"/>
          <w:lang w:eastAsia="en-US"/>
        </w:rPr>
        <w:t xml:space="preserve"> the introduction of an interim regime which would apply to new and illiquid contracts. Such a proposal would require changes only at Level 2 and could, therefore, be introduced more expediently.</w:t>
      </w:r>
      <w:r w:rsidR="00DF4B6A" w:rsidRPr="008C4DE0">
        <w:rPr>
          <w:rFonts w:ascii="Arial" w:eastAsiaTheme="minorEastAsia" w:hAnsi="Arial" w:cs="Arial"/>
          <w:lang w:eastAsia="en-US"/>
        </w:rPr>
        <w:t xml:space="preserve">  The LME’s views on how this regime could operate are set out within the body of this response.</w:t>
      </w:r>
    </w:p>
    <w:p w14:paraId="330D8D76" w14:textId="6904DEDC" w:rsidR="001E30C1" w:rsidRDefault="001E30C1" w:rsidP="00441429">
      <w:pPr>
        <w:spacing w:line="276" w:lineRule="auto"/>
        <w:jc w:val="both"/>
        <w:rPr>
          <w:rFonts w:ascii="Arial" w:eastAsiaTheme="minorEastAsia" w:hAnsi="Arial" w:cs="Arial"/>
          <w:sz w:val="22"/>
          <w:szCs w:val="20"/>
          <w:lang w:eastAsia="en-US"/>
        </w:rPr>
      </w:pPr>
    </w:p>
    <w:p w14:paraId="3C2CA1AB" w14:textId="15F90598" w:rsidR="002025D0" w:rsidRDefault="00F5321B" w:rsidP="00441429">
      <w:pPr>
        <w:spacing w:line="276" w:lineRule="auto"/>
        <w:jc w:val="both"/>
        <w:rPr>
          <w:rFonts w:ascii="Arial" w:eastAsiaTheme="minorEastAsia" w:hAnsi="Arial" w:cs="Arial"/>
          <w:b/>
          <w:sz w:val="22"/>
          <w:szCs w:val="20"/>
          <w:u w:val="single"/>
          <w:lang w:eastAsia="en-US"/>
        </w:rPr>
      </w:pPr>
      <w:r>
        <w:rPr>
          <w:rFonts w:ascii="Arial" w:eastAsiaTheme="minorEastAsia" w:hAnsi="Arial" w:cs="Arial"/>
          <w:b/>
          <w:sz w:val="22"/>
          <w:szCs w:val="20"/>
          <w:u w:val="single"/>
          <w:lang w:eastAsia="en-US"/>
        </w:rPr>
        <w:t>Hedging e</w:t>
      </w:r>
      <w:r w:rsidR="002025D0" w:rsidRPr="002025D0">
        <w:rPr>
          <w:rFonts w:ascii="Arial" w:eastAsiaTheme="minorEastAsia" w:hAnsi="Arial" w:cs="Arial"/>
          <w:b/>
          <w:sz w:val="22"/>
          <w:szCs w:val="20"/>
          <w:u w:val="single"/>
          <w:lang w:eastAsia="en-US"/>
        </w:rPr>
        <w:t>xemption</w:t>
      </w:r>
    </w:p>
    <w:p w14:paraId="021DBF64" w14:textId="77777777" w:rsidR="002025D0" w:rsidRPr="002025D0" w:rsidRDefault="002025D0" w:rsidP="00441429">
      <w:pPr>
        <w:spacing w:line="276" w:lineRule="auto"/>
        <w:jc w:val="both"/>
        <w:rPr>
          <w:rFonts w:ascii="Arial" w:eastAsiaTheme="minorEastAsia" w:hAnsi="Arial" w:cs="Arial"/>
          <w:b/>
          <w:sz w:val="22"/>
          <w:szCs w:val="20"/>
          <w:u w:val="single"/>
          <w:lang w:eastAsia="en-US"/>
        </w:rPr>
      </w:pPr>
    </w:p>
    <w:p w14:paraId="7AE6986D" w14:textId="490B0274" w:rsidR="001E30C1" w:rsidRPr="008C4DE0" w:rsidRDefault="001E30C1" w:rsidP="00441429">
      <w:pPr>
        <w:spacing w:line="276" w:lineRule="auto"/>
        <w:jc w:val="both"/>
        <w:rPr>
          <w:rFonts w:ascii="Arial" w:eastAsiaTheme="minorEastAsia" w:hAnsi="Arial" w:cs="Arial"/>
          <w:lang w:eastAsia="en-US"/>
        </w:rPr>
      </w:pPr>
      <w:r w:rsidRPr="008C4DE0">
        <w:rPr>
          <w:rFonts w:ascii="Arial" w:eastAsiaTheme="minorEastAsia" w:hAnsi="Arial" w:cs="Arial"/>
          <w:lang w:eastAsia="en-US"/>
        </w:rPr>
        <w:t>The LME also supports the proposals for changes to the hedgin</w:t>
      </w:r>
      <w:r w:rsidR="00F5321B">
        <w:rPr>
          <w:rFonts w:ascii="Arial" w:eastAsiaTheme="minorEastAsia" w:hAnsi="Arial" w:cs="Arial"/>
          <w:lang w:eastAsia="en-US"/>
        </w:rPr>
        <w:t xml:space="preserve">g exemptions to allow financial </w:t>
      </w:r>
      <w:r w:rsidRPr="008C4DE0">
        <w:rPr>
          <w:rFonts w:ascii="Arial" w:eastAsiaTheme="minorEastAsia" w:hAnsi="Arial" w:cs="Arial"/>
          <w:lang w:eastAsia="en-US"/>
        </w:rPr>
        <w:t xml:space="preserve">counterparties to benefit from this exemption in certain circumstances.  The LME believes that this would be beneficial to the </w:t>
      </w:r>
      <w:r w:rsidR="00DF4B6A" w:rsidRPr="008C4DE0">
        <w:rPr>
          <w:rFonts w:ascii="Arial" w:eastAsiaTheme="minorEastAsia" w:hAnsi="Arial" w:cs="Arial"/>
          <w:lang w:eastAsia="en-US"/>
        </w:rPr>
        <w:t xml:space="preserve">relevant commodity </w:t>
      </w:r>
      <w:r w:rsidRPr="008C4DE0">
        <w:rPr>
          <w:rFonts w:ascii="Arial" w:eastAsiaTheme="minorEastAsia" w:hAnsi="Arial" w:cs="Arial"/>
          <w:lang w:eastAsia="en-US"/>
        </w:rPr>
        <w:t>market</w:t>
      </w:r>
      <w:r w:rsidR="00DF4B6A" w:rsidRPr="008C4DE0">
        <w:rPr>
          <w:rFonts w:ascii="Arial" w:eastAsiaTheme="minorEastAsia" w:hAnsi="Arial" w:cs="Arial"/>
          <w:lang w:eastAsia="en-US"/>
        </w:rPr>
        <w:t>s</w:t>
      </w:r>
      <w:r w:rsidRPr="008C4DE0">
        <w:rPr>
          <w:rFonts w:ascii="Arial" w:eastAsiaTheme="minorEastAsia" w:hAnsi="Arial" w:cs="Arial"/>
          <w:lang w:eastAsia="en-US"/>
        </w:rPr>
        <w:t xml:space="preserve"> as it w</w:t>
      </w:r>
      <w:r w:rsidR="00DF4B6A" w:rsidRPr="008C4DE0">
        <w:rPr>
          <w:rFonts w:ascii="Arial" w:eastAsiaTheme="minorEastAsia" w:hAnsi="Arial" w:cs="Arial"/>
          <w:lang w:eastAsia="en-US"/>
        </w:rPr>
        <w:t>ould ensure that commercial parti</w:t>
      </w:r>
      <w:r w:rsidRPr="008C4DE0">
        <w:rPr>
          <w:rFonts w:ascii="Arial" w:eastAsiaTheme="minorEastAsia" w:hAnsi="Arial" w:cs="Arial"/>
          <w:lang w:eastAsia="en-US"/>
        </w:rPr>
        <w:t>cipants that do no</w:t>
      </w:r>
      <w:r w:rsidR="009431B6">
        <w:rPr>
          <w:rFonts w:ascii="Arial" w:eastAsiaTheme="minorEastAsia" w:hAnsi="Arial" w:cs="Arial"/>
          <w:lang w:eastAsia="en-US"/>
        </w:rPr>
        <w:t>t</w:t>
      </w:r>
      <w:r w:rsidRPr="008C4DE0">
        <w:rPr>
          <w:rFonts w:ascii="Arial" w:eastAsiaTheme="minorEastAsia" w:hAnsi="Arial" w:cs="Arial"/>
          <w:lang w:eastAsia="en-US"/>
        </w:rPr>
        <w:t xml:space="preserve"> have direct market access are </w:t>
      </w:r>
      <w:proofErr w:type="spellStart"/>
      <w:r w:rsidR="00213551" w:rsidRPr="008C4DE0">
        <w:rPr>
          <w:rFonts w:ascii="Arial" w:hAnsi="Arial" w:cs="Arial"/>
        </w:rPr>
        <w:t>are</w:t>
      </w:r>
      <w:proofErr w:type="spellEnd"/>
      <w:r w:rsidR="00213551" w:rsidRPr="008C4DE0">
        <w:rPr>
          <w:rFonts w:ascii="Arial" w:hAnsi="Arial" w:cs="Arial"/>
        </w:rPr>
        <w:t xml:space="preserve"> </w:t>
      </w:r>
      <w:r w:rsidR="00213551">
        <w:rPr>
          <w:rFonts w:ascii="Arial" w:hAnsi="Arial" w:cs="Arial"/>
        </w:rPr>
        <w:t xml:space="preserve">not restricted in finding </w:t>
      </w:r>
      <w:r w:rsidR="007A706D">
        <w:rPr>
          <w:rFonts w:ascii="Arial" w:eastAsiaTheme="minorEastAsia" w:hAnsi="Arial" w:cs="Arial"/>
          <w:lang w:eastAsia="en-US"/>
        </w:rPr>
        <w:t xml:space="preserve">brokers who can allow them to </w:t>
      </w:r>
      <w:r w:rsidR="00DF4B6A" w:rsidRPr="008C4DE0">
        <w:rPr>
          <w:rFonts w:ascii="Arial" w:eastAsiaTheme="minorEastAsia" w:hAnsi="Arial" w:cs="Arial"/>
          <w:lang w:eastAsia="en-US"/>
        </w:rPr>
        <w:t>hedge effectively on-exchange and could therefore divert existing and any future OTC positions onto a regulated exchange.</w:t>
      </w:r>
    </w:p>
    <w:p w14:paraId="1CFD35E0" w14:textId="0894ED95" w:rsidR="001E30C1" w:rsidRPr="008C4DE0" w:rsidRDefault="001E30C1" w:rsidP="00441429">
      <w:pPr>
        <w:spacing w:line="276" w:lineRule="auto"/>
        <w:jc w:val="both"/>
        <w:rPr>
          <w:rFonts w:ascii="Arial" w:eastAsiaTheme="minorEastAsia" w:hAnsi="Arial" w:cs="Arial"/>
          <w:lang w:eastAsia="en-US"/>
        </w:rPr>
      </w:pPr>
    </w:p>
    <w:p w14:paraId="546B2639" w14:textId="5D87518A" w:rsidR="001E30C1" w:rsidRPr="008C4DE0" w:rsidRDefault="008E323F" w:rsidP="00441429">
      <w:pPr>
        <w:spacing w:line="276" w:lineRule="auto"/>
        <w:jc w:val="both"/>
        <w:rPr>
          <w:rFonts w:ascii="Arial" w:eastAsiaTheme="minorEastAsia" w:hAnsi="Arial" w:cs="Arial"/>
          <w:b/>
          <w:u w:val="single"/>
          <w:lang w:eastAsia="en-US"/>
        </w:rPr>
      </w:pPr>
      <w:r w:rsidRPr="008C4DE0">
        <w:rPr>
          <w:rFonts w:ascii="Arial" w:eastAsiaTheme="minorEastAsia" w:hAnsi="Arial" w:cs="Arial"/>
          <w:b/>
          <w:u w:val="single"/>
          <w:lang w:eastAsia="en-US"/>
        </w:rPr>
        <w:t>Brexit</w:t>
      </w:r>
    </w:p>
    <w:p w14:paraId="2B4FFC64" w14:textId="577415A7" w:rsidR="008E323F" w:rsidRDefault="008E323F" w:rsidP="00441429">
      <w:pPr>
        <w:spacing w:line="276" w:lineRule="auto"/>
        <w:jc w:val="both"/>
        <w:rPr>
          <w:rFonts w:ascii="Arial" w:eastAsiaTheme="minorEastAsia" w:hAnsi="Arial" w:cs="Arial"/>
          <w:b/>
          <w:sz w:val="22"/>
          <w:szCs w:val="20"/>
          <w:u w:val="single"/>
          <w:lang w:eastAsia="en-US"/>
        </w:rPr>
      </w:pPr>
    </w:p>
    <w:p w14:paraId="61258E16" w14:textId="00C85F91" w:rsidR="001E30C1" w:rsidRPr="008C4DE0" w:rsidRDefault="00DF4B6A" w:rsidP="00441429">
      <w:pPr>
        <w:spacing w:line="276" w:lineRule="auto"/>
        <w:jc w:val="both"/>
        <w:rPr>
          <w:rFonts w:ascii="Arial" w:eastAsiaTheme="minorEastAsia" w:hAnsi="Arial" w:cs="Arial"/>
          <w:lang w:eastAsia="en-US"/>
        </w:rPr>
      </w:pPr>
      <w:r w:rsidRPr="008C4DE0">
        <w:rPr>
          <w:rFonts w:ascii="Arial" w:eastAsiaTheme="minorEastAsia" w:hAnsi="Arial" w:cs="Arial"/>
          <w:lang w:eastAsia="en-US"/>
        </w:rPr>
        <w:t>As the date of the UK’s exit from the European Union approaches, t</w:t>
      </w:r>
      <w:r w:rsidR="008E323F" w:rsidRPr="008C4DE0">
        <w:rPr>
          <w:rFonts w:ascii="Arial" w:eastAsiaTheme="minorEastAsia" w:hAnsi="Arial" w:cs="Arial"/>
          <w:lang w:eastAsia="en-US"/>
        </w:rPr>
        <w:t xml:space="preserve">he LME wishes to repeat its </w:t>
      </w:r>
      <w:r w:rsidRPr="008C4DE0">
        <w:rPr>
          <w:rFonts w:ascii="Arial" w:eastAsiaTheme="minorEastAsia" w:hAnsi="Arial" w:cs="Arial"/>
          <w:lang w:eastAsia="en-US"/>
        </w:rPr>
        <w:t xml:space="preserve">firm </w:t>
      </w:r>
      <w:r w:rsidR="008E323F" w:rsidRPr="008C4DE0">
        <w:rPr>
          <w:rFonts w:ascii="Arial" w:eastAsiaTheme="minorEastAsia" w:hAnsi="Arial" w:cs="Arial"/>
          <w:lang w:eastAsia="en-US"/>
        </w:rPr>
        <w:t xml:space="preserve">commitment to </w:t>
      </w:r>
      <w:r w:rsidR="006B550F" w:rsidRPr="008C4DE0">
        <w:rPr>
          <w:rFonts w:ascii="Arial" w:eastAsiaTheme="minorEastAsia" w:hAnsi="Arial" w:cs="Arial"/>
          <w:lang w:eastAsia="en-US"/>
        </w:rPr>
        <w:t>remaining</w:t>
      </w:r>
      <w:r w:rsidRPr="008C4DE0">
        <w:rPr>
          <w:rFonts w:ascii="Arial" w:eastAsiaTheme="minorEastAsia" w:hAnsi="Arial" w:cs="Arial"/>
          <w:lang w:eastAsia="en-US"/>
        </w:rPr>
        <w:t xml:space="preserve"> an open and accessible</w:t>
      </w:r>
      <w:r w:rsidR="008E323F" w:rsidRPr="008C4DE0">
        <w:rPr>
          <w:rFonts w:ascii="Arial" w:eastAsiaTheme="minorEastAsia" w:hAnsi="Arial" w:cs="Arial"/>
          <w:lang w:eastAsia="en-US"/>
        </w:rPr>
        <w:t xml:space="preserve"> global market</w:t>
      </w:r>
      <w:r w:rsidRPr="008C4DE0">
        <w:rPr>
          <w:rFonts w:ascii="Arial" w:eastAsiaTheme="minorEastAsia" w:hAnsi="Arial" w:cs="Arial"/>
          <w:lang w:eastAsia="en-US"/>
        </w:rPr>
        <w:t xml:space="preserve">. </w:t>
      </w:r>
      <w:r w:rsidR="008E323F" w:rsidRPr="008C4DE0">
        <w:rPr>
          <w:rFonts w:ascii="Arial" w:eastAsiaTheme="minorEastAsia" w:hAnsi="Arial" w:cs="Arial"/>
          <w:lang w:eastAsia="en-US"/>
        </w:rPr>
        <w:t xml:space="preserve"> </w:t>
      </w:r>
      <w:r w:rsidRPr="008C4DE0">
        <w:rPr>
          <w:rFonts w:ascii="Arial" w:eastAsiaTheme="minorEastAsia" w:hAnsi="Arial" w:cs="Arial"/>
          <w:lang w:eastAsia="en-US"/>
        </w:rPr>
        <w:t xml:space="preserve">The LME’s primary focus </w:t>
      </w:r>
      <w:r w:rsidR="006B550F" w:rsidRPr="008C4DE0">
        <w:rPr>
          <w:rFonts w:ascii="Arial" w:eastAsiaTheme="minorEastAsia" w:hAnsi="Arial" w:cs="Arial"/>
          <w:lang w:eastAsia="en-US"/>
        </w:rPr>
        <w:t xml:space="preserve">is </w:t>
      </w:r>
      <w:r w:rsidRPr="008C4DE0">
        <w:rPr>
          <w:rFonts w:ascii="Arial" w:eastAsiaTheme="minorEastAsia" w:hAnsi="Arial" w:cs="Arial"/>
          <w:lang w:eastAsia="en-US"/>
        </w:rPr>
        <w:t xml:space="preserve">on </w:t>
      </w:r>
      <w:r w:rsidR="006B550F" w:rsidRPr="008C4DE0">
        <w:rPr>
          <w:rFonts w:ascii="Arial" w:eastAsiaTheme="minorEastAsia" w:hAnsi="Arial" w:cs="Arial"/>
          <w:lang w:eastAsia="en-US"/>
        </w:rPr>
        <w:t xml:space="preserve">preserving its continued ability </w:t>
      </w:r>
      <w:r w:rsidR="008E323F" w:rsidRPr="008C4DE0">
        <w:rPr>
          <w:rFonts w:ascii="Arial" w:eastAsiaTheme="minorEastAsia" w:hAnsi="Arial" w:cs="Arial"/>
          <w:lang w:eastAsia="en-US"/>
        </w:rPr>
        <w:t xml:space="preserve">to </w:t>
      </w:r>
      <w:r w:rsidR="006B550F" w:rsidRPr="008C4DE0">
        <w:rPr>
          <w:rFonts w:ascii="Arial" w:eastAsiaTheme="minorEastAsia" w:hAnsi="Arial" w:cs="Arial"/>
          <w:lang w:eastAsia="en-US"/>
        </w:rPr>
        <w:t>provide</w:t>
      </w:r>
      <w:r w:rsidR="008E323F" w:rsidRPr="008C4DE0">
        <w:rPr>
          <w:rFonts w:ascii="Arial" w:eastAsiaTheme="minorEastAsia" w:hAnsi="Arial" w:cs="Arial"/>
          <w:lang w:eastAsia="en-US"/>
        </w:rPr>
        <w:t xml:space="preserve"> trading and clearing services to all of its members irrespective of the jurisdiction in which they are incorporated and from which they trade</w:t>
      </w:r>
      <w:r w:rsidR="00F5321B">
        <w:rPr>
          <w:rFonts w:ascii="Arial" w:eastAsiaTheme="minorEastAsia" w:hAnsi="Arial" w:cs="Arial"/>
          <w:lang w:eastAsia="en-US"/>
        </w:rPr>
        <w:t xml:space="preserve"> or clear</w:t>
      </w:r>
      <w:r w:rsidR="008E323F" w:rsidRPr="008C4DE0">
        <w:rPr>
          <w:rFonts w:ascii="Arial" w:eastAsiaTheme="minorEastAsia" w:hAnsi="Arial" w:cs="Arial"/>
          <w:lang w:eastAsia="en-US"/>
        </w:rPr>
        <w:t xml:space="preserve">. With this commitment in mind, the LME </w:t>
      </w:r>
      <w:r w:rsidR="00B66353" w:rsidRPr="008C4DE0">
        <w:rPr>
          <w:rFonts w:ascii="Arial" w:eastAsiaTheme="minorEastAsia" w:hAnsi="Arial" w:cs="Arial"/>
          <w:lang w:eastAsia="en-US"/>
        </w:rPr>
        <w:t xml:space="preserve">looks forward to continuing the constructive and open engagement it has </w:t>
      </w:r>
      <w:r w:rsidR="000220DD" w:rsidRPr="008C4DE0">
        <w:rPr>
          <w:rFonts w:ascii="Arial" w:eastAsiaTheme="minorEastAsia" w:hAnsi="Arial" w:cs="Arial"/>
          <w:lang w:eastAsia="en-US"/>
        </w:rPr>
        <w:t xml:space="preserve">always </w:t>
      </w:r>
      <w:r w:rsidR="00B66353" w:rsidRPr="008C4DE0">
        <w:rPr>
          <w:rFonts w:ascii="Arial" w:eastAsiaTheme="minorEastAsia" w:hAnsi="Arial" w:cs="Arial"/>
          <w:lang w:eastAsia="en-US"/>
        </w:rPr>
        <w:t xml:space="preserve">enjoyed with </w:t>
      </w:r>
      <w:r w:rsidR="008E323F" w:rsidRPr="008C4DE0">
        <w:rPr>
          <w:rFonts w:ascii="Arial" w:eastAsiaTheme="minorEastAsia" w:hAnsi="Arial" w:cs="Arial"/>
          <w:lang w:eastAsia="en-US"/>
        </w:rPr>
        <w:t>ESMA</w:t>
      </w:r>
      <w:r w:rsidR="000220DD" w:rsidRPr="008C4DE0">
        <w:rPr>
          <w:rFonts w:ascii="Arial" w:eastAsiaTheme="minorEastAsia" w:hAnsi="Arial" w:cs="Arial"/>
          <w:lang w:eastAsia="en-US"/>
        </w:rPr>
        <w:t>. The LME remains at ESMA’s disposal for further discussion on matters raised within this paper or on any other relevant policy matter</w:t>
      </w:r>
      <w:r w:rsidR="00B66353" w:rsidRPr="008C4DE0">
        <w:rPr>
          <w:rFonts w:ascii="Arial" w:eastAsiaTheme="minorEastAsia" w:hAnsi="Arial" w:cs="Arial"/>
          <w:lang w:eastAsia="en-US"/>
        </w:rPr>
        <w:t>.</w:t>
      </w:r>
    </w:p>
    <w:permEnd w:id="885457707"/>
    <w:p w14:paraId="15D00E65" w14:textId="12BB6964" w:rsidR="00C85C8B" w:rsidRPr="00C85C8B" w:rsidRDefault="00C85C8B" w:rsidP="00C85C8B">
      <w:pPr>
        <w:spacing w:after="250" w:line="276" w:lineRule="auto"/>
        <w:jc w:val="both"/>
        <w:rPr>
          <w:rFonts w:asciiTheme="minorHAnsi" w:eastAsiaTheme="minorEastAsia" w:hAnsiTheme="minorHAnsi" w:cstheme="minorBidi"/>
          <w:sz w:val="22"/>
          <w:szCs w:val="20"/>
          <w:lang w:eastAsia="en-US"/>
        </w:rPr>
      </w:pPr>
      <w:r w:rsidRPr="00C85C8B">
        <w:rPr>
          <w:rFonts w:asciiTheme="minorHAnsi" w:eastAsiaTheme="minorEastAsia" w:hAnsiTheme="minorHAnsi" w:cstheme="minorBidi"/>
          <w:sz w:val="22"/>
          <w:szCs w:val="20"/>
          <w:lang w:eastAsia="en-US"/>
        </w:rPr>
        <w:t>&lt;ESMA_COMMENT_</w:t>
      </w:r>
      <w:r w:rsidR="00D5365A">
        <w:rPr>
          <w:rFonts w:asciiTheme="minorHAnsi" w:eastAsiaTheme="minorEastAsia" w:hAnsiTheme="minorHAnsi" w:cs="Arial"/>
          <w:sz w:val="22"/>
          <w:szCs w:val="20"/>
          <w:lang w:eastAsia="en-US"/>
        </w:rPr>
        <w:t>WPR</w:t>
      </w:r>
      <w:r w:rsidRPr="00C85C8B">
        <w:rPr>
          <w:rFonts w:asciiTheme="minorHAnsi" w:eastAsiaTheme="minorEastAsia" w:hAnsiTheme="minorHAnsi" w:cstheme="minorBidi"/>
          <w:sz w:val="22"/>
          <w:szCs w:val="20"/>
          <w:lang w:eastAsia="en-US"/>
        </w:rPr>
        <w:t>_1&gt;</w:t>
      </w:r>
    </w:p>
    <w:p w14:paraId="58C2F704" w14:textId="77777777" w:rsidR="00C85C8B" w:rsidRDefault="00C85C8B" w:rsidP="00C1698A">
      <w:pPr>
        <w:spacing w:line="276" w:lineRule="auto"/>
        <w:rPr>
          <w:rFonts w:asciiTheme="minorHAnsi" w:hAnsiTheme="minorHAnsi" w:cstheme="minorHAnsi"/>
          <w:b/>
          <w:sz w:val="28"/>
          <w:szCs w:val="28"/>
        </w:rPr>
      </w:pPr>
    </w:p>
    <w:p w14:paraId="4218CA54" w14:textId="77777777" w:rsidR="00C85C8B" w:rsidRDefault="00C85C8B" w:rsidP="00C1698A">
      <w:pPr>
        <w:spacing w:line="276" w:lineRule="auto"/>
        <w:rPr>
          <w:rFonts w:asciiTheme="minorHAnsi" w:hAnsiTheme="minorHAnsi" w:cstheme="minorHAnsi"/>
          <w:b/>
          <w:sz w:val="28"/>
          <w:szCs w:val="28"/>
        </w:rPr>
      </w:pPr>
    </w:p>
    <w:p w14:paraId="0CE5A6A7" w14:textId="77777777" w:rsidR="00C85C8B" w:rsidRDefault="00C85C8B" w:rsidP="00C1698A">
      <w:pPr>
        <w:spacing w:line="276" w:lineRule="auto"/>
        <w:rPr>
          <w:rFonts w:asciiTheme="minorHAnsi" w:hAnsiTheme="minorHAnsi" w:cstheme="minorHAnsi"/>
          <w:b/>
          <w:sz w:val="28"/>
          <w:szCs w:val="28"/>
        </w:rPr>
      </w:pPr>
    </w:p>
    <w:p w14:paraId="0D73DA59" w14:textId="77777777" w:rsidR="00C85C8B" w:rsidRDefault="00C85C8B" w:rsidP="00C1698A">
      <w:pPr>
        <w:spacing w:line="276" w:lineRule="auto"/>
        <w:rPr>
          <w:rFonts w:asciiTheme="minorHAnsi" w:hAnsiTheme="minorHAnsi" w:cstheme="minorHAnsi"/>
          <w:b/>
          <w:sz w:val="28"/>
          <w:szCs w:val="28"/>
        </w:rPr>
      </w:pPr>
    </w:p>
    <w:p w14:paraId="0C037628" w14:textId="77777777" w:rsidR="00C85C8B" w:rsidRDefault="00C85C8B" w:rsidP="00C1698A">
      <w:pPr>
        <w:spacing w:line="276" w:lineRule="auto"/>
        <w:rPr>
          <w:rFonts w:asciiTheme="minorHAnsi" w:hAnsiTheme="minorHAnsi" w:cstheme="minorHAnsi"/>
          <w:b/>
          <w:sz w:val="28"/>
          <w:szCs w:val="28"/>
        </w:rPr>
      </w:pPr>
    </w:p>
    <w:p w14:paraId="1D0DAFF5" w14:textId="77777777" w:rsidR="00C85C8B" w:rsidRDefault="00C85C8B">
      <w:pPr>
        <w:spacing w:after="120" w:line="264" w:lineRule="auto"/>
        <w:rPr>
          <w:rFonts w:asciiTheme="minorHAnsi" w:hAnsiTheme="minorHAnsi" w:cstheme="minorHAnsi"/>
          <w:b/>
          <w:sz w:val="28"/>
          <w:szCs w:val="28"/>
        </w:rPr>
      </w:pPr>
      <w:r>
        <w:rPr>
          <w:rFonts w:asciiTheme="minorHAnsi" w:hAnsiTheme="minorHAnsi" w:cstheme="minorHAnsi"/>
          <w:b/>
          <w:sz w:val="28"/>
          <w:szCs w:val="28"/>
        </w:rPr>
        <w:br w:type="page"/>
      </w:r>
    </w:p>
    <w:p w14:paraId="005F1C41" w14:textId="6708E7F3" w:rsidR="00C1698A" w:rsidRDefault="00C1698A" w:rsidP="00C1698A">
      <w:pPr>
        <w:spacing w:line="276" w:lineRule="auto"/>
        <w:rPr>
          <w:rFonts w:asciiTheme="minorHAnsi" w:hAnsiTheme="minorHAnsi" w:cstheme="minorHAnsi"/>
          <w:b/>
          <w:sz w:val="28"/>
          <w:szCs w:val="28"/>
        </w:rPr>
      </w:pPr>
      <w:r w:rsidRPr="00C1698A">
        <w:rPr>
          <w:rFonts w:asciiTheme="minorHAnsi" w:hAnsiTheme="minorHAnsi" w:cstheme="minorHAnsi"/>
          <w:b/>
          <w:sz w:val="28"/>
          <w:szCs w:val="28"/>
        </w:rPr>
        <w:lastRenderedPageBreak/>
        <w:t xml:space="preserve">Questions </w:t>
      </w:r>
    </w:p>
    <w:p w14:paraId="5BB748F7" w14:textId="18FE1F4F" w:rsidR="00D5365A" w:rsidRDefault="00D5365A" w:rsidP="00C1698A">
      <w:pPr>
        <w:spacing w:line="276" w:lineRule="auto"/>
        <w:rPr>
          <w:rFonts w:asciiTheme="minorHAnsi" w:hAnsiTheme="minorHAnsi" w:cstheme="minorHAnsi"/>
          <w:b/>
          <w:sz w:val="28"/>
          <w:szCs w:val="28"/>
        </w:rPr>
      </w:pPr>
    </w:p>
    <w:p w14:paraId="78C87C24" w14:textId="77777777" w:rsidR="00D5365A" w:rsidRPr="002847A4" w:rsidRDefault="00D5365A" w:rsidP="00D5365A">
      <w:pPr>
        <w:rPr>
          <w:b/>
        </w:rPr>
      </w:pPr>
      <w:r w:rsidRPr="002847A4">
        <w:rPr>
          <w:b/>
        </w:rPr>
        <w:t>Part I</w:t>
      </w:r>
    </w:p>
    <w:p w14:paraId="6803E72C" w14:textId="77777777" w:rsidR="00D5365A" w:rsidRDefault="00D5365A" w:rsidP="00C1698A">
      <w:pPr>
        <w:spacing w:line="276" w:lineRule="auto"/>
        <w:rPr>
          <w:rFonts w:asciiTheme="minorHAnsi" w:hAnsiTheme="minorHAnsi" w:cstheme="minorHAnsi"/>
          <w:b/>
          <w:sz w:val="28"/>
          <w:szCs w:val="28"/>
        </w:rPr>
      </w:pPr>
    </w:p>
    <w:p w14:paraId="31CCCD1B" w14:textId="77777777" w:rsidR="00D5365A" w:rsidRDefault="00D5365A" w:rsidP="00D5365A">
      <w:pPr>
        <w:pStyle w:val="Questionstyle"/>
        <w:numPr>
          <w:ilvl w:val="0"/>
          <w:numId w:val="17"/>
        </w:numPr>
        <w:spacing w:after="250" w:line="276" w:lineRule="auto"/>
      </w:pPr>
      <w:r>
        <w:t>: Which option (Option 1 or Option 2) do you support for dealing with competing contracts? Please explain why. If you support Option 1, do you have any suggestions for amending the definition of “same contract” in Article 5(1) of RTS 21?  If you support another alternative, please explain which one and why.</w:t>
      </w:r>
    </w:p>
    <w:p w14:paraId="18E545B3" w14:textId="77777777" w:rsidR="00D5365A" w:rsidRDefault="00D5365A" w:rsidP="00D5365A">
      <w:pPr>
        <w:rPr>
          <w:rFonts w:ascii="Arial" w:hAnsi="Arial" w:cs="Arial"/>
        </w:rPr>
      </w:pPr>
      <w:r>
        <w:rPr>
          <w:rFonts w:ascii="Arial" w:hAnsi="Arial" w:cs="Arial"/>
        </w:rPr>
        <w:t>&lt;ESMA_QUESTION_WPR_1&gt;</w:t>
      </w:r>
    </w:p>
    <w:p w14:paraId="26F97D8A" w14:textId="77777777" w:rsidR="00E35165" w:rsidRDefault="00E35165" w:rsidP="00E35165">
      <w:pPr>
        <w:rPr>
          <w:rFonts w:ascii="Arial" w:hAnsi="Arial" w:cs="Arial"/>
        </w:rPr>
      </w:pPr>
      <w:permStart w:id="1245597596" w:edGrp="everyone"/>
      <w:r>
        <w:rPr>
          <w:rFonts w:ascii="Arial" w:hAnsi="Arial" w:cs="Arial"/>
        </w:rPr>
        <w:t>TYPE YOUR TEXT HERE</w:t>
      </w:r>
    </w:p>
    <w:permEnd w:id="1245597596"/>
    <w:p w14:paraId="230EAD9F" w14:textId="693BB867" w:rsidR="00D5365A" w:rsidRDefault="00D5365A" w:rsidP="00D5365A">
      <w:pPr>
        <w:rPr>
          <w:rFonts w:ascii="Arial" w:hAnsi="Arial" w:cs="Arial"/>
        </w:rPr>
      </w:pPr>
      <w:r>
        <w:rPr>
          <w:rFonts w:ascii="Arial" w:hAnsi="Arial" w:cs="Arial"/>
        </w:rPr>
        <w:t>&lt;ESMA_QUESTION_WPR_1&gt;</w:t>
      </w:r>
    </w:p>
    <w:p w14:paraId="05277153" w14:textId="77777777" w:rsidR="00D5365A" w:rsidRDefault="00D5365A" w:rsidP="00D5365A">
      <w:pPr>
        <w:rPr>
          <w:rFonts w:ascii="Arial" w:hAnsi="Arial" w:cs="Arial"/>
        </w:rPr>
      </w:pPr>
    </w:p>
    <w:p w14:paraId="55333858" w14:textId="77777777" w:rsidR="00D5365A" w:rsidRDefault="00D5365A" w:rsidP="00D5365A">
      <w:pPr>
        <w:pStyle w:val="Questionstyle"/>
        <w:numPr>
          <w:ilvl w:val="0"/>
          <w:numId w:val="17"/>
        </w:numPr>
        <w:spacing w:after="250" w:line="276" w:lineRule="auto"/>
        <w:rPr>
          <w:rFonts w:ascii="Arial" w:hAnsi="Arial" w:cs="Arial"/>
        </w:rPr>
      </w:pPr>
      <w:r>
        <w:t>: Do you agree that the C(6) carve-out creates an unlevel playing field across trading venues and should be reconsidered? If not, please explain why.</w:t>
      </w:r>
    </w:p>
    <w:p w14:paraId="290574D7" w14:textId="77777777" w:rsidR="00D5365A" w:rsidRDefault="00D5365A" w:rsidP="00D5365A">
      <w:pPr>
        <w:rPr>
          <w:rFonts w:ascii="Arial" w:hAnsi="Arial" w:cs="Arial"/>
        </w:rPr>
      </w:pPr>
      <w:r>
        <w:rPr>
          <w:rFonts w:ascii="Arial" w:hAnsi="Arial" w:cs="Arial"/>
        </w:rPr>
        <w:t>&lt;ESMA_QUESTION_WPR_2&gt;</w:t>
      </w:r>
    </w:p>
    <w:p w14:paraId="51603306" w14:textId="77777777" w:rsidR="00D5365A" w:rsidRDefault="00D5365A" w:rsidP="00D5365A">
      <w:pPr>
        <w:rPr>
          <w:rFonts w:ascii="Arial" w:hAnsi="Arial" w:cs="Arial"/>
        </w:rPr>
      </w:pPr>
      <w:permStart w:id="311558394" w:edGrp="everyone"/>
      <w:r>
        <w:rPr>
          <w:rFonts w:ascii="Arial" w:hAnsi="Arial" w:cs="Arial"/>
        </w:rPr>
        <w:t>TYPE YOUR TEXT HERE</w:t>
      </w:r>
    </w:p>
    <w:permEnd w:id="311558394"/>
    <w:p w14:paraId="72923BA0" w14:textId="77777777" w:rsidR="00D5365A" w:rsidRDefault="00D5365A" w:rsidP="00D5365A">
      <w:pPr>
        <w:rPr>
          <w:rFonts w:ascii="Arial" w:hAnsi="Arial" w:cs="Arial"/>
        </w:rPr>
      </w:pPr>
      <w:r>
        <w:rPr>
          <w:rFonts w:ascii="Arial" w:hAnsi="Arial" w:cs="Arial"/>
        </w:rPr>
        <w:t>&lt;ESMA_QUESTION_WPR_2&gt;</w:t>
      </w:r>
    </w:p>
    <w:p w14:paraId="6F067025" w14:textId="77777777" w:rsidR="00D5365A" w:rsidRDefault="00D5365A" w:rsidP="00D5365A">
      <w:pPr>
        <w:rPr>
          <w:rFonts w:ascii="Arial" w:hAnsi="Arial" w:cs="Arial"/>
        </w:rPr>
      </w:pPr>
    </w:p>
    <w:p w14:paraId="65092191" w14:textId="77777777" w:rsidR="00D5365A" w:rsidRDefault="00D5365A" w:rsidP="00D5365A">
      <w:pPr>
        <w:pStyle w:val="Questionstyle"/>
        <w:numPr>
          <w:ilvl w:val="0"/>
          <w:numId w:val="17"/>
        </w:numPr>
        <w:spacing w:after="250" w:line="276" w:lineRule="auto"/>
        <w:rPr>
          <w:rFonts w:ascii="Arial" w:hAnsi="Arial" w:cs="Arial"/>
        </w:rPr>
      </w:pPr>
      <w:r>
        <w:t>: Do you agree that the position limit framework should not apply to securitised derivatives? If not, please explain why.</w:t>
      </w:r>
    </w:p>
    <w:p w14:paraId="2A59A7B2" w14:textId="77777777" w:rsidR="00D5365A" w:rsidRDefault="00D5365A" w:rsidP="00D5365A">
      <w:pPr>
        <w:rPr>
          <w:rFonts w:ascii="Arial" w:hAnsi="Arial" w:cs="Arial"/>
        </w:rPr>
      </w:pPr>
      <w:r>
        <w:rPr>
          <w:rFonts w:ascii="Arial" w:hAnsi="Arial" w:cs="Arial"/>
        </w:rPr>
        <w:t>&lt;ESMA_QUESTION_WPR_3&gt;</w:t>
      </w:r>
    </w:p>
    <w:p w14:paraId="4C832058" w14:textId="77777777" w:rsidR="00D5365A" w:rsidRDefault="00D5365A" w:rsidP="00D5365A">
      <w:pPr>
        <w:rPr>
          <w:rFonts w:ascii="Arial" w:hAnsi="Arial" w:cs="Arial"/>
        </w:rPr>
      </w:pPr>
      <w:permStart w:id="1945511407" w:edGrp="everyone"/>
      <w:r>
        <w:rPr>
          <w:rFonts w:ascii="Arial" w:hAnsi="Arial" w:cs="Arial"/>
        </w:rPr>
        <w:t>TYPE YOUR TEXT HERE</w:t>
      </w:r>
    </w:p>
    <w:permEnd w:id="1945511407"/>
    <w:p w14:paraId="5D7CB126" w14:textId="77777777" w:rsidR="00D5365A" w:rsidRDefault="00D5365A" w:rsidP="00D5365A">
      <w:pPr>
        <w:rPr>
          <w:rFonts w:ascii="Arial" w:hAnsi="Arial" w:cs="Arial"/>
        </w:rPr>
      </w:pPr>
      <w:r>
        <w:rPr>
          <w:rFonts w:ascii="Arial" w:hAnsi="Arial" w:cs="Arial"/>
        </w:rPr>
        <w:t>&lt;ESMA_QUESTION_WPR_3&gt;</w:t>
      </w:r>
    </w:p>
    <w:p w14:paraId="13A4EF33" w14:textId="77777777" w:rsidR="00D5365A" w:rsidRDefault="00D5365A" w:rsidP="00D5365A">
      <w:pPr>
        <w:rPr>
          <w:rFonts w:ascii="Arial" w:hAnsi="Arial" w:cs="Arial"/>
        </w:rPr>
      </w:pPr>
    </w:p>
    <w:p w14:paraId="39793CB0" w14:textId="77777777" w:rsidR="00D5365A" w:rsidRDefault="00D5365A" w:rsidP="00D5365A">
      <w:pPr>
        <w:pStyle w:val="Questionstyle"/>
        <w:numPr>
          <w:ilvl w:val="0"/>
          <w:numId w:val="17"/>
        </w:numPr>
        <w:spacing w:after="250" w:line="276" w:lineRule="auto"/>
        <w:rPr>
          <w:rFonts w:ascii="Arial" w:hAnsi="Arial" w:cs="Arial"/>
        </w:rPr>
      </w:pPr>
      <w:r>
        <w:t xml:space="preserve">: Which option do you support to address the negative impact of position limits on new and illiquid commodity derivatives: Option 1 or Option 2? Please explain why. If you support another alternative, please explain which one and why. </w:t>
      </w:r>
    </w:p>
    <w:p w14:paraId="7B19F883" w14:textId="77777777" w:rsidR="00D5365A" w:rsidRDefault="00D5365A" w:rsidP="00D5365A">
      <w:pPr>
        <w:rPr>
          <w:rFonts w:ascii="Arial" w:hAnsi="Arial" w:cs="Arial"/>
        </w:rPr>
      </w:pPr>
      <w:r>
        <w:rPr>
          <w:rFonts w:ascii="Arial" w:hAnsi="Arial" w:cs="Arial"/>
        </w:rPr>
        <w:t>&lt;ESMA_QUESTION_WPR_4&gt;</w:t>
      </w:r>
    </w:p>
    <w:p w14:paraId="2E5FABDB" w14:textId="3F307168" w:rsidR="00D5365A" w:rsidRDefault="000220DD" w:rsidP="00D5365A">
      <w:pPr>
        <w:rPr>
          <w:rFonts w:ascii="Arial" w:hAnsi="Arial" w:cs="Arial"/>
        </w:rPr>
      </w:pPr>
      <w:permStart w:id="342492330" w:edGrp="everyone"/>
      <w:r>
        <w:rPr>
          <w:rFonts w:ascii="Arial" w:hAnsi="Arial" w:cs="Arial"/>
        </w:rPr>
        <w:t>The LME supports</w:t>
      </w:r>
      <w:r w:rsidR="00583A9B">
        <w:rPr>
          <w:rFonts w:ascii="Arial" w:hAnsi="Arial" w:cs="Arial"/>
        </w:rPr>
        <w:t xml:space="preserve"> O</w:t>
      </w:r>
      <w:r>
        <w:rPr>
          <w:rFonts w:ascii="Arial" w:hAnsi="Arial" w:cs="Arial"/>
        </w:rPr>
        <w:t>ption</w:t>
      </w:r>
      <w:r w:rsidR="00FB100A">
        <w:rPr>
          <w:rFonts w:ascii="Arial" w:hAnsi="Arial" w:cs="Arial"/>
        </w:rPr>
        <w:t xml:space="preserve"> 1 and believes that the scope of the position limits regime should be reduced to cover a more limited set of significant or critical contracts. </w:t>
      </w:r>
      <w:r w:rsidR="00A659B4">
        <w:rPr>
          <w:rFonts w:ascii="Arial" w:hAnsi="Arial" w:cs="Arial"/>
        </w:rPr>
        <w:t xml:space="preserve"> </w:t>
      </w:r>
      <w:r w:rsidR="006A14F0">
        <w:rPr>
          <w:rFonts w:ascii="Arial" w:hAnsi="Arial" w:cs="Arial"/>
        </w:rPr>
        <w:t xml:space="preserve">The LME believes that a reduction in scope of the broader regime would resolve the key issues raised with the position limits regime which are </w:t>
      </w:r>
      <w:r w:rsidR="001E2840">
        <w:rPr>
          <w:rFonts w:ascii="Arial" w:hAnsi="Arial" w:cs="Arial"/>
        </w:rPr>
        <w:t>(</w:t>
      </w:r>
      <w:proofErr w:type="spellStart"/>
      <w:r w:rsidR="001E2840">
        <w:rPr>
          <w:rFonts w:ascii="Arial" w:hAnsi="Arial" w:cs="Arial"/>
        </w:rPr>
        <w:t>i</w:t>
      </w:r>
      <w:proofErr w:type="spellEnd"/>
      <w:r w:rsidR="001E2840">
        <w:rPr>
          <w:rFonts w:ascii="Arial" w:hAnsi="Arial" w:cs="Arial"/>
        </w:rPr>
        <w:t xml:space="preserve">) </w:t>
      </w:r>
      <w:r w:rsidR="006A14F0">
        <w:rPr>
          <w:rFonts w:ascii="Arial" w:hAnsi="Arial" w:cs="Arial"/>
        </w:rPr>
        <w:t xml:space="preserve">the impact on new and illiquid contracts and </w:t>
      </w:r>
      <w:r w:rsidR="001E2840">
        <w:rPr>
          <w:rFonts w:ascii="Arial" w:hAnsi="Arial" w:cs="Arial"/>
        </w:rPr>
        <w:t xml:space="preserve">(ii) </w:t>
      </w:r>
      <w:r w:rsidR="006A14F0">
        <w:rPr>
          <w:rFonts w:ascii="Arial" w:hAnsi="Arial" w:cs="Arial"/>
        </w:rPr>
        <w:t>the need to revise the application of the hedgin</w:t>
      </w:r>
      <w:r w:rsidR="009431B6">
        <w:rPr>
          <w:rFonts w:ascii="Arial" w:hAnsi="Arial" w:cs="Arial"/>
        </w:rPr>
        <w:t>g</w:t>
      </w:r>
      <w:r w:rsidR="006A14F0">
        <w:rPr>
          <w:rFonts w:ascii="Arial" w:hAnsi="Arial" w:cs="Arial"/>
        </w:rPr>
        <w:t xml:space="preserve"> exemption.  However, it would not detract or undermine the ef</w:t>
      </w:r>
      <w:r w:rsidR="0035336C">
        <w:rPr>
          <w:rFonts w:ascii="Arial" w:hAnsi="Arial" w:cs="Arial"/>
        </w:rPr>
        <w:t>ficacy of the regime in meeting</w:t>
      </w:r>
      <w:r w:rsidR="006A14F0">
        <w:rPr>
          <w:rFonts w:ascii="Arial" w:hAnsi="Arial" w:cs="Arial"/>
        </w:rPr>
        <w:t xml:space="preserve"> its policy objectives in relation to the more mature commodity derivative contracts.</w:t>
      </w:r>
    </w:p>
    <w:p w14:paraId="5469316A" w14:textId="074E3262" w:rsidR="006A14F0" w:rsidRDefault="006A14F0" w:rsidP="00D5365A">
      <w:pPr>
        <w:rPr>
          <w:rFonts w:ascii="Arial" w:hAnsi="Arial" w:cs="Arial"/>
        </w:rPr>
      </w:pPr>
    </w:p>
    <w:p w14:paraId="4E36B6AF" w14:textId="599D70DB" w:rsidR="006A14F0" w:rsidRDefault="006A14F0" w:rsidP="00D5365A">
      <w:pPr>
        <w:rPr>
          <w:rFonts w:ascii="Arial" w:hAnsi="Arial" w:cs="Arial"/>
        </w:rPr>
      </w:pPr>
      <w:r>
        <w:rPr>
          <w:rFonts w:ascii="Arial" w:hAnsi="Arial" w:cs="Arial"/>
        </w:rPr>
        <w:t>The LME supports the o</w:t>
      </w:r>
      <w:r w:rsidR="009431B6">
        <w:rPr>
          <w:rFonts w:ascii="Arial" w:hAnsi="Arial" w:cs="Arial"/>
        </w:rPr>
        <w:t>bservations of other trade asso</w:t>
      </w:r>
      <w:r>
        <w:rPr>
          <w:rFonts w:ascii="Arial" w:hAnsi="Arial" w:cs="Arial"/>
        </w:rPr>
        <w:t>ci</w:t>
      </w:r>
      <w:r w:rsidR="009431B6">
        <w:rPr>
          <w:rFonts w:ascii="Arial" w:hAnsi="Arial" w:cs="Arial"/>
        </w:rPr>
        <w:t>ati</w:t>
      </w:r>
      <w:r>
        <w:rPr>
          <w:rFonts w:ascii="Arial" w:hAnsi="Arial" w:cs="Arial"/>
        </w:rPr>
        <w:t>on and industry participants that whilst a revision to the regime at Level 1 is welcome, it would be appropriate to introduce an interim regime to manage the impact on new and illiquid contracts whilst the Level 1 amendments are processed. The LME’s views on the form of such an interim regime are described below.</w:t>
      </w:r>
    </w:p>
    <w:p w14:paraId="4BCF5D9D" w14:textId="77777777" w:rsidR="006A14F0" w:rsidRDefault="006A14F0" w:rsidP="00D5365A">
      <w:pPr>
        <w:rPr>
          <w:rFonts w:ascii="Arial" w:hAnsi="Arial" w:cs="Arial"/>
        </w:rPr>
      </w:pPr>
    </w:p>
    <w:p w14:paraId="5DEF7E17" w14:textId="120F4F2E" w:rsidR="006A14F0" w:rsidRDefault="006A14F0" w:rsidP="00D5365A">
      <w:pPr>
        <w:rPr>
          <w:rFonts w:ascii="Arial" w:hAnsi="Arial" w:cs="Arial"/>
          <w:i/>
        </w:rPr>
      </w:pPr>
      <w:r w:rsidRPr="006A14F0">
        <w:rPr>
          <w:rFonts w:ascii="Arial" w:hAnsi="Arial" w:cs="Arial"/>
          <w:b/>
          <w:i/>
        </w:rPr>
        <w:t>Interim regime</w:t>
      </w:r>
      <w:r w:rsidRPr="006A14F0">
        <w:rPr>
          <w:rFonts w:ascii="Arial" w:hAnsi="Arial" w:cs="Arial"/>
          <w:i/>
        </w:rPr>
        <w:t xml:space="preserve"> </w:t>
      </w:r>
    </w:p>
    <w:p w14:paraId="705D5D18" w14:textId="4CA9BF3B" w:rsidR="006A14F0" w:rsidRDefault="006A14F0" w:rsidP="00D5365A">
      <w:pPr>
        <w:rPr>
          <w:rFonts w:ascii="Arial" w:hAnsi="Arial" w:cs="Arial"/>
          <w:i/>
        </w:rPr>
      </w:pPr>
    </w:p>
    <w:p w14:paraId="37521A0A" w14:textId="1B11DDAB" w:rsidR="006A14F0" w:rsidRDefault="006A14F0" w:rsidP="00D5365A">
      <w:pPr>
        <w:rPr>
          <w:rFonts w:ascii="Arial" w:hAnsi="Arial" w:cs="Arial"/>
        </w:rPr>
      </w:pPr>
      <w:r w:rsidRPr="006A14F0">
        <w:rPr>
          <w:rFonts w:ascii="Arial" w:hAnsi="Arial" w:cs="Arial"/>
        </w:rPr>
        <w:lastRenderedPageBreak/>
        <w:t xml:space="preserve">The LME </w:t>
      </w:r>
      <w:r>
        <w:rPr>
          <w:rFonts w:ascii="Arial" w:hAnsi="Arial" w:cs="Arial"/>
        </w:rPr>
        <w:t>would propose</w:t>
      </w:r>
      <w:r w:rsidRPr="006A14F0">
        <w:rPr>
          <w:rFonts w:ascii="Arial" w:hAnsi="Arial" w:cs="Arial"/>
        </w:rPr>
        <w:t xml:space="preserve"> a single limit for new and illiquid contracts.  Where a contract has open interest of less than 200% of deliverable supply, the limit for that contract across spot and other months would be 50% of deliverable supply. This level meets the conflicting demands of ensuring that new and illiquid contracts are able to grow and mature notwithstanding a potentially limited number of participants, whilst also ensuring that a market participant may not hold a dominant and potentially abusive position. Once the open interest of the contract exceeds 200% of deliverable supply, the full position limit regime should apply. As open interest grows to 200% of deliverable supply, there will be sufficient liquidity in the market to allow members to reduce their positions gradually to meet the relevant lower level that applies as part of the full regime.</w:t>
      </w:r>
    </w:p>
    <w:p w14:paraId="1771A8BD" w14:textId="77777777" w:rsidR="007B066F" w:rsidRDefault="007B066F" w:rsidP="00D5365A">
      <w:pPr>
        <w:rPr>
          <w:rFonts w:ascii="Arial" w:hAnsi="Arial" w:cs="Arial"/>
        </w:rPr>
      </w:pPr>
    </w:p>
    <w:permEnd w:id="342492330"/>
    <w:p w14:paraId="2750CA8D" w14:textId="77777777" w:rsidR="00D5365A" w:rsidRDefault="00D5365A" w:rsidP="00D5365A">
      <w:pPr>
        <w:rPr>
          <w:rFonts w:ascii="Arial" w:hAnsi="Arial" w:cs="Arial"/>
        </w:rPr>
      </w:pPr>
      <w:r>
        <w:rPr>
          <w:rFonts w:ascii="Arial" w:hAnsi="Arial" w:cs="Arial"/>
        </w:rPr>
        <w:t>&lt;ESMA_QUESTION_WPR_4&gt;</w:t>
      </w:r>
    </w:p>
    <w:p w14:paraId="61773C77" w14:textId="77777777" w:rsidR="00D5365A" w:rsidRDefault="00D5365A" w:rsidP="00D5365A">
      <w:pPr>
        <w:rPr>
          <w:rFonts w:ascii="Arial" w:hAnsi="Arial" w:cs="Arial"/>
        </w:rPr>
      </w:pPr>
    </w:p>
    <w:p w14:paraId="365798BE" w14:textId="77777777" w:rsidR="00D5365A" w:rsidRDefault="00D5365A" w:rsidP="00D5365A">
      <w:pPr>
        <w:pStyle w:val="Questionstyle"/>
        <w:numPr>
          <w:ilvl w:val="0"/>
          <w:numId w:val="17"/>
        </w:numPr>
        <w:spacing w:after="250" w:line="276" w:lineRule="auto"/>
        <w:rPr>
          <w:rFonts w:ascii="Arial" w:hAnsi="Arial" w:cs="Arial"/>
        </w:rPr>
      </w:pPr>
      <w:r>
        <w:t xml:space="preserve">: If you support Option 1 and would suggest different or additional criteria to determine whether a contract qualifies as a critical contract, please explain which ones.  </w:t>
      </w:r>
    </w:p>
    <w:p w14:paraId="598B7FFF" w14:textId="77777777" w:rsidR="00D5365A" w:rsidRDefault="00D5365A" w:rsidP="00D5365A">
      <w:pPr>
        <w:rPr>
          <w:rFonts w:ascii="Arial" w:hAnsi="Arial" w:cs="Arial"/>
        </w:rPr>
      </w:pPr>
      <w:r>
        <w:rPr>
          <w:rFonts w:ascii="Arial" w:hAnsi="Arial" w:cs="Arial"/>
        </w:rPr>
        <w:t>&lt;ESMA_QUESTION_WPR_5&gt;</w:t>
      </w:r>
    </w:p>
    <w:p w14:paraId="57BA44B5" w14:textId="3503FC8A" w:rsidR="00D5365A" w:rsidRDefault="00583A9B" w:rsidP="00D5365A">
      <w:pPr>
        <w:rPr>
          <w:rFonts w:ascii="Arial" w:hAnsi="Arial" w:cs="Arial"/>
        </w:rPr>
      </w:pPr>
      <w:permStart w:id="897407953" w:edGrp="everyone"/>
      <w:r>
        <w:rPr>
          <w:rFonts w:ascii="Arial" w:hAnsi="Arial" w:cs="Arial"/>
        </w:rPr>
        <w:t xml:space="preserve">The LME does not believe that any additional criteria are required and through its own analysis has identified that the average monthly open interest and number of market participants are highly correlated and the combination of those criteria would offer a clear view of which contracts should be identified as “critical”. </w:t>
      </w:r>
    </w:p>
    <w:p w14:paraId="3F7492EF" w14:textId="23446EED" w:rsidR="00B30652" w:rsidRDefault="00B30652" w:rsidP="00D5365A">
      <w:pPr>
        <w:rPr>
          <w:rFonts w:ascii="Arial" w:hAnsi="Arial" w:cs="Arial"/>
        </w:rPr>
      </w:pPr>
    </w:p>
    <w:p w14:paraId="4307940F" w14:textId="726A7DE3" w:rsidR="0074351D" w:rsidRDefault="00B30652" w:rsidP="00D5365A">
      <w:pPr>
        <w:rPr>
          <w:rFonts w:ascii="Arial" w:hAnsi="Arial" w:cs="Arial"/>
        </w:rPr>
      </w:pPr>
      <w:r>
        <w:rPr>
          <w:rFonts w:ascii="Arial" w:hAnsi="Arial" w:cs="Arial"/>
        </w:rPr>
        <w:t>The LME would suggest that further guidance is offered in relation to the manner in which the criteria are determined</w:t>
      </w:r>
      <w:r w:rsidR="0074351D">
        <w:rPr>
          <w:rFonts w:ascii="Arial" w:hAnsi="Arial" w:cs="Arial"/>
        </w:rPr>
        <w:t xml:space="preserve"> in order to ensure consistency</w:t>
      </w:r>
      <w:r>
        <w:rPr>
          <w:rFonts w:ascii="Arial" w:hAnsi="Arial" w:cs="Arial"/>
        </w:rPr>
        <w:t>.</w:t>
      </w:r>
      <w:r w:rsidR="0074351D">
        <w:rPr>
          <w:rFonts w:ascii="Arial" w:hAnsi="Arial" w:cs="Arial"/>
        </w:rPr>
        <w:t xml:space="preserve">  For example, the LME has outlined in its response to Question 6 below</w:t>
      </w:r>
      <w:r w:rsidR="0035336C">
        <w:rPr>
          <w:rFonts w:ascii="Arial" w:hAnsi="Arial" w:cs="Arial"/>
        </w:rPr>
        <w:t>,</w:t>
      </w:r>
      <w:r w:rsidR="0074351D">
        <w:rPr>
          <w:rFonts w:ascii="Arial" w:hAnsi="Arial" w:cs="Arial"/>
        </w:rPr>
        <w:t xml:space="preserve"> the manner in which it calculated the “number of market participants”</w:t>
      </w:r>
      <w:r w:rsidR="001E2840">
        <w:rPr>
          <w:rFonts w:ascii="Arial" w:hAnsi="Arial" w:cs="Arial"/>
        </w:rPr>
        <w:t xml:space="preserve"> and the contracts included in the monthly open interest value</w:t>
      </w:r>
      <w:r w:rsidR="0074351D">
        <w:rPr>
          <w:rFonts w:ascii="Arial" w:hAnsi="Arial" w:cs="Arial"/>
        </w:rPr>
        <w:t>.  However</w:t>
      </w:r>
      <w:r w:rsidR="0035336C">
        <w:rPr>
          <w:rFonts w:ascii="Arial" w:hAnsi="Arial" w:cs="Arial"/>
        </w:rPr>
        <w:t>,</w:t>
      </w:r>
      <w:r w:rsidR="0074351D">
        <w:rPr>
          <w:rFonts w:ascii="Arial" w:hAnsi="Arial" w:cs="Arial"/>
        </w:rPr>
        <w:t xml:space="preserve"> the LME is aware that alternative venues </w:t>
      </w:r>
      <w:r w:rsidR="001E2840">
        <w:rPr>
          <w:rFonts w:ascii="Arial" w:hAnsi="Arial" w:cs="Arial"/>
        </w:rPr>
        <w:t xml:space="preserve">could make their </w:t>
      </w:r>
      <w:r w:rsidR="0074351D">
        <w:rPr>
          <w:rFonts w:ascii="Arial" w:hAnsi="Arial" w:cs="Arial"/>
        </w:rPr>
        <w:t>a</w:t>
      </w:r>
      <w:r w:rsidR="001E2840">
        <w:rPr>
          <w:rFonts w:ascii="Arial" w:hAnsi="Arial" w:cs="Arial"/>
        </w:rPr>
        <w:t>ssessment on a different basis.</w:t>
      </w:r>
    </w:p>
    <w:p w14:paraId="58878441" w14:textId="77777777" w:rsidR="0074351D" w:rsidRDefault="0074351D" w:rsidP="00D5365A">
      <w:pPr>
        <w:rPr>
          <w:rFonts w:ascii="Arial" w:hAnsi="Arial" w:cs="Arial"/>
        </w:rPr>
      </w:pPr>
    </w:p>
    <w:p w14:paraId="136032E5" w14:textId="62AB2906" w:rsidR="00B30652" w:rsidRDefault="00B30652" w:rsidP="00D5365A">
      <w:pPr>
        <w:rPr>
          <w:rFonts w:ascii="Arial" w:hAnsi="Arial" w:cs="Arial"/>
        </w:rPr>
      </w:pPr>
      <w:r>
        <w:rPr>
          <w:rFonts w:ascii="Arial" w:hAnsi="Arial" w:cs="Arial"/>
        </w:rPr>
        <w:t xml:space="preserve">In </w:t>
      </w:r>
      <w:r w:rsidR="0074351D">
        <w:rPr>
          <w:rFonts w:ascii="Arial" w:hAnsi="Arial" w:cs="Arial"/>
        </w:rPr>
        <w:t xml:space="preserve">addition, </w:t>
      </w:r>
      <w:r>
        <w:rPr>
          <w:rFonts w:ascii="Arial" w:hAnsi="Arial" w:cs="Arial"/>
        </w:rPr>
        <w:t>the criterion relating to “underlying asset” does not clarify whether this is a quantitative or qualitative measure.</w:t>
      </w:r>
      <w:r w:rsidR="0035336C">
        <w:rPr>
          <w:rFonts w:ascii="Arial" w:hAnsi="Arial" w:cs="Arial"/>
        </w:rPr>
        <w:t xml:space="preserve">  The LME would welcome additional clarification on this point.</w:t>
      </w:r>
      <w:r w:rsidR="0074351D">
        <w:rPr>
          <w:rFonts w:ascii="Arial" w:hAnsi="Arial" w:cs="Arial"/>
        </w:rPr>
        <w:t xml:space="preserve"> </w:t>
      </w:r>
    </w:p>
    <w:permEnd w:id="897407953"/>
    <w:p w14:paraId="1FEAC340" w14:textId="77777777" w:rsidR="00D5365A" w:rsidRDefault="00D5365A" w:rsidP="00D5365A">
      <w:pPr>
        <w:rPr>
          <w:rFonts w:ascii="Arial" w:hAnsi="Arial" w:cs="Arial"/>
        </w:rPr>
      </w:pPr>
      <w:r>
        <w:rPr>
          <w:rFonts w:ascii="Arial" w:hAnsi="Arial" w:cs="Arial"/>
        </w:rPr>
        <w:t>&lt;ESMA_QUESTION_WPR_5&gt;</w:t>
      </w:r>
    </w:p>
    <w:p w14:paraId="0C512C85" w14:textId="77777777" w:rsidR="00D5365A" w:rsidRDefault="00D5365A" w:rsidP="00D5365A">
      <w:pPr>
        <w:rPr>
          <w:rFonts w:ascii="Arial" w:hAnsi="Arial" w:cs="Arial"/>
        </w:rPr>
      </w:pPr>
    </w:p>
    <w:p w14:paraId="21259B9F" w14:textId="77777777" w:rsidR="00D5365A" w:rsidRDefault="00D5365A" w:rsidP="00D5365A">
      <w:pPr>
        <w:pStyle w:val="Questionstyle"/>
        <w:numPr>
          <w:ilvl w:val="0"/>
          <w:numId w:val="17"/>
        </w:numPr>
        <w:spacing w:after="250" w:line="276" w:lineRule="auto"/>
        <w:rPr>
          <w:rFonts w:ascii="Arial" w:hAnsi="Arial" w:cs="Arial"/>
        </w:rPr>
      </w:pPr>
      <w:r>
        <w:t>: Which open interest and participant threshold would you suggest for qualifying a commodity derivative as a critical one?</w:t>
      </w:r>
    </w:p>
    <w:p w14:paraId="3ACFEA2B" w14:textId="77777777" w:rsidR="00D5365A" w:rsidRDefault="00D5365A" w:rsidP="00D5365A">
      <w:pPr>
        <w:rPr>
          <w:rFonts w:ascii="Arial" w:hAnsi="Arial" w:cs="Arial"/>
        </w:rPr>
      </w:pPr>
      <w:r>
        <w:rPr>
          <w:rFonts w:ascii="Arial" w:hAnsi="Arial" w:cs="Arial"/>
        </w:rPr>
        <w:t>&lt;ESMA_QUESTION_WPR_6&gt;</w:t>
      </w:r>
    </w:p>
    <w:p w14:paraId="767896DE" w14:textId="49E1C9A2" w:rsidR="009019CC" w:rsidRDefault="00583A9B" w:rsidP="00D5365A">
      <w:pPr>
        <w:rPr>
          <w:rFonts w:ascii="Arial" w:hAnsi="Arial" w:cs="Arial"/>
        </w:rPr>
      </w:pPr>
      <w:permStart w:id="1821780740" w:edGrp="everyone"/>
      <w:r>
        <w:rPr>
          <w:rFonts w:ascii="Arial" w:hAnsi="Arial" w:cs="Arial"/>
        </w:rPr>
        <w:t>The LME has analysed the average monthly open interest and number of market participants across its suit</w:t>
      </w:r>
      <w:r w:rsidR="00E54A73">
        <w:rPr>
          <w:rFonts w:ascii="Arial" w:hAnsi="Arial" w:cs="Arial"/>
        </w:rPr>
        <w:t>e</w:t>
      </w:r>
      <w:r>
        <w:rPr>
          <w:rFonts w:ascii="Arial" w:hAnsi="Arial" w:cs="Arial"/>
        </w:rPr>
        <w:t xml:space="preserve"> of contracts.  It has identified that if the thresholds were set at average monthly open interest of </w:t>
      </w:r>
      <w:r w:rsidRPr="0076391E">
        <w:rPr>
          <w:rFonts w:ascii="Arial" w:hAnsi="Arial" w:cs="Arial"/>
          <w:b/>
        </w:rPr>
        <w:t>300,000</w:t>
      </w:r>
      <w:r w:rsidR="0076391E" w:rsidRPr="0076391E">
        <w:rPr>
          <w:rFonts w:ascii="Arial" w:hAnsi="Arial" w:cs="Arial"/>
          <w:b/>
        </w:rPr>
        <w:t xml:space="preserve"> lots</w:t>
      </w:r>
      <w:r w:rsidR="0076391E">
        <w:rPr>
          <w:rFonts w:ascii="Arial" w:hAnsi="Arial" w:cs="Arial"/>
        </w:rPr>
        <w:t xml:space="preserve"> with the </w:t>
      </w:r>
      <w:r>
        <w:rPr>
          <w:rFonts w:ascii="Arial" w:hAnsi="Arial" w:cs="Arial"/>
        </w:rPr>
        <w:t xml:space="preserve">number of market participants </w:t>
      </w:r>
      <w:r w:rsidR="0076391E">
        <w:rPr>
          <w:rFonts w:ascii="Arial" w:hAnsi="Arial" w:cs="Arial"/>
        </w:rPr>
        <w:t xml:space="preserve">set </w:t>
      </w:r>
      <w:r>
        <w:rPr>
          <w:rFonts w:ascii="Arial" w:hAnsi="Arial" w:cs="Arial"/>
        </w:rPr>
        <w:t xml:space="preserve">at </w:t>
      </w:r>
      <w:r w:rsidRPr="0076391E">
        <w:rPr>
          <w:rFonts w:ascii="Arial" w:hAnsi="Arial" w:cs="Arial"/>
          <w:b/>
        </w:rPr>
        <w:t>8</w:t>
      </w:r>
      <w:r w:rsidR="0000244A" w:rsidRPr="0076391E">
        <w:rPr>
          <w:rFonts w:ascii="Arial" w:hAnsi="Arial" w:cs="Arial"/>
          <w:b/>
        </w:rPr>
        <w:t>00</w:t>
      </w:r>
      <w:r>
        <w:rPr>
          <w:rFonts w:ascii="Arial" w:hAnsi="Arial" w:cs="Arial"/>
        </w:rPr>
        <w:t xml:space="preserve"> </w:t>
      </w:r>
      <w:r w:rsidR="0076391E">
        <w:rPr>
          <w:rFonts w:ascii="Arial" w:hAnsi="Arial" w:cs="Arial"/>
        </w:rPr>
        <w:t>(in accordance with the LME’s calculation methodol</w:t>
      </w:r>
      <w:r w:rsidR="00E54A73">
        <w:rPr>
          <w:rFonts w:ascii="Arial" w:hAnsi="Arial" w:cs="Arial"/>
        </w:rPr>
        <w:t>o</w:t>
      </w:r>
      <w:r w:rsidR="0076391E">
        <w:rPr>
          <w:rFonts w:ascii="Arial" w:hAnsi="Arial" w:cs="Arial"/>
        </w:rPr>
        <w:t xml:space="preserve">gy) </w:t>
      </w:r>
      <w:r>
        <w:rPr>
          <w:rFonts w:ascii="Arial" w:hAnsi="Arial" w:cs="Arial"/>
        </w:rPr>
        <w:t>then this would capture its four most liquid contracts (alumi</w:t>
      </w:r>
      <w:r w:rsidR="00E54A73">
        <w:rPr>
          <w:rFonts w:ascii="Arial" w:hAnsi="Arial" w:cs="Arial"/>
        </w:rPr>
        <w:t>ni</w:t>
      </w:r>
      <w:r>
        <w:rPr>
          <w:rFonts w:ascii="Arial" w:hAnsi="Arial" w:cs="Arial"/>
        </w:rPr>
        <w:t xml:space="preserve">um, copper, nickel and zinc). </w:t>
      </w:r>
    </w:p>
    <w:p w14:paraId="4F15D201" w14:textId="77777777" w:rsidR="009019CC" w:rsidRDefault="009019CC" w:rsidP="00D5365A">
      <w:pPr>
        <w:rPr>
          <w:rFonts w:ascii="Arial" w:hAnsi="Arial" w:cs="Arial"/>
        </w:rPr>
      </w:pPr>
    </w:p>
    <w:p w14:paraId="5557516E" w14:textId="648FCD95" w:rsidR="00D5365A" w:rsidRDefault="00C06C74" w:rsidP="00D5365A">
      <w:pPr>
        <w:rPr>
          <w:rFonts w:ascii="Arial" w:hAnsi="Arial" w:cs="Arial"/>
        </w:rPr>
      </w:pPr>
      <w:r>
        <w:rPr>
          <w:rFonts w:ascii="Arial" w:hAnsi="Arial" w:cs="Arial"/>
        </w:rPr>
        <w:t>A summary of t</w:t>
      </w:r>
      <w:r w:rsidR="00583A9B">
        <w:rPr>
          <w:rFonts w:ascii="Arial" w:hAnsi="Arial" w:cs="Arial"/>
        </w:rPr>
        <w:t xml:space="preserve">he relevant statistics are set out </w:t>
      </w:r>
      <w:r w:rsidR="009019CC">
        <w:rPr>
          <w:rFonts w:ascii="Arial" w:hAnsi="Arial" w:cs="Arial"/>
        </w:rPr>
        <w:t xml:space="preserve">in the table </w:t>
      </w:r>
      <w:r w:rsidR="00583A9B">
        <w:rPr>
          <w:rFonts w:ascii="Arial" w:hAnsi="Arial" w:cs="Arial"/>
        </w:rPr>
        <w:t>below</w:t>
      </w:r>
      <w:r w:rsidR="0075393E">
        <w:rPr>
          <w:rFonts w:ascii="Arial" w:hAnsi="Arial" w:cs="Arial"/>
        </w:rPr>
        <w:t xml:space="preserve">. </w:t>
      </w:r>
    </w:p>
    <w:p w14:paraId="7BCEBD12" w14:textId="0516107A" w:rsidR="0075393E" w:rsidRDefault="0075393E" w:rsidP="00D5365A">
      <w:pPr>
        <w:rPr>
          <w:rFonts w:ascii="Arial" w:hAnsi="Arial" w:cs="Arial"/>
        </w:rPr>
      </w:pPr>
    </w:p>
    <w:p w14:paraId="3A82C0EF" w14:textId="77777777" w:rsidR="0075393E" w:rsidRDefault="0075393E" w:rsidP="00D5365A">
      <w:pPr>
        <w:rPr>
          <w:rFonts w:ascii="Arial" w:hAnsi="Arial" w:cs="Arial"/>
        </w:rPr>
      </w:pPr>
    </w:p>
    <w:p w14:paraId="051627FC" w14:textId="372C3DAE" w:rsidR="009019CC" w:rsidRDefault="009019CC" w:rsidP="00D5365A">
      <w:pPr>
        <w:rPr>
          <w:rFonts w:ascii="Arial" w:hAnsi="Arial" w:cs="Arial"/>
        </w:rPr>
      </w:pPr>
    </w:p>
    <w:p w14:paraId="37470378" w14:textId="71043F1A" w:rsidR="009019CC" w:rsidRPr="009019CC" w:rsidRDefault="009019CC" w:rsidP="00D5365A">
      <w:pPr>
        <w:rPr>
          <w:rFonts w:ascii="Arial" w:hAnsi="Arial" w:cs="Arial"/>
          <w:u w:val="single"/>
        </w:rPr>
      </w:pPr>
      <w:r w:rsidRPr="009019CC">
        <w:rPr>
          <w:rFonts w:ascii="Arial" w:hAnsi="Arial" w:cs="Arial"/>
          <w:u w:val="single"/>
        </w:rPr>
        <w:lastRenderedPageBreak/>
        <w:t>Table 1</w:t>
      </w:r>
    </w:p>
    <w:p w14:paraId="619E73DF" w14:textId="170D7F91" w:rsidR="00583A9B" w:rsidRDefault="00583A9B" w:rsidP="00D5365A">
      <w:pPr>
        <w:rPr>
          <w:rFonts w:ascii="Arial" w:hAnsi="Arial" w:cs="Arial"/>
        </w:rPr>
      </w:pPr>
    </w:p>
    <w:tbl>
      <w:tblPr>
        <w:tblStyle w:val="GridTable4-Accent11"/>
        <w:tblW w:w="9077" w:type="dxa"/>
        <w:tblLook w:val="04A0" w:firstRow="1" w:lastRow="0" w:firstColumn="1" w:lastColumn="0" w:noHBand="0" w:noVBand="1"/>
      </w:tblPr>
      <w:tblGrid>
        <w:gridCol w:w="2840"/>
        <w:gridCol w:w="2835"/>
        <w:gridCol w:w="3402"/>
      </w:tblGrid>
      <w:tr w:rsidR="0014496B" w14:paraId="71C0BB9A" w14:textId="77777777" w:rsidTr="00871CAA">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840" w:type="dxa"/>
            <w:noWrap/>
            <w:hideMark/>
          </w:tcPr>
          <w:p w14:paraId="2EA4FFBB" w14:textId="35C6B893" w:rsidR="0014496B" w:rsidRDefault="0014496B" w:rsidP="0014496B">
            <w:pPr>
              <w:jc w:val="center"/>
              <w:rPr>
                <w:rFonts w:ascii="Arial" w:hAnsi="Arial" w:cs="Arial"/>
                <w:b w:val="0"/>
                <w:bCs w:val="0"/>
                <w:color w:val="11426B"/>
                <w:sz w:val="22"/>
                <w:szCs w:val="22"/>
              </w:rPr>
            </w:pPr>
            <w:r>
              <w:rPr>
                <w:rFonts w:ascii="Arial" w:hAnsi="Arial" w:cs="Arial"/>
                <w:color w:val="11426B"/>
                <w:sz w:val="22"/>
                <w:szCs w:val="22"/>
              </w:rPr>
              <w:t>Contract</w:t>
            </w:r>
          </w:p>
        </w:tc>
        <w:tc>
          <w:tcPr>
            <w:tcW w:w="2835" w:type="dxa"/>
            <w:noWrap/>
            <w:hideMark/>
          </w:tcPr>
          <w:p w14:paraId="0AF3749D" w14:textId="77777777" w:rsidR="0014496B" w:rsidRPr="0014496B" w:rsidRDefault="0014496B" w:rsidP="0014496B">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11426B"/>
                <w:sz w:val="22"/>
                <w:szCs w:val="22"/>
              </w:rPr>
            </w:pPr>
            <w:proofErr w:type="spellStart"/>
            <w:r w:rsidRPr="0014496B">
              <w:rPr>
                <w:rFonts w:ascii="Arial" w:hAnsi="Arial" w:cs="Arial"/>
                <w:color w:val="11426B"/>
                <w:sz w:val="22"/>
                <w:szCs w:val="22"/>
              </w:rPr>
              <w:t>Avg</w:t>
            </w:r>
            <w:proofErr w:type="spellEnd"/>
            <w:r w:rsidRPr="0014496B">
              <w:rPr>
                <w:rFonts w:ascii="Arial" w:hAnsi="Arial" w:cs="Arial"/>
                <w:color w:val="11426B"/>
                <w:sz w:val="22"/>
                <w:szCs w:val="22"/>
              </w:rPr>
              <w:t xml:space="preserve"> MOI (Lots)</w:t>
            </w:r>
          </w:p>
        </w:tc>
        <w:tc>
          <w:tcPr>
            <w:tcW w:w="3402" w:type="dxa"/>
            <w:noWrap/>
            <w:hideMark/>
          </w:tcPr>
          <w:p w14:paraId="6CF44324" w14:textId="75E8036C" w:rsidR="0014496B" w:rsidRPr="0014496B" w:rsidRDefault="0023766D" w:rsidP="0076391E">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11426B"/>
                <w:sz w:val="22"/>
                <w:szCs w:val="22"/>
              </w:rPr>
            </w:pPr>
            <w:r>
              <w:rPr>
                <w:rFonts w:ascii="Arial" w:hAnsi="Arial" w:cs="Arial"/>
                <w:color w:val="11426B"/>
                <w:sz w:val="22"/>
                <w:szCs w:val="22"/>
              </w:rPr>
              <w:t>Average m</w:t>
            </w:r>
            <w:r w:rsidR="0014496B" w:rsidRPr="0014496B">
              <w:rPr>
                <w:rFonts w:ascii="Arial" w:hAnsi="Arial" w:cs="Arial"/>
                <w:color w:val="11426B"/>
                <w:sz w:val="22"/>
                <w:szCs w:val="22"/>
              </w:rPr>
              <w:t>arket participants</w:t>
            </w:r>
            <w:r>
              <w:rPr>
                <w:rFonts w:ascii="Arial" w:hAnsi="Arial" w:cs="Arial"/>
                <w:color w:val="11426B"/>
                <w:sz w:val="22"/>
                <w:szCs w:val="22"/>
              </w:rPr>
              <w:t xml:space="preserve"> (</w:t>
            </w:r>
            <w:r w:rsidR="00E54A73">
              <w:rPr>
                <w:rFonts w:ascii="Arial" w:hAnsi="Arial" w:cs="Arial"/>
                <w:color w:val="11426B"/>
                <w:sz w:val="22"/>
                <w:szCs w:val="22"/>
              </w:rPr>
              <w:t xml:space="preserve">October 31 </w:t>
            </w:r>
            <w:r w:rsidR="0076391E">
              <w:rPr>
                <w:rFonts w:ascii="Arial" w:hAnsi="Arial" w:cs="Arial"/>
                <w:color w:val="11426B"/>
                <w:sz w:val="22"/>
                <w:szCs w:val="22"/>
              </w:rPr>
              <w:t>2019)</w:t>
            </w:r>
          </w:p>
        </w:tc>
      </w:tr>
      <w:tr w:rsidR="0014496B" w14:paraId="324A3AB9" w14:textId="77777777" w:rsidTr="00871CAA">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840" w:type="dxa"/>
            <w:noWrap/>
            <w:hideMark/>
          </w:tcPr>
          <w:p w14:paraId="09EA0925" w14:textId="04B08DE4" w:rsidR="0014496B" w:rsidRDefault="0014496B" w:rsidP="0014496B">
            <w:pPr>
              <w:jc w:val="center"/>
              <w:rPr>
                <w:rFonts w:ascii="Arial" w:hAnsi="Arial" w:cs="Arial"/>
                <w:color w:val="11426B"/>
                <w:sz w:val="22"/>
                <w:szCs w:val="22"/>
              </w:rPr>
            </w:pPr>
            <w:r>
              <w:rPr>
                <w:rFonts w:ascii="Arial" w:hAnsi="Arial" w:cs="Arial"/>
                <w:color w:val="11426B"/>
                <w:sz w:val="22"/>
                <w:szCs w:val="22"/>
              </w:rPr>
              <w:t>Aluminium</w:t>
            </w:r>
          </w:p>
        </w:tc>
        <w:tc>
          <w:tcPr>
            <w:tcW w:w="2835" w:type="dxa"/>
            <w:noWrap/>
            <w:hideMark/>
          </w:tcPr>
          <w:p w14:paraId="726D9034" w14:textId="59B8B070" w:rsidR="0014496B" w:rsidRDefault="0014496B" w:rsidP="0014496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11426B"/>
                <w:sz w:val="22"/>
                <w:szCs w:val="22"/>
              </w:rPr>
            </w:pPr>
            <w:r>
              <w:rPr>
                <w:rFonts w:ascii="Arial" w:hAnsi="Arial" w:cs="Arial"/>
                <w:color w:val="11426B"/>
                <w:sz w:val="22"/>
                <w:szCs w:val="22"/>
              </w:rPr>
              <w:t>1,075,034</w:t>
            </w:r>
          </w:p>
        </w:tc>
        <w:tc>
          <w:tcPr>
            <w:tcW w:w="3402" w:type="dxa"/>
            <w:noWrap/>
            <w:hideMark/>
          </w:tcPr>
          <w:p w14:paraId="7CFA8842" w14:textId="77777777" w:rsidR="0014496B" w:rsidRDefault="0014496B" w:rsidP="0014496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11426B"/>
                <w:sz w:val="22"/>
                <w:szCs w:val="22"/>
              </w:rPr>
            </w:pPr>
            <w:r>
              <w:rPr>
                <w:rFonts w:ascii="Arial" w:hAnsi="Arial" w:cs="Arial"/>
                <w:color w:val="11426B"/>
                <w:sz w:val="22"/>
                <w:szCs w:val="22"/>
              </w:rPr>
              <w:t>974</w:t>
            </w:r>
          </w:p>
        </w:tc>
      </w:tr>
      <w:tr w:rsidR="0014496B" w14:paraId="39C97AA3" w14:textId="77777777" w:rsidTr="00871CAA">
        <w:trPr>
          <w:trHeight w:val="285"/>
        </w:trPr>
        <w:tc>
          <w:tcPr>
            <w:cnfStyle w:val="001000000000" w:firstRow="0" w:lastRow="0" w:firstColumn="1" w:lastColumn="0" w:oddVBand="0" w:evenVBand="0" w:oddHBand="0" w:evenHBand="0" w:firstRowFirstColumn="0" w:firstRowLastColumn="0" w:lastRowFirstColumn="0" w:lastRowLastColumn="0"/>
            <w:tcW w:w="2840" w:type="dxa"/>
            <w:noWrap/>
            <w:hideMark/>
          </w:tcPr>
          <w:p w14:paraId="64BB90AA" w14:textId="4B511D97" w:rsidR="0014496B" w:rsidRDefault="0014496B" w:rsidP="0014496B">
            <w:pPr>
              <w:jc w:val="center"/>
              <w:rPr>
                <w:rFonts w:ascii="Arial" w:hAnsi="Arial" w:cs="Arial"/>
                <w:color w:val="11426B"/>
                <w:sz w:val="22"/>
                <w:szCs w:val="22"/>
              </w:rPr>
            </w:pPr>
            <w:r>
              <w:rPr>
                <w:rFonts w:ascii="Arial" w:hAnsi="Arial" w:cs="Arial"/>
                <w:color w:val="11426B"/>
                <w:sz w:val="22"/>
                <w:szCs w:val="22"/>
              </w:rPr>
              <w:t>Copper</w:t>
            </w:r>
          </w:p>
        </w:tc>
        <w:tc>
          <w:tcPr>
            <w:tcW w:w="2835" w:type="dxa"/>
            <w:noWrap/>
            <w:hideMark/>
          </w:tcPr>
          <w:p w14:paraId="0AA9B236" w14:textId="7650944F" w:rsidR="0014496B" w:rsidRDefault="0014496B" w:rsidP="0014496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11426B"/>
                <w:sz w:val="22"/>
                <w:szCs w:val="22"/>
              </w:rPr>
            </w:pPr>
            <w:r>
              <w:rPr>
                <w:rFonts w:ascii="Arial" w:hAnsi="Arial" w:cs="Arial"/>
                <w:color w:val="11426B"/>
                <w:sz w:val="22"/>
                <w:szCs w:val="22"/>
              </w:rPr>
              <w:t>474,850</w:t>
            </w:r>
          </w:p>
        </w:tc>
        <w:tc>
          <w:tcPr>
            <w:tcW w:w="3402" w:type="dxa"/>
            <w:noWrap/>
            <w:hideMark/>
          </w:tcPr>
          <w:p w14:paraId="19890D21" w14:textId="77777777" w:rsidR="0014496B" w:rsidRDefault="0014496B" w:rsidP="0014496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11426B"/>
                <w:sz w:val="22"/>
                <w:szCs w:val="22"/>
              </w:rPr>
            </w:pPr>
            <w:r>
              <w:rPr>
                <w:rFonts w:ascii="Arial" w:hAnsi="Arial" w:cs="Arial"/>
                <w:color w:val="11426B"/>
                <w:sz w:val="22"/>
                <w:szCs w:val="22"/>
              </w:rPr>
              <w:t>988</w:t>
            </w:r>
          </w:p>
        </w:tc>
      </w:tr>
      <w:tr w:rsidR="0014496B" w14:paraId="3AC3AA1F" w14:textId="77777777" w:rsidTr="00871CAA">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840" w:type="dxa"/>
            <w:noWrap/>
            <w:hideMark/>
          </w:tcPr>
          <w:p w14:paraId="01729C48" w14:textId="2B862349" w:rsidR="0014496B" w:rsidRDefault="0014496B" w:rsidP="0014496B">
            <w:pPr>
              <w:jc w:val="center"/>
              <w:rPr>
                <w:rFonts w:ascii="Arial" w:hAnsi="Arial" w:cs="Arial"/>
                <w:color w:val="11426B"/>
                <w:sz w:val="22"/>
                <w:szCs w:val="22"/>
              </w:rPr>
            </w:pPr>
            <w:r>
              <w:rPr>
                <w:rFonts w:ascii="Arial" w:hAnsi="Arial" w:cs="Arial"/>
                <w:color w:val="11426B"/>
                <w:sz w:val="22"/>
                <w:szCs w:val="22"/>
              </w:rPr>
              <w:t>Nickel</w:t>
            </w:r>
          </w:p>
        </w:tc>
        <w:tc>
          <w:tcPr>
            <w:tcW w:w="2835" w:type="dxa"/>
            <w:noWrap/>
            <w:hideMark/>
          </w:tcPr>
          <w:p w14:paraId="24E21A33" w14:textId="72D49267" w:rsidR="0014496B" w:rsidRDefault="0014496B" w:rsidP="0014496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11426B"/>
                <w:sz w:val="22"/>
                <w:szCs w:val="22"/>
              </w:rPr>
            </w:pPr>
            <w:r>
              <w:rPr>
                <w:rFonts w:ascii="Arial" w:hAnsi="Arial" w:cs="Arial"/>
                <w:color w:val="11426B"/>
                <w:sz w:val="22"/>
                <w:szCs w:val="22"/>
              </w:rPr>
              <w:t>359,926</w:t>
            </w:r>
          </w:p>
        </w:tc>
        <w:tc>
          <w:tcPr>
            <w:tcW w:w="3402" w:type="dxa"/>
            <w:noWrap/>
            <w:hideMark/>
          </w:tcPr>
          <w:p w14:paraId="01F54E26" w14:textId="77777777" w:rsidR="0014496B" w:rsidRDefault="0014496B" w:rsidP="0014496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11426B"/>
                <w:sz w:val="22"/>
                <w:szCs w:val="22"/>
              </w:rPr>
            </w:pPr>
            <w:r>
              <w:rPr>
                <w:rFonts w:ascii="Arial" w:hAnsi="Arial" w:cs="Arial"/>
                <w:color w:val="11426B"/>
                <w:sz w:val="22"/>
                <w:szCs w:val="22"/>
              </w:rPr>
              <w:t>866</w:t>
            </w:r>
          </w:p>
        </w:tc>
      </w:tr>
      <w:tr w:rsidR="0014496B" w14:paraId="6867EF6E" w14:textId="77777777" w:rsidTr="00871CAA">
        <w:trPr>
          <w:trHeight w:val="285"/>
        </w:trPr>
        <w:tc>
          <w:tcPr>
            <w:cnfStyle w:val="001000000000" w:firstRow="0" w:lastRow="0" w:firstColumn="1" w:lastColumn="0" w:oddVBand="0" w:evenVBand="0" w:oddHBand="0" w:evenHBand="0" w:firstRowFirstColumn="0" w:firstRowLastColumn="0" w:lastRowFirstColumn="0" w:lastRowLastColumn="0"/>
            <w:tcW w:w="2840" w:type="dxa"/>
            <w:noWrap/>
          </w:tcPr>
          <w:p w14:paraId="7F624871" w14:textId="4AD674F5" w:rsidR="0014496B" w:rsidRDefault="0014496B" w:rsidP="0014496B">
            <w:pPr>
              <w:jc w:val="center"/>
              <w:rPr>
                <w:rFonts w:ascii="Arial" w:hAnsi="Arial" w:cs="Arial"/>
                <w:color w:val="11426B"/>
                <w:sz w:val="22"/>
                <w:szCs w:val="22"/>
              </w:rPr>
            </w:pPr>
            <w:r>
              <w:rPr>
                <w:rFonts w:ascii="Arial" w:hAnsi="Arial" w:cs="Arial"/>
                <w:color w:val="11426B"/>
                <w:sz w:val="22"/>
                <w:szCs w:val="22"/>
              </w:rPr>
              <w:t>Zinc</w:t>
            </w:r>
          </w:p>
        </w:tc>
        <w:tc>
          <w:tcPr>
            <w:tcW w:w="2835" w:type="dxa"/>
            <w:noWrap/>
          </w:tcPr>
          <w:p w14:paraId="78821E71" w14:textId="30BB1BEE" w:rsidR="0014496B" w:rsidRDefault="0014496B" w:rsidP="0014496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11426B"/>
                <w:sz w:val="22"/>
                <w:szCs w:val="22"/>
              </w:rPr>
            </w:pPr>
            <w:r>
              <w:rPr>
                <w:rFonts w:ascii="Arial" w:hAnsi="Arial" w:cs="Arial"/>
                <w:color w:val="11426B"/>
                <w:sz w:val="22"/>
                <w:szCs w:val="22"/>
              </w:rPr>
              <w:t>375,139</w:t>
            </w:r>
          </w:p>
        </w:tc>
        <w:tc>
          <w:tcPr>
            <w:tcW w:w="3402" w:type="dxa"/>
            <w:noWrap/>
          </w:tcPr>
          <w:p w14:paraId="345CD519" w14:textId="235064FF" w:rsidR="0014496B" w:rsidRDefault="0014496B" w:rsidP="0014496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11426B"/>
                <w:sz w:val="22"/>
                <w:szCs w:val="22"/>
              </w:rPr>
            </w:pPr>
            <w:r>
              <w:rPr>
                <w:rFonts w:ascii="Arial" w:hAnsi="Arial" w:cs="Arial"/>
                <w:color w:val="11426B"/>
                <w:sz w:val="22"/>
                <w:szCs w:val="22"/>
              </w:rPr>
              <w:t>856</w:t>
            </w:r>
          </w:p>
        </w:tc>
      </w:tr>
      <w:tr w:rsidR="0000244A" w14:paraId="3E976D51" w14:textId="77777777" w:rsidTr="00871CAA">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840" w:type="dxa"/>
            <w:noWrap/>
          </w:tcPr>
          <w:p w14:paraId="1B262AD3" w14:textId="4E4D2E17" w:rsidR="0000244A" w:rsidRPr="0023766D" w:rsidRDefault="0000244A" w:rsidP="0076391E">
            <w:pPr>
              <w:jc w:val="center"/>
              <w:rPr>
                <w:rFonts w:ascii="Arial" w:hAnsi="Arial" w:cs="Arial"/>
                <w:color w:val="E7E6E6" w:themeColor="background2"/>
                <w:sz w:val="22"/>
                <w:szCs w:val="22"/>
              </w:rPr>
            </w:pPr>
          </w:p>
        </w:tc>
        <w:tc>
          <w:tcPr>
            <w:tcW w:w="2835" w:type="dxa"/>
            <w:noWrap/>
          </w:tcPr>
          <w:p w14:paraId="22459315" w14:textId="77777777" w:rsidR="0000244A" w:rsidRPr="0023766D" w:rsidRDefault="0000244A" w:rsidP="0014496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E7E6E6" w:themeColor="background2"/>
                <w:sz w:val="22"/>
                <w:szCs w:val="22"/>
              </w:rPr>
            </w:pPr>
          </w:p>
        </w:tc>
        <w:tc>
          <w:tcPr>
            <w:tcW w:w="3402" w:type="dxa"/>
            <w:noWrap/>
          </w:tcPr>
          <w:p w14:paraId="62284978" w14:textId="77777777" w:rsidR="0000244A" w:rsidRPr="0023766D" w:rsidRDefault="0000244A" w:rsidP="0014496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E7E6E6" w:themeColor="background2"/>
                <w:sz w:val="22"/>
                <w:szCs w:val="22"/>
              </w:rPr>
            </w:pPr>
          </w:p>
        </w:tc>
      </w:tr>
      <w:tr w:rsidR="0000244A" w14:paraId="47A26368" w14:textId="77777777" w:rsidTr="00871CAA">
        <w:trPr>
          <w:trHeight w:val="285"/>
        </w:trPr>
        <w:tc>
          <w:tcPr>
            <w:cnfStyle w:val="001000000000" w:firstRow="0" w:lastRow="0" w:firstColumn="1" w:lastColumn="0" w:oddVBand="0" w:evenVBand="0" w:oddHBand="0" w:evenHBand="0" w:firstRowFirstColumn="0" w:firstRowLastColumn="0" w:lastRowFirstColumn="0" w:lastRowLastColumn="0"/>
            <w:tcW w:w="2840" w:type="dxa"/>
            <w:noWrap/>
          </w:tcPr>
          <w:p w14:paraId="5C63EE8E" w14:textId="474C1E53" w:rsidR="0000244A" w:rsidRDefault="0023766D" w:rsidP="0023766D">
            <w:pPr>
              <w:jc w:val="center"/>
              <w:rPr>
                <w:rFonts w:ascii="Arial" w:hAnsi="Arial" w:cs="Arial"/>
                <w:color w:val="11426B"/>
                <w:sz w:val="22"/>
                <w:szCs w:val="22"/>
              </w:rPr>
            </w:pPr>
            <w:r>
              <w:rPr>
                <w:rFonts w:ascii="Arial" w:hAnsi="Arial" w:cs="Arial"/>
                <w:color w:val="11426B"/>
                <w:sz w:val="22"/>
                <w:szCs w:val="22"/>
              </w:rPr>
              <w:t>Lead</w:t>
            </w:r>
          </w:p>
        </w:tc>
        <w:tc>
          <w:tcPr>
            <w:tcW w:w="2835" w:type="dxa"/>
            <w:noWrap/>
          </w:tcPr>
          <w:p w14:paraId="00C3ACB5" w14:textId="300826B8" w:rsidR="0000244A" w:rsidRDefault="0000244A" w:rsidP="0023766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11426B"/>
                <w:sz w:val="22"/>
                <w:szCs w:val="22"/>
              </w:rPr>
            </w:pPr>
            <w:r>
              <w:rPr>
                <w:rFonts w:ascii="Arial" w:hAnsi="Arial" w:cs="Arial"/>
                <w:color w:val="11426B"/>
                <w:sz w:val="22"/>
                <w:szCs w:val="22"/>
              </w:rPr>
              <w:t>153,478</w:t>
            </w:r>
          </w:p>
        </w:tc>
        <w:tc>
          <w:tcPr>
            <w:tcW w:w="3402" w:type="dxa"/>
            <w:noWrap/>
          </w:tcPr>
          <w:p w14:paraId="6DC55D8A" w14:textId="3F7EC06C" w:rsidR="0000244A" w:rsidRDefault="0000244A" w:rsidP="0023766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11426B"/>
                <w:sz w:val="22"/>
                <w:szCs w:val="22"/>
              </w:rPr>
            </w:pPr>
            <w:r>
              <w:rPr>
                <w:rFonts w:ascii="Arial" w:hAnsi="Arial" w:cs="Arial"/>
                <w:color w:val="11426B"/>
                <w:sz w:val="22"/>
                <w:szCs w:val="22"/>
              </w:rPr>
              <w:t>662</w:t>
            </w:r>
          </w:p>
        </w:tc>
      </w:tr>
      <w:tr w:rsidR="0000244A" w14:paraId="50413F62" w14:textId="77777777" w:rsidTr="00871CAA">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840" w:type="dxa"/>
            <w:noWrap/>
          </w:tcPr>
          <w:p w14:paraId="2C61A0A0" w14:textId="47F2438C" w:rsidR="0000244A" w:rsidRDefault="0023766D" w:rsidP="0023766D">
            <w:pPr>
              <w:jc w:val="center"/>
              <w:rPr>
                <w:rFonts w:ascii="Arial" w:hAnsi="Arial" w:cs="Arial"/>
                <w:color w:val="11426B"/>
                <w:sz w:val="22"/>
                <w:szCs w:val="22"/>
              </w:rPr>
            </w:pPr>
            <w:r>
              <w:rPr>
                <w:rFonts w:ascii="Arial" w:hAnsi="Arial" w:cs="Arial"/>
                <w:color w:val="11426B"/>
                <w:sz w:val="22"/>
                <w:szCs w:val="22"/>
              </w:rPr>
              <w:t>Tin</w:t>
            </w:r>
          </w:p>
        </w:tc>
        <w:tc>
          <w:tcPr>
            <w:tcW w:w="2835" w:type="dxa"/>
            <w:noWrap/>
          </w:tcPr>
          <w:p w14:paraId="385BD40C" w14:textId="0A529FC8" w:rsidR="0000244A" w:rsidRDefault="0000244A" w:rsidP="0023766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11426B"/>
                <w:sz w:val="22"/>
                <w:szCs w:val="22"/>
              </w:rPr>
            </w:pPr>
            <w:r>
              <w:rPr>
                <w:rFonts w:ascii="Arial" w:hAnsi="Arial" w:cs="Arial"/>
                <w:color w:val="11426B"/>
                <w:sz w:val="22"/>
                <w:szCs w:val="22"/>
              </w:rPr>
              <w:t>20,976</w:t>
            </w:r>
          </w:p>
        </w:tc>
        <w:tc>
          <w:tcPr>
            <w:tcW w:w="3402" w:type="dxa"/>
            <w:noWrap/>
          </w:tcPr>
          <w:p w14:paraId="35E2937F" w14:textId="331C48FE" w:rsidR="0000244A" w:rsidRDefault="0000244A" w:rsidP="0023766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11426B"/>
                <w:sz w:val="22"/>
                <w:szCs w:val="22"/>
              </w:rPr>
            </w:pPr>
            <w:r>
              <w:rPr>
                <w:rFonts w:ascii="Arial" w:hAnsi="Arial" w:cs="Arial"/>
                <w:color w:val="11426B"/>
                <w:sz w:val="22"/>
                <w:szCs w:val="22"/>
              </w:rPr>
              <w:t>296</w:t>
            </w:r>
          </w:p>
        </w:tc>
      </w:tr>
    </w:tbl>
    <w:p w14:paraId="1A9B8092" w14:textId="77777777" w:rsidR="0023766D" w:rsidRDefault="0023766D" w:rsidP="00D5365A">
      <w:pPr>
        <w:rPr>
          <w:rFonts w:ascii="Arial" w:hAnsi="Arial" w:cs="Arial"/>
        </w:rPr>
      </w:pPr>
    </w:p>
    <w:p w14:paraId="2F0AD9A8" w14:textId="2B765014" w:rsidR="0023766D" w:rsidRPr="00C06C74" w:rsidRDefault="0023766D" w:rsidP="00D5365A">
      <w:pPr>
        <w:rPr>
          <w:rFonts w:ascii="Arial" w:hAnsi="Arial" w:cs="Arial"/>
          <w:u w:val="single"/>
        </w:rPr>
      </w:pPr>
      <w:r w:rsidRPr="00C06C74">
        <w:rPr>
          <w:rFonts w:ascii="Arial" w:hAnsi="Arial" w:cs="Arial"/>
          <w:u w:val="single"/>
        </w:rPr>
        <w:t>Notes</w:t>
      </w:r>
      <w:r w:rsidR="009019CC" w:rsidRPr="00C06C74">
        <w:rPr>
          <w:rFonts w:ascii="Arial" w:hAnsi="Arial" w:cs="Arial"/>
          <w:u w:val="single"/>
        </w:rPr>
        <w:t xml:space="preserve"> to table 1</w:t>
      </w:r>
    </w:p>
    <w:p w14:paraId="4A36B928" w14:textId="77777777" w:rsidR="0023766D" w:rsidRPr="00C06C74" w:rsidRDefault="0023766D" w:rsidP="00D5365A">
      <w:pPr>
        <w:rPr>
          <w:rFonts w:ascii="Arial" w:hAnsi="Arial" w:cs="Arial"/>
        </w:rPr>
      </w:pPr>
    </w:p>
    <w:p w14:paraId="62F82111" w14:textId="22198503" w:rsidR="00AC1C88" w:rsidRPr="00C06C74" w:rsidRDefault="00AC1C88" w:rsidP="0076391E">
      <w:pPr>
        <w:pStyle w:val="ListParagraph"/>
        <w:numPr>
          <w:ilvl w:val="0"/>
          <w:numId w:val="19"/>
        </w:numPr>
        <w:rPr>
          <w:rFonts w:ascii="Arial" w:hAnsi="Arial" w:cs="Arial"/>
          <w:sz w:val="24"/>
          <w:szCs w:val="24"/>
        </w:rPr>
      </w:pPr>
      <w:r w:rsidRPr="00C06C74">
        <w:rPr>
          <w:rFonts w:ascii="Arial" w:hAnsi="Arial" w:cs="Arial"/>
          <w:sz w:val="24"/>
          <w:szCs w:val="24"/>
        </w:rPr>
        <w:t>Data refers to combined futures and options monthly open interest.</w:t>
      </w:r>
    </w:p>
    <w:p w14:paraId="4B8F1255" w14:textId="77777777" w:rsidR="00AC1C88" w:rsidRPr="00C06C74" w:rsidRDefault="00AC1C88" w:rsidP="00AC1C88">
      <w:pPr>
        <w:pStyle w:val="ListParagraph"/>
        <w:numPr>
          <w:ilvl w:val="0"/>
          <w:numId w:val="0"/>
        </w:numPr>
        <w:ind w:left="1287"/>
        <w:rPr>
          <w:rFonts w:ascii="Arial" w:hAnsi="Arial" w:cs="Arial"/>
          <w:sz w:val="24"/>
          <w:szCs w:val="24"/>
        </w:rPr>
      </w:pPr>
    </w:p>
    <w:p w14:paraId="7CCC24C6" w14:textId="1EC720FF" w:rsidR="0076391E" w:rsidRPr="0075393E" w:rsidRDefault="00E54A73" w:rsidP="0076391E">
      <w:pPr>
        <w:pStyle w:val="ListParagraph"/>
        <w:numPr>
          <w:ilvl w:val="0"/>
          <w:numId w:val="19"/>
        </w:numPr>
        <w:rPr>
          <w:rFonts w:ascii="Arial" w:hAnsi="Arial" w:cs="Arial"/>
          <w:sz w:val="24"/>
          <w:szCs w:val="24"/>
        </w:rPr>
      </w:pPr>
      <w:r w:rsidRPr="00C06C74">
        <w:rPr>
          <w:rFonts w:ascii="Arial" w:hAnsi="Arial" w:cs="Arial"/>
          <w:sz w:val="24"/>
          <w:szCs w:val="24"/>
        </w:rPr>
        <w:t>Metrics for the full s</w:t>
      </w:r>
      <w:r w:rsidR="0023766D" w:rsidRPr="00C06C74">
        <w:rPr>
          <w:rFonts w:ascii="Arial" w:hAnsi="Arial" w:cs="Arial"/>
          <w:sz w:val="24"/>
          <w:szCs w:val="24"/>
        </w:rPr>
        <w:t>uite of LME contracts has been provided here</w:t>
      </w:r>
      <w:r w:rsidR="0035336C" w:rsidRPr="00C06C74">
        <w:rPr>
          <w:rFonts w:ascii="Arial" w:hAnsi="Arial" w:cs="Arial"/>
          <w:sz w:val="24"/>
          <w:szCs w:val="24"/>
        </w:rPr>
        <w:t xml:space="preserve"> and lead and tin have been provided by way of example only</w:t>
      </w:r>
      <w:r w:rsidR="0023766D" w:rsidRPr="00C06C74">
        <w:rPr>
          <w:rFonts w:ascii="Arial" w:hAnsi="Arial" w:cs="Arial"/>
          <w:sz w:val="24"/>
          <w:szCs w:val="24"/>
        </w:rPr>
        <w:t xml:space="preserve">. </w:t>
      </w:r>
      <w:r w:rsidR="0075393E" w:rsidRPr="0075393E">
        <w:rPr>
          <w:rFonts w:ascii="Arial" w:hAnsi="Arial" w:cs="Arial"/>
          <w:sz w:val="24"/>
          <w:szCs w:val="24"/>
        </w:rPr>
        <w:t>The monthly open interest for all LME contracts for the 25 month period ending 1 January 2020 is attached as an annex to this response.</w:t>
      </w:r>
    </w:p>
    <w:p w14:paraId="79FF9989" w14:textId="77777777" w:rsidR="0076391E" w:rsidRPr="00C06C74" w:rsidRDefault="0076391E" w:rsidP="0076391E">
      <w:pPr>
        <w:pStyle w:val="ListParagraph"/>
        <w:numPr>
          <w:ilvl w:val="0"/>
          <w:numId w:val="0"/>
        </w:numPr>
        <w:ind w:left="1080"/>
        <w:rPr>
          <w:rFonts w:ascii="Arial" w:hAnsi="Arial" w:cs="Arial"/>
          <w:sz w:val="24"/>
          <w:szCs w:val="24"/>
        </w:rPr>
      </w:pPr>
    </w:p>
    <w:p w14:paraId="3AE03A4E" w14:textId="17904CBF" w:rsidR="009019CC" w:rsidRPr="00C06C74" w:rsidRDefault="0023766D" w:rsidP="0076391E">
      <w:pPr>
        <w:pStyle w:val="ListParagraph"/>
        <w:numPr>
          <w:ilvl w:val="0"/>
          <w:numId w:val="19"/>
        </w:numPr>
        <w:rPr>
          <w:rFonts w:ascii="Arial" w:hAnsi="Arial" w:cs="Arial"/>
          <w:sz w:val="24"/>
          <w:szCs w:val="24"/>
        </w:rPr>
      </w:pPr>
      <w:r w:rsidRPr="00C06C74">
        <w:rPr>
          <w:rFonts w:ascii="Arial" w:hAnsi="Arial" w:cs="Arial"/>
          <w:sz w:val="24"/>
          <w:szCs w:val="24"/>
        </w:rPr>
        <w:t>The “market participant” value was reached by mapping client LEIs (as submitted in position reports) to the corresponding names on the GLEI</w:t>
      </w:r>
      <w:r w:rsidR="00E54A73" w:rsidRPr="00C06C74">
        <w:rPr>
          <w:rFonts w:ascii="Arial" w:hAnsi="Arial" w:cs="Arial"/>
          <w:sz w:val="24"/>
          <w:szCs w:val="24"/>
        </w:rPr>
        <w:t>F index.  Related LEIs were the</w:t>
      </w:r>
      <w:r w:rsidRPr="00C06C74">
        <w:rPr>
          <w:rFonts w:ascii="Arial" w:hAnsi="Arial" w:cs="Arial"/>
          <w:sz w:val="24"/>
          <w:szCs w:val="24"/>
        </w:rPr>
        <w:t xml:space="preserve">n grouped into one parent </w:t>
      </w:r>
      <w:r w:rsidR="0035336C" w:rsidRPr="00C06C74">
        <w:rPr>
          <w:rFonts w:ascii="Arial" w:hAnsi="Arial" w:cs="Arial"/>
          <w:sz w:val="24"/>
          <w:szCs w:val="24"/>
        </w:rPr>
        <w:t>and classed as a single entity.</w:t>
      </w:r>
    </w:p>
    <w:p w14:paraId="5F02AF94" w14:textId="394583DB" w:rsidR="0023766D" w:rsidRPr="009019CC" w:rsidRDefault="00583A9B" w:rsidP="009019CC">
      <w:pPr>
        <w:pStyle w:val="ListParagraph"/>
        <w:numPr>
          <w:ilvl w:val="0"/>
          <w:numId w:val="0"/>
        </w:numPr>
        <w:ind w:left="1287"/>
        <w:rPr>
          <w:rFonts w:ascii="Arial" w:hAnsi="Arial" w:cs="Arial"/>
          <w:sz w:val="24"/>
          <w:szCs w:val="24"/>
        </w:rPr>
      </w:pPr>
      <w:r w:rsidRPr="009019CC">
        <w:rPr>
          <w:rFonts w:ascii="Arial" w:hAnsi="Arial" w:cs="Arial"/>
          <w:sz w:val="24"/>
          <w:szCs w:val="24"/>
        </w:rPr>
        <w:t xml:space="preserve"> </w:t>
      </w:r>
    </w:p>
    <w:permEnd w:id="1821780740"/>
    <w:p w14:paraId="11DBD2B0" w14:textId="77777777" w:rsidR="00D5365A" w:rsidRDefault="00D5365A" w:rsidP="00D5365A">
      <w:pPr>
        <w:rPr>
          <w:rFonts w:ascii="Arial" w:hAnsi="Arial" w:cs="Arial"/>
        </w:rPr>
      </w:pPr>
      <w:r>
        <w:rPr>
          <w:rFonts w:ascii="Arial" w:hAnsi="Arial" w:cs="Arial"/>
        </w:rPr>
        <w:t>&lt;ESMA_QUESTION_WPR_6&gt;</w:t>
      </w:r>
    </w:p>
    <w:p w14:paraId="392E68BA" w14:textId="77777777" w:rsidR="00D5365A" w:rsidRDefault="00D5365A" w:rsidP="00D5365A">
      <w:pPr>
        <w:rPr>
          <w:rFonts w:ascii="Arial" w:hAnsi="Arial" w:cs="Arial"/>
        </w:rPr>
      </w:pPr>
    </w:p>
    <w:p w14:paraId="447489A7" w14:textId="77777777" w:rsidR="00D5365A" w:rsidRDefault="00D5365A" w:rsidP="00D5365A">
      <w:pPr>
        <w:pStyle w:val="Questionstyle"/>
        <w:numPr>
          <w:ilvl w:val="0"/>
          <w:numId w:val="17"/>
        </w:numPr>
        <w:spacing w:after="250" w:line="276" w:lineRule="auto"/>
        <w:rPr>
          <w:rFonts w:ascii="Arial" w:hAnsi="Arial" w:cs="Arial"/>
        </w:rPr>
      </w:pPr>
      <w:r>
        <w:t>: Would you support a position limit exemption for financial counterparties under mandatory liquidity provision obligations? If not, please explain why.</w:t>
      </w:r>
    </w:p>
    <w:p w14:paraId="45D19C97" w14:textId="77777777" w:rsidR="00D5365A" w:rsidRDefault="00D5365A" w:rsidP="00D5365A">
      <w:pPr>
        <w:rPr>
          <w:rFonts w:ascii="Arial" w:hAnsi="Arial" w:cs="Arial"/>
        </w:rPr>
      </w:pPr>
      <w:r>
        <w:rPr>
          <w:rFonts w:ascii="Arial" w:hAnsi="Arial" w:cs="Arial"/>
        </w:rPr>
        <w:t>&lt;ESMA_QUESTION_WPR_7&gt;</w:t>
      </w:r>
    </w:p>
    <w:p w14:paraId="15712D4B" w14:textId="125BEB54" w:rsidR="00D5365A" w:rsidRDefault="00513B01" w:rsidP="00D5365A">
      <w:pPr>
        <w:rPr>
          <w:rFonts w:ascii="Arial" w:hAnsi="Arial" w:cs="Arial"/>
        </w:rPr>
      </w:pPr>
      <w:permStart w:id="602737691" w:edGrp="everyone"/>
      <w:r>
        <w:rPr>
          <w:rFonts w:ascii="Arial" w:hAnsi="Arial" w:cs="Arial"/>
        </w:rPr>
        <w:t>Yes, the LME would support the introduction of a position limit exemption for financial counterparties under the mandatory liquidity provision obligations.  This can ensure that the provision of mandatory liquidity does not prevent market participants from undertaki</w:t>
      </w:r>
      <w:r w:rsidR="00213551">
        <w:rPr>
          <w:rFonts w:ascii="Arial" w:hAnsi="Arial" w:cs="Arial"/>
        </w:rPr>
        <w:t>ng other normal trading activity</w:t>
      </w:r>
      <w:r>
        <w:rPr>
          <w:rFonts w:ascii="Arial" w:hAnsi="Arial" w:cs="Arial"/>
        </w:rPr>
        <w:t xml:space="preserve"> in order to avoid potential breach of the position limit requirements.</w:t>
      </w:r>
    </w:p>
    <w:permEnd w:id="602737691"/>
    <w:p w14:paraId="31E340F5" w14:textId="77777777" w:rsidR="00D5365A" w:rsidRDefault="00D5365A" w:rsidP="00D5365A">
      <w:pPr>
        <w:rPr>
          <w:rFonts w:ascii="Arial" w:hAnsi="Arial" w:cs="Arial"/>
        </w:rPr>
      </w:pPr>
      <w:r>
        <w:rPr>
          <w:rFonts w:ascii="Arial" w:hAnsi="Arial" w:cs="Arial"/>
        </w:rPr>
        <w:t>&lt;ESMA_QUESTION_WPR_7&gt;</w:t>
      </w:r>
    </w:p>
    <w:p w14:paraId="763FBF02" w14:textId="77777777" w:rsidR="00D5365A" w:rsidRDefault="00D5365A" w:rsidP="00D5365A">
      <w:pPr>
        <w:rPr>
          <w:rFonts w:ascii="Arial" w:hAnsi="Arial" w:cs="Arial"/>
        </w:rPr>
      </w:pPr>
    </w:p>
    <w:p w14:paraId="068F9EED" w14:textId="77777777" w:rsidR="00D5365A" w:rsidRDefault="00D5365A" w:rsidP="00D5365A">
      <w:pPr>
        <w:pStyle w:val="Questionstyle"/>
        <w:numPr>
          <w:ilvl w:val="0"/>
          <w:numId w:val="17"/>
        </w:numPr>
        <w:spacing w:after="250" w:line="276" w:lineRule="auto"/>
        <w:rPr>
          <w:rFonts w:ascii="Arial" w:hAnsi="Arial" w:cs="Arial"/>
        </w:rPr>
      </w:pPr>
      <w:r>
        <w:t>: Would you support introducing a hedging exemption for financial counterparties along the lines described above? If not, please explain why.</w:t>
      </w:r>
    </w:p>
    <w:p w14:paraId="4ED08C7D" w14:textId="77777777" w:rsidR="00D5365A" w:rsidRDefault="00D5365A" w:rsidP="00D5365A">
      <w:pPr>
        <w:rPr>
          <w:rFonts w:ascii="Arial" w:hAnsi="Arial" w:cs="Arial"/>
        </w:rPr>
      </w:pPr>
      <w:r>
        <w:rPr>
          <w:rFonts w:ascii="Arial" w:hAnsi="Arial" w:cs="Arial"/>
        </w:rPr>
        <w:t>&lt;ESMA_QUESTION_WPR_8&gt;</w:t>
      </w:r>
    </w:p>
    <w:p w14:paraId="31AA7F90" w14:textId="5DB5AA6E" w:rsidR="00D5365A" w:rsidRDefault="00992970" w:rsidP="00D5365A">
      <w:pPr>
        <w:rPr>
          <w:rFonts w:ascii="Arial" w:hAnsi="Arial" w:cs="Arial"/>
        </w:rPr>
      </w:pPr>
      <w:permStart w:id="1586561396" w:edGrp="everyone"/>
      <w:r>
        <w:rPr>
          <w:rFonts w:ascii="Arial" w:hAnsi="Arial" w:cs="Arial"/>
        </w:rPr>
        <w:t>The LME strongly supports a hedging exemption for financial counterparties</w:t>
      </w:r>
      <w:r w:rsidR="00023D36">
        <w:rPr>
          <w:rFonts w:ascii="Arial" w:hAnsi="Arial" w:cs="Arial"/>
        </w:rPr>
        <w:t xml:space="preserve"> in relation to positions which are objectively measurable as reducing risks related to the non-financial entities of the group.</w:t>
      </w:r>
    </w:p>
    <w:p w14:paraId="1D581BA0" w14:textId="7CE8B838" w:rsidR="00023D36" w:rsidRDefault="00023D36" w:rsidP="00D5365A">
      <w:pPr>
        <w:rPr>
          <w:rFonts w:ascii="Arial" w:hAnsi="Arial" w:cs="Arial"/>
        </w:rPr>
      </w:pPr>
    </w:p>
    <w:p w14:paraId="06F0379B" w14:textId="158EC7AD" w:rsidR="00023D36" w:rsidRDefault="00023D36" w:rsidP="00D5365A">
      <w:pPr>
        <w:rPr>
          <w:rFonts w:ascii="Arial" w:hAnsi="Arial" w:cs="Arial"/>
        </w:rPr>
      </w:pPr>
      <w:r>
        <w:rPr>
          <w:rFonts w:ascii="Arial" w:hAnsi="Arial" w:cs="Arial"/>
        </w:rPr>
        <w:lastRenderedPageBreak/>
        <w:t xml:space="preserve">The LME supports ESMA’s position </w:t>
      </w:r>
      <w:r w:rsidR="0035336C">
        <w:rPr>
          <w:rFonts w:ascii="Arial" w:hAnsi="Arial" w:cs="Arial"/>
        </w:rPr>
        <w:t>not to introduce</w:t>
      </w:r>
      <w:r>
        <w:rPr>
          <w:rFonts w:ascii="Arial" w:hAnsi="Arial" w:cs="Arial"/>
        </w:rPr>
        <w:t xml:space="preserve"> a blanket exemption for all trades executed by financial counterparties to offset an OTC transaction.  However, the LME also believes that a</w:t>
      </w:r>
      <w:r w:rsidR="0035336C">
        <w:rPr>
          <w:rFonts w:ascii="Arial" w:hAnsi="Arial" w:cs="Arial"/>
        </w:rPr>
        <w:t xml:space="preserve"> slightly</w:t>
      </w:r>
      <w:r>
        <w:rPr>
          <w:rFonts w:ascii="Arial" w:hAnsi="Arial" w:cs="Arial"/>
        </w:rPr>
        <w:t xml:space="preserve"> broader exemption regime</w:t>
      </w:r>
      <w:r w:rsidR="0035336C">
        <w:rPr>
          <w:rFonts w:ascii="Arial" w:hAnsi="Arial" w:cs="Arial"/>
        </w:rPr>
        <w:t xml:space="preserve"> than that proposed in the consultation</w:t>
      </w:r>
      <w:r>
        <w:rPr>
          <w:rFonts w:ascii="Arial" w:hAnsi="Arial" w:cs="Arial"/>
        </w:rPr>
        <w:t xml:space="preserve"> </w:t>
      </w:r>
      <w:r w:rsidR="0035336C">
        <w:rPr>
          <w:rFonts w:ascii="Arial" w:hAnsi="Arial" w:cs="Arial"/>
        </w:rPr>
        <w:t xml:space="preserve">could </w:t>
      </w:r>
      <w:r>
        <w:rPr>
          <w:rFonts w:ascii="Arial" w:hAnsi="Arial" w:cs="Arial"/>
        </w:rPr>
        <w:t>be appropriate</w:t>
      </w:r>
      <w:r w:rsidR="0035336C">
        <w:rPr>
          <w:rFonts w:ascii="Arial" w:hAnsi="Arial" w:cs="Arial"/>
        </w:rPr>
        <w:t>.  This extension would</w:t>
      </w:r>
      <w:r>
        <w:rPr>
          <w:rFonts w:ascii="Arial" w:hAnsi="Arial" w:cs="Arial"/>
        </w:rPr>
        <w:t xml:space="preserve"> exempt positions held by financial counter</w:t>
      </w:r>
      <w:r w:rsidR="009431B6">
        <w:rPr>
          <w:rFonts w:ascii="Arial" w:hAnsi="Arial" w:cs="Arial"/>
        </w:rPr>
        <w:t>par</w:t>
      </w:r>
      <w:r>
        <w:rPr>
          <w:rFonts w:ascii="Arial" w:hAnsi="Arial" w:cs="Arial"/>
        </w:rPr>
        <w:t xml:space="preserve">ties which offset an OTC transaction where that OTC transaction is objectively measurable as reducing risks related to a non-financial counterparty, notwithstanding whether that counterparty is a group entity. </w:t>
      </w:r>
      <w:r w:rsidR="008C4DE0">
        <w:rPr>
          <w:rFonts w:ascii="Arial" w:hAnsi="Arial" w:cs="Arial"/>
        </w:rPr>
        <w:t xml:space="preserve"> </w:t>
      </w:r>
      <w:r w:rsidR="008C4DE0" w:rsidRPr="008C4DE0">
        <w:rPr>
          <w:rFonts w:ascii="Arial" w:hAnsi="Arial" w:cs="Arial"/>
        </w:rPr>
        <w:t>The LME believes that this would be beneficial as it would ensure that commercial participants that do no</w:t>
      </w:r>
      <w:r w:rsidR="009431B6">
        <w:rPr>
          <w:rFonts w:ascii="Arial" w:hAnsi="Arial" w:cs="Arial"/>
        </w:rPr>
        <w:t>t</w:t>
      </w:r>
      <w:r w:rsidR="008C4DE0" w:rsidRPr="008C4DE0">
        <w:rPr>
          <w:rFonts w:ascii="Arial" w:hAnsi="Arial" w:cs="Arial"/>
        </w:rPr>
        <w:t xml:space="preserve"> have direct market access are </w:t>
      </w:r>
      <w:r w:rsidR="00213551">
        <w:rPr>
          <w:rFonts w:ascii="Arial" w:hAnsi="Arial" w:cs="Arial"/>
        </w:rPr>
        <w:t xml:space="preserve">not restricted in finding </w:t>
      </w:r>
      <w:r w:rsidR="007A706D">
        <w:rPr>
          <w:rFonts w:ascii="Arial" w:eastAsiaTheme="minorEastAsia" w:hAnsi="Arial" w:cs="Arial"/>
          <w:lang w:eastAsia="en-US"/>
        </w:rPr>
        <w:t xml:space="preserve">brokers who can allow them to </w:t>
      </w:r>
      <w:r w:rsidR="008C4DE0" w:rsidRPr="008C4DE0">
        <w:rPr>
          <w:rFonts w:ascii="Arial" w:hAnsi="Arial" w:cs="Arial"/>
        </w:rPr>
        <w:t>hedge effectively on-exchange and could therefore divert existing and any future OTC positions onto a regulated exchange</w:t>
      </w:r>
      <w:r w:rsidR="001341F9">
        <w:rPr>
          <w:rFonts w:ascii="Arial" w:hAnsi="Arial" w:cs="Arial"/>
        </w:rPr>
        <w:t>.</w:t>
      </w:r>
    </w:p>
    <w:p w14:paraId="02C98CC2" w14:textId="77777777" w:rsidR="001341F9" w:rsidRDefault="001341F9" w:rsidP="00D5365A">
      <w:pPr>
        <w:rPr>
          <w:rFonts w:ascii="Arial" w:hAnsi="Arial" w:cs="Arial"/>
        </w:rPr>
      </w:pPr>
    </w:p>
    <w:permEnd w:id="1586561396"/>
    <w:p w14:paraId="74EC7D38" w14:textId="77777777" w:rsidR="00D5365A" w:rsidRDefault="00D5365A" w:rsidP="00D5365A">
      <w:pPr>
        <w:rPr>
          <w:rFonts w:ascii="Arial" w:hAnsi="Arial" w:cs="Arial"/>
        </w:rPr>
      </w:pPr>
      <w:r>
        <w:rPr>
          <w:rFonts w:ascii="Arial" w:hAnsi="Arial" w:cs="Arial"/>
        </w:rPr>
        <w:t>&lt;ESMA_QUESTION_WPR_8&gt;</w:t>
      </w:r>
    </w:p>
    <w:p w14:paraId="2F8CB93E" w14:textId="77777777" w:rsidR="00D5365A" w:rsidRDefault="00D5365A" w:rsidP="00D5365A">
      <w:pPr>
        <w:rPr>
          <w:rFonts w:ascii="Arial" w:hAnsi="Arial" w:cs="Arial"/>
        </w:rPr>
      </w:pPr>
    </w:p>
    <w:p w14:paraId="44AB4894" w14:textId="77777777" w:rsidR="00D5365A" w:rsidRDefault="00D5365A" w:rsidP="00D5365A">
      <w:pPr>
        <w:pStyle w:val="Questionstyle"/>
        <w:numPr>
          <w:ilvl w:val="0"/>
          <w:numId w:val="17"/>
        </w:numPr>
        <w:spacing w:after="250" w:line="276" w:lineRule="auto"/>
        <w:rPr>
          <w:rFonts w:ascii="Arial" w:hAnsi="Arial" w:cs="Arial"/>
        </w:rPr>
      </w:pPr>
      <w:r>
        <w:t xml:space="preserve">: Do you agree with ESMA’s proposals to amend Article 57(8)(b) of MiFID II and to introduce Level 2 measures on position management controls? If not, please explain why. </w:t>
      </w:r>
    </w:p>
    <w:p w14:paraId="7A0C336C" w14:textId="77777777" w:rsidR="00D5365A" w:rsidRDefault="00D5365A" w:rsidP="00D5365A">
      <w:pPr>
        <w:rPr>
          <w:rFonts w:ascii="Arial" w:hAnsi="Arial" w:cs="Arial"/>
        </w:rPr>
      </w:pPr>
      <w:r>
        <w:rPr>
          <w:rFonts w:ascii="Arial" w:hAnsi="Arial" w:cs="Arial"/>
        </w:rPr>
        <w:t>&lt;ESMA_QUESTION_WPR_9&gt;</w:t>
      </w:r>
    </w:p>
    <w:p w14:paraId="411DB863" w14:textId="4EC11324" w:rsidR="00D5365A" w:rsidRDefault="005E4DE9" w:rsidP="00D5365A">
      <w:pPr>
        <w:rPr>
          <w:rFonts w:ascii="Arial" w:hAnsi="Arial" w:cs="Arial"/>
        </w:rPr>
      </w:pPr>
      <w:permStart w:id="1662860103" w:edGrp="everyone"/>
      <w:r>
        <w:rPr>
          <w:rFonts w:ascii="Arial" w:hAnsi="Arial" w:cs="Arial"/>
        </w:rPr>
        <w:t>The LME does not believe that amendments to Article 57(8</w:t>
      </w:r>
      <w:proofErr w:type="gramStart"/>
      <w:r>
        <w:rPr>
          <w:rFonts w:ascii="Arial" w:hAnsi="Arial" w:cs="Arial"/>
        </w:rPr>
        <w:t>)(</w:t>
      </w:r>
      <w:proofErr w:type="gramEnd"/>
      <w:r>
        <w:rPr>
          <w:rFonts w:ascii="Arial" w:hAnsi="Arial" w:cs="Arial"/>
        </w:rPr>
        <w:t>b) of MiFID II in relation to position management controls are required.  It is important that each market introduces a position management regime that is effe</w:t>
      </w:r>
      <w:r w:rsidR="005F5B3D">
        <w:rPr>
          <w:rFonts w:ascii="Arial" w:hAnsi="Arial" w:cs="Arial"/>
        </w:rPr>
        <w:t xml:space="preserve">ctive for its own market and </w:t>
      </w:r>
      <w:r>
        <w:rPr>
          <w:rFonts w:ascii="Arial" w:hAnsi="Arial" w:cs="Arial"/>
        </w:rPr>
        <w:t xml:space="preserve">member base and </w:t>
      </w:r>
      <w:r w:rsidR="005F5B3D">
        <w:rPr>
          <w:rFonts w:ascii="Arial" w:hAnsi="Arial" w:cs="Arial"/>
        </w:rPr>
        <w:t>can be tailored to reflect</w:t>
      </w:r>
      <w:r>
        <w:rPr>
          <w:rFonts w:ascii="Arial" w:hAnsi="Arial" w:cs="Arial"/>
        </w:rPr>
        <w:t xml:space="preserve"> the </w:t>
      </w:r>
      <w:r w:rsidR="005F5B3D">
        <w:rPr>
          <w:rFonts w:ascii="Arial" w:hAnsi="Arial" w:cs="Arial"/>
        </w:rPr>
        <w:t xml:space="preserve">particular concerns of the </w:t>
      </w:r>
      <w:r>
        <w:rPr>
          <w:rFonts w:ascii="Arial" w:hAnsi="Arial" w:cs="Arial"/>
        </w:rPr>
        <w:t xml:space="preserve">underlying asset.  </w:t>
      </w:r>
      <w:r w:rsidR="00B50B35">
        <w:rPr>
          <w:rFonts w:ascii="Arial" w:hAnsi="Arial" w:cs="Arial"/>
        </w:rPr>
        <w:t>As s</w:t>
      </w:r>
      <w:r w:rsidR="002E2115">
        <w:rPr>
          <w:rFonts w:ascii="Arial" w:hAnsi="Arial" w:cs="Arial"/>
        </w:rPr>
        <w:t>u</w:t>
      </w:r>
      <w:r w:rsidR="00B50B35">
        <w:rPr>
          <w:rFonts w:ascii="Arial" w:hAnsi="Arial" w:cs="Arial"/>
        </w:rPr>
        <w:t>ch</w:t>
      </w:r>
      <w:r w:rsidR="005F5B3D">
        <w:rPr>
          <w:rFonts w:ascii="Arial" w:hAnsi="Arial" w:cs="Arial"/>
        </w:rPr>
        <w:t>,</w:t>
      </w:r>
      <w:bookmarkStart w:id="1" w:name="_GoBack"/>
      <w:bookmarkEnd w:id="1"/>
      <w:r w:rsidR="00B50B35">
        <w:rPr>
          <w:rFonts w:ascii="Arial" w:hAnsi="Arial" w:cs="Arial"/>
        </w:rPr>
        <w:t xml:space="preserve"> any further guidance that ESMA believes may be appropriate should be created by the relevant market operator in discussion and consultation with its relevant competent authority. </w:t>
      </w:r>
    </w:p>
    <w:p w14:paraId="514D7D0A" w14:textId="77777777" w:rsidR="005E4DE9" w:rsidRDefault="005E4DE9" w:rsidP="00D5365A">
      <w:pPr>
        <w:rPr>
          <w:rFonts w:ascii="Arial" w:hAnsi="Arial" w:cs="Arial"/>
        </w:rPr>
      </w:pPr>
    </w:p>
    <w:permEnd w:id="1662860103"/>
    <w:p w14:paraId="2C377513" w14:textId="77777777" w:rsidR="00D5365A" w:rsidRDefault="00D5365A" w:rsidP="00D5365A">
      <w:pPr>
        <w:rPr>
          <w:rFonts w:ascii="Arial" w:hAnsi="Arial" w:cs="Arial"/>
        </w:rPr>
      </w:pPr>
      <w:r>
        <w:rPr>
          <w:rFonts w:ascii="Arial" w:hAnsi="Arial" w:cs="Arial"/>
        </w:rPr>
        <w:t>&lt;ESMA_QUESTION_WPR_9&gt;</w:t>
      </w:r>
    </w:p>
    <w:p w14:paraId="66931BD6" w14:textId="77C0A432" w:rsidR="00D5365A" w:rsidRDefault="00D5365A" w:rsidP="00D5365A">
      <w:pPr>
        <w:rPr>
          <w:rFonts w:ascii="Arial" w:hAnsi="Arial" w:cs="Arial"/>
        </w:rPr>
      </w:pPr>
    </w:p>
    <w:p w14:paraId="3468173D" w14:textId="1850607F" w:rsidR="00D5365A" w:rsidRDefault="00D5365A" w:rsidP="00D5365A">
      <w:pPr>
        <w:rPr>
          <w:rFonts w:ascii="Arial" w:hAnsi="Arial" w:cs="Arial"/>
        </w:rPr>
      </w:pPr>
    </w:p>
    <w:p w14:paraId="3920CAF1" w14:textId="77777777" w:rsidR="00D5365A" w:rsidRPr="002847A4" w:rsidRDefault="00D5365A" w:rsidP="00D5365A">
      <w:pPr>
        <w:rPr>
          <w:b/>
        </w:rPr>
      </w:pPr>
      <w:r w:rsidRPr="002847A4">
        <w:rPr>
          <w:b/>
        </w:rPr>
        <w:t>Part II</w:t>
      </w:r>
    </w:p>
    <w:p w14:paraId="5E9299BD" w14:textId="77777777" w:rsidR="00D5365A" w:rsidRDefault="00D5365A" w:rsidP="00D5365A">
      <w:pPr>
        <w:rPr>
          <w:rFonts w:ascii="Arial" w:hAnsi="Arial" w:cs="Arial"/>
        </w:rPr>
      </w:pPr>
    </w:p>
    <w:p w14:paraId="349FDAF4" w14:textId="77777777" w:rsidR="00D5365A" w:rsidRDefault="00D5365A" w:rsidP="00D5365A">
      <w:pPr>
        <w:pStyle w:val="Questionstyle"/>
        <w:numPr>
          <w:ilvl w:val="0"/>
          <w:numId w:val="17"/>
        </w:numPr>
        <w:spacing w:after="250" w:line="276" w:lineRule="auto"/>
        <w:rPr>
          <w:rFonts w:ascii="Arial" w:hAnsi="Arial" w:cs="Arial"/>
        </w:rPr>
      </w:pPr>
      <w:r>
        <w:t xml:space="preserve">: Do you agree with the revised proposed minimum threshold level for the open interest criterion for the publication of weekly position reports? If not, please state your preferred alternative for the definition of this threshold and explain why. </w:t>
      </w:r>
    </w:p>
    <w:p w14:paraId="739F7FEE" w14:textId="77777777" w:rsidR="00D5365A" w:rsidRDefault="00D5365A" w:rsidP="00D5365A">
      <w:pPr>
        <w:rPr>
          <w:rFonts w:ascii="Arial" w:hAnsi="Arial" w:cs="Arial"/>
        </w:rPr>
      </w:pPr>
      <w:r>
        <w:rPr>
          <w:rFonts w:ascii="Arial" w:hAnsi="Arial" w:cs="Arial"/>
        </w:rPr>
        <w:t>&lt;ESMA_QUESTION_WPR_10&gt;</w:t>
      </w:r>
    </w:p>
    <w:p w14:paraId="7CA6A02D" w14:textId="7F43337F" w:rsidR="00D5365A" w:rsidRDefault="009A5D9E" w:rsidP="00D5365A">
      <w:pPr>
        <w:rPr>
          <w:rFonts w:ascii="Arial" w:hAnsi="Arial" w:cs="Arial"/>
        </w:rPr>
      </w:pPr>
      <w:permStart w:id="68034811" w:edGrp="everyone"/>
      <w:r>
        <w:rPr>
          <w:rFonts w:ascii="Arial" w:hAnsi="Arial" w:cs="Arial"/>
        </w:rPr>
        <w:t xml:space="preserve">The LME published commitment of </w:t>
      </w:r>
      <w:proofErr w:type="gramStart"/>
      <w:r>
        <w:rPr>
          <w:rFonts w:ascii="Arial" w:hAnsi="Arial" w:cs="Arial"/>
        </w:rPr>
        <w:t>traders</w:t>
      </w:r>
      <w:proofErr w:type="gramEnd"/>
      <w:r>
        <w:rPr>
          <w:rFonts w:ascii="Arial" w:hAnsi="Arial" w:cs="Arial"/>
        </w:rPr>
        <w:t xml:space="preserve"> report</w:t>
      </w:r>
      <w:r w:rsidR="0035336C">
        <w:rPr>
          <w:rFonts w:ascii="Arial" w:hAnsi="Arial" w:cs="Arial"/>
        </w:rPr>
        <w:t>s</w:t>
      </w:r>
      <w:r>
        <w:rPr>
          <w:rFonts w:ascii="Arial" w:hAnsi="Arial" w:cs="Arial"/>
        </w:rPr>
        <w:t xml:space="preserve"> before such reports were required under MiFID II.  Accordingly the thresholds do not have an impact on the reports it chooses to publish.  </w:t>
      </w:r>
      <w:permEnd w:id="68034811"/>
      <w:r w:rsidR="00D5365A">
        <w:rPr>
          <w:rFonts w:ascii="Arial" w:hAnsi="Arial" w:cs="Arial"/>
        </w:rPr>
        <w:t>&lt;ESMA_QUESTION_WPR_10&gt;</w:t>
      </w:r>
    </w:p>
    <w:p w14:paraId="1F5BE49F" w14:textId="77777777" w:rsidR="00D5365A" w:rsidRDefault="00D5365A" w:rsidP="00D5365A">
      <w:pPr>
        <w:rPr>
          <w:rFonts w:ascii="Arial" w:hAnsi="Arial" w:cs="Arial"/>
        </w:rPr>
      </w:pPr>
    </w:p>
    <w:p w14:paraId="235E6E6C" w14:textId="77777777" w:rsidR="00D5365A" w:rsidRDefault="00D5365A" w:rsidP="00D5365A">
      <w:pPr>
        <w:pStyle w:val="Questionstyle"/>
        <w:numPr>
          <w:ilvl w:val="0"/>
          <w:numId w:val="17"/>
        </w:numPr>
        <w:spacing w:after="250" w:line="276" w:lineRule="auto"/>
        <w:rPr>
          <w:rFonts w:ascii="Arial" w:hAnsi="Arial" w:cs="Arial"/>
        </w:rPr>
      </w:pPr>
      <w:r>
        <w:t>: Do you have any comment on the current number of position holders required for the publication of weekly position reports?</w:t>
      </w:r>
    </w:p>
    <w:p w14:paraId="78BEE3B9" w14:textId="77777777" w:rsidR="00D5365A" w:rsidRDefault="00D5365A" w:rsidP="00D5365A">
      <w:pPr>
        <w:rPr>
          <w:rFonts w:ascii="Arial" w:hAnsi="Arial" w:cs="Arial"/>
        </w:rPr>
      </w:pPr>
      <w:r>
        <w:rPr>
          <w:rFonts w:ascii="Arial" w:hAnsi="Arial" w:cs="Arial"/>
        </w:rPr>
        <w:t>&lt;ESMA_QUESTION_WPR_11&gt;</w:t>
      </w:r>
    </w:p>
    <w:p w14:paraId="19E3DFC7" w14:textId="34BD9196" w:rsidR="00D5365A" w:rsidRDefault="009A5D9E" w:rsidP="00D5365A">
      <w:pPr>
        <w:rPr>
          <w:rFonts w:ascii="Arial" w:hAnsi="Arial" w:cs="Arial"/>
        </w:rPr>
      </w:pPr>
      <w:permStart w:id="281428305" w:edGrp="everyone"/>
      <w:r>
        <w:rPr>
          <w:rFonts w:ascii="Arial" w:hAnsi="Arial" w:cs="Arial"/>
        </w:rPr>
        <w:t xml:space="preserve">The LME published commitment of traders report before such reports were required under MiFID II.  Accordingly the thresholds do not have an impact on the reports it chooses to publish.  </w:t>
      </w:r>
      <w:permEnd w:id="281428305"/>
      <w:r w:rsidR="00D5365A">
        <w:rPr>
          <w:rFonts w:ascii="Arial" w:hAnsi="Arial" w:cs="Arial"/>
        </w:rPr>
        <w:t>&lt;ESMA_QUESTION_WPR_11&gt;</w:t>
      </w:r>
    </w:p>
    <w:p w14:paraId="560C94D5" w14:textId="77777777" w:rsidR="00D5365A" w:rsidRDefault="00D5365A" w:rsidP="00D5365A">
      <w:pPr>
        <w:rPr>
          <w:rFonts w:ascii="Arial" w:hAnsi="Arial" w:cs="Arial"/>
        </w:rPr>
      </w:pPr>
    </w:p>
    <w:p w14:paraId="3BB68A6B" w14:textId="77777777" w:rsidR="00D5365A" w:rsidRDefault="00D5365A" w:rsidP="00D5365A">
      <w:pPr>
        <w:rPr>
          <w:rFonts w:ascii="Arial" w:hAnsi="Arial" w:cs="Arial"/>
        </w:rPr>
      </w:pPr>
    </w:p>
    <w:bookmarkEnd w:id="0"/>
    <w:p w14:paraId="289A1E31" w14:textId="022DBCBF" w:rsidR="00AB6157" w:rsidRDefault="00AB6157" w:rsidP="00C1698A">
      <w:pPr>
        <w:spacing w:line="276" w:lineRule="auto"/>
        <w:rPr>
          <w:rFonts w:asciiTheme="minorHAnsi" w:hAnsiTheme="minorHAnsi" w:cstheme="minorHAnsi"/>
          <w:b/>
          <w:sz w:val="28"/>
          <w:szCs w:val="28"/>
        </w:rPr>
      </w:pPr>
    </w:p>
    <w:sectPr w:rsidR="00AB6157" w:rsidSect="00C85C8B">
      <w:headerReference w:type="default" r:id="rId20"/>
      <w:footerReference w:type="default" r:id="rId2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7BD937" w14:textId="77777777" w:rsidR="006F4933" w:rsidRDefault="006F4933" w:rsidP="007E7997">
      <w:r>
        <w:separator/>
      </w:r>
    </w:p>
  </w:endnote>
  <w:endnote w:type="continuationSeparator" w:id="0">
    <w:p w14:paraId="0DCC92D7" w14:textId="77777777" w:rsidR="006F4933" w:rsidRDefault="006F4933" w:rsidP="007E7997">
      <w:r>
        <w:continuationSeparator/>
      </w:r>
    </w:p>
  </w:endnote>
  <w:endnote w:type="continuationNotice" w:id="1">
    <w:p w14:paraId="72433557" w14:textId="77777777" w:rsidR="006F4933" w:rsidRDefault="006F49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4752671"/>
      <w:docPartObj>
        <w:docPartGallery w:val="Page Numbers (Bottom of Page)"/>
        <w:docPartUnique/>
      </w:docPartObj>
    </w:sdtPr>
    <w:sdtEndPr>
      <w:rPr>
        <w:noProof/>
      </w:rPr>
    </w:sdtEndPr>
    <w:sdtContent>
      <w:p w14:paraId="0CF5505D" w14:textId="212D7D4F" w:rsidR="006F4933" w:rsidRDefault="006F4933">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3A18C8B1" w14:textId="77777777" w:rsidR="006F4933" w:rsidRDefault="006F49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2F3915" w14:textId="1D422D72" w:rsidR="006F4933" w:rsidRDefault="006F4933" w:rsidP="007A160F">
    <w:pPr>
      <w:pStyle w:val="Footer"/>
    </w:pPr>
    <w:r>
      <w:rPr>
        <w:rFonts w:asciiTheme="majorHAnsi" w:hAnsiTheme="majorHAnsi"/>
        <w:color w:val="FFFFFF" w:themeColor="background1"/>
      </w:rPr>
      <w:tab/>
    </w:r>
    <w:r>
      <w:rPr>
        <w:rFonts w:asciiTheme="majorHAnsi" w:hAnsiTheme="majorHAnsi"/>
        <w:color w:val="FFFFFF" w:themeColor="background1"/>
      </w:rPr>
      <w:tab/>
      <w:t xml:space="preserve">5 November 2019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3752247"/>
      <w:docPartObj>
        <w:docPartGallery w:val="Page Numbers (Bottom of Page)"/>
        <w:docPartUnique/>
      </w:docPartObj>
    </w:sdtPr>
    <w:sdtEndPr>
      <w:rPr>
        <w:noProof/>
      </w:rPr>
    </w:sdtEndPr>
    <w:sdtContent>
      <w:p w14:paraId="4C9B3DBF" w14:textId="56702642" w:rsidR="006F4933" w:rsidRDefault="006F4933">
        <w:pPr>
          <w:pStyle w:val="Footer"/>
          <w:jc w:val="center"/>
        </w:pPr>
        <w:r>
          <w:fldChar w:fldCharType="begin"/>
        </w:r>
        <w:r>
          <w:instrText xml:space="preserve"> PAGE   \* MERGEFORMAT </w:instrText>
        </w:r>
        <w:r>
          <w:fldChar w:fldCharType="separate"/>
        </w:r>
        <w:r w:rsidR="005F5B3D">
          <w:rPr>
            <w:noProof/>
          </w:rPr>
          <w:t>8</w:t>
        </w:r>
        <w:r>
          <w:rPr>
            <w:noProof/>
          </w:rPr>
          <w:fldChar w:fldCharType="end"/>
        </w:r>
      </w:p>
    </w:sdtContent>
  </w:sdt>
  <w:p w14:paraId="5EAB6EC7" w14:textId="1F85019A" w:rsidR="006F4933" w:rsidRDefault="006F4933" w:rsidP="00FB24ED">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E8A265" w14:textId="77777777" w:rsidR="006F4933" w:rsidRDefault="006F4933" w:rsidP="007E7997">
      <w:r>
        <w:separator/>
      </w:r>
    </w:p>
  </w:footnote>
  <w:footnote w:type="continuationSeparator" w:id="0">
    <w:p w14:paraId="7D4B58B4" w14:textId="77777777" w:rsidR="006F4933" w:rsidRDefault="006F4933" w:rsidP="007E7997">
      <w:r>
        <w:continuationSeparator/>
      </w:r>
    </w:p>
  </w:footnote>
  <w:footnote w:type="continuationNotice" w:id="1">
    <w:p w14:paraId="119F3072" w14:textId="77777777" w:rsidR="006F4933" w:rsidRDefault="006F493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2956F7" w14:textId="77777777" w:rsidR="006F4933" w:rsidRDefault="006F4933">
    <w:pPr>
      <w:pStyle w:val="Header"/>
    </w:pPr>
  </w:p>
  <w:p w14:paraId="59FA3C9D" w14:textId="77777777" w:rsidR="006F4933" w:rsidRDefault="006F49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391035" w14:textId="77777777" w:rsidR="006F4933" w:rsidRDefault="006F4933">
    <w:pPr>
      <w:pStyle w:val="Header"/>
    </w:pPr>
    <w:r>
      <w:rPr>
        <w:noProof/>
      </w:rPr>
      <w:drawing>
        <wp:anchor distT="0" distB="0" distL="114300" distR="114300" simplePos="0" relativeHeight="251658752" behindDoc="0" locked="0" layoutInCell="1" allowOverlap="1" wp14:anchorId="4D6D79BE" wp14:editId="7BE45F50">
          <wp:simplePos x="0" y="0"/>
          <wp:positionH relativeFrom="page">
            <wp:posOffset>366395</wp:posOffset>
          </wp:positionH>
          <wp:positionV relativeFrom="page">
            <wp:posOffset>372745</wp:posOffset>
          </wp:positionV>
          <wp:extent cx="2209800" cy="904875"/>
          <wp:effectExtent l="0" t="0" r="0" b="9525"/>
          <wp:wrapNone/>
          <wp:docPr id="5" name="Picture 5"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0329727B" wp14:editId="68199A3E">
          <wp:simplePos x="0" y="0"/>
          <wp:positionH relativeFrom="page">
            <wp:align>right</wp:align>
          </wp:positionH>
          <wp:positionV relativeFrom="page">
            <wp:align>bottom</wp:align>
          </wp:positionV>
          <wp:extent cx="7560310" cy="6800850"/>
          <wp:effectExtent l="0" t="0" r="2540" b="0"/>
          <wp:wrapNone/>
          <wp:docPr id="9" name="Picture 9"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AB6EC4" w14:textId="5E62980F" w:rsidR="006F4933" w:rsidRDefault="006F4933" w:rsidP="00B50534">
    <w:pPr>
      <w:pStyle w:val="Header"/>
      <w:jc w:val="right"/>
      <w:rPr>
        <w:b/>
        <w:color w:val="FF0000"/>
      </w:rPr>
    </w:pPr>
    <w:r w:rsidRPr="008D5F86">
      <w:rPr>
        <w:rFonts w:ascii="Arial" w:hAnsi="Arial" w:cs="Arial"/>
        <w:noProof/>
      </w:rPr>
      <mc:AlternateContent>
        <mc:Choice Requires="wps">
          <w:drawing>
            <wp:anchor distT="0" distB="0" distL="114300" distR="114300" simplePos="0" relativeHeight="251656704" behindDoc="0" locked="0" layoutInCell="1" allowOverlap="1" wp14:anchorId="5EAB6ECC" wp14:editId="5EAB6ECD">
              <wp:simplePos x="0" y="0"/>
              <wp:positionH relativeFrom="page">
                <wp:posOffset>1594061</wp:posOffset>
              </wp:positionH>
              <wp:positionV relativeFrom="page">
                <wp:posOffset>461010</wp:posOffset>
              </wp:positionV>
              <wp:extent cx="0" cy="558165"/>
              <wp:effectExtent l="14605" t="12065" r="13970" b="1079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0782382" id="Line 16"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5pt,36.3pt" to="125.5pt,8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" strokecolor="#283583" strokeweight="1pt">
              <w10:wrap anchorx="page" anchory="page"/>
            </v:line>
          </w:pict>
        </mc:Fallback>
      </mc:AlternateContent>
    </w:r>
  </w:p>
  <w:p w14:paraId="5EAB6EC5" w14:textId="74FAFBAA" w:rsidR="006F4933" w:rsidRPr="00D13661" w:rsidRDefault="006F4933" w:rsidP="00B50534">
    <w:pPr>
      <w:pStyle w:val="Header"/>
      <w:jc w:val="right"/>
      <w:rPr>
        <w:rFonts w:asciiTheme="minorHAnsi" w:hAnsiTheme="minorHAnsi" w:cstheme="minorHAnsi"/>
        <w:color w:val="2F5496" w:themeColor="accent5" w:themeShade="BF"/>
        <w:sz w:val="20"/>
      </w:rPr>
    </w:pPr>
    <w:r w:rsidRPr="00D13661">
      <w:rPr>
        <w:rFonts w:asciiTheme="minorHAnsi" w:hAnsiTheme="minorHAnsi" w:cstheme="minorHAnsi"/>
        <w:noProof/>
        <w:color w:val="2F5496" w:themeColor="accent5" w:themeShade="BF"/>
        <w:sz w:val="20"/>
      </w:rPr>
      <w:drawing>
        <wp:anchor distT="0" distB="0" distL="114300" distR="114300" simplePos="0" relativeHeight="251655680" behindDoc="0" locked="0" layoutInCell="1" allowOverlap="1" wp14:anchorId="5EAB6ECE" wp14:editId="5EAB6ECF">
          <wp:simplePos x="0" y="0"/>
          <wp:positionH relativeFrom="page">
            <wp:posOffset>899795</wp:posOffset>
          </wp:positionH>
          <wp:positionV relativeFrom="page">
            <wp:posOffset>448945</wp:posOffset>
          </wp:positionV>
          <wp:extent cx="561975" cy="561975"/>
          <wp:effectExtent l="0" t="0" r="9525" b="9525"/>
          <wp:wrapNone/>
          <wp:docPr id="4" name="Picture 4"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pic:spPr>
              </pic:pic>
            </a:graphicData>
          </a:graphic>
          <wp14:sizeRelH relativeFrom="page">
            <wp14:pctWidth>0</wp14:pctWidth>
          </wp14:sizeRelH>
          <wp14:sizeRelV relativeFrom="page">
            <wp14:pctHeight>0</wp14:pctHeight>
          </wp14:sizeRelV>
        </wp:anchor>
      </w:drawing>
    </w:r>
    <w:r w:rsidRPr="00D13661">
      <w:rPr>
        <w:rFonts w:asciiTheme="minorHAnsi" w:hAnsiTheme="minorHAnsi" w:cstheme="minorHAnsi"/>
        <w:color w:val="2F5496" w:themeColor="accent5" w:themeShade="BF"/>
        <w:sz w:val="20"/>
      </w:rPr>
      <w:t>ESMA REGULAR USE</w:t>
    </w:r>
  </w:p>
  <w:p w14:paraId="276D8625" w14:textId="77777777" w:rsidR="006F4933" w:rsidRPr="00C3170E" w:rsidRDefault="006F4933" w:rsidP="00B50534">
    <w:pPr>
      <w:pStyle w:val="Header"/>
      <w:jc w:val="right"/>
      <w:rPr>
        <w:color w:val="2F5496" w:themeColor="accent5" w:themeShade="BF"/>
        <w:sz w:val="20"/>
      </w:rPr>
    </w:pPr>
  </w:p>
  <w:p w14:paraId="5EAB6EC6" w14:textId="77777777" w:rsidR="006F4933" w:rsidRPr="00B50534" w:rsidRDefault="006F4933" w:rsidP="00B50534">
    <w:pPr>
      <w:pStyle w:val="Header"/>
      <w:jc w:val="right"/>
      <w:rPr>
        <w:b/>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CD462C"/>
    <w:multiLevelType w:val="hybridMultilevel"/>
    <w:tmpl w:val="4A0869F2"/>
    <w:lvl w:ilvl="0" w:tplc="087A86F2">
      <w:start w:val="1"/>
      <w:numFmt w:val="lowerRoman"/>
      <w:pStyle w:val="ListParagraph"/>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8806DE5"/>
    <w:multiLevelType w:val="multilevel"/>
    <w:tmpl w:val="7F2AD2EE"/>
    <w:lvl w:ilvl="0">
      <w:start w:val="1"/>
      <w:numFmt w:val="decimal"/>
      <w:pStyle w:val="Title1"/>
      <w:lvlText w:val="%1."/>
      <w:lvlJc w:val="left"/>
      <w:pPr>
        <w:ind w:left="360" w:hanging="360"/>
      </w:pPr>
    </w:lvl>
    <w:lvl w:ilvl="1">
      <w:start w:val="1"/>
      <w:numFmt w:val="decimal"/>
      <w:pStyle w:val="Title2"/>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B9E089E"/>
    <w:multiLevelType w:val="hybridMultilevel"/>
    <w:tmpl w:val="87960D64"/>
    <w:lvl w:ilvl="0" w:tplc="4F30587E">
      <w:start w:val="1"/>
      <w:numFmt w:val="lowerLetter"/>
      <w:pStyle w:val="Heading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2D181D69"/>
    <w:multiLevelType w:val="hybridMultilevel"/>
    <w:tmpl w:val="0A189E10"/>
    <w:lvl w:ilvl="0" w:tplc="52DE78C0">
      <w:start w:val="1"/>
      <w:numFmt w:val="upperLetter"/>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4" w15:restartNumberingAfterBreak="0">
    <w:nsid w:val="323C6B88"/>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39052AF"/>
    <w:multiLevelType w:val="hybridMultilevel"/>
    <w:tmpl w:val="99F85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EE6476"/>
    <w:multiLevelType w:val="hybridMultilevel"/>
    <w:tmpl w:val="95DEDE52"/>
    <w:lvl w:ilvl="0" w:tplc="09A8EBE6">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15:restartNumberingAfterBreak="0">
    <w:nsid w:val="3A52232B"/>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9" w15:restartNumberingAfterBreak="0">
    <w:nsid w:val="44261A85"/>
    <w:multiLevelType w:val="hybridMultilevel"/>
    <w:tmpl w:val="5A5CEE6E"/>
    <w:lvl w:ilvl="0" w:tplc="0F768706">
      <w:start w:val="1"/>
      <w:numFmt w:val="decimal"/>
      <w:pStyle w:val="04aNumbering"/>
      <w:lvlText w:val="%1."/>
      <w:lvlJc w:val="left"/>
      <w:pPr>
        <w:tabs>
          <w:tab w:val="num" w:pos="284"/>
        </w:tabs>
        <w:ind w:left="284" w:hanging="284"/>
      </w:pPr>
      <w:rPr>
        <w:rFonts w:ascii="Georgia" w:hAnsi="Georgia" w:hint="default"/>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60F4367C"/>
    <w:multiLevelType w:val="hybridMultilevel"/>
    <w:tmpl w:val="E8BC2FAE"/>
    <w:lvl w:ilvl="0" w:tplc="08090001">
      <w:start w:val="1"/>
      <w:numFmt w:val="bullet"/>
      <w:lvlText w:val=""/>
      <w:lvlJc w:val="left"/>
      <w:pPr>
        <w:ind w:left="928" w:hanging="360"/>
      </w:pPr>
      <w:rPr>
        <w:rFonts w:ascii="Symbol" w:hAnsi="Symbol" w:hint="default"/>
      </w:r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6BAD1101"/>
    <w:multiLevelType w:val="multilevel"/>
    <w:tmpl w:val="766C753E"/>
    <w:lvl w:ilvl="0">
      <w:start w:val="1"/>
      <w:numFmt w:val="upperRoman"/>
      <w:pStyle w:val="Heading1"/>
      <w:lvlText w:val="%1."/>
      <w:lvlJc w:val="righ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71494B32"/>
    <w:multiLevelType w:val="hybridMultilevel"/>
    <w:tmpl w:val="066A8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2D76F3F"/>
    <w:multiLevelType w:val="hybridMultilevel"/>
    <w:tmpl w:val="221AC284"/>
    <w:lvl w:ilvl="0" w:tplc="E0F01CF2">
      <w:start w:val="1"/>
      <w:numFmt w:val="decimal"/>
      <w:pStyle w:val="Questionstyle"/>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5145C8C"/>
    <w:multiLevelType w:val="hybridMultilevel"/>
    <w:tmpl w:val="D2744510"/>
    <w:lvl w:ilvl="0" w:tplc="F82C7A26">
      <w:start w:val="1"/>
      <w:numFmt w:val="decimal"/>
      <w:lvlText w:val="%1."/>
      <w:lvlJc w:val="left"/>
      <w:pPr>
        <w:ind w:left="928" w:hanging="360"/>
      </w:p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1"/>
  </w:num>
  <w:num w:numId="3">
    <w:abstractNumId w:val="11"/>
  </w:num>
  <w:num w:numId="4">
    <w:abstractNumId w:val="2"/>
  </w:num>
  <w:num w:numId="5">
    <w:abstractNumId w:val="9"/>
  </w:num>
  <w:num w:numId="6">
    <w:abstractNumId w:val="13"/>
  </w:num>
  <w:num w:numId="7">
    <w:abstractNumId w:val="8"/>
  </w:num>
  <w:num w:numId="8">
    <w:abstractNumId w:val="3"/>
  </w:num>
  <w:num w:numId="9">
    <w:abstractNumId w:val="7"/>
  </w:num>
  <w:num w:numId="10">
    <w:abstractNumId w:val="5"/>
  </w:num>
  <w:num w:numId="11">
    <w:abstractNumId w:val="4"/>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10"/>
  </w:num>
  <w:num w:numId="16">
    <w:abstractNumId w:val="12"/>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proofState w:spelling="clean" w:grammar="clean"/>
  <w:attachedTemplate r:id="rId1"/>
  <w:documentProtection w:edit="readOnly" w:enforcement="1" w:cryptProviderType="rsaAES" w:cryptAlgorithmClass="hash" w:cryptAlgorithmType="typeAny" w:cryptAlgorithmSid="14" w:cryptSpinCount="100000" w:hash="3T4gHCw/36fZJqGjBpVdxSvdxJQQuQQ0Z20mR1FA0lQXwCE12LqF/2U4umVg3AevknaitzM/1I4cfr8FMyFGGw==" w:salt="5FaIoUXA3WEmdJfgWb4/lg=="/>
  <w:defaultTabStop w:val="708"/>
  <w:hyphenationZone w:val="425"/>
  <w:characterSpacingControl w:val="doNotCompress"/>
  <w:hdrShapeDefaults>
    <o:shapedefaults v:ext="edit" spidmax="2867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842"/>
    <w:rsid w:val="000011BF"/>
    <w:rsid w:val="0000244A"/>
    <w:rsid w:val="0000380B"/>
    <w:rsid w:val="00005505"/>
    <w:rsid w:val="00006275"/>
    <w:rsid w:val="00006971"/>
    <w:rsid w:val="00011F6C"/>
    <w:rsid w:val="0001249B"/>
    <w:rsid w:val="00012D68"/>
    <w:rsid w:val="000142BB"/>
    <w:rsid w:val="0001633D"/>
    <w:rsid w:val="0001726F"/>
    <w:rsid w:val="00020098"/>
    <w:rsid w:val="00020300"/>
    <w:rsid w:val="00021A9A"/>
    <w:rsid w:val="000220DD"/>
    <w:rsid w:val="00022ADA"/>
    <w:rsid w:val="00023D36"/>
    <w:rsid w:val="00026327"/>
    <w:rsid w:val="00027EC9"/>
    <w:rsid w:val="00033934"/>
    <w:rsid w:val="00036C09"/>
    <w:rsid w:val="000372BF"/>
    <w:rsid w:val="00040A52"/>
    <w:rsid w:val="00044C5A"/>
    <w:rsid w:val="00044E0A"/>
    <w:rsid w:val="000461AB"/>
    <w:rsid w:val="00054E00"/>
    <w:rsid w:val="00061B2B"/>
    <w:rsid w:val="0006448C"/>
    <w:rsid w:val="0006449B"/>
    <w:rsid w:val="000655AD"/>
    <w:rsid w:val="00066FD1"/>
    <w:rsid w:val="00072BF9"/>
    <w:rsid w:val="00073DF9"/>
    <w:rsid w:val="0007767E"/>
    <w:rsid w:val="0007796D"/>
    <w:rsid w:val="000830DA"/>
    <w:rsid w:val="00083FBB"/>
    <w:rsid w:val="000921E6"/>
    <w:rsid w:val="00093239"/>
    <w:rsid w:val="000A03C9"/>
    <w:rsid w:val="000A12CC"/>
    <w:rsid w:val="000A2738"/>
    <w:rsid w:val="000A2DF1"/>
    <w:rsid w:val="000A3D10"/>
    <w:rsid w:val="000A409B"/>
    <w:rsid w:val="000A66FC"/>
    <w:rsid w:val="000A741E"/>
    <w:rsid w:val="000B1615"/>
    <w:rsid w:val="000B2AAF"/>
    <w:rsid w:val="000B2E26"/>
    <w:rsid w:val="000B5D3D"/>
    <w:rsid w:val="000C0CE0"/>
    <w:rsid w:val="000C2400"/>
    <w:rsid w:val="000C299C"/>
    <w:rsid w:val="000C5ACC"/>
    <w:rsid w:val="000D0293"/>
    <w:rsid w:val="000D0850"/>
    <w:rsid w:val="000D1038"/>
    <w:rsid w:val="000D11A9"/>
    <w:rsid w:val="000D2D7B"/>
    <w:rsid w:val="000E2232"/>
    <w:rsid w:val="000E3DB1"/>
    <w:rsid w:val="000E53BD"/>
    <w:rsid w:val="000F0169"/>
    <w:rsid w:val="000F0951"/>
    <w:rsid w:val="000F2598"/>
    <w:rsid w:val="000F29C0"/>
    <w:rsid w:val="000F2BE6"/>
    <w:rsid w:val="000F474D"/>
    <w:rsid w:val="000F5C90"/>
    <w:rsid w:val="000F5EA6"/>
    <w:rsid w:val="000F74C4"/>
    <w:rsid w:val="000F7998"/>
    <w:rsid w:val="00100ADC"/>
    <w:rsid w:val="0010429A"/>
    <w:rsid w:val="00105424"/>
    <w:rsid w:val="001075EC"/>
    <w:rsid w:val="00113D82"/>
    <w:rsid w:val="00120F0D"/>
    <w:rsid w:val="001214DA"/>
    <w:rsid w:val="0012722A"/>
    <w:rsid w:val="00130EF9"/>
    <w:rsid w:val="001319C7"/>
    <w:rsid w:val="001341F9"/>
    <w:rsid w:val="001355E6"/>
    <w:rsid w:val="0013644A"/>
    <w:rsid w:val="00140BA6"/>
    <w:rsid w:val="00141946"/>
    <w:rsid w:val="00143DCA"/>
    <w:rsid w:val="0014496B"/>
    <w:rsid w:val="00144AAD"/>
    <w:rsid w:val="001455E7"/>
    <w:rsid w:val="0014624E"/>
    <w:rsid w:val="001608B2"/>
    <w:rsid w:val="00160FE0"/>
    <w:rsid w:val="00163AB3"/>
    <w:rsid w:val="00165047"/>
    <w:rsid w:val="00165FF8"/>
    <w:rsid w:val="0016669F"/>
    <w:rsid w:val="00170AD6"/>
    <w:rsid w:val="001735B8"/>
    <w:rsid w:val="00177AA7"/>
    <w:rsid w:val="00180917"/>
    <w:rsid w:val="00180E53"/>
    <w:rsid w:val="00181CB7"/>
    <w:rsid w:val="001862A5"/>
    <w:rsid w:val="00186A70"/>
    <w:rsid w:val="00191035"/>
    <w:rsid w:val="001918E5"/>
    <w:rsid w:val="00192A7A"/>
    <w:rsid w:val="00196129"/>
    <w:rsid w:val="001A1EF4"/>
    <w:rsid w:val="001A7046"/>
    <w:rsid w:val="001A710D"/>
    <w:rsid w:val="001A7E6F"/>
    <w:rsid w:val="001B0A77"/>
    <w:rsid w:val="001B1727"/>
    <w:rsid w:val="001B2151"/>
    <w:rsid w:val="001B3CFF"/>
    <w:rsid w:val="001B4957"/>
    <w:rsid w:val="001B4996"/>
    <w:rsid w:val="001C0E59"/>
    <w:rsid w:val="001C432D"/>
    <w:rsid w:val="001C469E"/>
    <w:rsid w:val="001C56C3"/>
    <w:rsid w:val="001C5D8C"/>
    <w:rsid w:val="001C7E0A"/>
    <w:rsid w:val="001D0112"/>
    <w:rsid w:val="001D19F5"/>
    <w:rsid w:val="001D385A"/>
    <w:rsid w:val="001D6B39"/>
    <w:rsid w:val="001E1ECD"/>
    <w:rsid w:val="001E2840"/>
    <w:rsid w:val="001E30C1"/>
    <w:rsid w:val="001E3E0D"/>
    <w:rsid w:val="001E4A45"/>
    <w:rsid w:val="001E5864"/>
    <w:rsid w:val="001E5E30"/>
    <w:rsid w:val="001F0479"/>
    <w:rsid w:val="001F1F10"/>
    <w:rsid w:val="001F3999"/>
    <w:rsid w:val="001F3D9D"/>
    <w:rsid w:val="00200894"/>
    <w:rsid w:val="00202333"/>
    <w:rsid w:val="002025D0"/>
    <w:rsid w:val="00202FA8"/>
    <w:rsid w:val="002034B8"/>
    <w:rsid w:val="00205922"/>
    <w:rsid w:val="00206AF6"/>
    <w:rsid w:val="00206FB8"/>
    <w:rsid w:val="0020766F"/>
    <w:rsid w:val="00207A07"/>
    <w:rsid w:val="00210498"/>
    <w:rsid w:val="0021147A"/>
    <w:rsid w:val="00213551"/>
    <w:rsid w:val="00213BFB"/>
    <w:rsid w:val="00217478"/>
    <w:rsid w:val="00223F79"/>
    <w:rsid w:val="00224806"/>
    <w:rsid w:val="00232F8E"/>
    <w:rsid w:val="00233071"/>
    <w:rsid w:val="00235E99"/>
    <w:rsid w:val="0023766D"/>
    <w:rsid w:val="0024299F"/>
    <w:rsid w:val="002449D8"/>
    <w:rsid w:val="00244B86"/>
    <w:rsid w:val="00244C97"/>
    <w:rsid w:val="0024512F"/>
    <w:rsid w:val="00245406"/>
    <w:rsid w:val="002455D7"/>
    <w:rsid w:val="00245D2E"/>
    <w:rsid w:val="00246E1D"/>
    <w:rsid w:val="002472F6"/>
    <w:rsid w:val="0025020D"/>
    <w:rsid w:val="00254CC2"/>
    <w:rsid w:val="002574D1"/>
    <w:rsid w:val="00261CCB"/>
    <w:rsid w:val="002630C0"/>
    <w:rsid w:val="0026332A"/>
    <w:rsid w:val="002645A8"/>
    <w:rsid w:val="0026493B"/>
    <w:rsid w:val="00265566"/>
    <w:rsid w:val="00265F44"/>
    <w:rsid w:val="002665E3"/>
    <w:rsid w:val="00270B7C"/>
    <w:rsid w:val="0027199C"/>
    <w:rsid w:val="00272C4E"/>
    <w:rsid w:val="002751FC"/>
    <w:rsid w:val="002753BD"/>
    <w:rsid w:val="00282D38"/>
    <w:rsid w:val="00282FBE"/>
    <w:rsid w:val="00284AF2"/>
    <w:rsid w:val="0028536B"/>
    <w:rsid w:val="00285CED"/>
    <w:rsid w:val="00285EB5"/>
    <w:rsid w:val="00287C8F"/>
    <w:rsid w:val="00290893"/>
    <w:rsid w:val="002917B9"/>
    <w:rsid w:val="00291A55"/>
    <w:rsid w:val="0029394C"/>
    <w:rsid w:val="002A13B0"/>
    <w:rsid w:val="002A2C91"/>
    <w:rsid w:val="002A54E7"/>
    <w:rsid w:val="002A6C21"/>
    <w:rsid w:val="002A780E"/>
    <w:rsid w:val="002B144C"/>
    <w:rsid w:val="002B1A78"/>
    <w:rsid w:val="002B53F3"/>
    <w:rsid w:val="002C03FD"/>
    <w:rsid w:val="002C044D"/>
    <w:rsid w:val="002C1AA5"/>
    <w:rsid w:val="002C2A46"/>
    <w:rsid w:val="002C3048"/>
    <w:rsid w:val="002C56FD"/>
    <w:rsid w:val="002D2992"/>
    <w:rsid w:val="002D37A0"/>
    <w:rsid w:val="002D5AB5"/>
    <w:rsid w:val="002D6667"/>
    <w:rsid w:val="002D79F3"/>
    <w:rsid w:val="002E1C11"/>
    <w:rsid w:val="002E2115"/>
    <w:rsid w:val="002E3D0B"/>
    <w:rsid w:val="002E3E7D"/>
    <w:rsid w:val="002F6279"/>
    <w:rsid w:val="003013B7"/>
    <w:rsid w:val="00301993"/>
    <w:rsid w:val="00301E55"/>
    <w:rsid w:val="00307397"/>
    <w:rsid w:val="003101EF"/>
    <w:rsid w:val="00312BDD"/>
    <w:rsid w:val="00314117"/>
    <w:rsid w:val="00317EDF"/>
    <w:rsid w:val="003279E7"/>
    <w:rsid w:val="00327B62"/>
    <w:rsid w:val="00331FE9"/>
    <w:rsid w:val="0033324D"/>
    <w:rsid w:val="0033587C"/>
    <w:rsid w:val="00336BF9"/>
    <w:rsid w:val="003371E8"/>
    <w:rsid w:val="00337471"/>
    <w:rsid w:val="0034151D"/>
    <w:rsid w:val="00342B5B"/>
    <w:rsid w:val="00343532"/>
    <w:rsid w:val="00345469"/>
    <w:rsid w:val="003454ED"/>
    <w:rsid w:val="00345EB9"/>
    <w:rsid w:val="0035030F"/>
    <w:rsid w:val="0035336C"/>
    <w:rsid w:val="00353C4B"/>
    <w:rsid w:val="003545A6"/>
    <w:rsid w:val="00356C60"/>
    <w:rsid w:val="003578D1"/>
    <w:rsid w:val="00366D42"/>
    <w:rsid w:val="0036748C"/>
    <w:rsid w:val="00372615"/>
    <w:rsid w:val="00373A3C"/>
    <w:rsid w:val="00376233"/>
    <w:rsid w:val="00380B30"/>
    <w:rsid w:val="00381784"/>
    <w:rsid w:val="00381EB0"/>
    <w:rsid w:val="00382A72"/>
    <w:rsid w:val="00382EBA"/>
    <w:rsid w:val="0038331A"/>
    <w:rsid w:val="0039135B"/>
    <w:rsid w:val="00394294"/>
    <w:rsid w:val="003A34E7"/>
    <w:rsid w:val="003A3CB1"/>
    <w:rsid w:val="003A3D55"/>
    <w:rsid w:val="003A73A4"/>
    <w:rsid w:val="003B102E"/>
    <w:rsid w:val="003B4E3D"/>
    <w:rsid w:val="003C167E"/>
    <w:rsid w:val="003C481D"/>
    <w:rsid w:val="003C4EB5"/>
    <w:rsid w:val="003D2CED"/>
    <w:rsid w:val="003D344A"/>
    <w:rsid w:val="003D3BB8"/>
    <w:rsid w:val="003D7C07"/>
    <w:rsid w:val="003E13FD"/>
    <w:rsid w:val="003E1C24"/>
    <w:rsid w:val="003E61FC"/>
    <w:rsid w:val="003E77BC"/>
    <w:rsid w:val="003F0EDF"/>
    <w:rsid w:val="003F20C7"/>
    <w:rsid w:val="003F39B1"/>
    <w:rsid w:val="00400D9C"/>
    <w:rsid w:val="00400FBE"/>
    <w:rsid w:val="004022CF"/>
    <w:rsid w:val="004029B1"/>
    <w:rsid w:val="004038F1"/>
    <w:rsid w:val="00404282"/>
    <w:rsid w:val="0040743A"/>
    <w:rsid w:val="00407623"/>
    <w:rsid w:val="00407A74"/>
    <w:rsid w:val="00414210"/>
    <w:rsid w:val="004159DB"/>
    <w:rsid w:val="00420FD4"/>
    <w:rsid w:val="004242B3"/>
    <w:rsid w:val="00426D62"/>
    <w:rsid w:val="00427A89"/>
    <w:rsid w:val="00430C5B"/>
    <w:rsid w:val="00431968"/>
    <w:rsid w:val="00433936"/>
    <w:rsid w:val="0043475E"/>
    <w:rsid w:val="00435FE9"/>
    <w:rsid w:val="00436279"/>
    <w:rsid w:val="00441429"/>
    <w:rsid w:val="0044199E"/>
    <w:rsid w:val="0044206D"/>
    <w:rsid w:val="00444803"/>
    <w:rsid w:val="00445696"/>
    <w:rsid w:val="00446E5F"/>
    <w:rsid w:val="00450C4E"/>
    <w:rsid w:val="00451D9E"/>
    <w:rsid w:val="00455577"/>
    <w:rsid w:val="00456795"/>
    <w:rsid w:val="00461CC8"/>
    <w:rsid w:val="00462B2F"/>
    <w:rsid w:val="00465EAA"/>
    <w:rsid w:val="004708CA"/>
    <w:rsid w:val="004709E7"/>
    <w:rsid w:val="00470ADE"/>
    <w:rsid w:val="004712C7"/>
    <w:rsid w:val="004759EB"/>
    <w:rsid w:val="00477919"/>
    <w:rsid w:val="00482611"/>
    <w:rsid w:val="00482A27"/>
    <w:rsid w:val="00487DCE"/>
    <w:rsid w:val="004950B7"/>
    <w:rsid w:val="00497FEA"/>
    <w:rsid w:val="004B07B2"/>
    <w:rsid w:val="004B0955"/>
    <w:rsid w:val="004B1842"/>
    <w:rsid w:val="004B25D0"/>
    <w:rsid w:val="004B3553"/>
    <w:rsid w:val="004B5E92"/>
    <w:rsid w:val="004C0A30"/>
    <w:rsid w:val="004C357C"/>
    <w:rsid w:val="004C3D18"/>
    <w:rsid w:val="004D42B1"/>
    <w:rsid w:val="004D526F"/>
    <w:rsid w:val="004E19C0"/>
    <w:rsid w:val="004E1C54"/>
    <w:rsid w:val="004E2C37"/>
    <w:rsid w:val="004E5285"/>
    <w:rsid w:val="004E77D0"/>
    <w:rsid w:val="004F0CF3"/>
    <w:rsid w:val="004F2928"/>
    <w:rsid w:val="004F5740"/>
    <w:rsid w:val="004F58C9"/>
    <w:rsid w:val="005028B9"/>
    <w:rsid w:val="00505E17"/>
    <w:rsid w:val="00511A59"/>
    <w:rsid w:val="00511C3B"/>
    <w:rsid w:val="00513B01"/>
    <w:rsid w:val="00514440"/>
    <w:rsid w:val="005166C3"/>
    <w:rsid w:val="00520F7C"/>
    <w:rsid w:val="00523974"/>
    <w:rsid w:val="00526E5D"/>
    <w:rsid w:val="00531432"/>
    <w:rsid w:val="00532BC8"/>
    <w:rsid w:val="005333E8"/>
    <w:rsid w:val="00534912"/>
    <w:rsid w:val="005370E7"/>
    <w:rsid w:val="005409B7"/>
    <w:rsid w:val="00545E62"/>
    <w:rsid w:val="00551070"/>
    <w:rsid w:val="00552C8A"/>
    <w:rsid w:val="00555156"/>
    <w:rsid w:val="0055535B"/>
    <w:rsid w:val="00560A96"/>
    <w:rsid w:val="005619CB"/>
    <w:rsid w:val="00561B71"/>
    <w:rsid w:val="00561F98"/>
    <w:rsid w:val="00563DDE"/>
    <w:rsid w:val="00564607"/>
    <w:rsid w:val="00565193"/>
    <w:rsid w:val="00570896"/>
    <w:rsid w:val="005725BD"/>
    <w:rsid w:val="005730B0"/>
    <w:rsid w:val="00575DCC"/>
    <w:rsid w:val="005821B0"/>
    <w:rsid w:val="00583A9B"/>
    <w:rsid w:val="0059175F"/>
    <w:rsid w:val="00591AAC"/>
    <w:rsid w:val="00595F08"/>
    <w:rsid w:val="00595FBE"/>
    <w:rsid w:val="005A1C55"/>
    <w:rsid w:val="005B169D"/>
    <w:rsid w:val="005B4ACA"/>
    <w:rsid w:val="005B6B12"/>
    <w:rsid w:val="005C19E9"/>
    <w:rsid w:val="005C2DBC"/>
    <w:rsid w:val="005C5F13"/>
    <w:rsid w:val="005C65F9"/>
    <w:rsid w:val="005C6B0E"/>
    <w:rsid w:val="005C71DD"/>
    <w:rsid w:val="005C7E1F"/>
    <w:rsid w:val="005D1B9E"/>
    <w:rsid w:val="005D1F6B"/>
    <w:rsid w:val="005D2DE7"/>
    <w:rsid w:val="005D331C"/>
    <w:rsid w:val="005D6355"/>
    <w:rsid w:val="005D7AAF"/>
    <w:rsid w:val="005E0C59"/>
    <w:rsid w:val="005E1DA3"/>
    <w:rsid w:val="005E306B"/>
    <w:rsid w:val="005E4DE9"/>
    <w:rsid w:val="005E53D0"/>
    <w:rsid w:val="005E5785"/>
    <w:rsid w:val="005E6098"/>
    <w:rsid w:val="005E7969"/>
    <w:rsid w:val="005F0C93"/>
    <w:rsid w:val="005F3F22"/>
    <w:rsid w:val="005F4FC0"/>
    <w:rsid w:val="005F540F"/>
    <w:rsid w:val="005F5491"/>
    <w:rsid w:val="005F5B3D"/>
    <w:rsid w:val="005F6144"/>
    <w:rsid w:val="005F6573"/>
    <w:rsid w:val="00601541"/>
    <w:rsid w:val="0060361E"/>
    <w:rsid w:val="00604A25"/>
    <w:rsid w:val="00606683"/>
    <w:rsid w:val="00613BF6"/>
    <w:rsid w:val="00616D27"/>
    <w:rsid w:val="006234FE"/>
    <w:rsid w:val="00623840"/>
    <w:rsid w:val="006255EC"/>
    <w:rsid w:val="00625A25"/>
    <w:rsid w:val="0062736A"/>
    <w:rsid w:val="0063070E"/>
    <w:rsid w:val="0063565E"/>
    <w:rsid w:val="00636E02"/>
    <w:rsid w:val="00641DB1"/>
    <w:rsid w:val="00642297"/>
    <w:rsid w:val="00644A34"/>
    <w:rsid w:val="00654824"/>
    <w:rsid w:val="00661766"/>
    <w:rsid w:val="00662882"/>
    <w:rsid w:val="0066298C"/>
    <w:rsid w:val="00663008"/>
    <w:rsid w:val="00663093"/>
    <w:rsid w:val="00665A7C"/>
    <w:rsid w:val="00665B0B"/>
    <w:rsid w:val="006705CD"/>
    <w:rsid w:val="00671363"/>
    <w:rsid w:val="00672780"/>
    <w:rsid w:val="00672842"/>
    <w:rsid w:val="00676CFC"/>
    <w:rsid w:val="00677133"/>
    <w:rsid w:val="00681482"/>
    <w:rsid w:val="00687BF0"/>
    <w:rsid w:val="006904CF"/>
    <w:rsid w:val="006912FB"/>
    <w:rsid w:val="00695AF2"/>
    <w:rsid w:val="00696A2B"/>
    <w:rsid w:val="00696BD5"/>
    <w:rsid w:val="006A04AE"/>
    <w:rsid w:val="006A0AE4"/>
    <w:rsid w:val="006A14F0"/>
    <w:rsid w:val="006A23F3"/>
    <w:rsid w:val="006A2CF3"/>
    <w:rsid w:val="006A5047"/>
    <w:rsid w:val="006A7A10"/>
    <w:rsid w:val="006B0DA4"/>
    <w:rsid w:val="006B1B6B"/>
    <w:rsid w:val="006B2C57"/>
    <w:rsid w:val="006B550F"/>
    <w:rsid w:val="006B79E0"/>
    <w:rsid w:val="006C1633"/>
    <w:rsid w:val="006C5BF8"/>
    <w:rsid w:val="006C7CCB"/>
    <w:rsid w:val="006D6009"/>
    <w:rsid w:val="006D7D41"/>
    <w:rsid w:val="006E2F4D"/>
    <w:rsid w:val="006E3FDD"/>
    <w:rsid w:val="006E58FB"/>
    <w:rsid w:val="006E5D82"/>
    <w:rsid w:val="006E66B2"/>
    <w:rsid w:val="006E6C50"/>
    <w:rsid w:val="006E7A69"/>
    <w:rsid w:val="006E7DE4"/>
    <w:rsid w:val="006F4933"/>
    <w:rsid w:val="006F53E8"/>
    <w:rsid w:val="006F5FB8"/>
    <w:rsid w:val="0070017B"/>
    <w:rsid w:val="0070427E"/>
    <w:rsid w:val="00704D53"/>
    <w:rsid w:val="007056C3"/>
    <w:rsid w:val="00706072"/>
    <w:rsid w:val="00713644"/>
    <w:rsid w:val="00721256"/>
    <w:rsid w:val="007217AD"/>
    <w:rsid w:val="00723BA1"/>
    <w:rsid w:val="00724A1B"/>
    <w:rsid w:val="0073173E"/>
    <w:rsid w:val="007319C3"/>
    <w:rsid w:val="0073454F"/>
    <w:rsid w:val="00735C00"/>
    <w:rsid w:val="007364C6"/>
    <w:rsid w:val="00740BF3"/>
    <w:rsid w:val="00741D5C"/>
    <w:rsid w:val="0074351D"/>
    <w:rsid w:val="0074352F"/>
    <w:rsid w:val="00747C5E"/>
    <w:rsid w:val="00750210"/>
    <w:rsid w:val="0075393E"/>
    <w:rsid w:val="00754B57"/>
    <w:rsid w:val="0075671D"/>
    <w:rsid w:val="0076002F"/>
    <w:rsid w:val="0076038B"/>
    <w:rsid w:val="00761744"/>
    <w:rsid w:val="0076391E"/>
    <w:rsid w:val="00764582"/>
    <w:rsid w:val="00765FA3"/>
    <w:rsid w:val="00766961"/>
    <w:rsid w:val="00766B5A"/>
    <w:rsid w:val="00770C33"/>
    <w:rsid w:val="007741C3"/>
    <w:rsid w:val="00777BE0"/>
    <w:rsid w:val="00780923"/>
    <w:rsid w:val="0078131F"/>
    <w:rsid w:val="007844C6"/>
    <w:rsid w:val="007876EF"/>
    <w:rsid w:val="00790306"/>
    <w:rsid w:val="0079364C"/>
    <w:rsid w:val="007942B9"/>
    <w:rsid w:val="00796C7F"/>
    <w:rsid w:val="00797E0C"/>
    <w:rsid w:val="007A160F"/>
    <w:rsid w:val="007A48BC"/>
    <w:rsid w:val="007A706D"/>
    <w:rsid w:val="007B066F"/>
    <w:rsid w:val="007B0BC1"/>
    <w:rsid w:val="007B354B"/>
    <w:rsid w:val="007B4FC3"/>
    <w:rsid w:val="007B73F3"/>
    <w:rsid w:val="007B7EE5"/>
    <w:rsid w:val="007C1C28"/>
    <w:rsid w:val="007C2A2C"/>
    <w:rsid w:val="007C3577"/>
    <w:rsid w:val="007C5E08"/>
    <w:rsid w:val="007C637D"/>
    <w:rsid w:val="007D0002"/>
    <w:rsid w:val="007D7A59"/>
    <w:rsid w:val="007E53F5"/>
    <w:rsid w:val="007E6E9E"/>
    <w:rsid w:val="007E7637"/>
    <w:rsid w:val="007E7997"/>
    <w:rsid w:val="007F014A"/>
    <w:rsid w:val="007F04EF"/>
    <w:rsid w:val="007F0763"/>
    <w:rsid w:val="007F1DE9"/>
    <w:rsid w:val="007F25C2"/>
    <w:rsid w:val="007F4F88"/>
    <w:rsid w:val="007F5822"/>
    <w:rsid w:val="007F5B86"/>
    <w:rsid w:val="00800A7F"/>
    <w:rsid w:val="0080285D"/>
    <w:rsid w:val="00803128"/>
    <w:rsid w:val="0081028F"/>
    <w:rsid w:val="008107D9"/>
    <w:rsid w:val="0081093B"/>
    <w:rsid w:val="008116D9"/>
    <w:rsid w:val="00811936"/>
    <w:rsid w:val="00813059"/>
    <w:rsid w:val="008173E2"/>
    <w:rsid w:val="008201C3"/>
    <w:rsid w:val="00820422"/>
    <w:rsid w:val="00820655"/>
    <w:rsid w:val="008227D7"/>
    <w:rsid w:val="008249A1"/>
    <w:rsid w:val="00825D43"/>
    <w:rsid w:val="0082632D"/>
    <w:rsid w:val="00832500"/>
    <w:rsid w:val="00832787"/>
    <w:rsid w:val="00835805"/>
    <w:rsid w:val="0083595F"/>
    <w:rsid w:val="008372B6"/>
    <w:rsid w:val="00843A1A"/>
    <w:rsid w:val="00846433"/>
    <w:rsid w:val="008472C2"/>
    <w:rsid w:val="008510D9"/>
    <w:rsid w:val="00851EE3"/>
    <w:rsid w:val="00853121"/>
    <w:rsid w:val="008555E4"/>
    <w:rsid w:val="00857628"/>
    <w:rsid w:val="00864E60"/>
    <w:rsid w:val="00866A09"/>
    <w:rsid w:val="008712BF"/>
    <w:rsid w:val="00871CAA"/>
    <w:rsid w:val="00872209"/>
    <w:rsid w:val="00873656"/>
    <w:rsid w:val="00880140"/>
    <w:rsid w:val="008842F7"/>
    <w:rsid w:val="00885B94"/>
    <w:rsid w:val="0089075A"/>
    <w:rsid w:val="00890F80"/>
    <w:rsid w:val="00892BFD"/>
    <w:rsid w:val="0089338A"/>
    <w:rsid w:val="00894199"/>
    <w:rsid w:val="008948BE"/>
    <w:rsid w:val="008A1E27"/>
    <w:rsid w:val="008A2C86"/>
    <w:rsid w:val="008A6000"/>
    <w:rsid w:val="008A70A8"/>
    <w:rsid w:val="008A7FAC"/>
    <w:rsid w:val="008B1FD9"/>
    <w:rsid w:val="008B2AF1"/>
    <w:rsid w:val="008B5191"/>
    <w:rsid w:val="008B710D"/>
    <w:rsid w:val="008B7CA1"/>
    <w:rsid w:val="008C0389"/>
    <w:rsid w:val="008C27D3"/>
    <w:rsid w:val="008C4B2B"/>
    <w:rsid w:val="008C4DE0"/>
    <w:rsid w:val="008C5E91"/>
    <w:rsid w:val="008C686D"/>
    <w:rsid w:val="008C6B18"/>
    <w:rsid w:val="008C75E6"/>
    <w:rsid w:val="008C767A"/>
    <w:rsid w:val="008C7A73"/>
    <w:rsid w:val="008D0569"/>
    <w:rsid w:val="008D5C28"/>
    <w:rsid w:val="008E2D26"/>
    <w:rsid w:val="008E323F"/>
    <w:rsid w:val="008E4076"/>
    <w:rsid w:val="008E7DBA"/>
    <w:rsid w:val="008F3386"/>
    <w:rsid w:val="008F3AD9"/>
    <w:rsid w:val="008F4642"/>
    <w:rsid w:val="008F4E00"/>
    <w:rsid w:val="008F761D"/>
    <w:rsid w:val="00900D44"/>
    <w:rsid w:val="009019CC"/>
    <w:rsid w:val="00902520"/>
    <w:rsid w:val="00906DC4"/>
    <w:rsid w:val="0091457F"/>
    <w:rsid w:val="0091729E"/>
    <w:rsid w:val="0094008E"/>
    <w:rsid w:val="00941C0C"/>
    <w:rsid w:val="009431B6"/>
    <w:rsid w:val="009437F2"/>
    <w:rsid w:val="0094528B"/>
    <w:rsid w:val="00960A8B"/>
    <w:rsid w:val="00961EE5"/>
    <w:rsid w:val="00965128"/>
    <w:rsid w:val="00973F43"/>
    <w:rsid w:val="0097785D"/>
    <w:rsid w:val="0098011D"/>
    <w:rsid w:val="00981912"/>
    <w:rsid w:val="009819C0"/>
    <w:rsid w:val="00987A75"/>
    <w:rsid w:val="00991A8A"/>
    <w:rsid w:val="00992611"/>
    <w:rsid w:val="00992970"/>
    <w:rsid w:val="00994303"/>
    <w:rsid w:val="0099526D"/>
    <w:rsid w:val="009A0054"/>
    <w:rsid w:val="009A0F6E"/>
    <w:rsid w:val="009A5548"/>
    <w:rsid w:val="009A5D9E"/>
    <w:rsid w:val="009B25C1"/>
    <w:rsid w:val="009B7B79"/>
    <w:rsid w:val="009C0383"/>
    <w:rsid w:val="009C145B"/>
    <w:rsid w:val="009C3E04"/>
    <w:rsid w:val="009C3F1A"/>
    <w:rsid w:val="009C4FB0"/>
    <w:rsid w:val="009C75D1"/>
    <w:rsid w:val="009C7694"/>
    <w:rsid w:val="009D0570"/>
    <w:rsid w:val="009D3E5C"/>
    <w:rsid w:val="009D495C"/>
    <w:rsid w:val="009D570F"/>
    <w:rsid w:val="009D5E88"/>
    <w:rsid w:val="009D6E1A"/>
    <w:rsid w:val="009D7294"/>
    <w:rsid w:val="009E1690"/>
    <w:rsid w:val="009E18AF"/>
    <w:rsid w:val="009E2C9D"/>
    <w:rsid w:val="009E2CDD"/>
    <w:rsid w:val="009E3545"/>
    <w:rsid w:val="009E4FCE"/>
    <w:rsid w:val="009E522E"/>
    <w:rsid w:val="009F0ABA"/>
    <w:rsid w:val="009F0AF5"/>
    <w:rsid w:val="009F3C0B"/>
    <w:rsid w:val="00A02199"/>
    <w:rsid w:val="00A026A4"/>
    <w:rsid w:val="00A04044"/>
    <w:rsid w:val="00A11D0C"/>
    <w:rsid w:val="00A16579"/>
    <w:rsid w:val="00A24843"/>
    <w:rsid w:val="00A26D48"/>
    <w:rsid w:val="00A31C7C"/>
    <w:rsid w:val="00A367AA"/>
    <w:rsid w:val="00A378DF"/>
    <w:rsid w:val="00A37AC6"/>
    <w:rsid w:val="00A410CC"/>
    <w:rsid w:val="00A42B43"/>
    <w:rsid w:val="00A42BD0"/>
    <w:rsid w:val="00A433DC"/>
    <w:rsid w:val="00A43571"/>
    <w:rsid w:val="00A460CD"/>
    <w:rsid w:val="00A50761"/>
    <w:rsid w:val="00A51DF2"/>
    <w:rsid w:val="00A53AF0"/>
    <w:rsid w:val="00A54ED7"/>
    <w:rsid w:val="00A61561"/>
    <w:rsid w:val="00A63249"/>
    <w:rsid w:val="00A659B4"/>
    <w:rsid w:val="00A6691F"/>
    <w:rsid w:val="00A67E6A"/>
    <w:rsid w:val="00A70F49"/>
    <w:rsid w:val="00A72203"/>
    <w:rsid w:val="00A7281F"/>
    <w:rsid w:val="00A73949"/>
    <w:rsid w:val="00A7697E"/>
    <w:rsid w:val="00A76E20"/>
    <w:rsid w:val="00A8284E"/>
    <w:rsid w:val="00A870EE"/>
    <w:rsid w:val="00A91D91"/>
    <w:rsid w:val="00A96F81"/>
    <w:rsid w:val="00A9709D"/>
    <w:rsid w:val="00AA054E"/>
    <w:rsid w:val="00AA0A10"/>
    <w:rsid w:val="00AA2094"/>
    <w:rsid w:val="00AA2947"/>
    <w:rsid w:val="00AB1894"/>
    <w:rsid w:val="00AB22DF"/>
    <w:rsid w:val="00AB30EA"/>
    <w:rsid w:val="00AB458B"/>
    <w:rsid w:val="00AB45E4"/>
    <w:rsid w:val="00AB6157"/>
    <w:rsid w:val="00AB7542"/>
    <w:rsid w:val="00AC022D"/>
    <w:rsid w:val="00AC0629"/>
    <w:rsid w:val="00AC1C88"/>
    <w:rsid w:val="00AC70C7"/>
    <w:rsid w:val="00AC79E0"/>
    <w:rsid w:val="00AD32CE"/>
    <w:rsid w:val="00AD5187"/>
    <w:rsid w:val="00AD6B11"/>
    <w:rsid w:val="00AD6B34"/>
    <w:rsid w:val="00AD6F90"/>
    <w:rsid w:val="00AE0286"/>
    <w:rsid w:val="00AE247F"/>
    <w:rsid w:val="00AE4A24"/>
    <w:rsid w:val="00AE4FC7"/>
    <w:rsid w:val="00AF01E3"/>
    <w:rsid w:val="00AF23AE"/>
    <w:rsid w:val="00AF2EF7"/>
    <w:rsid w:val="00AF3741"/>
    <w:rsid w:val="00AF3B5C"/>
    <w:rsid w:val="00B0014A"/>
    <w:rsid w:val="00B00B50"/>
    <w:rsid w:val="00B00DB2"/>
    <w:rsid w:val="00B016E3"/>
    <w:rsid w:val="00B02B0B"/>
    <w:rsid w:val="00B03817"/>
    <w:rsid w:val="00B04283"/>
    <w:rsid w:val="00B05BA8"/>
    <w:rsid w:val="00B0741D"/>
    <w:rsid w:val="00B07AD8"/>
    <w:rsid w:val="00B07B20"/>
    <w:rsid w:val="00B1081B"/>
    <w:rsid w:val="00B14F01"/>
    <w:rsid w:val="00B15525"/>
    <w:rsid w:val="00B15C0B"/>
    <w:rsid w:val="00B174BA"/>
    <w:rsid w:val="00B17AF3"/>
    <w:rsid w:val="00B223B5"/>
    <w:rsid w:val="00B229AD"/>
    <w:rsid w:val="00B237BC"/>
    <w:rsid w:val="00B26EBB"/>
    <w:rsid w:val="00B27499"/>
    <w:rsid w:val="00B30652"/>
    <w:rsid w:val="00B335C4"/>
    <w:rsid w:val="00B3369E"/>
    <w:rsid w:val="00B33D9A"/>
    <w:rsid w:val="00B40D81"/>
    <w:rsid w:val="00B424F5"/>
    <w:rsid w:val="00B43167"/>
    <w:rsid w:val="00B435BE"/>
    <w:rsid w:val="00B43A9D"/>
    <w:rsid w:val="00B467B0"/>
    <w:rsid w:val="00B47F9B"/>
    <w:rsid w:val="00B50534"/>
    <w:rsid w:val="00B50B35"/>
    <w:rsid w:val="00B51FCB"/>
    <w:rsid w:val="00B5289B"/>
    <w:rsid w:val="00B52E10"/>
    <w:rsid w:val="00B5331D"/>
    <w:rsid w:val="00B543D6"/>
    <w:rsid w:val="00B556B0"/>
    <w:rsid w:val="00B57687"/>
    <w:rsid w:val="00B578E3"/>
    <w:rsid w:val="00B57CE5"/>
    <w:rsid w:val="00B648F2"/>
    <w:rsid w:val="00B655D1"/>
    <w:rsid w:val="00B66353"/>
    <w:rsid w:val="00B73FF2"/>
    <w:rsid w:val="00B74CBA"/>
    <w:rsid w:val="00B74ED3"/>
    <w:rsid w:val="00B768CF"/>
    <w:rsid w:val="00B81A44"/>
    <w:rsid w:val="00B86BB5"/>
    <w:rsid w:val="00B91072"/>
    <w:rsid w:val="00B91B6E"/>
    <w:rsid w:val="00B94B2C"/>
    <w:rsid w:val="00B96F7D"/>
    <w:rsid w:val="00B970D0"/>
    <w:rsid w:val="00BA49F4"/>
    <w:rsid w:val="00BA5C41"/>
    <w:rsid w:val="00BA6ACA"/>
    <w:rsid w:val="00BA7232"/>
    <w:rsid w:val="00BA7809"/>
    <w:rsid w:val="00BB449C"/>
    <w:rsid w:val="00BB44D7"/>
    <w:rsid w:val="00BC2561"/>
    <w:rsid w:val="00BC3E3E"/>
    <w:rsid w:val="00BC422A"/>
    <w:rsid w:val="00BC5128"/>
    <w:rsid w:val="00BC5608"/>
    <w:rsid w:val="00BD04C9"/>
    <w:rsid w:val="00BD3536"/>
    <w:rsid w:val="00BD37FD"/>
    <w:rsid w:val="00BE225E"/>
    <w:rsid w:val="00BE237E"/>
    <w:rsid w:val="00BE3703"/>
    <w:rsid w:val="00BE567F"/>
    <w:rsid w:val="00BF0A29"/>
    <w:rsid w:val="00BF25CD"/>
    <w:rsid w:val="00BF5553"/>
    <w:rsid w:val="00BF75CD"/>
    <w:rsid w:val="00C00F1C"/>
    <w:rsid w:val="00C0346D"/>
    <w:rsid w:val="00C0358F"/>
    <w:rsid w:val="00C03BB0"/>
    <w:rsid w:val="00C041CF"/>
    <w:rsid w:val="00C0696A"/>
    <w:rsid w:val="00C06C74"/>
    <w:rsid w:val="00C12034"/>
    <w:rsid w:val="00C1396B"/>
    <w:rsid w:val="00C1698A"/>
    <w:rsid w:val="00C17E6C"/>
    <w:rsid w:val="00C249CC"/>
    <w:rsid w:val="00C24E5F"/>
    <w:rsid w:val="00C255B6"/>
    <w:rsid w:val="00C26F3A"/>
    <w:rsid w:val="00C2770B"/>
    <w:rsid w:val="00C30296"/>
    <w:rsid w:val="00C3170E"/>
    <w:rsid w:val="00C31947"/>
    <w:rsid w:val="00C40053"/>
    <w:rsid w:val="00C4294D"/>
    <w:rsid w:val="00C444C8"/>
    <w:rsid w:val="00C452DD"/>
    <w:rsid w:val="00C45856"/>
    <w:rsid w:val="00C46603"/>
    <w:rsid w:val="00C54316"/>
    <w:rsid w:val="00C55208"/>
    <w:rsid w:val="00C5527D"/>
    <w:rsid w:val="00C61B1A"/>
    <w:rsid w:val="00C62A53"/>
    <w:rsid w:val="00C73A70"/>
    <w:rsid w:val="00C76054"/>
    <w:rsid w:val="00C779A2"/>
    <w:rsid w:val="00C80546"/>
    <w:rsid w:val="00C81B36"/>
    <w:rsid w:val="00C83CAD"/>
    <w:rsid w:val="00C8419E"/>
    <w:rsid w:val="00C851D7"/>
    <w:rsid w:val="00C85C8B"/>
    <w:rsid w:val="00C867AD"/>
    <w:rsid w:val="00C87F9F"/>
    <w:rsid w:val="00C9545D"/>
    <w:rsid w:val="00C9625C"/>
    <w:rsid w:val="00C978C6"/>
    <w:rsid w:val="00C97F2A"/>
    <w:rsid w:val="00CA112D"/>
    <w:rsid w:val="00CA1F9F"/>
    <w:rsid w:val="00CA2179"/>
    <w:rsid w:val="00CA3D8A"/>
    <w:rsid w:val="00CB4B3E"/>
    <w:rsid w:val="00CB50EF"/>
    <w:rsid w:val="00CB623F"/>
    <w:rsid w:val="00CB791A"/>
    <w:rsid w:val="00CB7D1B"/>
    <w:rsid w:val="00CC11DF"/>
    <w:rsid w:val="00CC1A6E"/>
    <w:rsid w:val="00CC3F62"/>
    <w:rsid w:val="00CC536E"/>
    <w:rsid w:val="00CC59DD"/>
    <w:rsid w:val="00CC7FC6"/>
    <w:rsid w:val="00CD47B2"/>
    <w:rsid w:val="00CD5AFD"/>
    <w:rsid w:val="00CD74EB"/>
    <w:rsid w:val="00CE49F8"/>
    <w:rsid w:val="00CE4E1E"/>
    <w:rsid w:val="00CE66B5"/>
    <w:rsid w:val="00CF52DF"/>
    <w:rsid w:val="00CF5832"/>
    <w:rsid w:val="00CF5911"/>
    <w:rsid w:val="00CF7221"/>
    <w:rsid w:val="00CF724E"/>
    <w:rsid w:val="00D059F5"/>
    <w:rsid w:val="00D117F5"/>
    <w:rsid w:val="00D13661"/>
    <w:rsid w:val="00D142BD"/>
    <w:rsid w:val="00D146DE"/>
    <w:rsid w:val="00D17FEC"/>
    <w:rsid w:val="00D200E7"/>
    <w:rsid w:val="00D21427"/>
    <w:rsid w:val="00D22164"/>
    <w:rsid w:val="00D22B86"/>
    <w:rsid w:val="00D22F2F"/>
    <w:rsid w:val="00D24194"/>
    <w:rsid w:val="00D2460F"/>
    <w:rsid w:val="00D2590F"/>
    <w:rsid w:val="00D27150"/>
    <w:rsid w:val="00D27A48"/>
    <w:rsid w:val="00D27EB3"/>
    <w:rsid w:val="00D35E02"/>
    <w:rsid w:val="00D40F7B"/>
    <w:rsid w:val="00D41425"/>
    <w:rsid w:val="00D46275"/>
    <w:rsid w:val="00D467CA"/>
    <w:rsid w:val="00D4759B"/>
    <w:rsid w:val="00D500A4"/>
    <w:rsid w:val="00D51205"/>
    <w:rsid w:val="00D516FC"/>
    <w:rsid w:val="00D51F2D"/>
    <w:rsid w:val="00D535EE"/>
    <w:rsid w:val="00D5365A"/>
    <w:rsid w:val="00D54FC4"/>
    <w:rsid w:val="00D574C1"/>
    <w:rsid w:val="00D57615"/>
    <w:rsid w:val="00D577C9"/>
    <w:rsid w:val="00D606B7"/>
    <w:rsid w:val="00D61A94"/>
    <w:rsid w:val="00D62282"/>
    <w:rsid w:val="00D6356C"/>
    <w:rsid w:val="00D64A32"/>
    <w:rsid w:val="00D6553A"/>
    <w:rsid w:val="00D657CA"/>
    <w:rsid w:val="00D73338"/>
    <w:rsid w:val="00D775F3"/>
    <w:rsid w:val="00D77868"/>
    <w:rsid w:val="00D77F25"/>
    <w:rsid w:val="00D84C2A"/>
    <w:rsid w:val="00D9064B"/>
    <w:rsid w:val="00D978C6"/>
    <w:rsid w:val="00DA03F6"/>
    <w:rsid w:val="00DA134A"/>
    <w:rsid w:val="00DA1A2E"/>
    <w:rsid w:val="00DA3413"/>
    <w:rsid w:val="00DA426E"/>
    <w:rsid w:val="00DA4339"/>
    <w:rsid w:val="00DA4B1B"/>
    <w:rsid w:val="00DA4EFC"/>
    <w:rsid w:val="00DA648D"/>
    <w:rsid w:val="00DA726D"/>
    <w:rsid w:val="00DB40BD"/>
    <w:rsid w:val="00DB4B8E"/>
    <w:rsid w:val="00DB4F4B"/>
    <w:rsid w:val="00DC070F"/>
    <w:rsid w:val="00DC3858"/>
    <w:rsid w:val="00DC3A57"/>
    <w:rsid w:val="00DC7A95"/>
    <w:rsid w:val="00DD55C2"/>
    <w:rsid w:val="00DD759E"/>
    <w:rsid w:val="00DE314E"/>
    <w:rsid w:val="00DE4CFB"/>
    <w:rsid w:val="00DF045B"/>
    <w:rsid w:val="00DF1ED8"/>
    <w:rsid w:val="00DF3785"/>
    <w:rsid w:val="00DF3D27"/>
    <w:rsid w:val="00DF4B6A"/>
    <w:rsid w:val="00DF6074"/>
    <w:rsid w:val="00E02239"/>
    <w:rsid w:val="00E047EC"/>
    <w:rsid w:val="00E07D42"/>
    <w:rsid w:val="00E163E9"/>
    <w:rsid w:val="00E240F5"/>
    <w:rsid w:val="00E30004"/>
    <w:rsid w:val="00E333AC"/>
    <w:rsid w:val="00E3456B"/>
    <w:rsid w:val="00E35165"/>
    <w:rsid w:val="00E35C16"/>
    <w:rsid w:val="00E36085"/>
    <w:rsid w:val="00E36813"/>
    <w:rsid w:val="00E42382"/>
    <w:rsid w:val="00E54A73"/>
    <w:rsid w:val="00E603DF"/>
    <w:rsid w:val="00E63745"/>
    <w:rsid w:val="00E6699F"/>
    <w:rsid w:val="00E67B40"/>
    <w:rsid w:val="00E703AE"/>
    <w:rsid w:val="00E72373"/>
    <w:rsid w:val="00E76AF9"/>
    <w:rsid w:val="00E84EF0"/>
    <w:rsid w:val="00E8649C"/>
    <w:rsid w:val="00E87886"/>
    <w:rsid w:val="00E87CDE"/>
    <w:rsid w:val="00E91FC1"/>
    <w:rsid w:val="00E92D54"/>
    <w:rsid w:val="00E9323C"/>
    <w:rsid w:val="00E95FD8"/>
    <w:rsid w:val="00EA0283"/>
    <w:rsid w:val="00EA5DE1"/>
    <w:rsid w:val="00EB0C86"/>
    <w:rsid w:val="00EB0E16"/>
    <w:rsid w:val="00EB236F"/>
    <w:rsid w:val="00EB237E"/>
    <w:rsid w:val="00EC1546"/>
    <w:rsid w:val="00EC5B23"/>
    <w:rsid w:val="00EC5DED"/>
    <w:rsid w:val="00EC66BF"/>
    <w:rsid w:val="00EC6BD8"/>
    <w:rsid w:val="00ED0356"/>
    <w:rsid w:val="00ED0D71"/>
    <w:rsid w:val="00ED3DCD"/>
    <w:rsid w:val="00ED3DD5"/>
    <w:rsid w:val="00ED56BE"/>
    <w:rsid w:val="00ED74D7"/>
    <w:rsid w:val="00EE40F8"/>
    <w:rsid w:val="00EE6DD6"/>
    <w:rsid w:val="00EF0867"/>
    <w:rsid w:val="00EF1A10"/>
    <w:rsid w:val="00EF1A9F"/>
    <w:rsid w:val="00EF1B27"/>
    <w:rsid w:val="00EF4370"/>
    <w:rsid w:val="00EF5AD7"/>
    <w:rsid w:val="00F03FA7"/>
    <w:rsid w:val="00F048EF"/>
    <w:rsid w:val="00F06AAD"/>
    <w:rsid w:val="00F146BE"/>
    <w:rsid w:val="00F22013"/>
    <w:rsid w:val="00F22356"/>
    <w:rsid w:val="00F226E0"/>
    <w:rsid w:val="00F2522F"/>
    <w:rsid w:val="00F30180"/>
    <w:rsid w:val="00F31A29"/>
    <w:rsid w:val="00F3279A"/>
    <w:rsid w:val="00F37236"/>
    <w:rsid w:val="00F44634"/>
    <w:rsid w:val="00F505EC"/>
    <w:rsid w:val="00F5088F"/>
    <w:rsid w:val="00F51657"/>
    <w:rsid w:val="00F5223C"/>
    <w:rsid w:val="00F5321B"/>
    <w:rsid w:val="00F57787"/>
    <w:rsid w:val="00F61E82"/>
    <w:rsid w:val="00F6243A"/>
    <w:rsid w:val="00F63323"/>
    <w:rsid w:val="00F636FE"/>
    <w:rsid w:val="00F648B2"/>
    <w:rsid w:val="00F67EBD"/>
    <w:rsid w:val="00F70EA4"/>
    <w:rsid w:val="00F77851"/>
    <w:rsid w:val="00F80FAB"/>
    <w:rsid w:val="00F81E3B"/>
    <w:rsid w:val="00F827E1"/>
    <w:rsid w:val="00F927B5"/>
    <w:rsid w:val="00F94BD0"/>
    <w:rsid w:val="00F95403"/>
    <w:rsid w:val="00F96705"/>
    <w:rsid w:val="00F96750"/>
    <w:rsid w:val="00F9704D"/>
    <w:rsid w:val="00FA0166"/>
    <w:rsid w:val="00FA2400"/>
    <w:rsid w:val="00FA33E9"/>
    <w:rsid w:val="00FA55C8"/>
    <w:rsid w:val="00FA74C6"/>
    <w:rsid w:val="00FB100A"/>
    <w:rsid w:val="00FB24ED"/>
    <w:rsid w:val="00FB29AF"/>
    <w:rsid w:val="00FB313D"/>
    <w:rsid w:val="00FB4003"/>
    <w:rsid w:val="00FB4EBA"/>
    <w:rsid w:val="00FB7086"/>
    <w:rsid w:val="00FC6733"/>
    <w:rsid w:val="00FD2677"/>
    <w:rsid w:val="00FD28B8"/>
    <w:rsid w:val="00FE0BD8"/>
    <w:rsid w:val="00FE1709"/>
    <w:rsid w:val="00FE1FC9"/>
    <w:rsid w:val="00FE3536"/>
    <w:rsid w:val="00FE7B44"/>
    <w:rsid w:val="00FF32DE"/>
    <w:rsid w:val="00FF4205"/>
    <w:rsid w:val="00FF5858"/>
    <w:rsid w:val="00FF693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5EAB6E44"/>
  <w15:docId w15:val="{623B9E68-3536-4AAD-8A38-AE12768B4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0169"/>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qFormat/>
    <w:rsid w:val="00FE0BD8"/>
    <w:pPr>
      <w:keepNext/>
      <w:keepLines/>
      <w:numPr>
        <w:numId w:val="3"/>
      </w:numPr>
      <w:spacing w:before="32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nhideWhenUsed/>
    <w:qFormat/>
    <w:rsid w:val="003C167E"/>
    <w:pPr>
      <w:keepNext/>
      <w:keepLines/>
      <w:numPr>
        <w:ilvl w:val="1"/>
        <w:numId w:val="3"/>
      </w:numPr>
      <w:spacing w:before="320"/>
      <w:outlineLvl w:val="1"/>
    </w:pPr>
    <w:rPr>
      <w:rFonts w:asciiTheme="majorHAnsi" w:eastAsiaTheme="majorEastAsia" w:hAnsiTheme="majorHAnsi" w:cstheme="majorBidi"/>
      <w:b/>
      <w:sz w:val="28"/>
      <w:szCs w:val="28"/>
    </w:rPr>
  </w:style>
  <w:style w:type="paragraph" w:styleId="Heading3">
    <w:name w:val="heading 3"/>
    <w:basedOn w:val="Normal"/>
    <w:next w:val="Normal"/>
    <w:link w:val="Heading3Char"/>
    <w:unhideWhenUsed/>
    <w:qFormat/>
    <w:rsid w:val="00020300"/>
    <w:pPr>
      <w:keepNext/>
      <w:keepLines/>
      <w:numPr>
        <w:ilvl w:val="2"/>
        <w:numId w:val="3"/>
      </w:numPr>
      <w:spacing w:before="320"/>
      <w:outlineLvl w:val="2"/>
    </w:pPr>
    <w:rPr>
      <w:rFonts w:asciiTheme="majorHAnsi" w:eastAsiaTheme="majorEastAsia" w:hAnsiTheme="majorHAnsi" w:cstheme="majorBidi"/>
    </w:rPr>
  </w:style>
  <w:style w:type="paragraph" w:styleId="Heading4">
    <w:name w:val="heading 4"/>
    <w:basedOn w:val="Normal"/>
    <w:next w:val="Normal"/>
    <w:link w:val="Heading4Char"/>
    <w:unhideWhenUsed/>
    <w:qFormat/>
    <w:rsid w:val="00020300"/>
    <w:pPr>
      <w:keepNext/>
      <w:keepLines/>
      <w:numPr>
        <w:ilvl w:val="3"/>
        <w:numId w:val="3"/>
      </w:numPr>
      <w:spacing w:before="320"/>
      <w:ind w:left="862" w:hanging="862"/>
      <w:outlineLvl w:val="3"/>
    </w:pPr>
    <w:rPr>
      <w:rFonts w:asciiTheme="majorHAnsi" w:eastAsiaTheme="majorEastAsia" w:hAnsiTheme="majorHAnsi" w:cstheme="majorBidi"/>
      <w:szCs w:val="22"/>
    </w:rPr>
  </w:style>
  <w:style w:type="paragraph" w:styleId="Heading5">
    <w:name w:val="heading 5"/>
    <w:basedOn w:val="Normal"/>
    <w:next w:val="Normal"/>
    <w:link w:val="Heading5Char"/>
    <w:uiPriority w:val="9"/>
    <w:unhideWhenUsed/>
    <w:qFormat/>
    <w:rsid w:val="007E7997"/>
    <w:pPr>
      <w:keepNext/>
      <w:keepLines/>
      <w:numPr>
        <w:numId w:val="4"/>
      </w:numPr>
      <w:spacing w:before="40"/>
      <w:outlineLvl w:val="4"/>
    </w:pPr>
    <w:rPr>
      <w:rFonts w:asciiTheme="majorHAnsi" w:eastAsiaTheme="majorEastAsia" w:hAnsiTheme="majorHAnsi" w:cstheme="majorBidi"/>
      <w:szCs w:val="22"/>
    </w:rPr>
  </w:style>
  <w:style w:type="paragraph" w:styleId="Heading6">
    <w:name w:val="heading 6"/>
    <w:basedOn w:val="Normal"/>
    <w:next w:val="Normal"/>
    <w:link w:val="Heading6Char"/>
    <w:unhideWhenUsed/>
    <w:qFormat/>
    <w:rsid w:val="00AA054E"/>
    <w:pPr>
      <w:keepNext/>
      <w:keepLines/>
      <w:numPr>
        <w:ilvl w:val="5"/>
        <w:numId w:val="3"/>
      </w:numPr>
      <w:spacing w:before="4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nhideWhenUsed/>
    <w:qFormat/>
    <w:rsid w:val="00AA054E"/>
    <w:pPr>
      <w:keepNext/>
      <w:keepLines/>
      <w:numPr>
        <w:ilvl w:val="6"/>
        <w:numId w:val="3"/>
      </w:numPr>
      <w:spacing w:before="4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nhideWhenUsed/>
    <w:qFormat/>
    <w:rsid w:val="00AA054E"/>
    <w:pPr>
      <w:keepNext/>
      <w:keepLines/>
      <w:numPr>
        <w:ilvl w:val="7"/>
        <w:numId w:val="3"/>
      </w:numPr>
      <w:spacing w:before="4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nhideWhenUsed/>
    <w:qFormat/>
    <w:rsid w:val="00AA054E"/>
    <w:pPr>
      <w:keepNext/>
      <w:keepLines/>
      <w:numPr>
        <w:ilvl w:val="8"/>
        <w:numId w:val="3"/>
      </w:numPr>
      <w:spacing w:before="4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B6B12"/>
    <w:pPr>
      <w:spacing w:after="0" w:line="240" w:lineRule="auto"/>
    </w:pPr>
    <w:rPr>
      <w:lang w:val="en-GB"/>
    </w:rPr>
  </w:style>
  <w:style w:type="character" w:customStyle="1" w:styleId="Heading4Char">
    <w:name w:val="Heading 4 Char"/>
    <w:basedOn w:val="DefaultParagraphFont"/>
    <w:link w:val="Heading4"/>
    <w:rsid w:val="00020300"/>
    <w:rPr>
      <w:rFonts w:asciiTheme="majorHAnsi" w:eastAsiaTheme="majorEastAsia" w:hAnsiTheme="majorHAnsi" w:cstheme="majorBidi"/>
      <w:sz w:val="24"/>
      <w:szCs w:val="22"/>
      <w:lang w:val="en-GB" w:eastAsia="en-GB"/>
    </w:rPr>
  </w:style>
  <w:style w:type="character" w:customStyle="1" w:styleId="Heading3Char">
    <w:name w:val="Heading 3 Char"/>
    <w:basedOn w:val="DefaultParagraphFont"/>
    <w:link w:val="Heading3"/>
    <w:rsid w:val="00020300"/>
    <w:rPr>
      <w:rFonts w:asciiTheme="majorHAnsi" w:eastAsiaTheme="majorEastAsia" w:hAnsiTheme="majorHAnsi" w:cstheme="majorBidi"/>
      <w:sz w:val="24"/>
      <w:szCs w:val="24"/>
      <w:lang w:val="en-GB" w:eastAsia="en-GB"/>
    </w:rPr>
  </w:style>
  <w:style w:type="character" w:customStyle="1" w:styleId="Heading1Char">
    <w:name w:val="Heading 1 Char"/>
    <w:basedOn w:val="DefaultParagraphFont"/>
    <w:link w:val="Heading1"/>
    <w:rsid w:val="00FE0BD8"/>
    <w:rPr>
      <w:rFonts w:asciiTheme="majorHAnsi" w:eastAsiaTheme="majorEastAsia" w:hAnsiTheme="majorHAnsi" w:cstheme="majorBidi"/>
      <w:b/>
      <w:sz w:val="32"/>
      <w:szCs w:val="32"/>
      <w:lang w:val="en-GB" w:eastAsia="en-GB"/>
    </w:rPr>
  </w:style>
  <w:style w:type="character" w:customStyle="1" w:styleId="Heading2Char">
    <w:name w:val="Heading 2 Char"/>
    <w:basedOn w:val="DefaultParagraphFont"/>
    <w:link w:val="Heading2"/>
    <w:rsid w:val="003C167E"/>
    <w:rPr>
      <w:rFonts w:asciiTheme="majorHAnsi" w:eastAsiaTheme="majorEastAsia" w:hAnsiTheme="majorHAnsi" w:cstheme="majorBidi"/>
      <w:b/>
      <w:sz w:val="28"/>
      <w:szCs w:val="28"/>
      <w:lang w:val="en-GB" w:eastAsia="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DefaultParagraphFont"/>
    <w:link w:val="Subtitle1"/>
    <w:rsid w:val="003C4EB5"/>
    <w:rPr>
      <w:rFonts w:cs="Times New Roman"/>
      <w:b/>
      <w:sz w:val="20"/>
      <w:szCs w:val="24"/>
      <w:lang w:val="en-GB" w:eastAsia="de-DE"/>
    </w:rPr>
  </w:style>
  <w:style w:type="paragraph" w:customStyle="1" w:styleId="Title1">
    <w:name w:val="Title 1"/>
    <w:basedOn w:val="ListParagraph"/>
    <w:link w:val="Title1Char"/>
    <w:autoRedefine/>
    <w:rsid w:val="002574D1"/>
    <w:pPr>
      <w:numPr>
        <w:numId w:val="2"/>
      </w:numPr>
    </w:pPr>
    <w:rPr>
      <w:b/>
      <w:sz w:val="28"/>
    </w:rPr>
  </w:style>
  <w:style w:type="character" w:customStyle="1" w:styleId="Title1Char">
    <w:name w:val="Title 1 Char"/>
    <w:basedOn w:val="DefaultParagraphFont"/>
    <w:link w:val="Title1"/>
    <w:rsid w:val="003C4EB5"/>
    <w:rPr>
      <w:rFonts w:eastAsiaTheme="majorEastAsia" w:cstheme="minorHAnsi"/>
      <w:b/>
      <w:sz w:val="28"/>
      <w:szCs w:val="22"/>
      <w:lang w:val="en-GB" w:eastAsia="en-GB"/>
    </w:rPr>
  </w:style>
  <w:style w:type="paragraph" w:styleId="ListParagraph">
    <w:name w:val="List Paragraph"/>
    <w:aliases w:val="Paragraphe EI,Paragraphe de liste1,EC,Paragraphe de liste,Normal Nivel 1,List Paragraph Main,List first level,List Paragraph_Sections"/>
    <w:basedOn w:val="Normal"/>
    <w:link w:val="ListParagraphChar"/>
    <w:autoRedefine/>
    <w:uiPriority w:val="34"/>
    <w:qFormat/>
    <w:rsid w:val="006A14F0"/>
    <w:pPr>
      <w:numPr>
        <w:numId w:val="18"/>
      </w:numPr>
      <w:tabs>
        <w:tab w:val="left" w:pos="0"/>
        <w:tab w:val="left" w:pos="142"/>
        <w:tab w:val="left" w:pos="284"/>
        <w:tab w:val="left" w:pos="567"/>
      </w:tabs>
      <w:autoSpaceDE w:val="0"/>
      <w:autoSpaceDN w:val="0"/>
      <w:adjustRightInd w:val="0"/>
      <w:spacing w:line="264" w:lineRule="auto"/>
      <w:jc w:val="both"/>
    </w:pPr>
    <w:rPr>
      <w:rFonts w:asciiTheme="minorHAnsi" w:eastAsiaTheme="majorEastAsia" w:hAnsiTheme="minorHAnsi" w:cstheme="minorHAnsi"/>
      <w:sz w:val="22"/>
      <w:szCs w:val="22"/>
    </w:rPr>
  </w:style>
  <w:style w:type="paragraph" w:customStyle="1" w:styleId="Title3">
    <w:name w:val="Title 3"/>
    <w:basedOn w:val="ListParagraph"/>
    <w:link w:val="Title3Char"/>
    <w:autoRedefine/>
    <w:rsid w:val="002574D1"/>
    <w:pPr>
      <w:numPr>
        <w:ilvl w:val="3"/>
        <w:numId w:val="2"/>
      </w:numPr>
    </w:pPr>
  </w:style>
  <w:style w:type="character" w:customStyle="1" w:styleId="Title3Char">
    <w:name w:val="Title 3 Char"/>
    <w:basedOn w:val="DefaultParagraphFont"/>
    <w:link w:val="Title3"/>
    <w:rsid w:val="003C4EB5"/>
    <w:rPr>
      <w:rFonts w:eastAsiaTheme="majorEastAsia" w:cstheme="minorHAnsi"/>
      <w:sz w:val="22"/>
      <w:szCs w:val="22"/>
      <w:lang w:val="en-GB" w:eastAsia="en-GB"/>
    </w:rPr>
  </w:style>
  <w:style w:type="paragraph" w:customStyle="1" w:styleId="Title2">
    <w:name w:val="Title 2"/>
    <w:basedOn w:val="Title1"/>
    <w:link w:val="Title2Char"/>
    <w:autoRedefine/>
    <w:rsid w:val="002574D1"/>
    <w:pPr>
      <w:numPr>
        <w:ilvl w:val="1"/>
        <w:numId w:val="1"/>
      </w:numPr>
      <w:ind w:left="0" w:firstLine="0"/>
    </w:pPr>
  </w:style>
  <w:style w:type="character" w:customStyle="1" w:styleId="Title2Char">
    <w:name w:val="Title 2 Char"/>
    <w:basedOn w:val="Title1Char"/>
    <w:link w:val="Title2"/>
    <w:rsid w:val="002574D1"/>
    <w:rPr>
      <w:rFonts w:eastAsiaTheme="majorEastAsia" w:cstheme="minorHAnsi"/>
      <w:b/>
      <w:sz w:val="28"/>
      <w:szCs w:val="22"/>
      <w:lang w:val="en-GB" w:eastAsia="en-GB"/>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eastAsiaTheme="majorEastAsia" w:hAnsiTheme="majorHAnsi" w:cstheme="majorBidi"/>
      <w:sz w:val="22"/>
      <w:szCs w:val="22"/>
      <w:lang w:val="fr-BE" w:eastAsia="en-GB"/>
    </w:rPr>
  </w:style>
  <w:style w:type="paragraph" w:customStyle="1" w:styleId="DocumentTitle">
    <w:name w:val="Document Title"/>
    <w:basedOn w:val="Normal"/>
    <w:link w:val="DocumentTitleChar"/>
    <w:autoRedefine/>
    <w:rsid w:val="003C4EB5"/>
    <w:pPr>
      <w:framePr w:hSpace="8505" w:wrap="around" w:vAnchor="page" w:hAnchor="page" w:x="1248" w:y="4401"/>
      <w:spacing w:line="400" w:lineRule="exact"/>
    </w:pPr>
    <w:rPr>
      <w:rFonts w:asciiTheme="majorHAnsi" w:hAnsiTheme="majorHAnsi"/>
      <w:b/>
      <w:color w:val="2D4190"/>
      <w:sz w:val="48"/>
    </w:rPr>
  </w:style>
  <w:style w:type="character" w:customStyle="1" w:styleId="DocumentTitleChar">
    <w:name w:val="Document Title Char"/>
    <w:basedOn w:val="DefaultParagraphFont"/>
    <w:link w:val="DocumentTitle"/>
    <w:rsid w:val="003C4EB5"/>
    <w:rPr>
      <w:rFonts w:asciiTheme="majorHAnsi" w:hAnsiTheme="majorHAnsi" w:cs="Times New Roman"/>
      <w:b/>
      <w:color w:val="2D4190"/>
      <w:sz w:val="48"/>
      <w:szCs w:val="24"/>
      <w:lang w:val="en-GB" w:eastAsia="de-DE"/>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DefaultParagraphFon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rPr>
      <w:rFonts w:asciiTheme="majorHAnsi" w:hAnsiTheme="majorHAnsi"/>
      <w:b/>
      <w:sz w:val="28"/>
      <w:lang w:eastAsia="de-DE"/>
    </w:rPr>
  </w:style>
  <w:style w:type="character" w:customStyle="1" w:styleId="IntroductiontitleChar">
    <w:name w:val="Introduction title Char"/>
    <w:basedOn w:val="DefaultParagraphFon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hAnsiTheme="majorHAnsi"/>
      <w:b/>
      <w:lang w:eastAsia="de-DE"/>
    </w:rPr>
  </w:style>
  <w:style w:type="character" w:customStyle="1" w:styleId="IntroductionsubtitleChar">
    <w:name w:val="Introduction subtitle Char"/>
    <w:basedOn w:val="DefaultParagraphFon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b/>
      <w:sz w:val="28"/>
      <w:lang w:eastAsia="de-DE"/>
    </w:rPr>
  </w:style>
  <w:style w:type="character" w:customStyle="1" w:styleId="IntroductionheadingChar">
    <w:name w:val="Introduction heading Char"/>
    <w:basedOn w:val="DefaultParagraphFont"/>
    <w:link w:val="Introductionheading"/>
    <w:rsid w:val="00044C5A"/>
    <w:rPr>
      <w:rFonts w:ascii="Arial" w:eastAsia="Times New Roman" w:hAnsi="Arial" w:cs="Times New Roman"/>
      <w:b/>
      <w:sz w:val="28"/>
      <w:szCs w:val="24"/>
      <w:lang w:val="en-GB" w:eastAsia="de-DE"/>
    </w:rPr>
  </w:style>
  <w:style w:type="character" w:customStyle="1" w:styleId="Heading5Char">
    <w:name w:val="Heading 5 Char"/>
    <w:basedOn w:val="DefaultParagraphFont"/>
    <w:link w:val="Heading5"/>
    <w:uiPriority w:val="9"/>
    <w:rsid w:val="007E7997"/>
    <w:rPr>
      <w:rFonts w:asciiTheme="majorHAnsi" w:eastAsiaTheme="majorEastAsia" w:hAnsiTheme="majorHAnsi" w:cstheme="majorBidi"/>
      <w:sz w:val="24"/>
      <w:szCs w:val="22"/>
      <w:lang w:val="en-GB" w:eastAsia="en-GB"/>
    </w:rPr>
  </w:style>
  <w:style w:type="paragraph" w:styleId="BodyText">
    <w:name w:val="Body Text"/>
    <w:basedOn w:val="Normal"/>
    <w:link w:val="BodyTextChar"/>
    <w:uiPriority w:val="99"/>
    <w:semiHidden/>
    <w:unhideWhenUsed/>
    <w:rsid w:val="00044C5A"/>
  </w:style>
  <w:style w:type="character" w:customStyle="1" w:styleId="BodyTextChar">
    <w:name w:val="Body Text Char"/>
    <w:basedOn w:val="DefaultParagraphFont"/>
    <w:link w:val="BodyText"/>
    <w:uiPriority w:val="99"/>
    <w:semiHidden/>
    <w:rsid w:val="00044C5A"/>
    <w:rPr>
      <w:rFonts w:ascii="Arial" w:eastAsiaTheme="minorEastAsia" w:hAnsi="Arial"/>
    </w:rPr>
  </w:style>
  <w:style w:type="paragraph" w:styleId="BodyTextFirstIndent">
    <w:name w:val="Body Text First Indent"/>
    <w:basedOn w:val="BodyText"/>
    <w:link w:val="BodyTextFirstIndentChar"/>
    <w:uiPriority w:val="99"/>
    <w:semiHidden/>
    <w:unhideWhenUsed/>
    <w:rsid w:val="00044C5A"/>
    <w:pPr>
      <w:ind w:firstLine="360"/>
    </w:pPr>
  </w:style>
  <w:style w:type="character" w:customStyle="1" w:styleId="BodyTextFirstIndentChar">
    <w:name w:val="Body Text First Indent Char"/>
    <w:basedOn w:val="BodyTextChar"/>
    <w:link w:val="BodyTextFirstIndent"/>
    <w:uiPriority w:val="99"/>
    <w:semiHidden/>
    <w:rsid w:val="00044C5A"/>
    <w:rPr>
      <w:rFonts w:ascii="Arial" w:eastAsiaTheme="minorEastAsia" w:hAnsi="Arial"/>
    </w:rPr>
  </w:style>
  <w:style w:type="character" w:customStyle="1" w:styleId="Heading6Char">
    <w:name w:val="Heading 6 Char"/>
    <w:basedOn w:val="DefaultParagraphFont"/>
    <w:link w:val="Heading6"/>
    <w:rsid w:val="00AA054E"/>
    <w:rPr>
      <w:rFonts w:asciiTheme="majorHAnsi" w:eastAsiaTheme="majorEastAsia" w:hAnsiTheme="majorHAnsi" w:cstheme="majorBidi"/>
      <w:i/>
      <w:iCs/>
      <w:color w:val="44546A" w:themeColor="text2"/>
      <w:sz w:val="21"/>
      <w:szCs w:val="21"/>
      <w:lang w:val="en-GB" w:eastAsia="en-GB"/>
    </w:rPr>
  </w:style>
  <w:style w:type="paragraph" w:styleId="Title">
    <w:name w:val="Title"/>
    <w:basedOn w:val="Normal"/>
    <w:next w:val="Normal"/>
    <w:link w:val="TitleChar"/>
    <w:uiPriority w:val="10"/>
    <w:qFormat/>
    <w:rsid w:val="008F4642"/>
    <w:pPr>
      <w:contextualSpacing/>
    </w:pPr>
    <w:rPr>
      <w:rFonts w:asciiTheme="majorHAnsi" w:eastAsiaTheme="majorEastAsia" w:hAnsiTheme="majorHAnsi" w:cstheme="majorBidi"/>
      <w:b/>
      <w:color w:val="2F5496" w:themeColor="accent5" w:themeShade="BF"/>
      <w:spacing w:val="-10"/>
      <w:sz w:val="56"/>
      <w:szCs w:val="56"/>
    </w:rPr>
  </w:style>
  <w:style w:type="character" w:customStyle="1" w:styleId="TitleChar">
    <w:name w:val="Title Char"/>
    <w:basedOn w:val="DefaultParagraphFont"/>
    <w:link w:val="Title"/>
    <w:uiPriority w:val="10"/>
    <w:rsid w:val="008F4642"/>
    <w:rPr>
      <w:rFonts w:asciiTheme="majorHAnsi" w:eastAsiaTheme="majorEastAsia" w:hAnsiTheme="majorHAnsi" w:cstheme="majorBidi"/>
      <w:b/>
      <w:color w:val="2F5496" w:themeColor="accent5" w:themeShade="BF"/>
      <w:spacing w:val="-10"/>
      <w:sz w:val="56"/>
      <w:szCs w:val="56"/>
      <w:lang w:val="en-GB"/>
    </w:rPr>
  </w:style>
  <w:style w:type="paragraph" w:styleId="Subtitle">
    <w:name w:val="Subtitle"/>
    <w:basedOn w:val="Normal"/>
    <w:next w:val="Normal"/>
    <w:link w:val="SubtitleChar"/>
    <w:uiPriority w:val="11"/>
    <w:qFormat/>
    <w:rsid w:val="00366D42"/>
    <w:pPr>
      <w:numPr>
        <w:ilvl w:val="1"/>
      </w:numPr>
    </w:pPr>
    <w:rPr>
      <w:rFonts w:asciiTheme="majorHAnsi" w:eastAsiaTheme="majorEastAsia" w:hAnsiTheme="majorHAnsi" w:cstheme="majorBidi"/>
      <w:b/>
      <w:sz w:val="28"/>
    </w:rPr>
  </w:style>
  <w:style w:type="character" w:customStyle="1" w:styleId="SubtitleChar">
    <w:name w:val="Subtitle Char"/>
    <w:basedOn w:val="DefaultParagraphFont"/>
    <w:link w:val="Subtitle"/>
    <w:uiPriority w:val="11"/>
    <w:rsid w:val="00366D42"/>
    <w:rPr>
      <w:rFonts w:asciiTheme="majorHAnsi" w:eastAsiaTheme="majorEastAsia" w:hAnsiTheme="majorHAnsi" w:cstheme="majorBidi"/>
      <w:b/>
      <w:sz w:val="28"/>
      <w:szCs w:val="24"/>
      <w:lang w:val="en-GB"/>
    </w:rPr>
  </w:style>
  <w:style w:type="character" w:customStyle="1" w:styleId="Heading7Char">
    <w:name w:val="Heading 7 Char"/>
    <w:basedOn w:val="DefaultParagraphFont"/>
    <w:link w:val="Heading7"/>
    <w:rsid w:val="00AA054E"/>
    <w:rPr>
      <w:rFonts w:asciiTheme="majorHAnsi" w:eastAsiaTheme="majorEastAsia" w:hAnsiTheme="majorHAnsi" w:cstheme="majorBidi"/>
      <w:i/>
      <w:iCs/>
      <w:color w:val="1F4E79" w:themeColor="accent1" w:themeShade="80"/>
      <w:sz w:val="21"/>
      <w:szCs w:val="21"/>
      <w:lang w:val="en-GB" w:eastAsia="en-GB"/>
    </w:rPr>
  </w:style>
  <w:style w:type="character" w:customStyle="1" w:styleId="Heading8Char">
    <w:name w:val="Heading 8 Char"/>
    <w:basedOn w:val="DefaultParagraphFont"/>
    <w:link w:val="Heading8"/>
    <w:rsid w:val="00AA054E"/>
    <w:rPr>
      <w:rFonts w:asciiTheme="majorHAnsi" w:eastAsiaTheme="majorEastAsia" w:hAnsiTheme="majorHAnsi" w:cstheme="majorBidi"/>
      <w:b/>
      <w:bCs/>
      <w:color w:val="44546A" w:themeColor="text2"/>
      <w:sz w:val="24"/>
      <w:szCs w:val="24"/>
      <w:lang w:val="en-GB" w:eastAsia="en-GB"/>
    </w:rPr>
  </w:style>
  <w:style w:type="character" w:customStyle="1" w:styleId="Heading9Char">
    <w:name w:val="Heading 9 Char"/>
    <w:basedOn w:val="DefaultParagraphFont"/>
    <w:link w:val="Heading9"/>
    <w:rsid w:val="00AA054E"/>
    <w:rPr>
      <w:rFonts w:asciiTheme="majorHAnsi" w:eastAsiaTheme="majorEastAsia" w:hAnsiTheme="majorHAnsi" w:cstheme="majorBidi"/>
      <w:b/>
      <w:bCs/>
      <w:i/>
      <w:iCs/>
      <w:color w:val="44546A" w:themeColor="text2"/>
      <w:sz w:val="24"/>
      <w:szCs w:val="24"/>
      <w:lang w:val="en-GB" w:eastAsia="en-GB"/>
    </w:rPr>
  </w:style>
  <w:style w:type="paragraph" w:styleId="Caption">
    <w:name w:val="caption"/>
    <w:basedOn w:val="Normal"/>
    <w:next w:val="Normal"/>
    <w:uiPriority w:val="35"/>
    <w:semiHidden/>
    <w:unhideWhenUsed/>
    <w:qFormat/>
    <w:rsid w:val="00AA054E"/>
    <w:rPr>
      <w:b/>
      <w:bCs/>
      <w:smallCaps/>
      <w:color w:val="595959" w:themeColor="text1" w:themeTint="A6"/>
      <w:spacing w:val="6"/>
    </w:rPr>
  </w:style>
  <w:style w:type="character" w:styleId="Strong">
    <w:name w:val="Strong"/>
    <w:basedOn w:val="DefaultParagraphFont"/>
    <w:uiPriority w:val="22"/>
    <w:qFormat/>
    <w:rsid w:val="00AA054E"/>
    <w:rPr>
      <w:b/>
      <w:bCs/>
    </w:rPr>
  </w:style>
  <w:style w:type="character" w:styleId="Emphasis">
    <w:name w:val="Emphasis"/>
    <w:basedOn w:val="DefaultParagraphFont"/>
    <w:uiPriority w:val="20"/>
    <w:qFormat/>
    <w:rsid w:val="00AA054E"/>
    <w:rPr>
      <w:i/>
      <w:iCs/>
    </w:rPr>
  </w:style>
  <w:style w:type="paragraph" w:styleId="Quote">
    <w:name w:val="Quote"/>
    <w:basedOn w:val="Normal"/>
    <w:next w:val="Normal"/>
    <w:link w:val="QuoteChar"/>
    <w:uiPriority w:val="29"/>
    <w:qFormat/>
    <w:rsid w:val="00AA054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AA054E"/>
    <w:rPr>
      <w:i/>
      <w:iCs/>
      <w:color w:val="404040" w:themeColor="text1" w:themeTint="BF"/>
    </w:rPr>
  </w:style>
  <w:style w:type="paragraph" w:styleId="IntenseQuote">
    <w:name w:val="Intense Quote"/>
    <w:basedOn w:val="Normal"/>
    <w:next w:val="Normal"/>
    <w:link w:val="IntenseQuoteChar"/>
    <w:uiPriority w:val="30"/>
    <w:qFormat/>
    <w:rsid w:val="00AA054E"/>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AA054E"/>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287C8F"/>
    <w:rPr>
      <w:rFonts w:asciiTheme="majorHAnsi" w:hAnsiTheme="majorHAnsi"/>
      <w:i/>
      <w:iCs/>
      <w:color w:val="auto"/>
      <w:sz w:val="22"/>
    </w:rPr>
  </w:style>
  <w:style w:type="character" w:styleId="IntenseEmphasis">
    <w:name w:val="Intense Emphasis"/>
    <w:basedOn w:val="DefaultParagraphFont"/>
    <w:uiPriority w:val="21"/>
    <w:qFormat/>
    <w:rsid w:val="00AA054E"/>
    <w:rPr>
      <w:b/>
      <w:bCs/>
      <w:i/>
      <w:iCs/>
    </w:rPr>
  </w:style>
  <w:style w:type="character" w:styleId="SubtleReference">
    <w:name w:val="Subtle Reference"/>
    <w:basedOn w:val="DefaultParagraphFont"/>
    <w:uiPriority w:val="31"/>
    <w:qFormat/>
    <w:rsid w:val="00AA054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AA054E"/>
    <w:rPr>
      <w:b/>
      <w:bCs/>
      <w:smallCaps/>
      <w:spacing w:val="5"/>
      <w:u w:val="single"/>
    </w:rPr>
  </w:style>
  <w:style w:type="character" w:styleId="BookTitle">
    <w:name w:val="Book Title"/>
    <w:basedOn w:val="DefaultParagraphFont"/>
    <w:uiPriority w:val="33"/>
    <w:qFormat/>
    <w:rsid w:val="00AA054E"/>
    <w:rPr>
      <w:b/>
      <w:bCs/>
      <w:smallCaps/>
    </w:rPr>
  </w:style>
  <w:style w:type="paragraph" w:styleId="TOCHeading">
    <w:name w:val="TOC Heading"/>
    <w:basedOn w:val="Heading1"/>
    <w:next w:val="Normal"/>
    <w:uiPriority w:val="39"/>
    <w:unhideWhenUsed/>
    <w:qFormat/>
    <w:rsid w:val="00AA054E"/>
    <w:pPr>
      <w:outlineLvl w:val="9"/>
    </w:pPr>
  </w:style>
  <w:style w:type="character" w:customStyle="1" w:styleId="NoSpacingChar">
    <w:name w:val="No Spacing Char"/>
    <w:basedOn w:val="DefaultParagraphFont"/>
    <w:link w:val="NoSpacing"/>
    <w:uiPriority w:val="1"/>
    <w:rsid w:val="005B6B12"/>
    <w:rPr>
      <w:lang w:val="en-GB"/>
    </w:rPr>
  </w:style>
  <w:style w:type="paragraph" w:styleId="Header">
    <w:name w:val="header"/>
    <w:basedOn w:val="Normal"/>
    <w:link w:val="HeaderChar"/>
    <w:unhideWhenUsed/>
    <w:rsid w:val="007E7997"/>
    <w:pPr>
      <w:tabs>
        <w:tab w:val="center" w:pos="4536"/>
        <w:tab w:val="right" w:pos="9072"/>
      </w:tabs>
    </w:pPr>
  </w:style>
  <w:style w:type="character" w:customStyle="1" w:styleId="HeaderChar">
    <w:name w:val="Header Char"/>
    <w:basedOn w:val="DefaultParagraphFont"/>
    <w:link w:val="Header"/>
    <w:uiPriority w:val="99"/>
    <w:rsid w:val="007E7997"/>
    <w:rPr>
      <w:sz w:val="22"/>
    </w:rPr>
  </w:style>
  <w:style w:type="paragraph" w:styleId="Footer">
    <w:name w:val="footer"/>
    <w:basedOn w:val="Normal"/>
    <w:link w:val="FooterChar"/>
    <w:uiPriority w:val="99"/>
    <w:unhideWhenUsed/>
    <w:rsid w:val="007E7997"/>
    <w:pPr>
      <w:tabs>
        <w:tab w:val="center" w:pos="4536"/>
        <w:tab w:val="right" w:pos="9072"/>
      </w:tabs>
    </w:pPr>
  </w:style>
  <w:style w:type="character" w:customStyle="1" w:styleId="FooterChar">
    <w:name w:val="Footer Char"/>
    <w:basedOn w:val="DefaultParagraphFont"/>
    <w:link w:val="Footer"/>
    <w:uiPriority w:val="99"/>
    <w:rsid w:val="007E7997"/>
    <w:rPr>
      <w:sz w:val="22"/>
    </w:rPr>
  </w:style>
  <w:style w:type="paragraph" w:customStyle="1" w:styleId="00aPagenumber">
    <w:name w:val="00a_Page number"/>
    <w:basedOn w:val="Normal"/>
    <w:rsid w:val="007E7997"/>
    <w:pPr>
      <w:spacing w:line="280" w:lineRule="atLeast"/>
      <w:jc w:val="right"/>
    </w:pPr>
    <w:rPr>
      <w:rFonts w:ascii="Georgia" w:hAnsi="Georgia"/>
      <w:color w:val="000000"/>
      <w:lang w:eastAsia="de-DE"/>
    </w:rPr>
  </w:style>
  <w:style w:type="paragraph" w:customStyle="1" w:styleId="02Date">
    <w:name w:val="02_Date"/>
    <w:basedOn w:val="Normal"/>
    <w:rsid w:val="00636E02"/>
    <w:pPr>
      <w:spacing w:line="220" w:lineRule="exact"/>
    </w:pPr>
    <w:rPr>
      <w:rFonts w:ascii="Georgia" w:hAnsi="Georgia"/>
      <w:sz w:val="17"/>
      <w:lang w:eastAsia="de-DE"/>
    </w:rPr>
  </w:style>
  <w:style w:type="paragraph" w:styleId="TOC1">
    <w:name w:val="toc 1"/>
    <w:basedOn w:val="Normal"/>
    <w:next w:val="Normal"/>
    <w:autoRedefine/>
    <w:uiPriority w:val="39"/>
    <w:unhideWhenUsed/>
    <w:rsid w:val="00B81A44"/>
    <w:pPr>
      <w:tabs>
        <w:tab w:val="left" w:pos="440"/>
        <w:tab w:val="right" w:leader="dot" w:pos="9062"/>
      </w:tabs>
      <w:spacing w:after="100"/>
    </w:pPr>
  </w:style>
  <w:style w:type="paragraph" w:styleId="TOC2">
    <w:name w:val="toc 2"/>
    <w:basedOn w:val="Normal"/>
    <w:next w:val="Normal"/>
    <w:autoRedefine/>
    <w:uiPriority w:val="39"/>
    <w:unhideWhenUsed/>
    <w:rsid w:val="00BC422A"/>
    <w:pPr>
      <w:spacing w:after="100"/>
      <w:ind w:left="220"/>
    </w:pPr>
  </w:style>
  <w:style w:type="paragraph" w:styleId="TOC3">
    <w:name w:val="toc 3"/>
    <w:basedOn w:val="Normal"/>
    <w:next w:val="Normal"/>
    <w:autoRedefine/>
    <w:uiPriority w:val="39"/>
    <w:unhideWhenUsed/>
    <w:rsid w:val="00BC422A"/>
    <w:pPr>
      <w:spacing w:after="100"/>
      <w:ind w:left="440"/>
    </w:pPr>
  </w:style>
  <w:style w:type="character" w:styleId="Hyperlink">
    <w:name w:val="Hyperlink"/>
    <w:basedOn w:val="DefaultParagraphFont"/>
    <w:uiPriority w:val="99"/>
    <w:unhideWhenUsed/>
    <w:rsid w:val="00BC422A"/>
    <w:rPr>
      <w:color w:val="0563C1" w:themeColor="hyperlink"/>
      <w:u w:val="single"/>
    </w:rPr>
  </w:style>
  <w:style w:type="paragraph" w:customStyle="1" w:styleId="Questionstyle">
    <w:name w:val="Question style"/>
    <w:basedOn w:val="Normal"/>
    <w:next w:val="Normal"/>
    <w:link w:val="QuestionstyleChar"/>
    <w:autoRedefine/>
    <w:qFormat/>
    <w:rsid w:val="00F77851"/>
    <w:pPr>
      <w:numPr>
        <w:numId w:val="6"/>
      </w:numPr>
      <w:contextualSpacing/>
      <w:jc w:val="both"/>
    </w:pPr>
    <w:rPr>
      <w:rFonts w:asciiTheme="minorHAnsi" w:hAnsiTheme="minorHAnsi" w:cstheme="minorHAnsi"/>
      <w:sz w:val="22"/>
      <w:szCs w:val="22"/>
    </w:rPr>
  </w:style>
  <w:style w:type="character" w:customStyle="1" w:styleId="QuestionstyleChar">
    <w:name w:val="Question style Char"/>
    <w:basedOn w:val="DefaultParagraphFont"/>
    <w:link w:val="Questionstyle"/>
    <w:rsid w:val="00F77851"/>
    <w:rPr>
      <w:rFonts w:eastAsia="Times New Roman" w:cstheme="minorHAnsi"/>
      <w:sz w:val="22"/>
      <w:szCs w:val="22"/>
      <w:lang w:val="en-GB" w:eastAsia="en-GB"/>
    </w:rPr>
  </w:style>
  <w:style w:type="paragraph" w:customStyle="1" w:styleId="Listing2">
    <w:name w:val="Listing2"/>
    <w:basedOn w:val="Normal"/>
    <w:link w:val="Listing2Char"/>
    <w:autoRedefine/>
    <w:rsid w:val="00DF3785"/>
  </w:style>
  <w:style w:type="character" w:customStyle="1" w:styleId="Listing2Char">
    <w:name w:val="Listing2 Char"/>
    <w:basedOn w:val="DefaultParagraphFont"/>
    <w:link w:val="Listing2"/>
    <w:rsid w:val="00DF3785"/>
    <w:rPr>
      <w:lang w:val="en-GB"/>
    </w:rPr>
  </w:style>
  <w:style w:type="table" w:styleId="TableGrid">
    <w:name w:val="Table Grid"/>
    <w:basedOn w:val="TableNormal"/>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50534"/>
  </w:style>
  <w:style w:type="character" w:customStyle="1" w:styleId="EndnoteTextChar">
    <w:name w:val="Endnote Text Char"/>
    <w:basedOn w:val="DefaultParagraphFont"/>
    <w:link w:val="EndnoteText"/>
    <w:uiPriority w:val="99"/>
    <w:semiHidden/>
    <w:rsid w:val="00B50534"/>
    <w:rPr>
      <w:lang w:val="en-GB"/>
    </w:rPr>
  </w:style>
  <w:style w:type="character" w:styleId="EndnoteReference">
    <w:name w:val="endnote reference"/>
    <w:basedOn w:val="DefaultParagraphFont"/>
    <w:uiPriority w:val="99"/>
    <w:semiHidden/>
    <w:unhideWhenUsed/>
    <w:rsid w:val="00B50534"/>
    <w:rPr>
      <w:vertAlign w:val="superscript"/>
    </w:rPr>
  </w:style>
  <w:style w:type="paragraph" w:styleId="FootnoteText">
    <w:name w:val="footnote text"/>
    <w:basedOn w:val="Normal"/>
    <w:link w:val="FootnoteTextChar"/>
    <w:autoRedefine/>
    <w:uiPriority w:val="99"/>
    <w:semiHidden/>
    <w:unhideWhenUsed/>
    <w:qFormat/>
    <w:rsid w:val="006F53E8"/>
    <w:rPr>
      <w:sz w:val="16"/>
    </w:rPr>
  </w:style>
  <w:style w:type="character" w:customStyle="1" w:styleId="FootnoteTextChar">
    <w:name w:val="Footnote Text Char"/>
    <w:basedOn w:val="DefaultParagraphFont"/>
    <w:link w:val="FootnoteText"/>
    <w:uiPriority w:val="99"/>
    <w:semiHidden/>
    <w:rsid w:val="006F53E8"/>
    <w:rPr>
      <w:sz w:val="16"/>
      <w:lang w:val="en-GB"/>
    </w:rPr>
  </w:style>
  <w:style w:type="character" w:styleId="FootnoteReference">
    <w:name w:val="footnote reference"/>
    <w:aliases w:val="SUPERS,Footnote reference number,Footnote symbol,note TESI,-E Fußnotenzeichen,number,BVI fnr,Footnote Reference Superscript,(Footnote Reference),EN Footnote Reference,Voetnootverwijzing,Times 10 Point,Exposant 3 Poi,16 Point, BVI fnr"/>
    <w:basedOn w:val="DefaultParagraphFont"/>
    <w:uiPriority w:val="99"/>
    <w:unhideWhenUsed/>
    <w:qFormat/>
    <w:rsid w:val="00A91D91"/>
    <w:rPr>
      <w:rFonts w:asciiTheme="majorHAnsi" w:hAnsiTheme="majorHAnsi"/>
      <w:sz w:val="16"/>
      <w:vertAlign w:val="superscript"/>
    </w:rPr>
  </w:style>
  <w:style w:type="paragraph" w:customStyle="1" w:styleId="Footnote">
    <w:name w:val="Footnote"/>
    <w:basedOn w:val="FootnoteText"/>
    <w:link w:val="FootnoteChar"/>
    <w:rsid w:val="00B50534"/>
    <w:rPr>
      <w:lang w:val="nl-BE"/>
    </w:rPr>
  </w:style>
  <w:style w:type="character" w:customStyle="1" w:styleId="FootnoteChar">
    <w:name w:val="Footnote Char"/>
    <w:basedOn w:val="FootnoteTextChar"/>
    <w:link w:val="Footnote"/>
    <w:rsid w:val="00B50534"/>
    <w:rPr>
      <w:sz w:val="16"/>
      <w:lang w:val="en-GB"/>
    </w:rPr>
  </w:style>
  <w:style w:type="table" w:customStyle="1" w:styleId="GridTable4-Accent11">
    <w:name w:val="Grid Table 4 - Accent 11"/>
    <w:basedOn w:val="TableNormal"/>
    <w:uiPriority w:val="49"/>
    <w:rsid w:val="00B15C0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04aNumbering">
    <w:name w:val="04a_Numbering"/>
    <w:basedOn w:val="Normal"/>
    <w:rsid w:val="00287C8F"/>
    <w:pPr>
      <w:numPr>
        <w:numId w:val="5"/>
      </w:numPr>
      <w:tabs>
        <w:tab w:val="clear" w:pos="284"/>
        <w:tab w:val="num" w:pos="567"/>
      </w:tabs>
      <w:ind w:left="567" w:hanging="454"/>
    </w:pPr>
    <w:rPr>
      <w:rFonts w:ascii="Georgia" w:hAnsi="Georgia"/>
      <w:sz w:val="20"/>
      <w:lang w:eastAsia="de-DE"/>
    </w:rPr>
  </w:style>
  <w:style w:type="paragraph" w:styleId="BalloonText">
    <w:name w:val="Balloon Text"/>
    <w:basedOn w:val="Normal"/>
    <w:link w:val="BalloonTextChar"/>
    <w:uiPriority w:val="99"/>
    <w:semiHidden/>
    <w:unhideWhenUsed/>
    <w:rsid w:val="003C167E"/>
    <w:rPr>
      <w:rFonts w:ascii="Tahoma" w:hAnsi="Tahoma" w:cs="Tahoma"/>
      <w:sz w:val="16"/>
      <w:szCs w:val="16"/>
    </w:rPr>
  </w:style>
  <w:style w:type="character" w:customStyle="1" w:styleId="BalloonTextChar">
    <w:name w:val="Balloon Text Char"/>
    <w:basedOn w:val="DefaultParagraphFont"/>
    <w:link w:val="BalloonText"/>
    <w:uiPriority w:val="99"/>
    <w:semiHidden/>
    <w:rsid w:val="003C167E"/>
    <w:rPr>
      <w:rFonts w:ascii="Tahoma" w:hAnsi="Tahoma" w:cs="Tahoma"/>
      <w:sz w:val="16"/>
      <w:szCs w:val="16"/>
      <w:lang w:val="en-GB"/>
    </w:rPr>
  </w:style>
  <w:style w:type="character" w:styleId="CommentReference">
    <w:name w:val="annotation reference"/>
    <w:basedOn w:val="DefaultParagraphFont"/>
    <w:uiPriority w:val="99"/>
    <w:semiHidden/>
    <w:unhideWhenUsed/>
    <w:rsid w:val="00FA2400"/>
    <w:rPr>
      <w:sz w:val="16"/>
      <w:szCs w:val="16"/>
    </w:rPr>
  </w:style>
  <w:style w:type="paragraph" w:styleId="CommentText">
    <w:name w:val="annotation text"/>
    <w:basedOn w:val="Normal"/>
    <w:link w:val="CommentTextChar"/>
    <w:uiPriority w:val="99"/>
    <w:unhideWhenUsed/>
    <w:rsid w:val="00FA2400"/>
    <w:rPr>
      <w:sz w:val="20"/>
    </w:rPr>
  </w:style>
  <w:style w:type="character" w:customStyle="1" w:styleId="CommentTextChar">
    <w:name w:val="Comment Text Char"/>
    <w:basedOn w:val="DefaultParagraphFont"/>
    <w:link w:val="CommentText"/>
    <w:uiPriority w:val="99"/>
    <w:rsid w:val="00FA2400"/>
    <w:rPr>
      <w:lang w:val="en-GB"/>
    </w:rPr>
  </w:style>
  <w:style w:type="paragraph" w:styleId="CommentSubject">
    <w:name w:val="annotation subject"/>
    <w:basedOn w:val="CommentText"/>
    <w:next w:val="CommentText"/>
    <w:link w:val="CommentSubjectChar"/>
    <w:uiPriority w:val="99"/>
    <w:semiHidden/>
    <w:unhideWhenUsed/>
    <w:rsid w:val="00FA2400"/>
    <w:rPr>
      <w:b/>
      <w:bCs/>
    </w:rPr>
  </w:style>
  <w:style w:type="character" w:customStyle="1" w:styleId="CommentSubjectChar">
    <w:name w:val="Comment Subject Char"/>
    <w:basedOn w:val="CommentTextChar"/>
    <w:link w:val="CommentSubject"/>
    <w:uiPriority w:val="99"/>
    <w:semiHidden/>
    <w:rsid w:val="00FA2400"/>
    <w:rPr>
      <w:b/>
      <w:bCs/>
      <w:lang w:val="en-GB"/>
    </w:rPr>
  </w:style>
  <w:style w:type="paragraph" w:styleId="Revision">
    <w:name w:val="Revision"/>
    <w:hidden/>
    <w:uiPriority w:val="99"/>
    <w:semiHidden/>
    <w:rsid w:val="00FD2677"/>
    <w:pPr>
      <w:spacing w:after="0" w:line="240" w:lineRule="auto"/>
    </w:pPr>
    <w:rPr>
      <w:sz w:val="22"/>
      <w:lang w:val="en-GB"/>
    </w:rPr>
  </w:style>
  <w:style w:type="paragraph" w:customStyle="1" w:styleId="body">
    <w:name w:val="body"/>
    <w:qFormat/>
    <w:rsid w:val="00750210"/>
    <w:pPr>
      <w:spacing w:before="240" w:line="276" w:lineRule="auto"/>
      <w:jc w:val="both"/>
    </w:pPr>
    <w:rPr>
      <w:sz w:val="22"/>
      <w:szCs w:val="24"/>
      <w:lang w:val="en-US"/>
    </w:rPr>
  </w:style>
  <w:style w:type="character" w:styleId="FollowedHyperlink">
    <w:name w:val="FollowedHyperlink"/>
    <w:basedOn w:val="DefaultParagraphFont"/>
    <w:uiPriority w:val="99"/>
    <w:semiHidden/>
    <w:unhideWhenUsed/>
    <w:rsid w:val="007B354B"/>
    <w:rPr>
      <w:color w:val="954F72" w:themeColor="followedHyperlink"/>
      <w:u w:val="single"/>
    </w:rPr>
  </w:style>
  <w:style w:type="paragraph" w:styleId="NormalWeb">
    <w:name w:val="Normal (Web)"/>
    <w:basedOn w:val="Normal"/>
    <w:uiPriority w:val="99"/>
    <w:semiHidden/>
    <w:unhideWhenUsed/>
    <w:rsid w:val="00B424F5"/>
    <w:pPr>
      <w:spacing w:before="100" w:beforeAutospacing="1" w:after="100" w:afterAutospacing="1"/>
    </w:pPr>
  </w:style>
  <w:style w:type="character" w:customStyle="1" w:styleId="outputecliaff">
    <w:name w:val="outputecliaff"/>
    <w:basedOn w:val="DefaultParagraphFont"/>
    <w:rsid w:val="00595F08"/>
  </w:style>
  <w:style w:type="paragraph" w:customStyle="1" w:styleId="05HeadlinenoIndex">
    <w:name w:val="05_Headline no Index"/>
    <w:basedOn w:val="Normal"/>
    <w:rsid w:val="005C7E1F"/>
    <w:pPr>
      <w:spacing w:after="250" w:line="300" w:lineRule="exact"/>
      <w:jc w:val="both"/>
    </w:pPr>
    <w:rPr>
      <w:rFonts w:ascii="Georgia" w:hAnsi="Georgia"/>
      <w:b/>
      <w:lang w:eastAsia="de-DE"/>
    </w:rPr>
  </w:style>
  <w:style w:type="paragraph" w:customStyle="1" w:styleId="04BodyText">
    <w:name w:val="04_Body Text"/>
    <w:basedOn w:val="Normal"/>
    <w:link w:val="04BodyTextChar"/>
    <w:uiPriority w:val="99"/>
    <w:rsid w:val="00BC5128"/>
    <w:pPr>
      <w:spacing w:after="250" w:line="276" w:lineRule="auto"/>
      <w:jc w:val="both"/>
    </w:pPr>
    <w:rPr>
      <w:rFonts w:ascii="Georgia" w:hAnsi="Georgia"/>
      <w:sz w:val="20"/>
      <w:lang w:eastAsia="de-DE"/>
    </w:rPr>
  </w:style>
  <w:style w:type="character" w:customStyle="1" w:styleId="04BodyTextChar">
    <w:name w:val="04_Body Text Char"/>
    <w:link w:val="04BodyText"/>
    <w:uiPriority w:val="99"/>
    <w:rsid w:val="00BC5128"/>
    <w:rPr>
      <w:rFonts w:ascii="Georgia" w:eastAsia="Times New Roman" w:hAnsi="Georgia" w:cs="Times New Roman"/>
      <w:szCs w:val="24"/>
      <w:lang w:val="en-GB" w:eastAsia="de-DE"/>
    </w:rPr>
  </w:style>
  <w:style w:type="table" w:customStyle="1" w:styleId="TableGrid1">
    <w:name w:val="Table Grid1"/>
    <w:basedOn w:val="TableNormal"/>
    <w:next w:val="TableGrid"/>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Paragraphe EI Char,Paragraphe de liste1 Char,EC Char,Paragraphe de liste Char,Normal Nivel 1 Char,List Paragraph Main Char,List first level Char,List Paragraph_Sections Char"/>
    <w:basedOn w:val="DefaultParagraphFont"/>
    <w:link w:val="ListParagraph"/>
    <w:uiPriority w:val="34"/>
    <w:rsid w:val="006A14F0"/>
    <w:rPr>
      <w:rFonts w:eastAsiaTheme="majorEastAsia" w:cstheme="minorHAnsi"/>
      <w:sz w:val="22"/>
      <w:szCs w:val="22"/>
      <w:lang w:val="en-GB" w:eastAsia="en-GB"/>
    </w:rPr>
  </w:style>
  <w:style w:type="table" w:customStyle="1" w:styleId="TableGrid3">
    <w:name w:val="Table Grid3"/>
    <w:basedOn w:val="TableNormal"/>
    <w:uiPriority w:val="59"/>
    <w:rsid w:val="00F372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A2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312966">
      <w:bodyDiv w:val="1"/>
      <w:marLeft w:val="0"/>
      <w:marRight w:val="0"/>
      <w:marTop w:val="0"/>
      <w:marBottom w:val="0"/>
      <w:divBdr>
        <w:top w:val="none" w:sz="0" w:space="0" w:color="auto"/>
        <w:left w:val="none" w:sz="0" w:space="0" w:color="auto"/>
        <w:bottom w:val="none" w:sz="0" w:space="0" w:color="auto"/>
        <w:right w:val="none" w:sz="0" w:space="0" w:color="auto"/>
      </w:divBdr>
    </w:div>
    <w:div w:id="79907767">
      <w:bodyDiv w:val="1"/>
      <w:marLeft w:val="0"/>
      <w:marRight w:val="0"/>
      <w:marTop w:val="0"/>
      <w:marBottom w:val="0"/>
      <w:divBdr>
        <w:top w:val="none" w:sz="0" w:space="0" w:color="auto"/>
        <w:left w:val="none" w:sz="0" w:space="0" w:color="auto"/>
        <w:bottom w:val="none" w:sz="0" w:space="0" w:color="auto"/>
        <w:right w:val="none" w:sz="0" w:space="0" w:color="auto"/>
      </w:divBdr>
    </w:div>
    <w:div w:id="195436536">
      <w:bodyDiv w:val="1"/>
      <w:marLeft w:val="0"/>
      <w:marRight w:val="0"/>
      <w:marTop w:val="0"/>
      <w:marBottom w:val="0"/>
      <w:divBdr>
        <w:top w:val="none" w:sz="0" w:space="0" w:color="auto"/>
        <w:left w:val="none" w:sz="0" w:space="0" w:color="auto"/>
        <w:bottom w:val="none" w:sz="0" w:space="0" w:color="auto"/>
        <w:right w:val="none" w:sz="0" w:space="0" w:color="auto"/>
      </w:divBdr>
      <w:divsChild>
        <w:div w:id="2053576486">
          <w:marLeft w:val="547"/>
          <w:marRight w:val="0"/>
          <w:marTop w:val="120"/>
          <w:marBottom w:val="120"/>
          <w:divBdr>
            <w:top w:val="none" w:sz="0" w:space="0" w:color="auto"/>
            <w:left w:val="none" w:sz="0" w:space="0" w:color="auto"/>
            <w:bottom w:val="none" w:sz="0" w:space="0" w:color="auto"/>
            <w:right w:val="none" w:sz="0" w:space="0" w:color="auto"/>
          </w:divBdr>
        </w:div>
      </w:divsChild>
    </w:div>
    <w:div w:id="308559352">
      <w:bodyDiv w:val="1"/>
      <w:marLeft w:val="0"/>
      <w:marRight w:val="0"/>
      <w:marTop w:val="0"/>
      <w:marBottom w:val="0"/>
      <w:divBdr>
        <w:top w:val="none" w:sz="0" w:space="0" w:color="auto"/>
        <w:left w:val="none" w:sz="0" w:space="0" w:color="auto"/>
        <w:bottom w:val="none" w:sz="0" w:space="0" w:color="auto"/>
        <w:right w:val="none" w:sz="0" w:space="0" w:color="auto"/>
      </w:divBdr>
    </w:div>
    <w:div w:id="558631356">
      <w:bodyDiv w:val="1"/>
      <w:marLeft w:val="0"/>
      <w:marRight w:val="0"/>
      <w:marTop w:val="0"/>
      <w:marBottom w:val="0"/>
      <w:divBdr>
        <w:top w:val="none" w:sz="0" w:space="0" w:color="auto"/>
        <w:left w:val="none" w:sz="0" w:space="0" w:color="auto"/>
        <w:bottom w:val="none" w:sz="0" w:space="0" w:color="auto"/>
        <w:right w:val="none" w:sz="0" w:space="0" w:color="auto"/>
      </w:divBdr>
    </w:div>
    <w:div w:id="607393598">
      <w:bodyDiv w:val="1"/>
      <w:marLeft w:val="0"/>
      <w:marRight w:val="0"/>
      <w:marTop w:val="0"/>
      <w:marBottom w:val="0"/>
      <w:divBdr>
        <w:top w:val="none" w:sz="0" w:space="0" w:color="auto"/>
        <w:left w:val="none" w:sz="0" w:space="0" w:color="auto"/>
        <w:bottom w:val="none" w:sz="0" w:space="0" w:color="auto"/>
        <w:right w:val="none" w:sz="0" w:space="0" w:color="auto"/>
      </w:divBdr>
      <w:divsChild>
        <w:div w:id="719549589">
          <w:marLeft w:val="0"/>
          <w:marRight w:val="0"/>
          <w:marTop w:val="0"/>
          <w:marBottom w:val="0"/>
          <w:divBdr>
            <w:top w:val="none" w:sz="0" w:space="0" w:color="auto"/>
            <w:left w:val="none" w:sz="0" w:space="0" w:color="auto"/>
            <w:bottom w:val="none" w:sz="0" w:space="0" w:color="auto"/>
            <w:right w:val="none" w:sz="0" w:space="0" w:color="auto"/>
          </w:divBdr>
          <w:divsChild>
            <w:div w:id="715467520">
              <w:marLeft w:val="0"/>
              <w:marRight w:val="0"/>
              <w:marTop w:val="0"/>
              <w:marBottom w:val="0"/>
              <w:divBdr>
                <w:top w:val="none" w:sz="0" w:space="0" w:color="auto"/>
                <w:left w:val="none" w:sz="0" w:space="0" w:color="auto"/>
                <w:bottom w:val="none" w:sz="0" w:space="0" w:color="auto"/>
                <w:right w:val="none" w:sz="0" w:space="0" w:color="auto"/>
              </w:divBdr>
              <w:divsChild>
                <w:div w:id="1683974626">
                  <w:marLeft w:val="0"/>
                  <w:marRight w:val="0"/>
                  <w:marTop w:val="0"/>
                  <w:marBottom w:val="0"/>
                  <w:divBdr>
                    <w:top w:val="none" w:sz="0" w:space="0" w:color="auto"/>
                    <w:left w:val="none" w:sz="0" w:space="0" w:color="auto"/>
                    <w:bottom w:val="none" w:sz="0" w:space="0" w:color="auto"/>
                    <w:right w:val="none" w:sz="0" w:space="0" w:color="auto"/>
                  </w:divBdr>
                  <w:divsChild>
                    <w:div w:id="1551724287">
                      <w:marLeft w:val="1"/>
                      <w:marRight w:val="1"/>
                      <w:marTop w:val="0"/>
                      <w:marBottom w:val="0"/>
                      <w:divBdr>
                        <w:top w:val="none" w:sz="0" w:space="0" w:color="auto"/>
                        <w:left w:val="none" w:sz="0" w:space="0" w:color="auto"/>
                        <w:bottom w:val="none" w:sz="0" w:space="0" w:color="auto"/>
                        <w:right w:val="none" w:sz="0" w:space="0" w:color="auto"/>
                      </w:divBdr>
                      <w:divsChild>
                        <w:div w:id="1105809413">
                          <w:marLeft w:val="0"/>
                          <w:marRight w:val="0"/>
                          <w:marTop w:val="0"/>
                          <w:marBottom w:val="0"/>
                          <w:divBdr>
                            <w:top w:val="none" w:sz="0" w:space="0" w:color="auto"/>
                            <w:left w:val="none" w:sz="0" w:space="0" w:color="auto"/>
                            <w:bottom w:val="none" w:sz="0" w:space="0" w:color="auto"/>
                            <w:right w:val="none" w:sz="0" w:space="0" w:color="auto"/>
                          </w:divBdr>
                          <w:divsChild>
                            <w:div w:id="527523748">
                              <w:marLeft w:val="0"/>
                              <w:marRight w:val="0"/>
                              <w:marTop w:val="0"/>
                              <w:marBottom w:val="360"/>
                              <w:divBdr>
                                <w:top w:val="none" w:sz="0" w:space="0" w:color="auto"/>
                                <w:left w:val="none" w:sz="0" w:space="0" w:color="auto"/>
                                <w:bottom w:val="none" w:sz="0" w:space="0" w:color="auto"/>
                                <w:right w:val="none" w:sz="0" w:space="0" w:color="auto"/>
                              </w:divBdr>
                              <w:divsChild>
                                <w:div w:id="1643266757">
                                  <w:marLeft w:val="0"/>
                                  <w:marRight w:val="0"/>
                                  <w:marTop w:val="0"/>
                                  <w:marBottom w:val="0"/>
                                  <w:divBdr>
                                    <w:top w:val="none" w:sz="0" w:space="0" w:color="auto"/>
                                    <w:left w:val="none" w:sz="0" w:space="0" w:color="auto"/>
                                    <w:bottom w:val="none" w:sz="0" w:space="0" w:color="auto"/>
                                    <w:right w:val="none" w:sz="0" w:space="0" w:color="auto"/>
                                  </w:divBdr>
                                  <w:divsChild>
                                    <w:div w:id="79509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310116">
      <w:bodyDiv w:val="1"/>
      <w:marLeft w:val="0"/>
      <w:marRight w:val="0"/>
      <w:marTop w:val="0"/>
      <w:marBottom w:val="0"/>
      <w:divBdr>
        <w:top w:val="none" w:sz="0" w:space="0" w:color="auto"/>
        <w:left w:val="none" w:sz="0" w:space="0" w:color="auto"/>
        <w:bottom w:val="none" w:sz="0" w:space="0" w:color="auto"/>
        <w:right w:val="none" w:sz="0" w:space="0" w:color="auto"/>
      </w:divBdr>
      <w:divsChild>
        <w:div w:id="2113477775">
          <w:marLeft w:val="0"/>
          <w:marRight w:val="0"/>
          <w:marTop w:val="0"/>
          <w:marBottom w:val="0"/>
          <w:divBdr>
            <w:top w:val="none" w:sz="0" w:space="0" w:color="auto"/>
            <w:left w:val="none" w:sz="0" w:space="0" w:color="auto"/>
            <w:bottom w:val="none" w:sz="0" w:space="0" w:color="auto"/>
            <w:right w:val="none" w:sz="0" w:space="0" w:color="auto"/>
          </w:divBdr>
          <w:divsChild>
            <w:div w:id="1261253972">
              <w:marLeft w:val="0"/>
              <w:marRight w:val="0"/>
              <w:marTop w:val="0"/>
              <w:marBottom w:val="0"/>
              <w:divBdr>
                <w:top w:val="none" w:sz="0" w:space="0" w:color="auto"/>
                <w:left w:val="none" w:sz="0" w:space="0" w:color="auto"/>
                <w:bottom w:val="none" w:sz="0" w:space="0" w:color="auto"/>
                <w:right w:val="none" w:sz="0" w:space="0" w:color="auto"/>
              </w:divBdr>
              <w:divsChild>
                <w:div w:id="517893123">
                  <w:marLeft w:val="0"/>
                  <w:marRight w:val="0"/>
                  <w:marTop w:val="0"/>
                  <w:marBottom w:val="0"/>
                  <w:divBdr>
                    <w:top w:val="none" w:sz="0" w:space="0" w:color="auto"/>
                    <w:left w:val="none" w:sz="0" w:space="0" w:color="auto"/>
                    <w:bottom w:val="none" w:sz="0" w:space="0" w:color="auto"/>
                    <w:right w:val="none" w:sz="0" w:space="0" w:color="auto"/>
                  </w:divBdr>
                  <w:divsChild>
                    <w:div w:id="1599218891">
                      <w:marLeft w:val="1"/>
                      <w:marRight w:val="1"/>
                      <w:marTop w:val="0"/>
                      <w:marBottom w:val="0"/>
                      <w:divBdr>
                        <w:top w:val="none" w:sz="0" w:space="0" w:color="auto"/>
                        <w:left w:val="none" w:sz="0" w:space="0" w:color="auto"/>
                        <w:bottom w:val="none" w:sz="0" w:space="0" w:color="auto"/>
                        <w:right w:val="none" w:sz="0" w:space="0" w:color="auto"/>
                      </w:divBdr>
                      <w:divsChild>
                        <w:div w:id="1515613444">
                          <w:marLeft w:val="0"/>
                          <w:marRight w:val="0"/>
                          <w:marTop w:val="0"/>
                          <w:marBottom w:val="0"/>
                          <w:divBdr>
                            <w:top w:val="none" w:sz="0" w:space="0" w:color="auto"/>
                            <w:left w:val="none" w:sz="0" w:space="0" w:color="auto"/>
                            <w:bottom w:val="none" w:sz="0" w:space="0" w:color="auto"/>
                            <w:right w:val="none" w:sz="0" w:space="0" w:color="auto"/>
                          </w:divBdr>
                          <w:divsChild>
                            <w:div w:id="639384916">
                              <w:marLeft w:val="0"/>
                              <w:marRight w:val="0"/>
                              <w:marTop w:val="0"/>
                              <w:marBottom w:val="360"/>
                              <w:divBdr>
                                <w:top w:val="none" w:sz="0" w:space="0" w:color="auto"/>
                                <w:left w:val="none" w:sz="0" w:space="0" w:color="auto"/>
                                <w:bottom w:val="none" w:sz="0" w:space="0" w:color="auto"/>
                                <w:right w:val="none" w:sz="0" w:space="0" w:color="auto"/>
                              </w:divBdr>
                              <w:divsChild>
                                <w:div w:id="1081947748">
                                  <w:marLeft w:val="0"/>
                                  <w:marRight w:val="0"/>
                                  <w:marTop w:val="0"/>
                                  <w:marBottom w:val="0"/>
                                  <w:divBdr>
                                    <w:top w:val="none" w:sz="0" w:space="0" w:color="auto"/>
                                    <w:left w:val="none" w:sz="0" w:space="0" w:color="auto"/>
                                    <w:bottom w:val="none" w:sz="0" w:space="0" w:color="auto"/>
                                    <w:right w:val="none" w:sz="0" w:space="0" w:color="auto"/>
                                  </w:divBdr>
                                  <w:divsChild>
                                    <w:div w:id="40056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1907172">
      <w:bodyDiv w:val="1"/>
      <w:marLeft w:val="0"/>
      <w:marRight w:val="0"/>
      <w:marTop w:val="0"/>
      <w:marBottom w:val="0"/>
      <w:divBdr>
        <w:top w:val="none" w:sz="0" w:space="0" w:color="auto"/>
        <w:left w:val="none" w:sz="0" w:space="0" w:color="auto"/>
        <w:bottom w:val="none" w:sz="0" w:space="0" w:color="auto"/>
        <w:right w:val="none" w:sz="0" w:space="0" w:color="auto"/>
      </w:divBdr>
    </w:div>
    <w:div w:id="654142365">
      <w:bodyDiv w:val="1"/>
      <w:marLeft w:val="0"/>
      <w:marRight w:val="0"/>
      <w:marTop w:val="0"/>
      <w:marBottom w:val="0"/>
      <w:divBdr>
        <w:top w:val="none" w:sz="0" w:space="0" w:color="auto"/>
        <w:left w:val="none" w:sz="0" w:space="0" w:color="auto"/>
        <w:bottom w:val="none" w:sz="0" w:space="0" w:color="auto"/>
        <w:right w:val="none" w:sz="0" w:space="0" w:color="auto"/>
      </w:divBdr>
      <w:divsChild>
        <w:div w:id="829757675">
          <w:marLeft w:val="547"/>
          <w:marRight w:val="0"/>
          <w:marTop w:val="120"/>
          <w:marBottom w:val="120"/>
          <w:divBdr>
            <w:top w:val="none" w:sz="0" w:space="0" w:color="auto"/>
            <w:left w:val="none" w:sz="0" w:space="0" w:color="auto"/>
            <w:bottom w:val="none" w:sz="0" w:space="0" w:color="auto"/>
            <w:right w:val="none" w:sz="0" w:space="0" w:color="auto"/>
          </w:divBdr>
        </w:div>
        <w:div w:id="1430617638">
          <w:marLeft w:val="547"/>
          <w:marRight w:val="0"/>
          <w:marTop w:val="120"/>
          <w:marBottom w:val="120"/>
          <w:divBdr>
            <w:top w:val="none" w:sz="0" w:space="0" w:color="auto"/>
            <w:left w:val="none" w:sz="0" w:space="0" w:color="auto"/>
            <w:bottom w:val="none" w:sz="0" w:space="0" w:color="auto"/>
            <w:right w:val="none" w:sz="0" w:space="0" w:color="auto"/>
          </w:divBdr>
        </w:div>
      </w:divsChild>
    </w:div>
    <w:div w:id="667555890">
      <w:bodyDiv w:val="1"/>
      <w:marLeft w:val="0"/>
      <w:marRight w:val="0"/>
      <w:marTop w:val="0"/>
      <w:marBottom w:val="0"/>
      <w:divBdr>
        <w:top w:val="none" w:sz="0" w:space="0" w:color="auto"/>
        <w:left w:val="none" w:sz="0" w:space="0" w:color="auto"/>
        <w:bottom w:val="none" w:sz="0" w:space="0" w:color="auto"/>
        <w:right w:val="none" w:sz="0" w:space="0" w:color="auto"/>
      </w:divBdr>
      <w:divsChild>
        <w:div w:id="627320154">
          <w:marLeft w:val="547"/>
          <w:marRight w:val="0"/>
          <w:marTop w:val="120"/>
          <w:marBottom w:val="120"/>
          <w:divBdr>
            <w:top w:val="none" w:sz="0" w:space="0" w:color="auto"/>
            <w:left w:val="none" w:sz="0" w:space="0" w:color="auto"/>
            <w:bottom w:val="none" w:sz="0" w:space="0" w:color="auto"/>
            <w:right w:val="none" w:sz="0" w:space="0" w:color="auto"/>
          </w:divBdr>
        </w:div>
        <w:div w:id="437221792">
          <w:marLeft w:val="547"/>
          <w:marRight w:val="0"/>
          <w:marTop w:val="120"/>
          <w:marBottom w:val="120"/>
          <w:divBdr>
            <w:top w:val="none" w:sz="0" w:space="0" w:color="auto"/>
            <w:left w:val="none" w:sz="0" w:space="0" w:color="auto"/>
            <w:bottom w:val="none" w:sz="0" w:space="0" w:color="auto"/>
            <w:right w:val="none" w:sz="0" w:space="0" w:color="auto"/>
          </w:divBdr>
        </w:div>
      </w:divsChild>
    </w:div>
    <w:div w:id="805780515">
      <w:bodyDiv w:val="1"/>
      <w:marLeft w:val="0"/>
      <w:marRight w:val="0"/>
      <w:marTop w:val="0"/>
      <w:marBottom w:val="0"/>
      <w:divBdr>
        <w:top w:val="none" w:sz="0" w:space="0" w:color="auto"/>
        <w:left w:val="none" w:sz="0" w:space="0" w:color="auto"/>
        <w:bottom w:val="none" w:sz="0" w:space="0" w:color="auto"/>
        <w:right w:val="none" w:sz="0" w:space="0" w:color="auto"/>
      </w:divBdr>
      <w:divsChild>
        <w:div w:id="1467972504">
          <w:marLeft w:val="547"/>
          <w:marRight w:val="0"/>
          <w:marTop w:val="120"/>
          <w:marBottom w:val="120"/>
          <w:divBdr>
            <w:top w:val="none" w:sz="0" w:space="0" w:color="auto"/>
            <w:left w:val="none" w:sz="0" w:space="0" w:color="auto"/>
            <w:bottom w:val="none" w:sz="0" w:space="0" w:color="auto"/>
            <w:right w:val="none" w:sz="0" w:space="0" w:color="auto"/>
          </w:divBdr>
        </w:div>
        <w:div w:id="1093010987">
          <w:marLeft w:val="547"/>
          <w:marRight w:val="0"/>
          <w:marTop w:val="120"/>
          <w:marBottom w:val="120"/>
          <w:divBdr>
            <w:top w:val="none" w:sz="0" w:space="0" w:color="auto"/>
            <w:left w:val="none" w:sz="0" w:space="0" w:color="auto"/>
            <w:bottom w:val="none" w:sz="0" w:space="0" w:color="auto"/>
            <w:right w:val="none" w:sz="0" w:space="0" w:color="auto"/>
          </w:divBdr>
        </w:div>
      </w:divsChild>
    </w:div>
    <w:div w:id="821391096">
      <w:bodyDiv w:val="1"/>
      <w:marLeft w:val="0"/>
      <w:marRight w:val="0"/>
      <w:marTop w:val="0"/>
      <w:marBottom w:val="0"/>
      <w:divBdr>
        <w:top w:val="none" w:sz="0" w:space="0" w:color="auto"/>
        <w:left w:val="none" w:sz="0" w:space="0" w:color="auto"/>
        <w:bottom w:val="none" w:sz="0" w:space="0" w:color="auto"/>
        <w:right w:val="none" w:sz="0" w:space="0" w:color="auto"/>
      </w:divBdr>
    </w:div>
    <w:div w:id="828716617">
      <w:bodyDiv w:val="1"/>
      <w:marLeft w:val="0"/>
      <w:marRight w:val="0"/>
      <w:marTop w:val="0"/>
      <w:marBottom w:val="0"/>
      <w:divBdr>
        <w:top w:val="none" w:sz="0" w:space="0" w:color="auto"/>
        <w:left w:val="none" w:sz="0" w:space="0" w:color="auto"/>
        <w:bottom w:val="none" w:sz="0" w:space="0" w:color="auto"/>
        <w:right w:val="none" w:sz="0" w:space="0" w:color="auto"/>
      </w:divBdr>
    </w:div>
    <w:div w:id="843976993">
      <w:bodyDiv w:val="1"/>
      <w:marLeft w:val="0"/>
      <w:marRight w:val="0"/>
      <w:marTop w:val="0"/>
      <w:marBottom w:val="0"/>
      <w:divBdr>
        <w:top w:val="none" w:sz="0" w:space="0" w:color="auto"/>
        <w:left w:val="none" w:sz="0" w:space="0" w:color="auto"/>
        <w:bottom w:val="none" w:sz="0" w:space="0" w:color="auto"/>
        <w:right w:val="none" w:sz="0" w:space="0" w:color="auto"/>
      </w:divBdr>
    </w:div>
    <w:div w:id="871646249">
      <w:bodyDiv w:val="1"/>
      <w:marLeft w:val="0"/>
      <w:marRight w:val="0"/>
      <w:marTop w:val="0"/>
      <w:marBottom w:val="0"/>
      <w:divBdr>
        <w:top w:val="none" w:sz="0" w:space="0" w:color="auto"/>
        <w:left w:val="none" w:sz="0" w:space="0" w:color="auto"/>
        <w:bottom w:val="none" w:sz="0" w:space="0" w:color="auto"/>
        <w:right w:val="none" w:sz="0" w:space="0" w:color="auto"/>
      </w:divBdr>
      <w:divsChild>
        <w:div w:id="531115712">
          <w:marLeft w:val="547"/>
          <w:marRight w:val="0"/>
          <w:marTop w:val="120"/>
          <w:marBottom w:val="120"/>
          <w:divBdr>
            <w:top w:val="none" w:sz="0" w:space="0" w:color="auto"/>
            <w:left w:val="none" w:sz="0" w:space="0" w:color="auto"/>
            <w:bottom w:val="none" w:sz="0" w:space="0" w:color="auto"/>
            <w:right w:val="none" w:sz="0" w:space="0" w:color="auto"/>
          </w:divBdr>
        </w:div>
        <w:div w:id="1251349587">
          <w:marLeft w:val="547"/>
          <w:marRight w:val="0"/>
          <w:marTop w:val="120"/>
          <w:marBottom w:val="120"/>
          <w:divBdr>
            <w:top w:val="none" w:sz="0" w:space="0" w:color="auto"/>
            <w:left w:val="none" w:sz="0" w:space="0" w:color="auto"/>
            <w:bottom w:val="none" w:sz="0" w:space="0" w:color="auto"/>
            <w:right w:val="none" w:sz="0" w:space="0" w:color="auto"/>
          </w:divBdr>
        </w:div>
      </w:divsChild>
    </w:div>
    <w:div w:id="974680293">
      <w:bodyDiv w:val="1"/>
      <w:marLeft w:val="0"/>
      <w:marRight w:val="0"/>
      <w:marTop w:val="0"/>
      <w:marBottom w:val="0"/>
      <w:divBdr>
        <w:top w:val="none" w:sz="0" w:space="0" w:color="auto"/>
        <w:left w:val="none" w:sz="0" w:space="0" w:color="auto"/>
        <w:bottom w:val="none" w:sz="0" w:space="0" w:color="auto"/>
        <w:right w:val="none" w:sz="0" w:space="0" w:color="auto"/>
      </w:divBdr>
    </w:div>
    <w:div w:id="1084842750">
      <w:bodyDiv w:val="1"/>
      <w:marLeft w:val="0"/>
      <w:marRight w:val="0"/>
      <w:marTop w:val="0"/>
      <w:marBottom w:val="0"/>
      <w:divBdr>
        <w:top w:val="none" w:sz="0" w:space="0" w:color="auto"/>
        <w:left w:val="none" w:sz="0" w:space="0" w:color="auto"/>
        <w:bottom w:val="none" w:sz="0" w:space="0" w:color="auto"/>
        <w:right w:val="none" w:sz="0" w:space="0" w:color="auto"/>
      </w:divBdr>
      <w:divsChild>
        <w:div w:id="1170751860">
          <w:marLeft w:val="547"/>
          <w:marRight w:val="0"/>
          <w:marTop w:val="120"/>
          <w:marBottom w:val="120"/>
          <w:divBdr>
            <w:top w:val="none" w:sz="0" w:space="0" w:color="auto"/>
            <w:left w:val="none" w:sz="0" w:space="0" w:color="auto"/>
            <w:bottom w:val="none" w:sz="0" w:space="0" w:color="auto"/>
            <w:right w:val="none" w:sz="0" w:space="0" w:color="auto"/>
          </w:divBdr>
        </w:div>
        <w:div w:id="1558198995">
          <w:marLeft w:val="547"/>
          <w:marRight w:val="0"/>
          <w:marTop w:val="120"/>
          <w:marBottom w:val="120"/>
          <w:divBdr>
            <w:top w:val="none" w:sz="0" w:space="0" w:color="auto"/>
            <w:left w:val="none" w:sz="0" w:space="0" w:color="auto"/>
            <w:bottom w:val="none" w:sz="0" w:space="0" w:color="auto"/>
            <w:right w:val="none" w:sz="0" w:space="0" w:color="auto"/>
          </w:divBdr>
        </w:div>
      </w:divsChild>
    </w:div>
    <w:div w:id="1106535437">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335379244">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9058892">
      <w:bodyDiv w:val="1"/>
      <w:marLeft w:val="0"/>
      <w:marRight w:val="0"/>
      <w:marTop w:val="0"/>
      <w:marBottom w:val="0"/>
      <w:divBdr>
        <w:top w:val="none" w:sz="0" w:space="0" w:color="auto"/>
        <w:left w:val="none" w:sz="0" w:space="0" w:color="auto"/>
        <w:bottom w:val="none" w:sz="0" w:space="0" w:color="auto"/>
        <w:right w:val="none" w:sz="0" w:space="0" w:color="auto"/>
      </w:divBdr>
      <w:divsChild>
        <w:div w:id="1554805026">
          <w:marLeft w:val="547"/>
          <w:marRight w:val="0"/>
          <w:marTop w:val="120"/>
          <w:marBottom w:val="120"/>
          <w:divBdr>
            <w:top w:val="none" w:sz="0" w:space="0" w:color="auto"/>
            <w:left w:val="none" w:sz="0" w:space="0" w:color="auto"/>
            <w:bottom w:val="none" w:sz="0" w:space="0" w:color="auto"/>
            <w:right w:val="none" w:sz="0" w:space="0" w:color="auto"/>
          </w:divBdr>
        </w:div>
        <w:div w:id="1500736113">
          <w:marLeft w:val="1267"/>
          <w:marRight w:val="0"/>
          <w:marTop w:val="120"/>
          <w:marBottom w:val="120"/>
          <w:divBdr>
            <w:top w:val="none" w:sz="0" w:space="0" w:color="auto"/>
            <w:left w:val="none" w:sz="0" w:space="0" w:color="auto"/>
            <w:bottom w:val="none" w:sz="0" w:space="0" w:color="auto"/>
            <w:right w:val="none" w:sz="0" w:space="0" w:color="auto"/>
          </w:divBdr>
        </w:div>
        <w:div w:id="1184972619">
          <w:marLeft w:val="1267"/>
          <w:marRight w:val="0"/>
          <w:marTop w:val="120"/>
          <w:marBottom w:val="120"/>
          <w:divBdr>
            <w:top w:val="none" w:sz="0" w:space="0" w:color="auto"/>
            <w:left w:val="none" w:sz="0" w:space="0" w:color="auto"/>
            <w:bottom w:val="none" w:sz="0" w:space="0" w:color="auto"/>
            <w:right w:val="none" w:sz="0" w:space="0" w:color="auto"/>
          </w:divBdr>
        </w:div>
        <w:div w:id="1378621289">
          <w:marLeft w:val="547"/>
          <w:marRight w:val="0"/>
          <w:marTop w:val="120"/>
          <w:marBottom w:val="120"/>
          <w:divBdr>
            <w:top w:val="none" w:sz="0" w:space="0" w:color="auto"/>
            <w:left w:val="none" w:sz="0" w:space="0" w:color="auto"/>
            <w:bottom w:val="none" w:sz="0" w:space="0" w:color="auto"/>
            <w:right w:val="none" w:sz="0" w:space="0" w:color="auto"/>
          </w:divBdr>
        </w:div>
        <w:div w:id="1932665473">
          <w:marLeft w:val="547"/>
          <w:marRight w:val="0"/>
          <w:marTop w:val="120"/>
          <w:marBottom w:val="120"/>
          <w:divBdr>
            <w:top w:val="none" w:sz="0" w:space="0" w:color="auto"/>
            <w:left w:val="none" w:sz="0" w:space="0" w:color="auto"/>
            <w:bottom w:val="none" w:sz="0" w:space="0" w:color="auto"/>
            <w:right w:val="none" w:sz="0" w:space="0" w:color="auto"/>
          </w:divBdr>
        </w:div>
      </w:divsChild>
    </w:div>
    <w:div w:id="1358581502">
      <w:bodyDiv w:val="1"/>
      <w:marLeft w:val="0"/>
      <w:marRight w:val="0"/>
      <w:marTop w:val="0"/>
      <w:marBottom w:val="0"/>
      <w:divBdr>
        <w:top w:val="none" w:sz="0" w:space="0" w:color="auto"/>
        <w:left w:val="none" w:sz="0" w:space="0" w:color="auto"/>
        <w:bottom w:val="none" w:sz="0" w:space="0" w:color="auto"/>
        <w:right w:val="none" w:sz="0" w:space="0" w:color="auto"/>
      </w:divBdr>
      <w:divsChild>
        <w:div w:id="1146043688">
          <w:marLeft w:val="0"/>
          <w:marRight w:val="0"/>
          <w:marTop w:val="0"/>
          <w:marBottom w:val="0"/>
          <w:divBdr>
            <w:top w:val="none" w:sz="0" w:space="0" w:color="auto"/>
            <w:left w:val="none" w:sz="0" w:space="0" w:color="auto"/>
            <w:bottom w:val="none" w:sz="0" w:space="0" w:color="auto"/>
            <w:right w:val="none" w:sz="0" w:space="0" w:color="auto"/>
          </w:divBdr>
          <w:divsChild>
            <w:div w:id="1355889373">
              <w:marLeft w:val="0"/>
              <w:marRight w:val="0"/>
              <w:marTop w:val="0"/>
              <w:marBottom w:val="0"/>
              <w:divBdr>
                <w:top w:val="none" w:sz="0" w:space="0" w:color="auto"/>
                <w:left w:val="none" w:sz="0" w:space="0" w:color="auto"/>
                <w:bottom w:val="none" w:sz="0" w:space="0" w:color="auto"/>
                <w:right w:val="none" w:sz="0" w:space="0" w:color="auto"/>
              </w:divBdr>
              <w:divsChild>
                <w:div w:id="2025665832">
                  <w:marLeft w:val="0"/>
                  <w:marRight w:val="0"/>
                  <w:marTop w:val="0"/>
                  <w:marBottom w:val="0"/>
                  <w:divBdr>
                    <w:top w:val="none" w:sz="0" w:space="0" w:color="auto"/>
                    <w:left w:val="none" w:sz="0" w:space="0" w:color="auto"/>
                    <w:bottom w:val="none" w:sz="0" w:space="0" w:color="auto"/>
                    <w:right w:val="none" w:sz="0" w:space="0" w:color="auto"/>
                  </w:divBdr>
                  <w:divsChild>
                    <w:div w:id="470754153">
                      <w:marLeft w:val="1"/>
                      <w:marRight w:val="1"/>
                      <w:marTop w:val="0"/>
                      <w:marBottom w:val="0"/>
                      <w:divBdr>
                        <w:top w:val="none" w:sz="0" w:space="0" w:color="auto"/>
                        <w:left w:val="none" w:sz="0" w:space="0" w:color="auto"/>
                        <w:bottom w:val="none" w:sz="0" w:space="0" w:color="auto"/>
                        <w:right w:val="none" w:sz="0" w:space="0" w:color="auto"/>
                      </w:divBdr>
                      <w:divsChild>
                        <w:div w:id="1547788802">
                          <w:marLeft w:val="0"/>
                          <w:marRight w:val="0"/>
                          <w:marTop w:val="0"/>
                          <w:marBottom w:val="0"/>
                          <w:divBdr>
                            <w:top w:val="none" w:sz="0" w:space="0" w:color="auto"/>
                            <w:left w:val="none" w:sz="0" w:space="0" w:color="auto"/>
                            <w:bottom w:val="none" w:sz="0" w:space="0" w:color="auto"/>
                            <w:right w:val="none" w:sz="0" w:space="0" w:color="auto"/>
                          </w:divBdr>
                          <w:divsChild>
                            <w:div w:id="1744714415">
                              <w:marLeft w:val="0"/>
                              <w:marRight w:val="0"/>
                              <w:marTop w:val="0"/>
                              <w:marBottom w:val="360"/>
                              <w:divBdr>
                                <w:top w:val="none" w:sz="0" w:space="0" w:color="auto"/>
                                <w:left w:val="none" w:sz="0" w:space="0" w:color="auto"/>
                                <w:bottom w:val="none" w:sz="0" w:space="0" w:color="auto"/>
                                <w:right w:val="none" w:sz="0" w:space="0" w:color="auto"/>
                              </w:divBdr>
                              <w:divsChild>
                                <w:div w:id="88623802">
                                  <w:marLeft w:val="0"/>
                                  <w:marRight w:val="0"/>
                                  <w:marTop w:val="0"/>
                                  <w:marBottom w:val="0"/>
                                  <w:divBdr>
                                    <w:top w:val="none" w:sz="0" w:space="0" w:color="auto"/>
                                    <w:left w:val="none" w:sz="0" w:space="0" w:color="auto"/>
                                    <w:bottom w:val="none" w:sz="0" w:space="0" w:color="auto"/>
                                    <w:right w:val="none" w:sz="0" w:space="0" w:color="auto"/>
                                  </w:divBdr>
                                  <w:divsChild>
                                    <w:div w:id="706103141">
                                      <w:marLeft w:val="0"/>
                                      <w:marRight w:val="0"/>
                                      <w:marTop w:val="0"/>
                                      <w:marBottom w:val="0"/>
                                      <w:divBdr>
                                        <w:top w:val="none" w:sz="0" w:space="0" w:color="auto"/>
                                        <w:left w:val="none" w:sz="0" w:space="0" w:color="auto"/>
                                        <w:bottom w:val="none" w:sz="0" w:space="0" w:color="auto"/>
                                        <w:right w:val="none" w:sz="0" w:space="0" w:color="auto"/>
                                      </w:divBdr>
                                      <w:divsChild>
                                        <w:div w:id="601651463">
                                          <w:marLeft w:val="0"/>
                                          <w:marRight w:val="0"/>
                                          <w:marTop w:val="0"/>
                                          <w:marBottom w:val="0"/>
                                          <w:divBdr>
                                            <w:top w:val="none" w:sz="0" w:space="0" w:color="auto"/>
                                            <w:left w:val="none" w:sz="0" w:space="0" w:color="auto"/>
                                            <w:bottom w:val="none" w:sz="0" w:space="0" w:color="auto"/>
                                            <w:right w:val="none" w:sz="0" w:space="0" w:color="auto"/>
                                          </w:divBdr>
                                          <w:divsChild>
                                            <w:div w:id="2028939348">
                                              <w:marLeft w:val="0"/>
                                              <w:marRight w:val="0"/>
                                              <w:marTop w:val="0"/>
                                              <w:marBottom w:val="0"/>
                                              <w:divBdr>
                                                <w:top w:val="none" w:sz="0" w:space="0" w:color="auto"/>
                                                <w:left w:val="none" w:sz="0" w:space="0" w:color="auto"/>
                                                <w:bottom w:val="none" w:sz="0" w:space="0" w:color="auto"/>
                                                <w:right w:val="none" w:sz="0" w:space="0" w:color="auto"/>
                                              </w:divBdr>
                                              <w:divsChild>
                                                <w:div w:id="1912084995">
                                                  <w:marLeft w:val="0"/>
                                                  <w:marRight w:val="0"/>
                                                  <w:marTop w:val="0"/>
                                                  <w:marBottom w:val="0"/>
                                                  <w:divBdr>
                                                    <w:top w:val="none" w:sz="0" w:space="0" w:color="auto"/>
                                                    <w:left w:val="none" w:sz="0" w:space="0" w:color="auto"/>
                                                    <w:bottom w:val="none" w:sz="0" w:space="0" w:color="auto"/>
                                                    <w:right w:val="none" w:sz="0" w:space="0" w:color="auto"/>
                                                  </w:divBdr>
                                                  <w:divsChild>
                                                    <w:div w:id="87150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78505886">
      <w:bodyDiv w:val="1"/>
      <w:marLeft w:val="0"/>
      <w:marRight w:val="0"/>
      <w:marTop w:val="0"/>
      <w:marBottom w:val="0"/>
      <w:divBdr>
        <w:top w:val="none" w:sz="0" w:space="0" w:color="auto"/>
        <w:left w:val="none" w:sz="0" w:space="0" w:color="auto"/>
        <w:bottom w:val="none" w:sz="0" w:space="0" w:color="auto"/>
        <w:right w:val="none" w:sz="0" w:space="0" w:color="auto"/>
      </w:divBdr>
    </w:div>
    <w:div w:id="1496989097">
      <w:bodyDiv w:val="1"/>
      <w:marLeft w:val="0"/>
      <w:marRight w:val="0"/>
      <w:marTop w:val="0"/>
      <w:marBottom w:val="0"/>
      <w:divBdr>
        <w:top w:val="none" w:sz="0" w:space="0" w:color="auto"/>
        <w:left w:val="none" w:sz="0" w:space="0" w:color="auto"/>
        <w:bottom w:val="none" w:sz="0" w:space="0" w:color="auto"/>
        <w:right w:val="none" w:sz="0" w:space="0" w:color="auto"/>
      </w:divBdr>
    </w:div>
    <w:div w:id="1498619144">
      <w:bodyDiv w:val="1"/>
      <w:marLeft w:val="0"/>
      <w:marRight w:val="0"/>
      <w:marTop w:val="0"/>
      <w:marBottom w:val="0"/>
      <w:divBdr>
        <w:top w:val="none" w:sz="0" w:space="0" w:color="auto"/>
        <w:left w:val="none" w:sz="0" w:space="0" w:color="auto"/>
        <w:bottom w:val="none" w:sz="0" w:space="0" w:color="auto"/>
        <w:right w:val="none" w:sz="0" w:space="0" w:color="auto"/>
      </w:divBdr>
      <w:divsChild>
        <w:div w:id="1910724800">
          <w:marLeft w:val="547"/>
          <w:marRight w:val="0"/>
          <w:marTop w:val="120"/>
          <w:marBottom w:val="120"/>
          <w:divBdr>
            <w:top w:val="none" w:sz="0" w:space="0" w:color="auto"/>
            <w:left w:val="none" w:sz="0" w:space="0" w:color="auto"/>
            <w:bottom w:val="none" w:sz="0" w:space="0" w:color="auto"/>
            <w:right w:val="none" w:sz="0" w:space="0" w:color="auto"/>
          </w:divBdr>
        </w:div>
        <w:div w:id="1334718046">
          <w:marLeft w:val="547"/>
          <w:marRight w:val="0"/>
          <w:marTop w:val="120"/>
          <w:marBottom w:val="120"/>
          <w:divBdr>
            <w:top w:val="none" w:sz="0" w:space="0" w:color="auto"/>
            <w:left w:val="none" w:sz="0" w:space="0" w:color="auto"/>
            <w:bottom w:val="none" w:sz="0" w:space="0" w:color="auto"/>
            <w:right w:val="none" w:sz="0" w:space="0" w:color="auto"/>
          </w:divBdr>
        </w:div>
      </w:divsChild>
    </w:div>
    <w:div w:id="1502576000">
      <w:bodyDiv w:val="1"/>
      <w:marLeft w:val="0"/>
      <w:marRight w:val="0"/>
      <w:marTop w:val="0"/>
      <w:marBottom w:val="0"/>
      <w:divBdr>
        <w:top w:val="none" w:sz="0" w:space="0" w:color="auto"/>
        <w:left w:val="none" w:sz="0" w:space="0" w:color="auto"/>
        <w:bottom w:val="none" w:sz="0" w:space="0" w:color="auto"/>
        <w:right w:val="none" w:sz="0" w:space="0" w:color="auto"/>
      </w:divBdr>
    </w:div>
    <w:div w:id="1623803368">
      <w:bodyDiv w:val="1"/>
      <w:marLeft w:val="0"/>
      <w:marRight w:val="0"/>
      <w:marTop w:val="0"/>
      <w:marBottom w:val="0"/>
      <w:divBdr>
        <w:top w:val="none" w:sz="0" w:space="0" w:color="auto"/>
        <w:left w:val="none" w:sz="0" w:space="0" w:color="auto"/>
        <w:bottom w:val="none" w:sz="0" w:space="0" w:color="auto"/>
        <w:right w:val="none" w:sz="0" w:space="0" w:color="auto"/>
      </w:divBdr>
    </w:div>
    <w:div w:id="1634559279">
      <w:bodyDiv w:val="1"/>
      <w:marLeft w:val="0"/>
      <w:marRight w:val="0"/>
      <w:marTop w:val="0"/>
      <w:marBottom w:val="0"/>
      <w:divBdr>
        <w:top w:val="none" w:sz="0" w:space="0" w:color="auto"/>
        <w:left w:val="none" w:sz="0" w:space="0" w:color="auto"/>
        <w:bottom w:val="none" w:sz="0" w:space="0" w:color="auto"/>
        <w:right w:val="none" w:sz="0" w:space="0" w:color="auto"/>
      </w:divBdr>
    </w:div>
    <w:div w:id="1847287915">
      <w:bodyDiv w:val="1"/>
      <w:marLeft w:val="0"/>
      <w:marRight w:val="0"/>
      <w:marTop w:val="0"/>
      <w:marBottom w:val="0"/>
      <w:divBdr>
        <w:top w:val="none" w:sz="0" w:space="0" w:color="auto"/>
        <w:left w:val="none" w:sz="0" w:space="0" w:color="auto"/>
        <w:bottom w:val="none" w:sz="0" w:space="0" w:color="auto"/>
        <w:right w:val="none" w:sz="0" w:space="0" w:color="auto"/>
      </w:divBdr>
    </w:div>
    <w:div w:id="1898274161">
      <w:bodyDiv w:val="1"/>
      <w:marLeft w:val="0"/>
      <w:marRight w:val="0"/>
      <w:marTop w:val="0"/>
      <w:marBottom w:val="0"/>
      <w:divBdr>
        <w:top w:val="none" w:sz="0" w:space="0" w:color="auto"/>
        <w:left w:val="none" w:sz="0" w:space="0" w:color="auto"/>
        <w:bottom w:val="none" w:sz="0" w:space="0" w:color="auto"/>
        <w:right w:val="none" w:sz="0" w:space="0" w:color="auto"/>
      </w:divBdr>
    </w:div>
    <w:div w:id="2072077721">
      <w:bodyDiv w:val="1"/>
      <w:marLeft w:val="0"/>
      <w:marRight w:val="0"/>
      <w:marTop w:val="0"/>
      <w:marBottom w:val="0"/>
      <w:divBdr>
        <w:top w:val="none" w:sz="0" w:space="0" w:color="auto"/>
        <w:left w:val="none" w:sz="0" w:space="0" w:color="auto"/>
        <w:bottom w:val="none" w:sz="0" w:space="0" w:color="auto"/>
        <w:right w:val="none" w:sz="0" w:space="0" w:color="auto"/>
      </w:divBdr>
    </w:div>
    <w:div w:id="2085683279">
      <w:bodyDiv w:val="1"/>
      <w:marLeft w:val="0"/>
      <w:marRight w:val="0"/>
      <w:marTop w:val="0"/>
      <w:marBottom w:val="0"/>
      <w:divBdr>
        <w:top w:val="none" w:sz="0" w:space="0" w:color="auto"/>
        <w:left w:val="none" w:sz="0" w:space="0" w:color="auto"/>
        <w:bottom w:val="none" w:sz="0" w:space="0" w:color="auto"/>
        <w:right w:val="none" w:sz="0" w:space="0" w:color="auto"/>
      </w:divBdr>
      <w:divsChild>
        <w:div w:id="1322007622">
          <w:marLeft w:val="547"/>
          <w:marRight w:val="0"/>
          <w:marTop w:val="120"/>
          <w:marBottom w:val="120"/>
          <w:divBdr>
            <w:top w:val="none" w:sz="0" w:space="0" w:color="auto"/>
            <w:left w:val="none" w:sz="0" w:space="0" w:color="auto"/>
            <w:bottom w:val="none" w:sz="0" w:space="0" w:color="auto"/>
            <w:right w:val="none" w:sz="0" w:space="0" w:color="auto"/>
          </w:divBdr>
        </w:div>
        <w:div w:id="1156873382">
          <w:marLeft w:val="1267"/>
          <w:marRight w:val="0"/>
          <w:marTop w:val="120"/>
          <w:marBottom w:val="120"/>
          <w:divBdr>
            <w:top w:val="none" w:sz="0" w:space="0" w:color="auto"/>
            <w:left w:val="none" w:sz="0" w:space="0" w:color="auto"/>
            <w:bottom w:val="none" w:sz="0" w:space="0" w:color="auto"/>
            <w:right w:val="none" w:sz="0" w:space="0" w:color="auto"/>
          </w:divBdr>
        </w:div>
        <w:div w:id="384447457">
          <w:marLeft w:val="1267"/>
          <w:marRight w:val="0"/>
          <w:marTop w:val="120"/>
          <w:marBottom w:val="120"/>
          <w:divBdr>
            <w:top w:val="none" w:sz="0" w:space="0" w:color="auto"/>
            <w:left w:val="none" w:sz="0" w:space="0" w:color="auto"/>
            <w:bottom w:val="none" w:sz="0" w:space="0" w:color="auto"/>
            <w:right w:val="none" w:sz="0" w:space="0" w:color="auto"/>
          </w:divBdr>
        </w:div>
        <w:div w:id="1197542969">
          <w:marLeft w:val="547"/>
          <w:marRight w:val="0"/>
          <w:marTop w:val="120"/>
          <w:marBottom w:val="120"/>
          <w:divBdr>
            <w:top w:val="none" w:sz="0" w:space="0" w:color="auto"/>
            <w:left w:val="none" w:sz="0" w:space="0" w:color="auto"/>
            <w:bottom w:val="none" w:sz="0" w:space="0" w:color="auto"/>
            <w:right w:val="none" w:sz="0" w:space="0" w:color="auto"/>
          </w:divBdr>
        </w:div>
        <w:div w:id="1085809987">
          <w:marLeft w:val="547"/>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www.esma.europa.eu"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www.esma.europa.eu"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esma.europa.eu/legal-notic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isovskij\Desktop\Template%20to%20Upload\Guidelines%20and%20Recommendations%20Templates\GuidelinesAndRecommendations_Template_Regul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Policy Document" ma:contentTypeID="0x01010001BD15C3986B91498E0AE644B715B9EE010D00757D222C6B0DA241B5F74437644107D4" ma:contentTypeVersion="16" ma:contentTypeDescription="" ma:contentTypeScope="" ma:versionID="8ee7228954dca49665f07e42400ad76d">
  <xsd:schema xmlns:xsd="http://www.w3.org/2001/XMLSchema" xmlns:xs="http://www.w3.org/2001/XMLSchema" xmlns:p="http://schemas.microsoft.com/office/2006/metadata/properties" xmlns:ns1="http://schemas.microsoft.com/sharepoint/v3" xmlns:ns2="20fbe147-bbda-4e53-b6b1-7e8bbff3fe19" xmlns:ns3="http://schemas.microsoft.com/sharepoint/v4" targetNamespace="http://schemas.microsoft.com/office/2006/metadata/properties" ma:root="true" ma:fieldsID="44925884f65367f862a25afa2b9086ca" ns1:_="" ns2:_="" ns3:_="">
    <xsd:import namespace="http://schemas.microsoft.com/sharepoint/v3"/>
    <xsd:import namespace="20fbe147-bbda-4e53-b6b1-7e8bbff3fe19"/>
    <xsd:import namespace="http://schemas.microsoft.com/sharepoint/v4"/>
    <xsd:element name="properties">
      <xsd:complexType>
        <xsd:sequence>
          <xsd:element name="documentManagement">
            <xsd:complexType>
              <xsd:all>
                <xsd:element ref="ns2:_dlc_DocIdPersistId" minOccurs="0"/>
                <xsd:element ref="ns2:TaxCatchAll" minOccurs="0"/>
                <xsd:element ref="ns2:TaxCatchAllLabel" minOccurs="0"/>
                <xsd:element ref="ns2:_dlc_DocId" minOccurs="0"/>
                <xsd:element ref="ns2:_dlc_DocIdUrl" minOccurs="0"/>
                <xsd:element ref="ns2:caa5aeb1a6644849b60fbe2335e12657" minOccurs="0"/>
                <xsd:element ref="ns2:n644e5dfaa29486bad4a4fc019c6d2df" minOccurs="0"/>
                <xsd:element ref="ns2:bce29119141747ccb9ac7d87218ed4af" minOccurs="0"/>
                <xsd:element ref="ns3:IconOverlay" minOccurs="0"/>
                <xsd:element ref="ns2:eed0a0b2ea6941718a34434e243f3d8f" minOccurs="0"/>
                <xsd:element ref="ns2:j69a081f486747f6ac8a5aeed63facfd" minOccurs="0"/>
                <xsd:element ref="ns2:Year"/>
                <xsd:element ref="ns2:a9b3b1dad23b4ba58c3f3e36a96e1d9c" minOccurs="0"/>
                <xsd:element ref="ns2:MeetingDate" minOccurs="0"/>
                <xsd:element ref="ns1:_vti_ItemDeclaredRecord" minOccurs="0"/>
                <xsd:element ref="ns1: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28" nillable="true" ma:displayName="Declared Record" ma:hidden="true" ma:internalName="_vti_ItemDeclaredRecord" ma:readOnly="true">
      <xsd:simpleType>
        <xsd:restriction base="dms:DateTime"/>
      </xsd:simpleType>
    </xsd:element>
    <xsd:element name="_vti_ItemHoldRecordStatus" ma:index="29"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fbe147-bbda-4e53-b6b1-7e8bbff3fe19" elementFormDefault="qualified">
    <xsd:import namespace="http://schemas.microsoft.com/office/2006/documentManagement/types"/>
    <xsd:import namespace="http://schemas.microsoft.com/office/infopath/2007/PartnerControls"/>
    <xsd:element name="_dlc_DocIdPersistId" ma:index="4" nillable="true" ma:displayName="Persist ID" ma:description="Keep ID on add." ma:hidden="true" ma:internalName="_dlc_DocIdPersistId" ma:readOnly="true">
      <xsd:simpleType>
        <xsd:restriction base="dms:Boolean"/>
      </xsd:simpleType>
    </xsd:element>
    <xsd:element name="TaxCatchAll" ma:index="5" nillable="true" ma:displayName="Taxonomy Catch All Column" ma:hidden="true" ma:list="{c38c24d3-2590-4616-bee0-79d7eeedacac}" ma:internalName="TaxCatchAll" ma:showField="CatchAllData"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c38c24d3-2590-4616-bee0-79d7eeedacac}" ma:internalName="TaxCatchAllLabel" ma:readOnly="true" ma:showField="CatchAllDataLabel"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aa5aeb1a6644849b60fbe2335e12657" ma:index="12" ma:taxonomy="true" ma:internalName="caa5aeb1a6644849b60fbe2335e12657" ma:taxonomyFieldName="Topic" ma:displayName="Topic" ma:default="" ma:fieldId="{caa5aeb1-a664-4849-b60f-be2335e12657}" ma:sspId="0ac1876e-32bf-4158-94e7-cdbcd053a335" ma:termSetId="7b949606-90e2-4f49-8484-424f131284b3" ma:anchorId="00000000-0000-0000-0000-000000000000" ma:open="false" ma:isKeyword="false">
      <xsd:complexType>
        <xsd:sequence>
          <xsd:element ref="pc:Terms" minOccurs="0" maxOccurs="1"/>
        </xsd:sequence>
      </xsd:complexType>
    </xsd:element>
    <xsd:element name="n644e5dfaa29486bad4a4fc019c6d2df" ma:index="14" nillable="true" ma:taxonomy="true" ma:internalName="n644e5dfaa29486bad4a4fc019c6d2df" ma:taxonomyFieldName="SubTopic" ma:displayName="Sub Topic" ma:readOnly="false" ma:default="" ma:fieldId="{7644e5df-aa29-486b-ad4a-4fc019c6d2df}" ma:sspId="0ac1876e-32bf-4158-94e7-cdbcd053a335" ma:termSetId="c9d88329-36bd-4ba5-881c-dae898303a52" ma:anchorId="00000000-0000-0000-0000-000000000000" ma:open="false" ma:isKeyword="false">
      <xsd:complexType>
        <xsd:sequence>
          <xsd:element ref="pc:Terms" minOccurs="0" maxOccurs="1"/>
        </xsd:sequence>
      </xsd:complexType>
    </xsd:element>
    <xsd:element name="bce29119141747ccb9ac7d87218ed4af" ma:index="16" ma:taxonomy="true" ma:internalName="bce29119141747ccb9ac7d87218ed4af" ma:taxonomyFieldName="TeamName" ma:displayName="Team Name" ma:readOnly="false" ma:default="5;#Secondary Markets|64c18f63-8e0f-46d8-84d6-b5a5f7a39938" ma:fieldId="{bce29119-1417-47cc-b9ac-7d87218ed4af}" ma:sspId="0ac1876e-32bf-4158-94e7-cdbcd053a335" ma:termSetId="9ab8a8dd-aa7f-4e9e-9345-c8f50d6bfad1" ma:anchorId="00000000-0000-0000-0000-000000000000" ma:open="false" ma:isKeyword="false">
      <xsd:complexType>
        <xsd:sequence>
          <xsd:element ref="pc:Terms" minOccurs="0" maxOccurs="1"/>
        </xsd:sequence>
      </xsd:complexType>
    </xsd:element>
    <xsd:element name="eed0a0b2ea6941718a34434e243f3d8f" ma:index="19" ma:taxonomy="true" ma:internalName="eed0a0b2ea6941718a34434e243f3d8f" ma:taxonomyFieldName="DocumentType" ma:displayName="Document Type" ma:readOnly="false" ma:default="1;#Report / Note;Note|b9e1c92e-303a-4555-86f0-5c711c65937e" ma:fieldId="{eed0a0b2-ea69-4171-8a34-434e243f3d8f}"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21" ma:taxonomy="true" ma:internalName="j69a081f486747f6ac8a5aeed63facfd" ma:taxonomyFieldName="ConfidentialityLevel" ma:displayName="Confidentiality Level" ma:readOnly="false" ma:default="2;#Restricted|187aa7e6-627f-4951-b138-6ff841dc883d" ma:fieldId="{369a081f-4867-47f6-ac8a-5aeed63facfd}"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Year" ma:index="23" ma:displayName="Year" ma:description="" ma:internalName="Year" ma:readOnly="false">
      <xsd:simpleType>
        <xsd:restriction base="dms:Text">
          <xsd:maxLength value="4"/>
        </xsd:restriction>
      </xsd:simpleType>
    </xsd:element>
    <xsd:element name="a9b3b1dad23b4ba58c3f3e36a96e1d9c" ma:index="24" nillable="true" ma:taxonomy="true" ma:internalName="a9b3b1dad23b4ba58c3f3e36a96e1d9c" ma:taxonomyFieldName="EsmaAudience" ma:displayName="Audience" ma:readOnly="false" ma:default="" ma:fieldId="{a9b3b1da-d23b-4ba5-8c3f-3e36a96e1d9c}"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MeetingDate" ma:index="26" nillable="true" ma:displayName="Meeting Date" ma:description="" ma:format="DateOnly" ma:internalName="Meeting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 xmlns="20fbe147-bbda-4e53-b6b1-7e8bbff3fe19">ESMA70-156-1933</_dlc_DocId>
    <TaxCatchAll xmlns="20fbe147-bbda-4e53-b6b1-7e8bbff3fe19">
      <Value>474</Value>
      <Value>5</Value>
      <Value>91</Value>
      <Value>2</Value>
      <Value>434</Value>
    </TaxCatchAll>
    <_dlc_DocIdUrl xmlns="20fbe147-bbda-4e53-b6b1-7e8bbff3fe19">
      <Url>https://sherpa.esma.europa.eu/sites/MKT/SMK/_layouts/15/DocIdRedir.aspx?ID=ESMA70-156-1933</Url>
      <Description>ESMA70-156-1933</Description>
    </_dlc_DocIdUrl>
    <Year xmlns="20fbe147-bbda-4e53-b6b1-7e8bbff3fe19">2019</Year>
    <MeetingDate xmlns="20fbe147-bbda-4e53-b6b1-7e8bbff3fe19" xsi:nil="true"/>
    <caa5aeb1a6644849b60fbe2335e12657 xmlns="20fbe147-bbda-4e53-b6b1-7e8bbff3fe19">
      <Terms xmlns="http://schemas.microsoft.com/office/infopath/2007/PartnerControls">
        <TermInfo xmlns="http://schemas.microsoft.com/office/infopath/2007/PartnerControls">
          <TermName xmlns="http://schemas.microsoft.com/office/infopath/2007/PartnerControls">MiFID reports</TermName>
          <TermId xmlns="http://schemas.microsoft.com/office/infopath/2007/PartnerControls">3c5cc422-10d2-4956-abed-da9583ea216a</TermId>
        </TermInfo>
      </Terms>
    </caa5aeb1a6644849b60fbe2335e12657>
    <j69a081f486747f6ac8a5aeed63facfd xmlns="20fbe147-bbda-4e53-b6b1-7e8bbff3fe19">
      <Terms xmlns="http://schemas.microsoft.com/office/infopath/2007/PartnerControls">
        <TermInfo xmlns="http://schemas.microsoft.com/office/infopath/2007/PartnerControls">
          <TermName xmlns="http://schemas.microsoft.com/office/infopath/2007/PartnerControls">Restricted</TermName>
          <TermId xmlns="http://schemas.microsoft.com/office/infopath/2007/PartnerControls">187aa7e6-627f-4951-b138-6ff841dc883d</TermId>
        </TermInfo>
      </Terms>
    </j69a081f486747f6ac8a5aeed63facfd>
    <bce29119141747ccb9ac7d87218ed4af xmlns="20fbe147-bbda-4e53-b6b1-7e8bbff3fe19">
      <Terms xmlns="http://schemas.microsoft.com/office/infopath/2007/PartnerControls">
        <TermInfo xmlns="http://schemas.microsoft.com/office/infopath/2007/PartnerControls">
          <TermName xmlns="http://schemas.microsoft.com/office/infopath/2007/PartnerControls">Secondary Markets</TermName>
          <TermId xmlns="http://schemas.microsoft.com/office/infopath/2007/PartnerControls">64c18f63-8e0f-46d8-84d6-b5a5f7a39938</TermId>
        </TermInfo>
      </Terms>
    </bce29119141747ccb9ac7d87218ed4af>
    <a9b3b1dad23b4ba58c3f3e36a96e1d9c xmlns="20fbe147-bbda-4e53-b6b1-7e8bbff3fe19">
      <Terms xmlns="http://schemas.microsoft.com/office/infopath/2007/PartnerControls"/>
    </a9b3b1dad23b4ba58c3f3e36a96e1d9c>
    <n644e5dfaa29486bad4a4fc019c6d2df xmlns="20fbe147-bbda-4e53-b6b1-7e8bbff3fe19">
      <Terms xmlns="http://schemas.microsoft.com/office/infopath/2007/PartnerControls">
        <TermInfo xmlns="http://schemas.microsoft.com/office/infopath/2007/PartnerControls">
          <TermName xmlns="http://schemas.microsoft.com/office/infopath/2007/PartnerControls">MiFID reports - MiFID II 90(1)(f) - Position limits</TermName>
          <TermId xmlns="http://schemas.microsoft.com/office/infopath/2007/PartnerControls">e81dbf1e-3064-4884-a3c8-df0a9f8119ae</TermId>
        </TermInfo>
      </Terms>
    </n644e5dfaa29486bad4a4fc019c6d2df>
    <eed0a0b2ea6941718a34434e243f3d8f xmlns="20fbe147-bbda-4e53-b6b1-7e8bbff3fe19">
      <Terms xmlns="http://schemas.microsoft.com/office/infopath/2007/PartnerControls">
        <TermInfo xmlns="http://schemas.microsoft.com/office/infopath/2007/PartnerControls">
          <TermName xmlns="http://schemas.microsoft.com/office/infopath/2007/PartnerControls">Consultation Paper</TermName>
          <TermId xmlns="http://schemas.microsoft.com/office/infopath/2007/PartnerControls">c6238baf-c3d7-4bb8-8cf2-f28a89601f52</TermId>
        </TermInfo>
      </Terms>
    </eed0a0b2ea6941718a34434e243f3d8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9D69CF-149B-4D2F-89A2-279037685A12}">
  <ds:schemaRefs>
    <ds:schemaRef ds:uri="http://schemas.microsoft.com/sharepoint/events"/>
  </ds:schemaRefs>
</ds:datastoreItem>
</file>

<file path=customXml/itemProps2.xml><?xml version="1.0" encoding="utf-8"?>
<ds:datastoreItem xmlns:ds="http://schemas.openxmlformats.org/officeDocument/2006/customXml" ds:itemID="{C4A87B1C-94F7-4601-8DD2-296DC1F53A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0fbe147-bbda-4e53-b6b1-7e8bbff3fe1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37F5EE-E87B-49CE-96B5-F95CE63A0DF2}">
  <ds:schemaRefs>
    <ds:schemaRef ds:uri="http://schemas.microsoft.com/office/infopath/2007/PartnerControls"/>
    <ds:schemaRef ds:uri="http://purl.org/dc/dcmitype/"/>
    <ds:schemaRef ds:uri="http://schemas.microsoft.com/sharepoint/v4"/>
    <ds:schemaRef ds:uri="http://schemas.openxmlformats.org/package/2006/metadata/core-properties"/>
    <ds:schemaRef ds:uri="http://schemas.microsoft.com/office/2006/metadata/properties"/>
    <ds:schemaRef ds:uri="http://purl.org/dc/elements/1.1/"/>
    <ds:schemaRef ds:uri="20fbe147-bbda-4e53-b6b1-7e8bbff3fe19"/>
    <ds:schemaRef ds:uri="http://schemas.microsoft.com/office/2006/documentManagement/types"/>
    <ds:schemaRef ds:uri="http://schemas.microsoft.com/sharepoint/v3"/>
    <ds:schemaRef ds:uri="http://www.w3.org/XML/1998/namespace"/>
    <ds:schemaRef ds:uri="http://purl.org/dc/terms/"/>
  </ds:schemaRefs>
</ds:datastoreItem>
</file>

<file path=customXml/itemProps4.xml><?xml version="1.0" encoding="utf-8"?>
<ds:datastoreItem xmlns:ds="http://schemas.openxmlformats.org/officeDocument/2006/customXml" ds:itemID="{FC2455EB-3D3A-4C02-9873-6A72D376E4F0}">
  <ds:schemaRefs>
    <ds:schemaRef ds:uri="http://schemas.microsoft.com/sharepoint/v3/contenttype/forms"/>
  </ds:schemaRefs>
</ds:datastoreItem>
</file>

<file path=customXml/itemProps5.xml><?xml version="1.0" encoding="utf-8"?>
<ds:datastoreItem xmlns:ds="http://schemas.openxmlformats.org/officeDocument/2006/customXml" ds:itemID="{B94D175D-C713-4F3B-BF98-0CC191661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GuidelinesAndRecommendations_Template_Regular.dotx</Template>
  <TotalTime>303</TotalTime>
  <Pages>10</Pages>
  <Words>2350</Words>
  <Characters>13395</Characters>
  <Application>Microsoft Office Word</Application>
  <DocSecurity>8</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ESMA</Company>
  <LinksUpToDate>false</LinksUpToDate>
  <CharactersWithSpaces>15714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Alina.Dragomir@esma.europa.eu</dc:creator>
  <cp:keywords/>
  <cp:lastModifiedBy>Katy Hyams</cp:lastModifiedBy>
  <cp:revision>49</cp:revision>
  <cp:lastPrinted>2017-07-24T14:47:00Z</cp:lastPrinted>
  <dcterms:created xsi:type="dcterms:W3CDTF">2019-12-19T09:54:00Z</dcterms:created>
  <dcterms:modified xsi:type="dcterms:W3CDTF">2020-01-08T14:00:00Z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maAudience">
    <vt:lpwstr/>
  </property>
  <property fmtid="{D5CDD505-2E9C-101B-9397-08002B2CF9AE}" pid="3" name="ConfidentialityLevel">
    <vt:lpwstr>2;#Restricted|187aa7e6-627f-4951-b138-6ff841dc883d</vt:lpwstr>
  </property>
  <property fmtid="{D5CDD505-2E9C-101B-9397-08002B2CF9AE}" pid="4" name="ContentTypeId">
    <vt:lpwstr>0x01010001BD15C3986B91498E0AE644B715B9EE010D00757D222C6B0DA241B5F74437644107D4</vt:lpwstr>
  </property>
  <property fmtid="{D5CDD505-2E9C-101B-9397-08002B2CF9AE}" pid="5" name="_dlc_DocIdItemGuid">
    <vt:lpwstr>155ab378-0408-4a09-bf77-47f9e5213ee4</vt:lpwstr>
  </property>
  <property fmtid="{D5CDD505-2E9C-101B-9397-08002B2CF9AE}" pid="6" name="DocumentType">
    <vt:lpwstr>91;#Consultation Paper|c6238baf-c3d7-4bb8-8cf2-f28a89601f52</vt:lpwstr>
  </property>
  <property fmtid="{D5CDD505-2E9C-101B-9397-08002B2CF9AE}" pid="7" name="Topic">
    <vt:lpwstr>434;#MiFID reports|3c5cc422-10d2-4956-abed-da9583ea216a</vt:lpwstr>
  </property>
  <property fmtid="{D5CDD505-2E9C-101B-9397-08002B2CF9AE}" pid="8" name="_docset_NoMedatataSyncRequired">
    <vt:lpwstr>False</vt:lpwstr>
  </property>
  <property fmtid="{D5CDD505-2E9C-101B-9397-08002B2CF9AE}" pid="9" name="Document_x0020_Language">
    <vt:lpwstr/>
  </property>
  <property fmtid="{D5CDD505-2E9C-101B-9397-08002B2CF9AE}" pid="10" name="Document Language">
    <vt:lpwstr/>
  </property>
  <property fmtid="{D5CDD505-2E9C-101B-9397-08002B2CF9AE}" pid="11" name="TeamName">
    <vt:lpwstr>5;#Secondary Markets|64c18f63-8e0f-46d8-84d6-b5a5f7a39938</vt:lpwstr>
  </property>
  <property fmtid="{D5CDD505-2E9C-101B-9397-08002B2CF9AE}" pid="12" name="LegalInstrument">
    <vt:lpwstr>27;#Guidelines|5e144655-8ff3-49e5-b82a-b036da8a9173</vt:lpwstr>
  </property>
  <property fmtid="{D5CDD505-2E9C-101B-9397-08002B2CF9AE}" pid="13" name="MemberState">
    <vt:lpwstr/>
  </property>
  <property fmtid="{D5CDD505-2E9C-101B-9397-08002B2CF9AE}" pid="14" name="Stakeholder">
    <vt:lpwstr/>
  </property>
  <property fmtid="{D5CDD505-2E9C-101B-9397-08002B2CF9AE}" pid="15" name="LegalAct">
    <vt:lpwstr>30;#ESMA Regulation|1f6010a2-1a2c-44cf-adf8-f8fd9b166bb1</vt:lpwstr>
  </property>
  <property fmtid="{D5CDD505-2E9C-101B-9397-08002B2CF9AE}" pid="16" name="Related Legal Acts">
    <vt:lpwstr/>
  </property>
  <property fmtid="{D5CDD505-2E9C-101B-9397-08002B2CF9AE}" pid="17" name="SubTopic">
    <vt:lpwstr>474;#MiFID reports - MiFID II 90(1)(f) - Position limits|e81dbf1e-3064-4884-a3c8-df0a9f8119ae</vt:lpwstr>
  </property>
</Properties>
</file>