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hAnsiTheme="minorHAnsi" w:cstheme="minorHAnsi"/>
        </w:rPr>
        <w:id w:val="-973058580"/>
        <w:docPartObj>
          <w:docPartGallery w:val="Cover Pages"/>
          <w:docPartUnique/>
        </w:docPartObj>
      </w:sdtPr>
      <w:sdtEndPr/>
      <w:sdtContent>
        <w:p w14:paraId="61BFF4B7" w14:textId="77777777" w:rsidR="00AF2EF7" w:rsidRPr="00B8572C" w:rsidRDefault="00AF2EF7" w:rsidP="00AF2EF7">
          <w:pPr>
            <w:spacing w:line="276" w:lineRule="auto"/>
            <w:rPr>
              <w:rFonts w:asciiTheme="minorHAnsi" w:hAnsiTheme="minorHAnsi" w:cstheme="minorHAnsi"/>
              <w:color w:val="FF0000"/>
            </w:rPr>
          </w:pPr>
        </w:p>
        <w:p w14:paraId="1C1BFAE2" w14:textId="77777777" w:rsidR="00AF2EF7" w:rsidRPr="00B8572C" w:rsidRDefault="00AF2EF7" w:rsidP="00AF2EF7">
          <w:pPr>
            <w:spacing w:after="120" w:line="276" w:lineRule="auto"/>
            <w:rPr>
              <w:rFonts w:asciiTheme="minorHAnsi" w:hAnsiTheme="minorHAnsi" w:cstheme="minorHAnsi"/>
            </w:rPr>
          </w:pPr>
        </w:p>
        <w:p w14:paraId="787460E0" w14:textId="77777777" w:rsidR="00AF2EF7" w:rsidRPr="00B8572C" w:rsidRDefault="00AF2EF7" w:rsidP="00AF2EF7">
          <w:pPr>
            <w:spacing w:line="276" w:lineRule="auto"/>
            <w:rPr>
              <w:rFonts w:asciiTheme="minorHAnsi" w:hAnsiTheme="minorHAnsi" w:cstheme="minorHAnsi"/>
            </w:rPr>
          </w:pPr>
        </w:p>
        <w:p w14:paraId="23B57B18" w14:textId="77777777" w:rsidR="00AF2EF7" w:rsidRPr="00B8572C" w:rsidRDefault="00AF2EF7" w:rsidP="00AF2EF7">
          <w:pPr>
            <w:spacing w:line="276" w:lineRule="auto"/>
            <w:rPr>
              <w:rFonts w:asciiTheme="minorHAnsi" w:hAnsiTheme="minorHAnsi" w:cstheme="minorHAnsi"/>
            </w:rPr>
          </w:pPr>
        </w:p>
        <w:p w14:paraId="04401C2B" w14:textId="77777777" w:rsidR="00AF2EF7" w:rsidRPr="00B8572C" w:rsidRDefault="00AF2EF7" w:rsidP="00AF2EF7">
          <w:pPr>
            <w:spacing w:line="276" w:lineRule="auto"/>
            <w:rPr>
              <w:rFonts w:asciiTheme="minorHAnsi" w:hAnsiTheme="minorHAnsi" w:cstheme="minorHAnsi"/>
            </w:rPr>
          </w:pPr>
        </w:p>
        <w:tbl>
          <w:tblPr>
            <w:tblpPr w:leftFromText="8505" w:vertAnchor="page" w:horzAnchor="margin" w:tblpX="-426" w:tblpY="3444"/>
            <w:tblW w:w="10490" w:type="dxa"/>
            <w:tblLayout w:type="fixed"/>
            <w:tblCellMar>
              <w:left w:w="0" w:type="dxa"/>
              <w:right w:w="0" w:type="dxa"/>
            </w:tblCellMar>
            <w:tblLook w:val="01E0" w:firstRow="1" w:lastRow="1" w:firstColumn="1" w:lastColumn="1" w:noHBand="0" w:noVBand="0"/>
          </w:tblPr>
          <w:tblGrid>
            <w:gridCol w:w="10490"/>
          </w:tblGrid>
          <w:tr w:rsidR="00AF2EF7" w:rsidRPr="00B8572C" w14:paraId="55D8B106" w14:textId="77777777" w:rsidTr="00D13661">
            <w:trPr>
              <w:trHeight w:hRule="exact" w:val="1492"/>
            </w:trPr>
            <w:tc>
              <w:tcPr>
                <w:tcW w:w="10490" w:type="dxa"/>
                <w:vAlign w:val="bottom"/>
              </w:tcPr>
              <w:p w14:paraId="2A8545EF" w14:textId="08848791" w:rsidR="00AF2EF7" w:rsidRPr="00B8572C" w:rsidRDefault="00C1698A" w:rsidP="00D13661">
                <w:pPr>
                  <w:pStyle w:val="Title"/>
                  <w:spacing w:line="276" w:lineRule="auto"/>
                  <w:ind w:right="854"/>
                  <w:rPr>
                    <w:rFonts w:asciiTheme="minorHAnsi" w:hAnsiTheme="minorHAnsi" w:cstheme="minorHAnsi"/>
                    <w:sz w:val="48"/>
                    <w:szCs w:val="48"/>
                  </w:rPr>
                </w:pPr>
                <w:r>
                  <w:rPr>
                    <w:rFonts w:asciiTheme="minorHAnsi" w:hAnsiTheme="minorHAnsi" w:cstheme="minorHAnsi"/>
                    <w:sz w:val="48"/>
                    <w:szCs w:val="48"/>
                  </w:rPr>
                  <w:t>Re</w:t>
                </w:r>
                <w:r w:rsidR="00961EE5">
                  <w:rPr>
                    <w:rFonts w:asciiTheme="minorHAnsi" w:hAnsiTheme="minorHAnsi" w:cstheme="minorHAnsi"/>
                    <w:sz w:val="48"/>
                    <w:szCs w:val="48"/>
                  </w:rPr>
                  <w:t xml:space="preserve">ply </w:t>
                </w:r>
                <w:r>
                  <w:rPr>
                    <w:rFonts w:asciiTheme="minorHAnsi" w:hAnsiTheme="minorHAnsi" w:cstheme="minorHAnsi"/>
                    <w:sz w:val="48"/>
                    <w:szCs w:val="48"/>
                  </w:rPr>
                  <w:t xml:space="preserve">Form to the </w:t>
                </w:r>
                <w:r w:rsidR="008B2AF1">
                  <w:rPr>
                    <w:rFonts w:asciiTheme="minorHAnsi" w:hAnsiTheme="minorHAnsi" w:cstheme="minorHAnsi"/>
                    <w:sz w:val="48"/>
                    <w:szCs w:val="48"/>
                  </w:rPr>
                  <w:t>C</w:t>
                </w:r>
                <w:r w:rsidR="0063070E">
                  <w:rPr>
                    <w:rFonts w:asciiTheme="minorHAnsi" w:hAnsiTheme="minorHAnsi" w:cstheme="minorHAnsi"/>
                    <w:sz w:val="48"/>
                    <w:szCs w:val="48"/>
                  </w:rPr>
                  <w:t>onsultation Paper</w:t>
                </w:r>
                <w:r w:rsidR="000F74C4">
                  <w:rPr>
                    <w:rFonts w:asciiTheme="minorHAnsi" w:hAnsiTheme="minorHAnsi" w:cstheme="minorHAnsi"/>
                    <w:sz w:val="48"/>
                    <w:szCs w:val="48"/>
                  </w:rPr>
                  <w:t xml:space="preserve"> </w:t>
                </w:r>
              </w:p>
            </w:tc>
          </w:tr>
          <w:tr w:rsidR="00AB6157" w:rsidRPr="00B8572C" w14:paraId="76D253F5" w14:textId="77777777" w:rsidTr="00D13661">
            <w:trPr>
              <w:trHeight w:hRule="exact" w:val="747"/>
            </w:trPr>
            <w:tc>
              <w:tcPr>
                <w:tcW w:w="10490" w:type="dxa"/>
                <w:tcMar>
                  <w:top w:w="142" w:type="dxa"/>
                </w:tcMar>
              </w:tcPr>
              <w:p w14:paraId="1317ADC8" w14:textId="2C37C777" w:rsidR="0063070E" w:rsidRDefault="0063070E" w:rsidP="0063070E">
                <w:pPr>
                  <w:pStyle w:val="Subtitle"/>
                  <w:rPr>
                    <w:rFonts w:cs="Arial"/>
                  </w:rPr>
                </w:pPr>
                <w:r>
                  <w:rPr>
                    <w:rFonts w:cs="Arial"/>
                  </w:rPr>
                  <w:t xml:space="preserve">MiFID II review report on position limits and position management </w:t>
                </w:r>
              </w:p>
              <w:p w14:paraId="2CBF8F9B" w14:textId="2B39453C" w:rsidR="0063070E" w:rsidRDefault="0063070E" w:rsidP="0063070E">
                <w:pPr>
                  <w:pStyle w:val="Subtitle"/>
                  <w:rPr>
                    <w:rFonts w:cs="Arial"/>
                  </w:rPr>
                </w:pPr>
                <w:r>
                  <w:rPr>
                    <w:rFonts w:cs="Arial"/>
                  </w:rPr>
                  <w:t>Draft Technical Advice on weekly position reports</w:t>
                </w:r>
              </w:p>
              <w:p w14:paraId="72EBF426" w14:textId="641E1005" w:rsidR="0063070E" w:rsidRPr="0063070E" w:rsidRDefault="0063070E" w:rsidP="0063070E"/>
              <w:p w14:paraId="26CF3934" w14:textId="5F517F25" w:rsidR="00AB6157" w:rsidRPr="00B8572C" w:rsidRDefault="00AB6157" w:rsidP="00AB6157">
                <w:pPr>
                  <w:pStyle w:val="Heading2"/>
                  <w:numPr>
                    <w:ilvl w:val="0"/>
                    <w:numId w:val="0"/>
                  </w:numPr>
                  <w:ind w:left="576" w:hanging="576"/>
                </w:pPr>
              </w:p>
            </w:tc>
          </w:tr>
        </w:tbl>
        <w:p w14:paraId="7DEBD68F" w14:textId="77777777" w:rsidR="00AF2EF7" w:rsidRPr="00B8572C" w:rsidRDefault="00AF2EF7" w:rsidP="00AF2EF7">
          <w:pPr>
            <w:spacing w:line="276" w:lineRule="auto"/>
            <w:rPr>
              <w:rFonts w:asciiTheme="minorHAnsi" w:hAnsiTheme="minorHAnsi" w:cstheme="minorHAnsi"/>
            </w:rPr>
          </w:pPr>
        </w:p>
        <w:p w14:paraId="5B933631" w14:textId="77777777" w:rsidR="00AF2EF7" w:rsidRPr="00B8572C" w:rsidRDefault="00AF2EF7" w:rsidP="00AF2EF7">
          <w:pPr>
            <w:spacing w:line="276" w:lineRule="auto"/>
            <w:rPr>
              <w:rFonts w:asciiTheme="minorHAnsi" w:hAnsiTheme="minorHAnsi" w:cstheme="minorHAnsi"/>
            </w:rPr>
            <w:sectPr w:rsidR="00AF2EF7" w:rsidRPr="00B8572C" w:rsidSect="007E7997">
              <w:headerReference w:type="default" r:id="rId12"/>
              <w:footerReference w:type="default" r:id="rId13"/>
              <w:headerReference w:type="first" r:id="rId14"/>
              <w:footerReference w:type="first" r:id="rId15"/>
              <w:pgSz w:w="11906" w:h="16838"/>
              <w:pgMar w:top="1417" w:right="1417" w:bottom="1417" w:left="1417" w:header="708" w:footer="708" w:gutter="0"/>
              <w:pgNumType w:start="0"/>
              <w:cols w:space="708"/>
              <w:titlePg/>
              <w:docGrid w:linePitch="360"/>
            </w:sectPr>
          </w:pPr>
        </w:p>
        <w:p w14:paraId="3992D496" w14:textId="77777777" w:rsidR="00AF2EF7" w:rsidRPr="00B8572C" w:rsidRDefault="00AF2EF7" w:rsidP="00AF2EF7">
          <w:pPr>
            <w:numPr>
              <w:ilvl w:val="1"/>
              <w:numId w:val="0"/>
            </w:numPr>
            <w:spacing w:after="250" w:line="276" w:lineRule="auto"/>
            <w:jc w:val="both"/>
            <w:rPr>
              <w:rFonts w:asciiTheme="majorHAnsi" w:eastAsiaTheme="majorEastAsia" w:hAnsiTheme="majorHAnsi" w:cstheme="majorBidi"/>
              <w:b/>
              <w:sz w:val="28"/>
              <w:lang w:eastAsia="en-US"/>
            </w:rPr>
          </w:pPr>
        </w:p>
        <w:p w14:paraId="50F24FB7" w14:textId="77777777" w:rsidR="00AF2EF7" w:rsidRPr="00B8572C" w:rsidRDefault="00AF2EF7" w:rsidP="00AF2EF7">
          <w:pPr>
            <w:numPr>
              <w:ilvl w:val="1"/>
              <w:numId w:val="0"/>
            </w:numPr>
            <w:spacing w:after="250" w:line="276" w:lineRule="auto"/>
            <w:jc w:val="both"/>
            <w:rPr>
              <w:rFonts w:asciiTheme="majorHAnsi" w:eastAsiaTheme="majorEastAsia" w:hAnsiTheme="majorHAnsi" w:cstheme="majorBidi"/>
              <w:b/>
              <w:sz w:val="28"/>
              <w:lang w:eastAsia="en-US"/>
            </w:rPr>
          </w:pPr>
          <w:r w:rsidRPr="00B8572C">
            <w:rPr>
              <w:rFonts w:asciiTheme="majorHAnsi" w:eastAsiaTheme="majorEastAsia" w:hAnsiTheme="majorHAnsi" w:cstheme="majorBidi"/>
              <w:b/>
              <w:sz w:val="28"/>
              <w:lang w:eastAsia="en-US"/>
            </w:rPr>
            <w:t xml:space="preserve">Responding to this paper </w:t>
          </w:r>
        </w:p>
        <w:p w14:paraId="46CF9AD5" w14:textId="77777777" w:rsidR="00AB6157" w:rsidRPr="00AB6157" w:rsidRDefault="00AB6157" w:rsidP="00AB6157">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ESMA invites comments on all matters in this paper and in particular on the specific questions summarised in Annex 1. Comments are most helpful if they:</w:t>
          </w:r>
        </w:p>
        <w:p w14:paraId="2573C72E" w14:textId="77777777" w:rsidR="00AB6157" w:rsidRPr="00AB6157" w:rsidRDefault="00AB6157" w:rsidP="00AB6157">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respond to the question stated;</w:t>
          </w:r>
        </w:p>
        <w:p w14:paraId="65ACF578" w14:textId="77777777" w:rsidR="00AB6157" w:rsidRPr="00AB6157" w:rsidRDefault="00AB6157" w:rsidP="00AB6157">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indicate the specific question to which the comment relates;</w:t>
          </w:r>
        </w:p>
        <w:p w14:paraId="3751DA8E" w14:textId="77777777" w:rsidR="00AB6157" w:rsidRPr="00AB6157" w:rsidRDefault="00AB6157" w:rsidP="00AB6157">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contain a clear rationale; and</w:t>
          </w:r>
        </w:p>
        <w:p w14:paraId="5A3A4AE2" w14:textId="77777777" w:rsidR="00AB6157" w:rsidRPr="00AB6157" w:rsidRDefault="00AB6157" w:rsidP="00AB6157">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describe any alternatives ESMA should consider.</w:t>
          </w:r>
        </w:p>
        <w:p w14:paraId="09579D04" w14:textId="19490734" w:rsidR="00AB6157" w:rsidRPr="00AB6157" w:rsidRDefault="00AB6157" w:rsidP="00AB6157">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 xml:space="preserve">ESMA will consider all comments </w:t>
          </w:r>
          <w:r w:rsidRPr="002C56FD">
            <w:rPr>
              <w:rFonts w:asciiTheme="minorHAnsi" w:eastAsiaTheme="minorEastAsia" w:hAnsiTheme="minorHAnsi" w:cstheme="minorBidi"/>
              <w:sz w:val="22"/>
              <w:szCs w:val="20"/>
              <w:lang w:eastAsia="en-US"/>
            </w:rPr>
            <w:t>received by</w:t>
          </w:r>
          <w:r w:rsidRPr="002C56FD">
            <w:rPr>
              <w:rFonts w:asciiTheme="minorHAnsi" w:eastAsiaTheme="minorEastAsia" w:hAnsiTheme="minorHAnsi" w:cstheme="minorBidi"/>
              <w:b/>
              <w:sz w:val="22"/>
              <w:szCs w:val="20"/>
              <w:lang w:eastAsia="en-US"/>
            </w:rPr>
            <w:t xml:space="preserve"> </w:t>
          </w:r>
          <w:r w:rsidR="00223F79" w:rsidRPr="002C56FD">
            <w:rPr>
              <w:rFonts w:asciiTheme="minorHAnsi" w:eastAsiaTheme="minorEastAsia" w:hAnsiTheme="minorHAnsi" w:cstheme="minorBidi"/>
              <w:b/>
              <w:sz w:val="22"/>
              <w:szCs w:val="20"/>
              <w:lang w:eastAsia="en-US"/>
            </w:rPr>
            <w:t>8</w:t>
          </w:r>
          <w:r w:rsidR="009C3F1A" w:rsidRPr="002C56FD">
            <w:rPr>
              <w:rFonts w:asciiTheme="minorHAnsi" w:eastAsiaTheme="minorEastAsia" w:hAnsiTheme="minorHAnsi" w:cstheme="minorBidi"/>
              <w:b/>
              <w:sz w:val="22"/>
              <w:szCs w:val="20"/>
              <w:lang w:eastAsia="en-US"/>
            </w:rPr>
            <w:t xml:space="preserve"> January </w:t>
          </w:r>
          <w:r w:rsidRPr="002C56FD">
            <w:rPr>
              <w:rFonts w:asciiTheme="minorHAnsi" w:eastAsiaTheme="minorEastAsia" w:hAnsiTheme="minorHAnsi" w:cstheme="minorBidi"/>
              <w:b/>
              <w:sz w:val="22"/>
              <w:szCs w:val="20"/>
              <w:lang w:eastAsia="en-US"/>
            </w:rPr>
            <w:t>20</w:t>
          </w:r>
          <w:r w:rsidR="009C3F1A" w:rsidRPr="002C56FD">
            <w:rPr>
              <w:rFonts w:asciiTheme="minorHAnsi" w:eastAsiaTheme="minorEastAsia" w:hAnsiTheme="minorHAnsi" w:cstheme="minorBidi"/>
              <w:b/>
              <w:sz w:val="22"/>
              <w:szCs w:val="20"/>
              <w:lang w:eastAsia="en-US"/>
            </w:rPr>
            <w:t>20</w:t>
          </w:r>
          <w:r w:rsidRPr="002C56FD">
            <w:rPr>
              <w:rFonts w:asciiTheme="minorHAnsi" w:eastAsiaTheme="minorEastAsia" w:hAnsiTheme="minorHAnsi" w:cstheme="minorBidi"/>
              <w:b/>
              <w:sz w:val="22"/>
              <w:szCs w:val="20"/>
              <w:lang w:eastAsia="en-US"/>
            </w:rPr>
            <w:t>.</w:t>
          </w:r>
          <w:r w:rsidRPr="00AB6157">
            <w:rPr>
              <w:rFonts w:asciiTheme="minorHAnsi" w:eastAsiaTheme="minorEastAsia" w:hAnsiTheme="minorHAnsi" w:cstheme="minorBidi"/>
              <w:b/>
              <w:sz w:val="22"/>
              <w:szCs w:val="20"/>
              <w:lang w:eastAsia="en-US"/>
            </w:rPr>
            <w:t xml:space="preserve"> </w:t>
          </w:r>
        </w:p>
        <w:p w14:paraId="6ABAAC1F" w14:textId="209BDB6C" w:rsidR="00AB6157" w:rsidRPr="00AB6157" w:rsidRDefault="00AB6157" w:rsidP="00AB6157">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 xml:space="preserve">All contributions should be submitted online at </w:t>
          </w:r>
          <w:hyperlink r:id="rId16" w:history="1">
            <w:r w:rsidRPr="00AB6157">
              <w:rPr>
                <w:rFonts w:asciiTheme="minorHAnsi" w:eastAsiaTheme="minorEastAsia" w:hAnsiTheme="minorHAnsi" w:cstheme="minorBidi"/>
                <w:color w:val="0563C1" w:themeColor="hyperlink"/>
                <w:sz w:val="22"/>
                <w:szCs w:val="20"/>
                <w:u w:val="single"/>
                <w:lang w:eastAsia="en-US"/>
              </w:rPr>
              <w:t>www.esma.europa.eu</w:t>
            </w:r>
          </w:hyperlink>
          <w:r w:rsidRPr="00AB6157">
            <w:rPr>
              <w:rFonts w:asciiTheme="minorHAnsi" w:eastAsiaTheme="minorEastAsia" w:hAnsiTheme="minorHAnsi" w:cstheme="minorBidi"/>
              <w:sz w:val="22"/>
              <w:szCs w:val="20"/>
              <w:lang w:eastAsia="en-US"/>
            </w:rPr>
            <w:t xml:space="preserve"> under the heading ‘Your input - Consultations’. Please follow the instructions given in the document ‘Reply form for the </w:t>
          </w:r>
          <w:r w:rsidR="009C3F1A">
            <w:rPr>
              <w:rFonts w:asciiTheme="minorHAnsi" w:eastAsiaTheme="minorEastAsia" w:hAnsiTheme="minorHAnsi" w:cstheme="minorBidi"/>
              <w:sz w:val="22"/>
              <w:szCs w:val="20"/>
              <w:lang w:eastAsia="en-US"/>
            </w:rPr>
            <w:t>consultation paper o</w:t>
          </w:r>
          <w:r w:rsidRPr="00AB6157">
            <w:rPr>
              <w:rFonts w:asciiTheme="minorHAnsi" w:eastAsiaTheme="minorEastAsia" w:hAnsiTheme="minorHAnsi" w:cstheme="minorBidi"/>
              <w:sz w:val="22"/>
              <w:szCs w:val="20"/>
              <w:lang w:eastAsia="en-US"/>
            </w:rPr>
            <w:t xml:space="preserve">n </w:t>
          </w:r>
          <w:r w:rsidR="009C3F1A">
            <w:rPr>
              <w:rFonts w:asciiTheme="minorHAnsi" w:eastAsiaTheme="minorEastAsia" w:hAnsiTheme="minorHAnsi" w:cstheme="minorBidi"/>
              <w:sz w:val="22"/>
              <w:szCs w:val="20"/>
              <w:lang w:eastAsia="en-US"/>
            </w:rPr>
            <w:t>“</w:t>
          </w:r>
          <w:r w:rsidR="009C3F1A" w:rsidRPr="009C3F1A">
            <w:rPr>
              <w:rFonts w:asciiTheme="minorHAnsi" w:eastAsiaTheme="minorEastAsia" w:hAnsiTheme="minorHAnsi" w:cstheme="minorBidi"/>
              <w:color w:val="2F5496" w:themeColor="accent5" w:themeShade="BF"/>
              <w:sz w:val="22"/>
              <w:szCs w:val="20"/>
              <w:lang w:eastAsia="en-US"/>
            </w:rPr>
            <w:t xml:space="preserve">MiFID II review report on position limits and position management and </w:t>
          </w:r>
          <w:r w:rsidR="009C3F1A">
            <w:rPr>
              <w:rFonts w:asciiTheme="minorHAnsi" w:eastAsiaTheme="minorEastAsia" w:hAnsiTheme="minorHAnsi" w:cstheme="minorBidi"/>
              <w:color w:val="2F5496" w:themeColor="accent5" w:themeShade="BF"/>
              <w:sz w:val="22"/>
              <w:szCs w:val="20"/>
              <w:lang w:eastAsia="en-US"/>
            </w:rPr>
            <w:t>draft technical advice on weekly position reports</w:t>
          </w:r>
          <w:r w:rsidRPr="00AB6157">
            <w:rPr>
              <w:rFonts w:asciiTheme="minorHAnsi" w:eastAsiaTheme="minorEastAsia" w:hAnsiTheme="minorHAnsi" w:cstheme="minorBidi"/>
              <w:sz w:val="22"/>
              <w:szCs w:val="20"/>
              <w:lang w:eastAsia="en-US"/>
            </w:rPr>
            <w:t>’ also published on the ESMA website.</w:t>
          </w:r>
        </w:p>
        <w:p w14:paraId="71848F2A" w14:textId="77777777" w:rsidR="00C85C8B" w:rsidRPr="00C85C8B" w:rsidRDefault="00C85C8B" w:rsidP="00C85C8B">
          <w:pPr>
            <w:spacing w:after="250" w:line="276" w:lineRule="auto"/>
            <w:jc w:val="both"/>
            <w:rPr>
              <w:rFonts w:asciiTheme="minorHAnsi" w:eastAsiaTheme="minorEastAsia" w:hAnsiTheme="minorHAnsi" w:cstheme="minorBidi"/>
              <w:b/>
              <w:sz w:val="22"/>
              <w:szCs w:val="20"/>
              <w:lang w:eastAsia="en-US"/>
            </w:rPr>
          </w:pPr>
          <w:r w:rsidRPr="00C85C8B">
            <w:rPr>
              <w:rFonts w:asciiTheme="minorHAnsi" w:eastAsiaTheme="minorEastAsia" w:hAnsiTheme="minorHAnsi" w:cstheme="minorBidi"/>
              <w:b/>
              <w:sz w:val="22"/>
              <w:szCs w:val="20"/>
              <w:lang w:eastAsia="en-US"/>
            </w:rPr>
            <w:t>Instructions</w:t>
          </w:r>
        </w:p>
        <w:p w14:paraId="057542CF" w14:textId="334CF29B" w:rsidR="00C85C8B" w:rsidRPr="00C85C8B" w:rsidRDefault="00C85C8B" w:rsidP="00C85C8B">
          <w:pPr>
            <w:spacing w:after="250" w:line="276" w:lineRule="auto"/>
            <w:jc w:val="both"/>
            <w:rPr>
              <w:rFonts w:asciiTheme="minorHAnsi" w:eastAsiaTheme="minorEastAsia" w:hAnsiTheme="minorHAnsi" w:cstheme="minorBidi"/>
              <w:sz w:val="22"/>
              <w:szCs w:val="20"/>
              <w:lang w:eastAsia="en-US"/>
            </w:rPr>
          </w:pPr>
          <w:r w:rsidRPr="00C85C8B">
            <w:rPr>
              <w:rFonts w:asciiTheme="minorHAnsi" w:eastAsiaTheme="minorEastAsia" w:hAnsiTheme="minorHAnsi" w:cstheme="minorBidi"/>
              <w:sz w:val="22"/>
              <w:szCs w:val="20"/>
              <w:lang w:eastAsia="en-US"/>
            </w:rPr>
            <w:t>In order to facilitate analysis of responses to the</w:t>
          </w:r>
          <w:r w:rsidR="009C3F1A">
            <w:rPr>
              <w:rFonts w:asciiTheme="minorHAnsi" w:eastAsiaTheme="minorEastAsia" w:hAnsiTheme="minorHAnsi" w:cstheme="minorBidi"/>
              <w:sz w:val="22"/>
              <w:szCs w:val="20"/>
              <w:lang w:eastAsia="en-US"/>
            </w:rPr>
            <w:t xml:space="preserve"> </w:t>
          </w:r>
          <w:r w:rsidR="00223F79">
            <w:rPr>
              <w:rFonts w:asciiTheme="minorHAnsi" w:eastAsiaTheme="minorEastAsia" w:hAnsiTheme="minorHAnsi" w:cstheme="minorBidi"/>
              <w:sz w:val="22"/>
              <w:szCs w:val="20"/>
              <w:lang w:eastAsia="en-US"/>
            </w:rPr>
            <w:t>C</w:t>
          </w:r>
          <w:r w:rsidR="009C3F1A">
            <w:rPr>
              <w:rFonts w:asciiTheme="minorHAnsi" w:eastAsiaTheme="minorEastAsia" w:hAnsiTheme="minorHAnsi" w:cstheme="minorBidi"/>
              <w:sz w:val="22"/>
              <w:szCs w:val="20"/>
              <w:lang w:eastAsia="en-US"/>
            </w:rPr>
            <w:t>onsultation paper</w:t>
          </w:r>
          <w:r w:rsidRPr="00C85C8B">
            <w:rPr>
              <w:rFonts w:asciiTheme="minorHAnsi" w:eastAsiaTheme="minorEastAsia" w:hAnsiTheme="minorHAnsi" w:cstheme="minorBidi"/>
              <w:sz w:val="22"/>
              <w:szCs w:val="20"/>
              <w:lang w:eastAsia="en-US"/>
            </w:rPr>
            <w:t>, respondents are requested to follow the below steps when preparing and submitting their response:</w:t>
          </w:r>
        </w:p>
        <w:p w14:paraId="1200930E" w14:textId="7324BCF9" w:rsidR="00C85C8B" w:rsidRPr="00C85C8B" w:rsidRDefault="00C85C8B" w:rsidP="00E7297E">
          <w:pPr>
            <w:pStyle w:val="ListParagraph"/>
            <w:numPr>
              <w:ilvl w:val="0"/>
              <w:numId w:val="12"/>
            </w:numPr>
            <w:spacing w:after="250" w:line="276" w:lineRule="auto"/>
            <w:rPr>
              <w:rFonts w:eastAsiaTheme="minorEastAsia" w:cstheme="minorBidi"/>
              <w:szCs w:val="20"/>
              <w:lang w:eastAsia="en-US"/>
            </w:rPr>
          </w:pPr>
          <w:r w:rsidRPr="00C85C8B">
            <w:rPr>
              <w:rFonts w:eastAsiaTheme="minorEastAsia" w:cstheme="minorBidi"/>
              <w:szCs w:val="20"/>
              <w:lang w:eastAsia="en-US"/>
            </w:rPr>
            <w:t xml:space="preserve">Insert your responses to the questions in the </w:t>
          </w:r>
          <w:r w:rsidR="00223F79">
            <w:rPr>
              <w:rFonts w:eastAsiaTheme="minorEastAsia" w:cstheme="minorBidi"/>
              <w:szCs w:val="20"/>
              <w:lang w:eastAsia="en-US"/>
            </w:rPr>
            <w:t>C</w:t>
          </w:r>
          <w:r w:rsidR="009C3F1A">
            <w:rPr>
              <w:rFonts w:eastAsiaTheme="minorEastAsia" w:cstheme="minorBidi"/>
              <w:szCs w:val="20"/>
              <w:lang w:eastAsia="en-US"/>
            </w:rPr>
            <w:t xml:space="preserve">onsultation paper </w:t>
          </w:r>
          <w:r w:rsidRPr="00C85C8B">
            <w:rPr>
              <w:rFonts w:eastAsiaTheme="minorEastAsia" w:cstheme="minorBidi"/>
              <w:szCs w:val="20"/>
              <w:lang w:eastAsia="en-US"/>
            </w:rPr>
            <w:t xml:space="preserve">in the present response form. </w:t>
          </w:r>
        </w:p>
        <w:p w14:paraId="3B16398E" w14:textId="1D970CA3" w:rsidR="00C85C8B" w:rsidRPr="00C85C8B" w:rsidRDefault="00C85C8B" w:rsidP="00C85C8B">
          <w:pPr>
            <w:pStyle w:val="ListParagraph"/>
            <w:numPr>
              <w:ilvl w:val="0"/>
              <w:numId w:val="12"/>
            </w:numPr>
            <w:spacing w:after="250" w:line="276" w:lineRule="auto"/>
            <w:rPr>
              <w:rFonts w:eastAsiaTheme="minorEastAsia" w:cstheme="minorBidi"/>
              <w:szCs w:val="20"/>
              <w:lang w:eastAsia="en-US"/>
            </w:rPr>
          </w:pPr>
          <w:r w:rsidRPr="00C85C8B">
            <w:rPr>
              <w:rFonts w:eastAsiaTheme="minorEastAsia" w:cstheme="minorBidi"/>
              <w:szCs w:val="20"/>
              <w:lang w:eastAsia="en-US"/>
            </w:rPr>
            <w:t>Please do not remove t</w:t>
          </w:r>
          <w:r>
            <w:rPr>
              <w:rFonts w:eastAsiaTheme="minorEastAsia" w:cstheme="minorBidi"/>
              <w:szCs w:val="20"/>
              <w:lang w:eastAsia="en-US"/>
            </w:rPr>
            <w:t>ags of the type &lt;ESMA_QUESTION_</w:t>
          </w:r>
          <w:r w:rsidR="00D5365A">
            <w:rPr>
              <w:rFonts w:eastAsiaTheme="minorEastAsia" w:cstheme="minorBidi"/>
              <w:szCs w:val="20"/>
              <w:lang w:eastAsia="en-US"/>
            </w:rPr>
            <w:t>WPR</w:t>
          </w:r>
          <w:r w:rsidRPr="00C85C8B">
            <w:rPr>
              <w:rFonts w:eastAsiaTheme="minorEastAsia" w:cstheme="minorBidi"/>
              <w:szCs w:val="20"/>
              <w:lang w:eastAsia="en-US"/>
            </w:rPr>
            <w:t>_1&gt;. Your response to each question has to be framed by the two tags corresponding to the question.</w:t>
          </w:r>
        </w:p>
        <w:p w14:paraId="5CC57030" w14:textId="77777777" w:rsidR="00C85C8B" w:rsidRPr="00C85C8B" w:rsidRDefault="00C85C8B" w:rsidP="00C85C8B">
          <w:pPr>
            <w:pStyle w:val="ListParagraph"/>
            <w:numPr>
              <w:ilvl w:val="0"/>
              <w:numId w:val="12"/>
            </w:numPr>
            <w:spacing w:after="250" w:line="276" w:lineRule="auto"/>
            <w:rPr>
              <w:rFonts w:eastAsiaTheme="minorEastAsia" w:cstheme="minorBidi"/>
              <w:szCs w:val="20"/>
              <w:lang w:eastAsia="en-US"/>
            </w:rPr>
          </w:pPr>
          <w:r w:rsidRPr="00C85C8B">
            <w:rPr>
              <w:rFonts w:eastAsiaTheme="minorEastAsia" w:cstheme="minorBidi"/>
              <w:szCs w:val="20"/>
              <w:lang w:eastAsia="en-US"/>
            </w:rPr>
            <w:t>If you do not wish to respond to a given question, please do not delete it but simply leave the text “TYPE YOUR TEXT HERE” between the tags.</w:t>
          </w:r>
        </w:p>
        <w:p w14:paraId="1876A4C8" w14:textId="0E8DA51F" w:rsidR="00C85C8B" w:rsidRPr="00C85C8B" w:rsidRDefault="00C85C8B" w:rsidP="00C85C8B">
          <w:pPr>
            <w:pStyle w:val="ListParagraph"/>
            <w:numPr>
              <w:ilvl w:val="0"/>
              <w:numId w:val="12"/>
            </w:numPr>
            <w:spacing w:after="250" w:line="276" w:lineRule="auto"/>
            <w:rPr>
              <w:rFonts w:eastAsiaTheme="minorEastAsia" w:cstheme="minorBidi"/>
              <w:szCs w:val="20"/>
              <w:lang w:eastAsia="en-US"/>
            </w:rPr>
          </w:pPr>
          <w:r w:rsidRPr="00C85C8B">
            <w:rPr>
              <w:rFonts w:eastAsiaTheme="minorEastAsia" w:cstheme="minorBidi"/>
              <w:szCs w:val="20"/>
              <w:lang w:eastAsia="en-US"/>
            </w:rPr>
            <w:t xml:space="preserve">When you have drafted your response, name your response form according to </w:t>
          </w:r>
          <w:r>
            <w:rPr>
              <w:rFonts w:eastAsiaTheme="minorEastAsia" w:cstheme="minorBidi"/>
              <w:szCs w:val="20"/>
              <w:lang w:eastAsia="en-US"/>
            </w:rPr>
            <w:t>the following convention: ESMA_</w:t>
          </w:r>
          <w:r w:rsidR="00D5365A">
            <w:rPr>
              <w:rFonts w:eastAsiaTheme="minorEastAsia" w:cstheme="minorBidi"/>
              <w:szCs w:val="20"/>
              <w:lang w:eastAsia="en-US"/>
            </w:rPr>
            <w:t>WPR</w:t>
          </w:r>
          <w:r w:rsidRPr="00C85C8B">
            <w:rPr>
              <w:rFonts w:eastAsiaTheme="minorEastAsia" w:cstheme="minorBidi"/>
              <w:szCs w:val="20"/>
              <w:lang w:eastAsia="en-US"/>
            </w:rPr>
            <w:t>_nameofrespondent_RESPONSEFORM. For example, for a respondent named ABCD, the response</w:t>
          </w:r>
          <w:r>
            <w:rPr>
              <w:rFonts w:eastAsiaTheme="minorEastAsia" w:cstheme="minorBidi"/>
              <w:szCs w:val="20"/>
              <w:lang w:eastAsia="en-US"/>
            </w:rPr>
            <w:t xml:space="preserve"> form would be entitled ESMA_</w:t>
          </w:r>
          <w:r w:rsidR="00D5365A">
            <w:rPr>
              <w:rFonts w:eastAsiaTheme="minorEastAsia" w:cstheme="minorBidi"/>
              <w:szCs w:val="20"/>
              <w:lang w:eastAsia="en-US"/>
            </w:rPr>
            <w:t>WPR</w:t>
          </w:r>
          <w:r w:rsidRPr="00C85C8B">
            <w:rPr>
              <w:rFonts w:eastAsiaTheme="minorEastAsia" w:cstheme="minorBidi"/>
              <w:szCs w:val="20"/>
              <w:lang w:eastAsia="en-US"/>
            </w:rPr>
            <w:t>_ABCD_RESPONSEFORM.</w:t>
          </w:r>
        </w:p>
        <w:p w14:paraId="1A9C59D6" w14:textId="013251ED" w:rsidR="00C85C8B" w:rsidRPr="00C85C8B" w:rsidRDefault="00C85C8B" w:rsidP="00C85C8B">
          <w:pPr>
            <w:pStyle w:val="ListParagraph"/>
            <w:numPr>
              <w:ilvl w:val="0"/>
              <w:numId w:val="12"/>
            </w:numPr>
            <w:spacing w:after="250" w:line="276" w:lineRule="auto"/>
            <w:rPr>
              <w:rFonts w:eastAsiaTheme="minorEastAsia" w:cstheme="minorBidi"/>
              <w:szCs w:val="20"/>
              <w:lang w:eastAsia="en-US"/>
            </w:rPr>
          </w:pPr>
          <w:r w:rsidRPr="00C85C8B">
            <w:rPr>
              <w:rFonts w:eastAsiaTheme="minorEastAsia" w:cstheme="minorBidi"/>
              <w:szCs w:val="20"/>
              <w:lang w:eastAsia="en-US"/>
            </w:rPr>
            <w:t>Upload the form containing your responses, in Word format, to ESMA’s website (</w:t>
          </w:r>
          <w:hyperlink r:id="rId17" w:history="1">
            <w:r w:rsidRPr="00C85C8B">
              <w:rPr>
                <w:rFonts w:eastAsiaTheme="minorEastAsia" w:cstheme="minorBidi"/>
                <w:szCs w:val="20"/>
                <w:lang w:eastAsia="en-US"/>
              </w:rPr>
              <w:t>www.esma.europa.eu</w:t>
            </w:r>
          </w:hyperlink>
          <w:r w:rsidRPr="00C85C8B">
            <w:rPr>
              <w:rFonts w:eastAsiaTheme="minorEastAsia" w:cstheme="minorBidi"/>
              <w:szCs w:val="20"/>
              <w:lang w:eastAsia="en-US"/>
            </w:rPr>
            <w:t xml:space="preserve"> under the heading “Your input – Open consultations” </w:t>
          </w:r>
          <w:r w:rsidRPr="00C85C8B">
            <w:rPr>
              <w:rFonts w:eastAsiaTheme="minorEastAsia"/>
              <w:lang w:eastAsia="en-US"/>
            </w:rPr>
            <w:sym w:font="Wingdings" w:char="F0E0"/>
          </w:r>
          <w:r w:rsidRPr="00C85C8B">
            <w:rPr>
              <w:rFonts w:eastAsiaTheme="minorEastAsia" w:cstheme="minorBidi"/>
              <w:szCs w:val="20"/>
              <w:lang w:eastAsia="en-US"/>
            </w:rPr>
            <w:t xml:space="preserve"> “C</w:t>
          </w:r>
          <w:r w:rsidR="000F74C4">
            <w:rPr>
              <w:rFonts w:eastAsiaTheme="minorEastAsia" w:cstheme="minorBidi"/>
              <w:szCs w:val="20"/>
              <w:lang w:eastAsia="en-US"/>
            </w:rPr>
            <w:t xml:space="preserve">all for Evidence </w:t>
          </w:r>
          <w:r w:rsidRPr="00C85C8B">
            <w:rPr>
              <w:rFonts w:eastAsiaTheme="minorEastAsia" w:cstheme="minorBidi"/>
              <w:szCs w:val="20"/>
              <w:lang w:eastAsia="en-US"/>
            </w:rPr>
            <w:t xml:space="preserve">on </w:t>
          </w:r>
          <w:r w:rsidR="00AB6157">
            <w:rPr>
              <w:rFonts w:eastAsiaTheme="minorEastAsia" w:cstheme="minorBidi"/>
              <w:szCs w:val="20"/>
              <w:lang w:eastAsia="en-US"/>
            </w:rPr>
            <w:t>Position limits and position management in commodities derivatives</w:t>
          </w:r>
          <w:r w:rsidRPr="00C85C8B">
            <w:rPr>
              <w:rFonts w:eastAsiaTheme="minorEastAsia" w:cstheme="minorBidi"/>
              <w:szCs w:val="20"/>
              <w:lang w:eastAsia="en-US"/>
            </w:rPr>
            <w:t>”).</w:t>
          </w:r>
        </w:p>
        <w:p w14:paraId="078FF80C" w14:textId="145F522B" w:rsidR="00C85C8B" w:rsidRDefault="00C85C8B" w:rsidP="00AF2EF7">
          <w:pPr>
            <w:spacing w:after="250" w:line="276" w:lineRule="auto"/>
            <w:jc w:val="both"/>
            <w:rPr>
              <w:rFonts w:asciiTheme="minorHAnsi" w:eastAsiaTheme="minorEastAsia" w:hAnsiTheme="minorHAnsi" w:cstheme="minorBidi"/>
              <w:sz w:val="22"/>
              <w:szCs w:val="20"/>
              <w:lang w:eastAsia="en-US"/>
            </w:rPr>
          </w:pPr>
        </w:p>
        <w:p w14:paraId="27DFECB3" w14:textId="3EF3C58E" w:rsidR="00A02199" w:rsidRDefault="00A02199" w:rsidP="00AF2EF7">
          <w:pPr>
            <w:spacing w:after="250" w:line="276" w:lineRule="auto"/>
            <w:jc w:val="both"/>
            <w:rPr>
              <w:rFonts w:asciiTheme="minorHAnsi" w:eastAsiaTheme="minorEastAsia" w:hAnsiTheme="minorHAnsi" w:cstheme="minorBidi"/>
              <w:sz w:val="22"/>
              <w:szCs w:val="20"/>
              <w:lang w:eastAsia="en-US"/>
            </w:rPr>
          </w:pPr>
        </w:p>
        <w:p w14:paraId="28EEA743" w14:textId="77777777" w:rsidR="00A02199" w:rsidRPr="00C1698A" w:rsidRDefault="00A02199" w:rsidP="00AF2EF7">
          <w:pPr>
            <w:spacing w:after="250" w:line="276" w:lineRule="auto"/>
            <w:jc w:val="both"/>
            <w:rPr>
              <w:rFonts w:asciiTheme="minorHAnsi" w:eastAsiaTheme="minorEastAsia" w:hAnsiTheme="minorHAnsi" w:cstheme="minorBidi"/>
              <w:sz w:val="22"/>
              <w:szCs w:val="20"/>
              <w:lang w:eastAsia="en-US"/>
            </w:rPr>
          </w:pPr>
        </w:p>
        <w:p w14:paraId="6BB993D0" w14:textId="77777777" w:rsidR="00AF2EF7" w:rsidRPr="00B8572C" w:rsidRDefault="00AF2EF7" w:rsidP="00AF2EF7">
          <w:pPr>
            <w:spacing w:after="250" w:line="276" w:lineRule="auto"/>
            <w:jc w:val="both"/>
            <w:rPr>
              <w:rFonts w:asciiTheme="minorHAnsi" w:eastAsiaTheme="minorEastAsia" w:hAnsiTheme="minorHAnsi" w:cstheme="minorBidi"/>
              <w:b/>
              <w:sz w:val="22"/>
              <w:szCs w:val="20"/>
              <w:lang w:eastAsia="en-US"/>
            </w:rPr>
          </w:pPr>
          <w:r w:rsidRPr="00B8572C">
            <w:rPr>
              <w:rFonts w:asciiTheme="minorHAnsi" w:eastAsiaTheme="minorEastAsia" w:hAnsiTheme="minorHAnsi" w:cstheme="minorBidi"/>
              <w:b/>
              <w:sz w:val="22"/>
              <w:szCs w:val="20"/>
              <w:lang w:eastAsia="en-US"/>
            </w:rPr>
            <w:t>Publication of responses</w:t>
          </w:r>
        </w:p>
        <w:p w14:paraId="214D8BBA" w14:textId="77777777" w:rsidR="00AB6157" w:rsidRPr="00AB6157" w:rsidRDefault="00AB6157" w:rsidP="00AB6157">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All contributions received will be published following the close of the consultation, unless you request otherwise. Please clearly and prominently indicate in your submission any part you do not wish to be publically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p>
        <w:p w14:paraId="144C43BA" w14:textId="4C539C0B" w:rsidR="00AF2EF7" w:rsidRPr="00B8572C" w:rsidRDefault="00AF2EF7" w:rsidP="00AF2EF7">
          <w:pPr>
            <w:spacing w:after="250" w:line="276" w:lineRule="auto"/>
            <w:jc w:val="both"/>
            <w:rPr>
              <w:rFonts w:asciiTheme="minorHAnsi" w:eastAsiaTheme="minorEastAsia" w:hAnsiTheme="minorHAnsi" w:cstheme="minorBidi"/>
              <w:b/>
              <w:sz w:val="22"/>
              <w:szCs w:val="20"/>
              <w:lang w:eastAsia="en-US"/>
            </w:rPr>
          </w:pPr>
          <w:r w:rsidRPr="00B8572C">
            <w:rPr>
              <w:rFonts w:asciiTheme="minorHAnsi" w:eastAsiaTheme="minorEastAsia" w:hAnsiTheme="minorHAnsi" w:cstheme="minorBidi"/>
              <w:b/>
              <w:sz w:val="22"/>
              <w:szCs w:val="20"/>
              <w:lang w:eastAsia="en-US"/>
            </w:rPr>
            <w:t>Data protection</w:t>
          </w:r>
        </w:p>
        <w:p w14:paraId="1D46B82F" w14:textId="77777777" w:rsidR="00AB6157" w:rsidRPr="00AB6157" w:rsidRDefault="00AB6157" w:rsidP="00AB6157">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 xml:space="preserve">Information on data protection can be found at </w:t>
          </w:r>
          <w:hyperlink r:id="rId18" w:history="1">
            <w:r w:rsidRPr="00AB6157">
              <w:rPr>
                <w:rFonts w:asciiTheme="minorHAnsi" w:eastAsiaTheme="minorEastAsia" w:hAnsiTheme="minorHAnsi" w:cstheme="minorBidi"/>
                <w:color w:val="0563C1" w:themeColor="hyperlink"/>
                <w:sz w:val="22"/>
                <w:szCs w:val="20"/>
                <w:u w:val="single"/>
                <w:lang w:eastAsia="en-US"/>
              </w:rPr>
              <w:t>www.esma.europa.eu</w:t>
            </w:r>
          </w:hyperlink>
          <w:r w:rsidRPr="00AB6157">
            <w:rPr>
              <w:rFonts w:asciiTheme="minorHAnsi" w:eastAsiaTheme="minorEastAsia" w:hAnsiTheme="minorHAnsi" w:cstheme="minorBidi"/>
              <w:sz w:val="22"/>
              <w:szCs w:val="20"/>
              <w:lang w:eastAsia="en-US"/>
            </w:rPr>
            <w:t xml:space="preserve"> under the heading </w:t>
          </w:r>
          <w:hyperlink r:id="rId19" w:history="1">
            <w:r w:rsidRPr="00AB6157">
              <w:rPr>
                <w:rFonts w:asciiTheme="minorHAnsi" w:eastAsiaTheme="minorEastAsia" w:hAnsiTheme="minorHAnsi" w:cstheme="minorBidi"/>
                <w:color w:val="0563C1" w:themeColor="hyperlink"/>
                <w:sz w:val="22"/>
                <w:szCs w:val="20"/>
                <w:u w:val="single"/>
                <w:lang w:eastAsia="en-US"/>
              </w:rPr>
              <w:t>Legal Notice</w:t>
            </w:r>
          </w:hyperlink>
          <w:r w:rsidRPr="00AB6157">
            <w:rPr>
              <w:rFonts w:asciiTheme="minorHAnsi" w:eastAsiaTheme="minorEastAsia" w:hAnsiTheme="minorHAnsi" w:cstheme="minorBidi"/>
              <w:sz w:val="22"/>
              <w:szCs w:val="20"/>
              <w:lang w:eastAsia="en-US"/>
            </w:rPr>
            <w:t>.</w:t>
          </w:r>
        </w:p>
        <w:p w14:paraId="7C02CD7B" w14:textId="77777777" w:rsidR="00AF2EF7" w:rsidRPr="00B8572C" w:rsidRDefault="00AF2EF7" w:rsidP="00AF2EF7">
          <w:pPr>
            <w:spacing w:after="250" w:line="276" w:lineRule="auto"/>
            <w:jc w:val="both"/>
            <w:rPr>
              <w:rFonts w:asciiTheme="minorHAnsi" w:eastAsiaTheme="minorEastAsia" w:hAnsiTheme="minorHAnsi" w:cstheme="minorBidi"/>
              <w:sz w:val="22"/>
              <w:szCs w:val="20"/>
              <w:lang w:eastAsia="en-US"/>
            </w:rPr>
          </w:pPr>
          <w:r w:rsidRPr="00B8572C">
            <w:rPr>
              <w:rFonts w:asciiTheme="minorHAnsi" w:eastAsiaTheme="minorEastAsia" w:hAnsiTheme="minorHAnsi" w:cstheme="minorBidi"/>
              <w:b/>
              <w:sz w:val="22"/>
              <w:szCs w:val="20"/>
              <w:lang w:eastAsia="en-US"/>
            </w:rPr>
            <w:t>Who should read this paper</w:t>
          </w:r>
        </w:p>
        <w:p w14:paraId="5B44E0DB" w14:textId="77777777" w:rsidR="00AB6157" w:rsidRPr="00AB6157" w:rsidRDefault="00AB6157" w:rsidP="00AB6157">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All interested stakeholders are invited to respond to this consultation paper. This consultation paper is primarily of interest to trading venues, investment firms and non-financial counterparties trading in commodity derivatives, but responses are also sought from any other market participant including trade associations, industry bodies and investors.</w:t>
          </w:r>
        </w:p>
        <w:p w14:paraId="14912E5E" w14:textId="1CE85474" w:rsidR="00AF2EF7" w:rsidRPr="00B8572C" w:rsidRDefault="00290C91" w:rsidP="00AF2EF7">
          <w:pPr>
            <w:spacing w:after="120" w:line="276" w:lineRule="auto"/>
            <w:rPr>
              <w:rFonts w:asciiTheme="minorHAnsi" w:hAnsiTheme="minorHAnsi" w:cstheme="minorHAnsi"/>
            </w:rPr>
          </w:pPr>
        </w:p>
      </w:sdtContent>
    </w:sdt>
    <w:p w14:paraId="20AC791C" w14:textId="77777777" w:rsidR="00AF2EF7" w:rsidRPr="00B8572C" w:rsidRDefault="00AF2EF7" w:rsidP="00AF2EF7">
      <w:pPr>
        <w:spacing w:after="120" w:line="276" w:lineRule="auto"/>
        <w:rPr>
          <w:rFonts w:asciiTheme="minorHAnsi" w:hAnsiTheme="minorHAnsi" w:cstheme="minorHAnsi"/>
        </w:rPr>
      </w:pPr>
    </w:p>
    <w:p w14:paraId="13AEDA0D" w14:textId="77777777" w:rsidR="00AF2EF7" w:rsidRPr="00B8572C" w:rsidRDefault="00AF2EF7" w:rsidP="00AF2EF7">
      <w:pPr>
        <w:spacing w:after="120" w:line="276" w:lineRule="auto"/>
        <w:rPr>
          <w:rFonts w:asciiTheme="minorHAnsi" w:hAnsiTheme="minorHAnsi" w:cstheme="minorHAnsi"/>
        </w:rPr>
      </w:pPr>
    </w:p>
    <w:p w14:paraId="4F317815" w14:textId="669653C1" w:rsidR="00AF2EF7" w:rsidRPr="00C1698A" w:rsidRDefault="00AF2EF7" w:rsidP="00C1698A">
      <w:pPr>
        <w:pStyle w:val="Heading1"/>
        <w:numPr>
          <w:ilvl w:val="0"/>
          <w:numId w:val="0"/>
        </w:numPr>
        <w:spacing w:line="276" w:lineRule="auto"/>
        <w:rPr>
          <w:rFonts w:asciiTheme="minorHAnsi" w:hAnsiTheme="minorHAnsi" w:cstheme="minorHAnsi"/>
          <w:sz w:val="24"/>
          <w:szCs w:val="24"/>
        </w:rPr>
      </w:pPr>
      <w:r w:rsidRPr="00B8572C">
        <w:rPr>
          <w:rFonts w:asciiTheme="minorHAnsi" w:hAnsiTheme="minorHAnsi" w:cstheme="minorHAnsi"/>
          <w:sz w:val="24"/>
          <w:szCs w:val="24"/>
        </w:rPr>
        <w:br w:type="page"/>
      </w:r>
    </w:p>
    <w:p w14:paraId="54809E84" w14:textId="38073B1E" w:rsidR="00C85C8B" w:rsidRDefault="00C85C8B" w:rsidP="00C1698A">
      <w:pPr>
        <w:spacing w:line="276" w:lineRule="auto"/>
        <w:rPr>
          <w:rFonts w:asciiTheme="minorHAnsi" w:hAnsiTheme="minorHAnsi" w:cstheme="minorHAnsi"/>
          <w:b/>
          <w:sz w:val="28"/>
          <w:szCs w:val="28"/>
        </w:rPr>
      </w:pPr>
      <w:bookmarkStart w:id="0" w:name="_Toc515564428"/>
    </w:p>
    <w:p w14:paraId="0873C4E5" w14:textId="49BAD52B" w:rsidR="00C85C8B" w:rsidRDefault="00C85C8B" w:rsidP="00C1698A">
      <w:pPr>
        <w:spacing w:line="276" w:lineRule="auto"/>
        <w:rPr>
          <w:rFonts w:asciiTheme="minorHAnsi" w:hAnsiTheme="minorHAnsi" w:cstheme="minorHAnsi"/>
          <w:b/>
          <w:sz w:val="28"/>
          <w:szCs w:val="28"/>
        </w:rPr>
      </w:pPr>
    </w:p>
    <w:p w14:paraId="1F90B8D3" w14:textId="77777777" w:rsidR="00C85C8B" w:rsidRDefault="00C85C8B" w:rsidP="00C1698A">
      <w:pPr>
        <w:spacing w:line="276" w:lineRule="auto"/>
        <w:rPr>
          <w:rFonts w:asciiTheme="minorHAnsi" w:hAnsiTheme="minorHAnsi" w:cstheme="minorHAnsi"/>
          <w:b/>
          <w:sz w:val="28"/>
          <w:szCs w:val="28"/>
        </w:rPr>
      </w:pPr>
    </w:p>
    <w:p w14:paraId="622C18E8" w14:textId="77777777" w:rsidR="00C85C8B" w:rsidRPr="00C85C8B" w:rsidRDefault="00C85C8B" w:rsidP="00C85C8B">
      <w:pPr>
        <w:keepNext/>
        <w:keepLines/>
        <w:spacing w:before="320" w:after="250" w:line="276" w:lineRule="auto"/>
        <w:jc w:val="both"/>
        <w:outlineLvl w:val="0"/>
        <w:rPr>
          <w:rFonts w:asciiTheme="majorHAnsi" w:eastAsiaTheme="majorEastAsia" w:hAnsiTheme="majorHAnsi" w:cstheme="majorBidi"/>
          <w:b/>
          <w:sz w:val="32"/>
          <w:szCs w:val="32"/>
          <w:lang w:eastAsia="en-US"/>
        </w:rPr>
      </w:pPr>
      <w:r w:rsidRPr="00C85C8B">
        <w:rPr>
          <w:rFonts w:asciiTheme="majorHAnsi" w:eastAsiaTheme="majorEastAsia" w:hAnsiTheme="majorHAnsi" w:cstheme="majorBidi"/>
          <w:b/>
          <w:sz w:val="32"/>
          <w:szCs w:val="32"/>
          <w:lang w:eastAsia="en-US"/>
        </w:rPr>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C85C8B" w:rsidRPr="00C85C8B" w14:paraId="63AA68E2" w14:textId="77777777" w:rsidTr="00B76FB7">
        <w:tc>
          <w:tcPr>
            <w:tcW w:w="3929" w:type="dxa"/>
            <w:shd w:val="clear" w:color="auto" w:fill="auto"/>
          </w:tcPr>
          <w:p w14:paraId="50C47271" w14:textId="77777777" w:rsidR="00C85C8B" w:rsidRPr="00C85C8B" w:rsidRDefault="00C85C8B" w:rsidP="00C85C8B">
            <w:pPr>
              <w:rPr>
                <w:rFonts w:ascii="Arial" w:hAnsi="Arial" w:cs="Arial"/>
                <w:sz w:val="22"/>
                <w:lang w:eastAsia="de-DE"/>
              </w:rPr>
            </w:pPr>
            <w:permStart w:id="108885406" w:edGrp="everyone" w:colFirst="1" w:colLast="1"/>
            <w:r w:rsidRPr="00C85C8B">
              <w:rPr>
                <w:rFonts w:ascii="Arial" w:hAnsi="Arial" w:cs="Arial"/>
                <w:sz w:val="22"/>
                <w:lang w:eastAsia="de-DE"/>
              </w:rPr>
              <w:t>Name of the company / organisation</w:t>
            </w:r>
          </w:p>
        </w:tc>
        <w:sdt>
          <w:sdtPr>
            <w:rPr>
              <w:rFonts w:ascii="Arial" w:hAnsi="Arial" w:cs="Arial"/>
              <w:color w:val="808080"/>
              <w:sz w:val="20"/>
              <w:lang w:eastAsia="de-DE"/>
            </w:rPr>
            <w:id w:val="-1905066999"/>
            <w:text/>
          </w:sdtPr>
          <w:sdtEndPr/>
          <w:sdtContent>
            <w:tc>
              <w:tcPr>
                <w:tcW w:w="5595" w:type="dxa"/>
                <w:shd w:val="clear" w:color="auto" w:fill="auto"/>
              </w:tcPr>
              <w:p w14:paraId="1B67440D" w14:textId="22FA3583" w:rsidR="00C85C8B" w:rsidRPr="00C85C8B" w:rsidRDefault="009E2105" w:rsidP="00C85C8B">
                <w:pPr>
                  <w:rPr>
                    <w:rFonts w:ascii="Arial" w:hAnsi="Arial" w:cs="Arial"/>
                    <w:color w:val="808080"/>
                    <w:sz w:val="20"/>
                    <w:lang w:eastAsia="de-DE"/>
                  </w:rPr>
                </w:pPr>
                <w:r>
                  <w:rPr>
                    <w:rFonts w:ascii="Arial" w:hAnsi="Arial" w:cs="Arial"/>
                    <w:color w:val="808080"/>
                    <w:sz w:val="20"/>
                    <w:lang w:eastAsia="de-DE"/>
                  </w:rPr>
                  <w:t>Europex</w:t>
                </w:r>
              </w:p>
            </w:tc>
          </w:sdtContent>
        </w:sdt>
      </w:tr>
      <w:tr w:rsidR="00C85C8B" w:rsidRPr="00C85C8B" w14:paraId="216F3E57" w14:textId="77777777" w:rsidTr="00B76FB7">
        <w:tc>
          <w:tcPr>
            <w:tcW w:w="3929" w:type="dxa"/>
            <w:shd w:val="clear" w:color="auto" w:fill="auto"/>
          </w:tcPr>
          <w:p w14:paraId="1B868EDB" w14:textId="77777777" w:rsidR="00C85C8B" w:rsidRPr="00C85C8B" w:rsidRDefault="00C85C8B" w:rsidP="00C85C8B">
            <w:pPr>
              <w:rPr>
                <w:rFonts w:ascii="Arial" w:hAnsi="Arial" w:cs="Arial"/>
                <w:sz w:val="22"/>
                <w:lang w:eastAsia="de-DE"/>
              </w:rPr>
            </w:pPr>
            <w:permStart w:id="11734600" w:edGrp="everyone" w:colFirst="1" w:colLast="1"/>
            <w:permEnd w:id="108885406"/>
            <w:r w:rsidRPr="00C85C8B">
              <w:rPr>
                <w:rFonts w:ascii="Arial" w:hAnsi="Arial" w:cs="Arial"/>
                <w:sz w:val="22"/>
                <w:lang w:eastAsia="de-DE"/>
              </w:rPr>
              <w:t>Activity</w:t>
            </w:r>
          </w:p>
        </w:tc>
        <w:tc>
          <w:tcPr>
            <w:tcW w:w="5595" w:type="dxa"/>
            <w:shd w:val="clear" w:color="auto" w:fill="auto"/>
          </w:tcPr>
          <w:p w14:paraId="1423187D" w14:textId="75F9B949" w:rsidR="00C85C8B" w:rsidRPr="00C85C8B" w:rsidRDefault="00290C91" w:rsidP="00C85C8B">
            <w:pPr>
              <w:rPr>
                <w:rFonts w:ascii="Arial" w:hAnsi="Arial" w:cs="Arial"/>
                <w:sz w:val="20"/>
                <w:lang w:eastAsia="de-DE"/>
              </w:rPr>
            </w:pPr>
            <w:sdt>
              <w:sdtPr>
                <w:rPr>
                  <w:rFonts w:ascii="Arial" w:hAnsi="Arial" w:cs="Arial"/>
                  <w:sz w:val="20"/>
                  <w:lang w:eastAsia="de-DE"/>
                </w:rPr>
                <w:alias w:val="Activity"/>
                <w:tag w:val="Activity"/>
                <w:id w:val="-476845391"/>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EndPr/>
              <w:sdtContent>
                <w:r w:rsidR="009E2105">
                  <w:rPr>
                    <w:rFonts w:ascii="Arial" w:hAnsi="Arial" w:cs="Arial"/>
                    <w:sz w:val="20"/>
                    <w:lang w:eastAsia="de-DE"/>
                  </w:rPr>
                  <w:t>Regulated markets/Exchanges/Trading Systems</w:t>
                </w:r>
              </w:sdtContent>
            </w:sdt>
          </w:p>
        </w:tc>
      </w:tr>
      <w:tr w:rsidR="00C85C8B" w:rsidRPr="00C85C8B" w14:paraId="0D216581" w14:textId="77777777" w:rsidTr="00B76FB7">
        <w:tc>
          <w:tcPr>
            <w:tcW w:w="3929" w:type="dxa"/>
            <w:shd w:val="clear" w:color="auto" w:fill="auto"/>
          </w:tcPr>
          <w:p w14:paraId="43B75BA8" w14:textId="77777777" w:rsidR="00C85C8B" w:rsidRPr="00C85C8B" w:rsidRDefault="00C85C8B" w:rsidP="00C85C8B">
            <w:pPr>
              <w:rPr>
                <w:rFonts w:ascii="Arial" w:hAnsi="Arial" w:cs="Arial"/>
                <w:sz w:val="22"/>
                <w:lang w:eastAsia="de-DE"/>
              </w:rPr>
            </w:pPr>
            <w:permStart w:id="310511986" w:edGrp="everyone" w:colFirst="1" w:colLast="1"/>
            <w:permEnd w:id="11734600"/>
            <w:r w:rsidRPr="00C85C8B">
              <w:rPr>
                <w:rFonts w:ascii="Arial" w:hAnsi="Arial" w:cs="Arial"/>
                <w:sz w:val="22"/>
                <w:lang w:eastAsia="de-DE"/>
              </w:rPr>
              <w:t>Are you representing an association?</w:t>
            </w:r>
          </w:p>
        </w:tc>
        <w:sdt>
          <w:sdtPr>
            <w:rPr>
              <w:rFonts w:ascii="Arial" w:hAnsi="Arial" w:cs="Arial"/>
              <w:sz w:val="20"/>
              <w:lang w:eastAsia="de-DE"/>
            </w:rPr>
            <w:id w:val="-242871467"/>
            <w14:checkbox>
              <w14:checked w14:val="1"/>
              <w14:checkedState w14:val="2612" w14:font="MS Gothic"/>
              <w14:uncheckedState w14:val="2610" w14:font="MS Gothic"/>
            </w14:checkbox>
          </w:sdtPr>
          <w:sdtEndPr/>
          <w:sdtContent>
            <w:tc>
              <w:tcPr>
                <w:tcW w:w="5595" w:type="dxa"/>
                <w:shd w:val="clear" w:color="auto" w:fill="auto"/>
              </w:tcPr>
              <w:p w14:paraId="6C4423E1" w14:textId="1171B4CF" w:rsidR="00C85C8B" w:rsidRPr="00C85C8B" w:rsidRDefault="009E2105" w:rsidP="00C85C8B">
                <w:pPr>
                  <w:rPr>
                    <w:rFonts w:ascii="Arial" w:hAnsi="Arial" w:cs="Arial"/>
                    <w:sz w:val="20"/>
                    <w:lang w:eastAsia="de-DE"/>
                  </w:rPr>
                </w:pPr>
                <w:r>
                  <w:rPr>
                    <w:rFonts w:ascii="MS Gothic" w:eastAsia="MS Gothic" w:hAnsi="MS Gothic" w:cs="Arial" w:hint="eastAsia"/>
                    <w:sz w:val="20"/>
                    <w:lang w:eastAsia="de-DE"/>
                  </w:rPr>
                  <w:t>☒</w:t>
                </w:r>
              </w:p>
            </w:tc>
          </w:sdtContent>
        </w:sdt>
      </w:tr>
      <w:tr w:rsidR="00C85C8B" w:rsidRPr="00C85C8B" w14:paraId="41DA9EA6" w14:textId="77777777" w:rsidTr="00B76FB7">
        <w:tc>
          <w:tcPr>
            <w:tcW w:w="3929" w:type="dxa"/>
            <w:shd w:val="clear" w:color="auto" w:fill="auto"/>
          </w:tcPr>
          <w:p w14:paraId="553FB597" w14:textId="77777777" w:rsidR="00C85C8B" w:rsidRPr="00C85C8B" w:rsidRDefault="00C85C8B" w:rsidP="00C85C8B">
            <w:pPr>
              <w:rPr>
                <w:rFonts w:ascii="Arial" w:hAnsi="Arial" w:cs="Arial"/>
                <w:sz w:val="22"/>
                <w:lang w:eastAsia="de-DE"/>
              </w:rPr>
            </w:pPr>
            <w:permStart w:id="1269442871" w:edGrp="everyone" w:colFirst="1" w:colLast="1"/>
            <w:permEnd w:id="310511986"/>
            <w:r w:rsidRPr="00C85C8B">
              <w:rPr>
                <w:rFonts w:ascii="Arial" w:hAnsi="Arial" w:cs="Arial"/>
                <w:sz w:val="22"/>
                <w:lang w:eastAsia="de-DE"/>
              </w:rPr>
              <w:t>Country/Region</w:t>
            </w:r>
          </w:p>
        </w:tc>
        <w:sdt>
          <w:sdtPr>
            <w:rPr>
              <w:rFonts w:ascii="Arial" w:hAnsi="Arial" w:cs="Arial"/>
              <w:sz w:val="20"/>
              <w:lang w:eastAsia="de-DE"/>
            </w:rPr>
            <w:alias w:val="Country"/>
            <w:tag w:val="Country"/>
            <w:id w:val="-403371040"/>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tc>
              <w:tcPr>
                <w:tcW w:w="5595" w:type="dxa"/>
                <w:shd w:val="clear" w:color="auto" w:fill="auto"/>
              </w:tcPr>
              <w:p w14:paraId="082656BF" w14:textId="71C8E46A" w:rsidR="00C85C8B" w:rsidRPr="00C85C8B" w:rsidRDefault="009E2105" w:rsidP="00C85C8B">
                <w:pPr>
                  <w:rPr>
                    <w:rFonts w:ascii="Arial" w:hAnsi="Arial" w:cs="Arial"/>
                    <w:sz w:val="20"/>
                    <w:lang w:eastAsia="de-DE"/>
                  </w:rPr>
                </w:pPr>
                <w:r>
                  <w:rPr>
                    <w:rFonts w:ascii="Arial" w:hAnsi="Arial" w:cs="Arial"/>
                    <w:sz w:val="20"/>
                    <w:lang w:eastAsia="de-DE"/>
                  </w:rPr>
                  <w:t>Europe</w:t>
                </w:r>
              </w:p>
            </w:tc>
          </w:sdtContent>
        </w:sdt>
      </w:tr>
      <w:permEnd w:id="1269442871"/>
    </w:tbl>
    <w:p w14:paraId="7B052828" w14:textId="77777777" w:rsidR="00C85C8B" w:rsidRPr="00C85C8B" w:rsidRDefault="00C85C8B" w:rsidP="00C85C8B">
      <w:pPr>
        <w:spacing w:after="120" w:line="264" w:lineRule="auto"/>
        <w:jc w:val="both"/>
        <w:rPr>
          <w:rFonts w:asciiTheme="minorHAnsi" w:eastAsiaTheme="minorEastAsia" w:hAnsiTheme="minorHAnsi" w:cstheme="minorBidi"/>
          <w:sz w:val="22"/>
          <w:szCs w:val="20"/>
          <w:lang w:eastAsia="en-US"/>
        </w:rPr>
      </w:pPr>
    </w:p>
    <w:p w14:paraId="0FE28F47" w14:textId="77777777" w:rsidR="00C85C8B" w:rsidRPr="00C85C8B" w:rsidRDefault="00C85C8B" w:rsidP="00C85C8B">
      <w:pPr>
        <w:spacing w:after="120" w:line="264" w:lineRule="auto"/>
        <w:jc w:val="both"/>
        <w:rPr>
          <w:rFonts w:asciiTheme="minorHAnsi" w:eastAsiaTheme="minorEastAsia" w:hAnsiTheme="minorHAnsi" w:cstheme="minorBidi"/>
          <w:sz w:val="22"/>
          <w:szCs w:val="20"/>
          <w:lang w:eastAsia="en-US"/>
        </w:rPr>
      </w:pPr>
    </w:p>
    <w:p w14:paraId="019F5D4E" w14:textId="77777777" w:rsidR="00C85C8B" w:rsidRPr="00C85C8B" w:rsidRDefault="00C85C8B" w:rsidP="00C85C8B">
      <w:pPr>
        <w:spacing w:after="120" w:line="264" w:lineRule="auto"/>
        <w:jc w:val="both"/>
        <w:rPr>
          <w:rFonts w:asciiTheme="minorHAnsi" w:eastAsiaTheme="minorEastAsia" w:hAnsiTheme="minorHAnsi" w:cstheme="minorBidi"/>
          <w:sz w:val="22"/>
          <w:szCs w:val="20"/>
          <w:lang w:eastAsia="en-US"/>
        </w:rPr>
      </w:pPr>
    </w:p>
    <w:p w14:paraId="59CB29E3" w14:textId="77777777" w:rsidR="00C85C8B" w:rsidRPr="00C85C8B" w:rsidRDefault="00C85C8B" w:rsidP="00C85C8B">
      <w:pPr>
        <w:keepNext/>
        <w:keepLines/>
        <w:spacing w:before="320" w:after="250" w:line="276" w:lineRule="auto"/>
        <w:ind w:left="431" w:hanging="431"/>
        <w:jc w:val="both"/>
        <w:outlineLvl w:val="0"/>
        <w:rPr>
          <w:rFonts w:asciiTheme="majorHAnsi" w:eastAsiaTheme="majorEastAsia" w:hAnsiTheme="majorHAnsi" w:cstheme="majorBidi"/>
          <w:b/>
          <w:sz w:val="32"/>
          <w:szCs w:val="32"/>
          <w:lang w:eastAsia="en-US"/>
        </w:rPr>
      </w:pPr>
      <w:r w:rsidRPr="00C85C8B">
        <w:rPr>
          <w:rFonts w:asciiTheme="majorHAnsi" w:eastAsiaTheme="majorEastAsia" w:hAnsiTheme="majorHAnsi" w:cstheme="majorBidi"/>
          <w:b/>
          <w:sz w:val="32"/>
          <w:szCs w:val="32"/>
          <w:lang w:eastAsia="en-US"/>
        </w:rPr>
        <w:t>Introduction</w:t>
      </w:r>
    </w:p>
    <w:p w14:paraId="6212DE47" w14:textId="77777777" w:rsidR="00C85C8B" w:rsidRPr="00C85C8B" w:rsidRDefault="00C85C8B" w:rsidP="00C85C8B">
      <w:pPr>
        <w:spacing w:after="250" w:line="276" w:lineRule="auto"/>
        <w:jc w:val="both"/>
        <w:rPr>
          <w:rFonts w:asciiTheme="minorHAnsi" w:eastAsiaTheme="minorEastAsia" w:hAnsiTheme="minorHAnsi" w:cstheme="minorBidi"/>
          <w:b/>
          <w:bCs/>
          <w:i/>
          <w:iCs/>
          <w:sz w:val="22"/>
          <w:szCs w:val="20"/>
          <w:lang w:eastAsia="en-US"/>
        </w:rPr>
      </w:pPr>
      <w:r w:rsidRPr="00C85C8B">
        <w:rPr>
          <w:rFonts w:asciiTheme="minorHAnsi" w:eastAsiaTheme="minorEastAsia" w:hAnsiTheme="minorHAnsi" w:cstheme="minorBidi"/>
          <w:b/>
          <w:bCs/>
          <w:i/>
          <w:iCs/>
          <w:sz w:val="22"/>
          <w:szCs w:val="20"/>
          <w:lang w:eastAsia="en-US"/>
        </w:rPr>
        <w:t>Please make your introductory comments below, if any</w:t>
      </w:r>
    </w:p>
    <w:p w14:paraId="08E635EB" w14:textId="21EEEC92" w:rsidR="00C85C8B" w:rsidRPr="00C85C8B" w:rsidRDefault="00C85C8B" w:rsidP="00C85C8B">
      <w:pPr>
        <w:spacing w:after="250" w:line="276" w:lineRule="auto"/>
        <w:jc w:val="both"/>
        <w:rPr>
          <w:rFonts w:asciiTheme="minorHAnsi" w:eastAsiaTheme="minorEastAsia" w:hAnsiTheme="minorHAnsi" w:cstheme="minorBidi"/>
          <w:sz w:val="22"/>
          <w:szCs w:val="20"/>
          <w:lang w:eastAsia="en-US"/>
        </w:rPr>
      </w:pPr>
      <w:r w:rsidRPr="00C85C8B">
        <w:rPr>
          <w:rFonts w:asciiTheme="minorHAnsi" w:eastAsiaTheme="minorEastAsia" w:hAnsiTheme="minorHAnsi" w:cstheme="minorBidi"/>
          <w:sz w:val="22"/>
          <w:szCs w:val="20"/>
          <w:lang w:eastAsia="en-US"/>
        </w:rPr>
        <w:t>&lt;ESMA_COMMENT_</w:t>
      </w:r>
      <w:r w:rsidR="00D5365A">
        <w:rPr>
          <w:rFonts w:asciiTheme="minorHAnsi" w:eastAsiaTheme="minorEastAsia" w:hAnsiTheme="minorHAnsi" w:cstheme="minorBidi"/>
          <w:sz w:val="22"/>
          <w:szCs w:val="20"/>
          <w:lang w:eastAsia="en-US"/>
        </w:rPr>
        <w:t>WPR</w:t>
      </w:r>
      <w:r w:rsidRPr="00C85C8B">
        <w:rPr>
          <w:rFonts w:asciiTheme="minorHAnsi" w:eastAsiaTheme="minorEastAsia" w:hAnsiTheme="minorHAnsi" w:cstheme="minorBidi"/>
          <w:sz w:val="22"/>
          <w:szCs w:val="20"/>
          <w:lang w:eastAsia="en-US"/>
        </w:rPr>
        <w:t>_1&gt;</w:t>
      </w:r>
    </w:p>
    <w:p w14:paraId="4AFCBB39" w14:textId="1C4BE32E" w:rsidR="009E2105" w:rsidRPr="009E2105" w:rsidRDefault="009E2105" w:rsidP="009E2105">
      <w:pPr>
        <w:spacing w:after="250" w:line="276" w:lineRule="auto"/>
        <w:jc w:val="both"/>
        <w:rPr>
          <w:rFonts w:ascii="Arial" w:eastAsiaTheme="minorEastAsia" w:hAnsi="Arial" w:cs="Arial"/>
          <w:sz w:val="22"/>
          <w:szCs w:val="20"/>
          <w:lang w:val="en-US" w:eastAsia="en-US"/>
        </w:rPr>
      </w:pPr>
      <w:permStart w:id="885457707" w:edGrp="everyone"/>
      <w:r w:rsidRPr="009E2105">
        <w:rPr>
          <w:rFonts w:ascii="Arial" w:eastAsiaTheme="minorEastAsia" w:hAnsi="Arial" w:cs="Arial"/>
          <w:sz w:val="22"/>
          <w:szCs w:val="20"/>
          <w:lang w:val="en-US" w:eastAsia="en-US"/>
        </w:rPr>
        <w:t xml:space="preserve">Europex, the Association of European Energy Exchanges, </w:t>
      </w:r>
      <w:r w:rsidRPr="009E2105">
        <w:rPr>
          <w:rFonts w:ascii="Arial" w:eastAsiaTheme="minorEastAsia" w:hAnsi="Arial" w:cs="Arial"/>
          <w:sz w:val="22"/>
          <w:szCs w:val="20"/>
          <w:lang w:eastAsia="en-US"/>
        </w:rPr>
        <w:t>welcomes the opportunity to contribute to the ESMA consultation paper on the MiFID II review report on position limits and position management in commodity derivatives. Europex has actively participated in previous MiFID related consultations, such as the call for evidence on position limits that took place last summer. While the review fulfils a legal obligation under MiFID II, this exercise is also a vital opportunity to assess the impact of position limits and position management on commodity derivatives markets and to ensure the regime is working in practice to fulfil its policy objectives.</w:t>
      </w:r>
    </w:p>
    <w:p w14:paraId="1C0BBEB6" w14:textId="0A1D2CC9" w:rsidR="009E2105" w:rsidRPr="009E2105" w:rsidRDefault="009E2105" w:rsidP="009E2105">
      <w:pPr>
        <w:spacing w:after="250" w:line="276" w:lineRule="auto"/>
        <w:jc w:val="both"/>
        <w:rPr>
          <w:rFonts w:ascii="Arial" w:eastAsiaTheme="minorEastAsia" w:hAnsi="Arial" w:cs="Arial"/>
          <w:sz w:val="22"/>
          <w:szCs w:val="20"/>
          <w:lang w:eastAsia="en-US"/>
        </w:rPr>
      </w:pPr>
      <w:r w:rsidRPr="009E2105">
        <w:rPr>
          <w:rFonts w:ascii="Arial" w:eastAsiaTheme="minorEastAsia" w:hAnsi="Arial" w:cs="Arial"/>
          <w:sz w:val="22"/>
          <w:szCs w:val="20"/>
          <w:lang w:eastAsia="en-US"/>
        </w:rPr>
        <w:t>Against this backdrop, Europex supports ESMA’s assessment of the issues to be addressed in the upcoming review, the two most important being the current regime’s negative impact on new and illiquid commodity derivatives and the lack of level playing field between exchanges offering liquid contracts with the same physical underlying. We firmly believe that the appropriate solution is to move towards a more proportionate and efficient position limit regime by focusing the application of the MiFID II position limit regime on a more limited set of important, critical commodity derivative contracts. This approach would help to foster the development of new and nascent contracts, while at the same time, it would better fulfil the overall objective of MiFID II to “improve the functioning and transparency of commodity markets and address excessive commodity price volatility”.</w:t>
      </w:r>
    </w:p>
    <w:p w14:paraId="4D1DC50C" w14:textId="77777777" w:rsidR="009E2105" w:rsidRDefault="009E2105" w:rsidP="00C85C8B">
      <w:pPr>
        <w:spacing w:after="250" w:line="276" w:lineRule="auto"/>
        <w:jc w:val="both"/>
        <w:rPr>
          <w:rFonts w:ascii="Arial" w:eastAsiaTheme="minorEastAsia" w:hAnsi="Arial" w:cs="Arial"/>
          <w:sz w:val="22"/>
          <w:szCs w:val="20"/>
          <w:lang w:eastAsia="en-US"/>
        </w:rPr>
      </w:pPr>
      <w:r w:rsidRPr="009E2105">
        <w:rPr>
          <w:rFonts w:ascii="Arial" w:eastAsiaTheme="minorEastAsia" w:hAnsi="Arial" w:cs="Arial"/>
          <w:sz w:val="22"/>
          <w:szCs w:val="20"/>
          <w:lang w:eastAsia="en-US"/>
        </w:rPr>
        <w:t>Well established position management controls that exchanges already have in place will ensure that contracts that are not assessed as ‘critical’ will continue to be controlled. The application of weekly position reporting to a wider set of contracts will also improve transparency.</w:t>
      </w:r>
    </w:p>
    <w:permEnd w:id="885457707"/>
    <w:p w14:paraId="15D00E65" w14:textId="4EE89EB7" w:rsidR="00C85C8B" w:rsidRPr="00C85C8B" w:rsidRDefault="00C85C8B" w:rsidP="00C85C8B">
      <w:pPr>
        <w:spacing w:after="250" w:line="276" w:lineRule="auto"/>
        <w:jc w:val="both"/>
        <w:rPr>
          <w:rFonts w:asciiTheme="minorHAnsi" w:eastAsiaTheme="minorEastAsia" w:hAnsiTheme="minorHAnsi" w:cstheme="minorBidi"/>
          <w:sz w:val="22"/>
          <w:szCs w:val="20"/>
          <w:lang w:eastAsia="en-US"/>
        </w:rPr>
      </w:pPr>
      <w:r w:rsidRPr="00C85C8B">
        <w:rPr>
          <w:rFonts w:asciiTheme="minorHAnsi" w:eastAsiaTheme="minorEastAsia" w:hAnsiTheme="minorHAnsi" w:cstheme="minorBidi"/>
          <w:sz w:val="22"/>
          <w:szCs w:val="20"/>
          <w:lang w:eastAsia="en-US"/>
        </w:rPr>
        <w:t>&lt;ESMA_COMMENT_</w:t>
      </w:r>
      <w:r w:rsidR="00D5365A">
        <w:rPr>
          <w:rFonts w:asciiTheme="minorHAnsi" w:eastAsiaTheme="minorEastAsia" w:hAnsiTheme="minorHAnsi" w:cs="Arial"/>
          <w:sz w:val="22"/>
          <w:szCs w:val="20"/>
          <w:lang w:eastAsia="en-US"/>
        </w:rPr>
        <w:t>WPR</w:t>
      </w:r>
      <w:r w:rsidRPr="00C85C8B">
        <w:rPr>
          <w:rFonts w:asciiTheme="minorHAnsi" w:eastAsiaTheme="minorEastAsia" w:hAnsiTheme="minorHAnsi" w:cstheme="minorBidi"/>
          <w:sz w:val="22"/>
          <w:szCs w:val="20"/>
          <w:lang w:eastAsia="en-US"/>
        </w:rPr>
        <w:t>_1&gt;</w:t>
      </w:r>
    </w:p>
    <w:p w14:paraId="58C2F704" w14:textId="77777777" w:rsidR="00C85C8B" w:rsidRDefault="00C85C8B" w:rsidP="00C1698A">
      <w:pPr>
        <w:spacing w:line="276" w:lineRule="auto"/>
        <w:rPr>
          <w:rFonts w:asciiTheme="minorHAnsi" w:hAnsiTheme="minorHAnsi" w:cstheme="minorHAnsi"/>
          <w:b/>
          <w:sz w:val="28"/>
          <w:szCs w:val="28"/>
        </w:rPr>
      </w:pPr>
    </w:p>
    <w:p w14:paraId="4218CA54" w14:textId="77777777" w:rsidR="00C85C8B" w:rsidRDefault="00C85C8B" w:rsidP="00C1698A">
      <w:pPr>
        <w:spacing w:line="276" w:lineRule="auto"/>
        <w:rPr>
          <w:rFonts w:asciiTheme="minorHAnsi" w:hAnsiTheme="minorHAnsi" w:cstheme="minorHAnsi"/>
          <w:b/>
          <w:sz w:val="28"/>
          <w:szCs w:val="28"/>
        </w:rPr>
      </w:pPr>
    </w:p>
    <w:p w14:paraId="0CE5A6A7" w14:textId="77777777" w:rsidR="00C85C8B" w:rsidRDefault="00C85C8B" w:rsidP="00C1698A">
      <w:pPr>
        <w:spacing w:line="276" w:lineRule="auto"/>
        <w:rPr>
          <w:rFonts w:asciiTheme="minorHAnsi" w:hAnsiTheme="minorHAnsi" w:cstheme="minorHAnsi"/>
          <w:b/>
          <w:sz w:val="28"/>
          <w:szCs w:val="28"/>
        </w:rPr>
      </w:pPr>
    </w:p>
    <w:p w14:paraId="0D73DA59" w14:textId="77777777" w:rsidR="00C85C8B" w:rsidRDefault="00C85C8B" w:rsidP="00C1698A">
      <w:pPr>
        <w:spacing w:line="276" w:lineRule="auto"/>
        <w:rPr>
          <w:rFonts w:asciiTheme="minorHAnsi" w:hAnsiTheme="minorHAnsi" w:cstheme="minorHAnsi"/>
          <w:b/>
          <w:sz w:val="28"/>
          <w:szCs w:val="28"/>
        </w:rPr>
      </w:pPr>
    </w:p>
    <w:p w14:paraId="0C037628" w14:textId="77777777" w:rsidR="00C85C8B" w:rsidRDefault="00C85C8B" w:rsidP="00C1698A">
      <w:pPr>
        <w:spacing w:line="276" w:lineRule="auto"/>
        <w:rPr>
          <w:rFonts w:asciiTheme="minorHAnsi" w:hAnsiTheme="minorHAnsi" w:cstheme="minorHAnsi"/>
          <w:b/>
          <w:sz w:val="28"/>
          <w:szCs w:val="28"/>
        </w:rPr>
      </w:pPr>
    </w:p>
    <w:p w14:paraId="1D0DAFF5" w14:textId="77777777" w:rsidR="00C85C8B" w:rsidRDefault="00C85C8B">
      <w:pPr>
        <w:spacing w:after="120" w:line="264" w:lineRule="auto"/>
        <w:rPr>
          <w:rFonts w:asciiTheme="minorHAnsi" w:hAnsiTheme="minorHAnsi" w:cstheme="minorHAnsi"/>
          <w:b/>
          <w:sz w:val="28"/>
          <w:szCs w:val="28"/>
        </w:rPr>
      </w:pPr>
      <w:r>
        <w:rPr>
          <w:rFonts w:asciiTheme="minorHAnsi" w:hAnsiTheme="minorHAnsi" w:cstheme="minorHAnsi"/>
          <w:b/>
          <w:sz w:val="28"/>
          <w:szCs w:val="28"/>
        </w:rPr>
        <w:br w:type="page"/>
      </w:r>
    </w:p>
    <w:p w14:paraId="005F1C41" w14:textId="6708E7F3" w:rsidR="00C1698A" w:rsidRDefault="00C1698A" w:rsidP="00C1698A">
      <w:pPr>
        <w:spacing w:line="276" w:lineRule="auto"/>
        <w:rPr>
          <w:rFonts w:asciiTheme="minorHAnsi" w:hAnsiTheme="minorHAnsi" w:cstheme="minorHAnsi"/>
          <w:b/>
          <w:sz w:val="28"/>
          <w:szCs w:val="28"/>
        </w:rPr>
      </w:pPr>
      <w:r w:rsidRPr="00C1698A">
        <w:rPr>
          <w:rFonts w:asciiTheme="minorHAnsi" w:hAnsiTheme="minorHAnsi" w:cstheme="minorHAnsi"/>
          <w:b/>
          <w:sz w:val="28"/>
          <w:szCs w:val="28"/>
        </w:rPr>
        <w:lastRenderedPageBreak/>
        <w:t xml:space="preserve">Questions </w:t>
      </w:r>
    </w:p>
    <w:p w14:paraId="5BB748F7" w14:textId="18FE1F4F" w:rsidR="00D5365A" w:rsidRDefault="00D5365A" w:rsidP="00C1698A">
      <w:pPr>
        <w:spacing w:line="276" w:lineRule="auto"/>
        <w:rPr>
          <w:rFonts w:asciiTheme="minorHAnsi" w:hAnsiTheme="minorHAnsi" w:cstheme="minorHAnsi"/>
          <w:b/>
          <w:sz w:val="28"/>
          <w:szCs w:val="28"/>
        </w:rPr>
      </w:pPr>
    </w:p>
    <w:p w14:paraId="78C87C24" w14:textId="77777777" w:rsidR="00D5365A" w:rsidRPr="002847A4" w:rsidRDefault="00D5365A" w:rsidP="00D5365A">
      <w:pPr>
        <w:rPr>
          <w:b/>
        </w:rPr>
      </w:pPr>
      <w:r w:rsidRPr="002847A4">
        <w:rPr>
          <w:b/>
        </w:rPr>
        <w:t>Part I</w:t>
      </w:r>
    </w:p>
    <w:p w14:paraId="6803E72C" w14:textId="77777777" w:rsidR="00D5365A" w:rsidRDefault="00D5365A" w:rsidP="00C1698A">
      <w:pPr>
        <w:spacing w:line="276" w:lineRule="auto"/>
        <w:rPr>
          <w:rFonts w:asciiTheme="minorHAnsi" w:hAnsiTheme="minorHAnsi" w:cstheme="minorHAnsi"/>
          <w:b/>
          <w:sz w:val="28"/>
          <w:szCs w:val="28"/>
        </w:rPr>
      </w:pPr>
    </w:p>
    <w:p w14:paraId="31CCCD1B" w14:textId="77777777" w:rsidR="00D5365A" w:rsidRDefault="00D5365A" w:rsidP="00D5365A">
      <w:pPr>
        <w:pStyle w:val="Questionstyle"/>
        <w:numPr>
          <w:ilvl w:val="0"/>
          <w:numId w:val="17"/>
        </w:numPr>
        <w:spacing w:after="250" w:line="276" w:lineRule="auto"/>
      </w:pPr>
      <w:r>
        <w:t>: Which option (Option 1 or Option 2) do you support for dealing with competing contracts? Please explain why. If you support Option 1, do you have any suggestions for amending the definition of “same contract” in Article 5(1) of RTS 21?  If you support another alternative, please explain which one and why.</w:t>
      </w:r>
    </w:p>
    <w:p w14:paraId="18E545B3" w14:textId="77777777" w:rsidR="00D5365A" w:rsidRDefault="00D5365A" w:rsidP="00D5365A">
      <w:pPr>
        <w:rPr>
          <w:rFonts w:ascii="Arial" w:hAnsi="Arial" w:cs="Arial"/>
        </w:rPr>
      </w:pPr>
      <w:r>
        <w:rPr>
          <w:rFonts w:ascii="Arial" w:hAnsi="Arial" w:cs="Arial"/>
        </w:rPr>
        <w:t>&lt;ESMA_QUESTION_WPR_1&gt;</w:t>
      </w:r>
    </w:p>
    <w:p w14:paraId="00FE9093" w14:textId="77777777" w:rsidR="001D388A" w:rsidRPr="001D388A" w:rsidRDefault="001D388A" w:rsidP="001D388A">
      <w:pPr>
        <w:jc w:val="both"/>
        <w:rPr>
          <w:rFonts w:ascii="Arial" w:hAnsi="Arial" w:cs="Arial"/>
        </w:rPr>
      </w:pPr>
      <w:permStart w:id="1245597596" w:edGrp="everyone"/>
      <w:r w:rsidRPr="001D388A">
        <w:rPr>
          <w:rFonts w:ascii="Arial" w:hAnsi="Arial" w:cs="Arial"/>
        </w:rPr>
        <w:t>Europex supports Option 2.</w:t>
      </w:r>
    </w:p>
    <w:p w14:paraId="40FD06AF" w14:textId="77777777" w:rsidR="001D388A" w:rsidRPr="001D388A" w:rsidRDefault="001D388A" w:rsidP="001D388A">
      <w:pPr>
        <w:jc w:val="both"/>
        <w:rPr>
          <w:rFonts w:ascii="Arial" w:hAnsi="Arial" w:cs="Arial"/>
        </w:rPr>
      </w:pPr>
    </w:p>
    <w:p w14:paraId="45F632A7" w14:textId="77777777" w:rsidR="001D388A" w:rsidRPr="001D388A" w:rsidRDefault="001D388A" w:rsidP="001D388A">
      <w:pPr>
        <w:jc w:val="both"/>
        <w:rPr>
          <w:rFonts w:ascii="Arial" w:hAnsi="Arial" w:cs="Arial"/>
        </w:rPr>
      </w:pPr>
      <w:r w:rsidRPr="001D388A">
        <w:rPr>
          <w:rFonts w:ascii="Arial" w:hAnsi="Arial" w:cs="Arial"/>
        </w:rPr>
        <w:t>We understand and agree with the rationale for levelling the playing field for competing commodity derivative contracts traded on different venues which are classified as liquid and have the same physical underlying. Indeed, the open interest figure which serves as a basis for setting the other months limit should be provided by the trading venue with the highest average open interest over a certain period, i.e. one year. The position limit of the most liquid commodity derivative contract should be applied identically to competing contracts that are deemed liquid and have the same physical underlying. Such an approach would prevent any discrimination of the MiFID II position limits regime towards trading venues with lower open interest in a contract with the same physical underlying.</w:t>
      </w:r>
    </w:p>
    <w:p w14:paraId="11021620" w14:textId="77777777" w:rsidR="001D388A" w:rsidRPr="001D388A" w:rsidRDefault="001D388A" w:rsidP="001D388A">
      <w:pPr>
        <w:jc w:val="both"/>
        <w:rPr>
          <w:rFonts w:ascii="Arial" w:hAnsi="Arial" w:cs="Arial"/>
        </w:rPr>
      </w:pPr>
    </w:p>
    <w:p w14:paraId="18177ADB" w14:textId="77777777" w:rsidR="001D388A" w:rsidRPr="001D388A" w:rsidRDefault="001D388A" w:rsidP="001D388A">
      <w:pPr>
        <w:jc w:val="both"/>
        <w:rPr>
          <w:rFonts w:ascii="Arial" w:hAnsi="Arial" w:cs="Arial"/>
        </w:rPr>
      </w:pPr>
      <w:r w:rsidRPr="001D388A">
        <w:rPr>
          <w:rFonts w:ascii="Arial" w:hAnsi="Arial" w:cs="Arial"/>
        </w:rPr>
        <w:t>In case of Option 2, three different scenarios might arise:</w:t>
      </w:r>
    </w:p>
    <w:p w14:paraId="57D0E3FF" w14:textId="77777777" w:rsidR="001D388A" w:rsidRPr="001D388A" w:rsidRDefault="001D388A" w:rsidP="001D388A">
      <w:pPr>
        <w:jc w:val="both"/>
        <w:rPr>
          <w:rFonts w:ascii="Arial" w:hAnsi="Arial" w:cs="Arial"/>
        </w:rPr>
      </w:pPr>
    </w:p>
    <w:p w14:paraId="03C78F92" w14:textId="77777777" w:rsidR="001D388A" w:rsidRPr="001D388A" w:rsidRDefault="001D388A" w:rsidP="001D388A">
      <w:pPr>
        <w:numPr>
          <w:ilvl w:val="0"/>
          <w:numId w:val="18"/>
        </w:numPr>
        <w:jc w:val="both"/>
        <w:rPr>
          <w:rFonts w:ascii="Arial" w:hAnsi="Arial" w:cs="Arial"/>
        </w:rPr>
      </w:pPr>
      <w:r w:rsidRPr="001D388A">
        <w:rPr>
          <w:rFonts w:ascii="Arial" w:hAnsi="Arial" w:cs="Arial"/>
        </w:rPr>
        <w:t>If two trading venues list a commodity derivative contract with the same physical underlying, but neither of these contracts meets the criteria to be deemed liquid (or critical in the case the regime moved to a limited scope of application to critical contracts only) then no position limit applies.</w:t>
      </w:r>
    </w:p>
    <w:p w14:paraId="19DB9707" w14:textId="77777777" w:rsidR="001D388A" w:rsidRPr="001D388A" w:rsidRDefault="001D388A" w:rsidP="001D388A">
      <w:pPr>
        <w:numPr>
          <w:ilvl w:val="0"/>
          <w:numId w:val="18"/>
        </w:numPr>
        <w:jc w:val="both"/>
        <w:rPr>
          <w:rFonts w:ascii="Arial" w:hAnsi="Arial" w:cs="Arial"/>
        </w:rPr>
      </w:pPr>
      <w:r w:rsidRPr="001D388A">
        <w:rPr>
          <w:rFonts w:ascii="Arial" w:hAnsi="Arial" w:cs="Arial"/>
        </w:rPr>
        <w:t xml:space="preserve">If one of the two contracts </w:t>
      </w:r>
      <w:proofErr w:type="gramStart"/>
      <w:r w:rsidRPr="001D388A">
        <w:rPr>
          <w:rFonts w:ascii="Arial" w:hAnsi="Arial" w:cs="Arial"/>
        </w:rPr>
        <w:t>meets</w:t>
      </w:r>
      <w:proofErr w:type="gramEnd"/>
      <w:r w:rsidRPr="001D388A">
        <w:rPr>
          <w:rFonts w:ascii="Arial" w:hAnsi="Arial" w:cs="Arial"/>
        </w:rPr>
        <w:t xml:space="preserve"> the criteria to be considered a liquid (or critical) contract, the position limit should apply only to the venue listing the liquid contract and not to the venue listing the commodity derivative contract with the same physical underlying that is not deemed liquid (or critical).</w:t>
      </w:r>
    </w:p>
    <w:p w14:paraId="183DA9DB" w14:textId="77777777" w:rsidR="001D388A" w:rsidRPr="001D388A" w:rsidRDefault="001D388A" w:rsidP="001D388A">
      <w:pPr>
        <w:numPr>
          <w:ilvl w:val="0"/>
          <w:numId w:val="18"/>
        </w:numPr>
        <w:jc w:val="both"/>
        <w:rPr>
          <w:rFonts w:ascii="Arial" w:hAnsi="Arial" w:cs="Arial"/>
        </w:rPr>
      </w:pPr>
      <w:r w:rsidRPr="001D388A">
        <w:rPr>
          <w:rFonts w:ascii="Arial" w:hAnsi="Arial" w:cs="Arial"/>
        </w:rPr>
        <w:t>Should both contracts be considered liquid (or critical), then the same position limit of the liquid (or critical) contract with the highest open interest should apply to the other liquid (or critical) contract(s) with the same physical underlying on other venues.</w:t>
      </w:r>
    </w:p>
    <w:p w14:paraId="10AA06E3" w14:textId="77777777" w:rsidR="001D388A" w:rsidRPr="001D388A" w:rsidRDefault="001D388A" w:rsidP="001D388A">
      <w:pPr>
        <w:jc w:val="both"/>
        <w:rPr>
          <w:rFonts w:ascii="Arial" w:hAnsi="Arial" w:cs="Arial"/>
        </w:rPr>
      </w:pPr>
    </w:p>
    <w:p w14:paraId="2EAFA30B" w14:textId="600A2B1A" w:rsidR="00D5365A" w:rsidRDefault="001D388A" w:rsidP="001D388A">
      <w:pPr>
        <w:jc w:val="both"/>
        <w:rPr>
          <w:rFonts w:ascii="Arial" w:hAnsi="Arial" w:cs="Arial"/>
        </w:rPr>
      </w:pPr>
      <w:r w:rsidRPr="001D388A">
        <w:rPr>
          <w:rFonts w:ascii="Arial" w:hAnsi="Arial" w:cs="Arial"/>
        </w:rPr>
        <w:t xml:space="preserve">At the same time, most Europex members disagree with the proposal to amend the definition of the “same [commodity derivative] contract”. In this context, it should be emphasised that in practice commodity derivatives traded on different trading venues can never be considered as the “same contract”, even if they have the same physical underlying. This is because a contract is designed by the trading venue, whereby the rules and conditions, including those related to pricing and settlement, differ across venues. Thus, commodity derivatives traded on different trading venues cannot and should not be netted against each other for position limits or other purposes. Also, for this reason, the removal of the condition for contracts to “form the same pool of open interest” would not remedy the level playing field problem which ESMA is trying to </w:t>
      </w:r>
      <w:r w:rsidRPr="001D388A">
        <w:rPr>
          <w:rFonts w:ascii="Arial" w:hAnsi="Arial" w:cs="Arial"/>
        </w:rPr>
        <w:lastRenderedPageBreak/>
        <w:t>solve. In addition, Option 2 would be a more pragmatic way forward, given the current set-up of NCAs towards position limits reporting and monitoring. It would, for example, be impossible for trading venues to have access to information on positions in contracts offered by other venues.</w:t>
      </w:r>
    </w:p>
    <w:permEnd w:id="1245597596"/>
    <w:p w14:paraId="230EAD9F" w14:textId="77777777" w:rsidR="00D5365A" w:rsidRDefault="00D5365A" w:rsidP="00D5365A">
      <w:pPr>
        <w:rPr>
          <w:rFonts w:ascii="Arial" w:hAnsi="Arial" w:cs="Arial"/>
        </w:rPr>
      </w:pPr>
      <w:r>
        <w:rPr>
          <w:rFonts w:ascii="Arial" w:hAnsi="Arial" w:cs="Arial"/>
        </w:rPr>
        <w:t>&lt;ESMA_QUESTION_WPR_1&gt;</w:t>
      </w:r>
    </w:p>
    <w:p w14:paraId="05277153" w14:textId="77777777" w:rsidR="00D5365A" w:rsidRDefault="00D5365A" w:rsidP="00D5365A">
      <w:pPr>
        <w:rPr>
          <w:rFonts w:ascii="Arial" w:hAnsi="Arial" w:cs="Arial"/>
        </w:rPr>
      </w:pPr>
    </w:p>
    <w:p w14:paraId="55333858" w14:textId="77777777" w:rsidR="00D5365A" w:rsidRDefault="00D5365A" w:rsidP="00D5365A">
      <w:pPr>
        <w:pStyle w:val="Questionstyle"/>
        <w:numPr>
          <w:ilvl w:val="0"/>
          <w:numId w:val="17"/>
        </w:numPr>
        <w:spacing w:after="250" w:line="276" w:lineRule="auto"/>
        <w:rPr>
          <w:rFonts w:ascii="Arial" w:hAnsi="Arial" w:cs="Arial"/>
        </w:rPr>
      </w:pPr>
      <w:r>
        <w:t>: Do you agree that the C(6) carve-out creates an unlevel playing field across trading venues and should be reconsidered? If not, please explain why.</w:t>
      </w:r>
    </w:p>
    <w:p w14:paraId="290574D7" w14:textId="77777777" w:rsidR="00D5365A" w:rsidRDefault="00D5365A" w:rsidP="00D5365A">
      <w:pPr>
        <w:rPr>
          <w:rFonts w:ascii="Arial" w:hAnsi="Arial" w:cs="Arial"/>
        </w:rPr>
      </w:pPr>
      <w:r>
        <w:rPr>
          <w:rFonts w:ascii="Arial" w:hAnsi="Arial" w:cs="Arial"/>
        </w:rPr>
        <w:t>&lt;ESMA_QUESTION_WPR_2&gt;</w:t>
      </w:r>
    </w:p>
    <w:p w14:paraId="6D9E57D3" w14:textId="18FBD92B" w:rsidR="001D388A" w:rsidRDefault="001D388A" w:rsidP="001D388A">
      <w:pPr>
        <w:jc w:val="both"/>
        <w:rPr>
          <w:rFonts w:ascii="Arial" w:hAnsi="Arial" w:cs="Arial"/>
        </w:rPr>
      </w:pPr>
      <w:permStart w:id="311558394" w:edGrp="everyone"/>
      <w:r w:rsidRPr="001D388A">
        <w:rPr>
          <w:rFonts w:ascii="Arial" w:hAnsi="Arial" w:cs="Arial"/>
        </w:rPr>
        <w:t>Europex continues to support the policy rationale for the exemption of physically settled gas and electricity contracts from the rules of EU financial regulation for the following reasons:</w:t>
      </w:r>
    </w:p>
    <w:p w14:paraId="10C6F5E7" w14:textId="77777777" w:rsidR="001D388A" w:rsidRPr="001D388A" w:rsidRDefault="001D388A" w:rsidP="001D388A">
      <w:pPr>
        <w:jc w:val="both"/>
        <w:rPr>
          <w:rFonts w:ascii="Arial" w:hAnsi="Arial" w:cs="Arial"/>
        </w:rPr>
      </w:pPr>
    </w:p>
    <w:p w14:paraId="6E9C35BB" w14:textId="7B233C98" w:rsidR="001D388A" w:rsidRDefault="001D388A" w:rsidP="001D388A">
      <w:pPr>
        <w:jc w:val="both"/>
        <w:rPr>
          <w:rFonts w:ascii="Arial" w:hAnsi="Arial" w:cs="Arial"/>
        </w:rPr>
      </w:pPr>
      <w:r w:rsidRPr="001D388A">
        <w:rPr>
          <w:rFonts w:ascii="Arial" w:hAnsi="Arial" w:cs="Arial"/>
        </w:rPr>
        <w:t>First, due to their specific characteristics carved out energy commodity contracts are subject to the energy-specific anti-market abuse regime of the Regulation on Wholesale Energy Market Integrity and Transparency (REMIT). Their inclusion in the complex and far-reaching matrix of the requirements under MiFID II/MiFIR, predominantly designed for investment firms and banks, could undermine their actual economic functions. In this context, it is important to note that they play an important role in the liberalisation and further development of the EU’s internal gas and electricity market. Moreover, they constitute important instruments for the energy transition as well as for the broader shift to a green and carbon-neutral economy in Europe.</w:t>
      </w:r>
    </w:p>
    <w:p w14:paraId="11D89A51" w14:textId="77777777" w:rsidR="001D388A" w:rsidRPr="001D388A" w:rsidRDefault="001D388A" w:rsidP="001D388A">
      <w:pPr>
        <w:jc w:val="both"/>
        <w:rPr>
          <w:rFonts w:ascii="Arial" w:hAnsi="Arial" w:cs="Arial"/>
        </w:rPr>
      </w:pPr>
    </w:p>
    <w:p w14:paraId="79C63F57" w14:textId="3DA4DC15" w:rsidR="001D388A" w:rsidRDefault="001D388A" w:rsidP="001D388A">
      <w:pPr>
        <w:jc w:val="both"/>
        <w:rPr>
          <w:rFonts w:ascii="Arial" w:hAnsi="Arial" w:cs="Arial"/>
        </w:rPr>
      </w:pPr>
      <w:bookmarkStart w:id="1" w:name="_30j0zll" w:colFirst="0" w:colLast="0"/>
      <w:bookmarkEnd w:id="1"/>
      <w:r w:rsidRPr="001D388A">
        <w:rPr>
          <w:rFonts w:ascii="Arial" w:hAnsi="Arial" w:cs="Arial"/>
        </w:rPr>
        <w:t xml:space="preserve">Second, while there might be differences according to geography, market structures and specific asset classes, the overall trend of increased trading on regulated markets has not reversed since the beginning of the application of MiFID II/MiFIR on 3 January 2018 as is highlighted in the Trayport Euro Commodities Report from August 2019 (see below). We therefore currently do not see evidence that the C(6) carve-out has led to a shift in volumes to Organised Trading Facilities (OTFs). </w:t>
      </w:r>
    </w:p>
    <w:p w14:paraId="789BF67B" w14:textId="77777777" w:rsidR="001D388A" w:rsidRPr="001D388A" w:rsidRDefault="001D388A" w:rsidP="001D388A">
      <w:pPr>
        <w:jc w:val="both"/>
        <w:rPr>
          <w:rFonts w:ascii="Arial" w:hAnsi="Arial" w:cs="Arial"/>
        </w:rPr>
      </w:pPr>
    </w:p>
    <w:p w14:paraId="4578E8E9" w14:textId="77777777" w:rsidR="001D388A" w:rsidRPr="001D388A" w:rsidRDefault="001D388A" w:rsidP="001D388A">
      <w:pPr>
        <w:jc w:val="both"/>
        <w:rPr>
          <w:rFonts w:ascii="Arial" w:hAnsi="Arial" w:cs="Arial"/>
        </w:rPr>
      </w:pPr>
      <w:bookmarkStart w:id="2" w:name="_1fob9te" w:colFirst="0" w:colLast="0"/>
      <w:bookmarkEnd w:id="2"/>
      <w:r w:rsidRPr="001D388A">
        <w:rPr>
          <w:rFonts w:ascii="Arial" w:hAnsi="Arial" w:cs="Arial"/>
          <w:noProof/>
        </w:rPr>
        <w:lastRenderedPageBreak/>
        <w:drawing>
          <wp:inline distT="114300" distB="114300" distL="114300" distR="114300" wp14:anchorId="7BC1ABF4" wp14:editId="2310840F">
            <wp:extent cx="4862706" cy="4651928"/>
            <wp:effectExtent l="0" t="0" r="1905"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l="34597" t="26663" r="26523" b="5880"/>
                    <a:stretch>
                      <a:fillRect/>
                    </a:stretch>
                  </pic:blipFill>
                  <pic:spPr>
                    <a:xfrm>
                      <a:off x="0" y="0"/>
                      <a:ext cx="4887411" cy="4675562"/>
                    </a:xfrm>
                    <a:prstGeom prst="rect">
                      <a:avLst/>
                    </a:prstGeom>
                    <a:ln/>
                  </pic:spPr>
                </pic:pic>
              </a:graphicData>
            </a:graphic>
          </wp:inline>
        </w:drawing>
      </w:r>
    </w:p>
    <w:p w14:paraId="68F41BA2" w14:textId="77777777" w:rsidR="001D388A" w:rsidRDefault="001D388A" w:rsidP="001D388A">
      <w:pPr>
        <w:jc w:val="both"/>
        <w:rPr>
          <w:rFonts w:ascii="Arial" w:hAnsi="Arial" w:cs="Arial"/>
        </w:rPr>
      </w:pPr>
    </w:p>
    <w:p w14:paraId="51603306" w14:textId="66CD3195" w:rsidR="00D5365A" w:rsidRDefault="001D388A" w:rsidP="001D388A">
      <w:pPr>
        <w:jc w:val="both"/>
        <w:rPr>
          <w:rFonts w:ascii="Arial" w:hAnsi="Arial" w:cs="Arial"/>
        </w:rPr>
      </w:pPr>
      <w:r w:rsidRPr="001D388A">
        <w:rPr>
          <w:rFonts w:ascii="Arial" w:hAnsi="Arial" w:cs="Arial"/>
        </w:rPr>
        <w:t>Finally, Europex believes that the focus of the upcoming MiFID II/MiFIR review should be on making MiFID II/MiFIR fit for firms trading commodity derivatives classified as financial instruments. In this view, ESMA should give priority to addressing the main flaws in the position limits regime by limiting its scope to critical contracts. The limitation in scope is urgently needed to allow exchanges in Europe to develop commodity derivative contracts and to successfully compete globally. Other unrelated policy changes could distract from this main objective.</w:t>
      </w:r>
    </w:p>
    <w:permEnd w:id="311558394"/>
    <w:p w14:paraId="72923BA0" w14:textId="77777777" w:rsidR="00D5365A" w:rsidRDefault="00D5365A" w:rsidP="00D5365A">
      <w:pPr>
        <w:rPr>
          <w:rFonts w:ascii="Arial" w:hAnsi="Arial" w:cs="Arial"/>
        </w:rPr>
      </w:pPr>
      <w:r>
        <w:rPr>
          <w:rFonts w:ascii="Arial" w:hAnsi="Arial" w:cs="Arial"/>
        </w:rPr>
        <w:t>&lt;ESMA_QUESTION_WPR_2&gt;</w:t>
      </w:r>
    </w:p>
    <w:p w14:paraId="6F067025" w14:textId="77777777" w:rsidR="00D5365A" w:rsidRDefault="00D5365A" w:rsidP="00D5365A">
      <w:pPr>
        <w:rPr>
          <w:rFonts w:ascii="Arial" w:hAnsi="Arial" w:cs="Arial"/>
        </w:rPr>
      </w:pPr>
    </w:p>
    <w:p w14:paraId="65092191" w14:textId="77777777" w:rsidR="00D5365A" w:rsidRDefault="00D5365A" w:rsidP="00D5365A">
      <w:pPr>
        <w:pStyle w:val="Questionstyle"/>
        <w:numPr>
          <w:ilvl w:val="0"/>
          <w:numId w:val="17"/>
        </w:numPr>
        <w:spacing w:after="250" w:line="276" w:lineRule="auto"/>
        <w:rPr>
          <w:rFonts w:ascii="Arial" w:hAnsi="Arial" w:cs="Arial"/>
        </w:rPr>
      </w:pPr>
      <w:r>
        <w:t>: Do you agree that the position limit framework should not apply to securitised derivatives? If not, please explain why.</w:t>
      </w:r>
    </w:p>
    <w:p w14:paraId="2A59A7B2" w14:textId="77777777" w:rsidR="00D5365A" w:rsidRDefault="00D5365A" w:rsidP="00D5365A">
      <w:pPr>
        <w:rPr>
          <w:rFonts w:ascii="Arial" w:hAnsi="Arial" w:cs="Arial"/>
        </w:rPr>
      </w:pPr>
      <w:r>
        <w:rPr>
          <w:rFonts w:ascii="Arial" w:hAnsi="Arial" w:cs="Arial"/>
        </w:rPr>
        <w:t>&lt;ESMA_QUESTION_WPR_3&gt;</w:t>
      </w:r>
    </w:p>
    <w:p w14:paraId="4C832058" w14:textId="604C381D" w:rsidR="00D5365A" w:rsidRDefault="008D24F5" w:rsidP="00D5365A">
      <w:pPr>
        <w:rPr>
          <w:rFonts w:ascii="Arial" w:hAnsi="Arial" w:cs="Arial"/>
        </w:rPr>
      </w:pPr>
      <w:permStart w:id="1945511407" w:edGrp="everyone"/>
      <w:r w:rsidRPr="008D24F5">
        <w:rPr>
          <w:rFonts w:ascii="Arial" w:hAnsi="Arial" w:cs="Arial"/>
        </w:rPr>
        <w:t>No comment.</w:t>
      </w:r>
    </w:p>
    <w:permEnd w:id="1945511407"/>
    <w:p w14:paraId="5D7CB126" w14:textId="77777777" w:rsidR="00D5365A" w:rsidRDefault="00D5365A" w:rsidP="00D5365A">
      <w:pPr>
        <w:rPr>
          <w:rFonts w:ascii="Arial" w:hAnsi="Arial" w:cs="Arial"/>
        </w:rPr>
      </w:pPr>
      <w:r>
        <w:rPr>
          <w:rFonts w:ascii="Arial" w:hAnsi="Arial" w:cs="Arial"/>
        </w:rPr>
        <w:t>&lt;ESMA_QUESTION_WPR_3&gt;</w:t>
      </w:r>
    </w:p>
    <w:p w14:paraId="13A4EF33" w14:textId="77777777" w:rsidR="00D5365A" w:rsidRDefault="00D5365A" w:rsidP="00D5365A">
      <w:pPr>
        <w:rPr>
          <w:rFonts w:ascii="Arial" w:hAnsi="Arial" w:cs="Arial"/>
        </w:rPr>
      </w:pPr>
    </w:p>
    <w:p w14:paraId="39793CB0" w14:textId="77777777" w:rsidR="00D5365A" w:rsidRDefault="00D5365A" w:rsidP="00D5365A">
      <w:pPr>
        <w:pStyle w:val="Questionstyle"/>
        <w:numPr>
          <w:ilvl w:val="0"/>
          <w:numId w:val="17"/>
        </w:numPr>
        <w:spacing w:after="250" w:line="276" w:lineRule="auto"/>
        <w:rPr>
          <w:rFonts w:ascii="Arial" w:hAnsi="Arial" w:cs="Arial"/>
        </w:rPr>
      </w:pPr>
      <w:r>
        <w:t xml:space="preserve">: Which option do you support to address the negative impact of position limits on new and illiquid commodity derivatives: Option 1 or Option 2? Please explain why. If you support another alternative, please explain which one and why. </w:t>
      </w:r>
    </w:p>
    <w:p w14:paraId="7B19F883" w14:textId="77777777" w:rsidR="00D5365A" w:rsidRDefault="00D5365A" w:rsidP="00D5365A">
      <w:pPr>
        <w:rPr>
          <w:rFonts w:ascii="Arial" w:hAnsi="Arial" w:cs="Arial"/>
        </w:rPr>
      </w:pPr>
      <w:r>
        <w:rPr>
          <w:rFonts w:ascii="Arial" w:hAnsi="Arial" w:cs="Arial"/>
        </w:rPr>
        <w:t>&lt;ESMA_QUESTION_WPR_4&gt;</w:t>
      </w:r>
    </w:p>
    <w:p w14:paraId="0291C714" w14:textId="77777777" w:rsidR="00463BA8" w:rsidRPr="00463BA8" w:rsidRDefault="00463BA8" w:rsidP="00463BA8">
      <w:pPr>
        <w:jc w:val="both"/>
        <w:rPr>
          <w:rFonts w:ascii="Arial" w:hAnsi="Arial" w:cs="Arial"/>
        </w:rPr>
      </w:pPr>
      <w:permStart w:id="342492330" w:edGrp="everyone"/>
      <w:r w:rsidRPr="00463BA8">
        <w:rPr>
          <w:rFonts w:ascii="Arial" w:hAnsi="Arial" w:cs="Arial"/>
        </w:rPr>
        <w:lastRenderedPageBreak/>
        <w:t>Europex believes that to effectively overcome the negative impact of the current regime on new and illiquid commodity derivatives a more fundamental review is needed, i.e. Option 1.</w:t>
      </w:r>
    </w:p>
    <w:p w14:paraId="2D8EE936" w14:textId="77777777" w:rsidR="00463BA8" w:rsidRPr="00463BA8" w:rsidRDefault="00463BA8" w:rsidP="00463BA8">
      <w:pPr>
        <w:jc w:val="both"/>
        <w:rPr>
          <w:rFonts w:ascii="Arial" w:hAnsi="Arial" w:cs="Arial"/>
        </w:rPr>
      </w:pPr>
    </w:p>
    <w:p w14:paraId="5E959722" w14:textId="77777777" w:rsidR="00463BA8" w:rsidRPr="00463BA8" w:rsidRDefault="00463BA8" w:rsidP="00463BA8">
      <w:pPr>
        <w:jc w:val="both"/>
        <w:rPr>
          <w:rFonts w:ascii="Arial" w:hAnsi="Arial" w:cs="Arial"/>
        </w:rPr>
      </w:pPr>
      <w:r w:rsidRPr="00463BA8">
        <w:rPr>
          <w:rFonts w:ascii="Arial" w:hAnsi="Arial" w:cs="Arial"/>
        </w:rPr>
        <w:t>We believe that to solve the issues we have addressed in our response to ESMA’s recent call for evidence on this matter, we need to move towards a more proportionate and efficient position limits regime. This can be achieved by focusing the application of the MiFID II position limits regime on a more limited set of important, critical commodity derivative contracts, i.e. Option 1. This would not only allow new and illiquid contracts to develop, it would also better fulfil the overall objective of MiFID II to “improve the functioning and transparency of commodity markets and address excessive commodity price volatility”.</w:t>
      </w:r>
    </w:p>
    <w:p w14:paraId="2BD3CE04" w14:textId="77777777" w:rsidR="00463BA8" w:rsidRPr="00463BA8" w:rsidRDefault="00463BA8" w:rsidP="00463BA8">
      <w:pPr>
        <w:jc w:val="both"/>
        <w:rPr>
          <w:rFonts w:ascii="Arial" w:hAnsi="Arial" w:cs="Arial"/>
        </w:rPr>
      </w:pPr>
    </w:p>
    <w:p w14:paraId="7793410C" w14:textId="77777777" w:rsidR="00463BA8" w:rsidRPr="00463BA8" w:rsidRDefault="00463BA8" w:rsidP="00463BA8">
      <w:pPr>
        <w:jc w:val="both"/>
        <w:rPr>
          <w:rFonts w:ascii="Arial" w:hAnsi="Arial" w:cs="Arial"/>
        </w:rPr>
      </w:pPr>
      <w:r w:rsidRPr="00463BA8">
        <w:rPr>
          <w:rFonts w:ascii="Arial" w:hAnsi="Arial" w:cs="Arial"/>
        </w:rPr>
        <w:t xml:space="preserve">While in our response to the ESMA call for evidence that took place last summer, we have extensively demonstrated that the MiFID II position limits regime did not contribute to the prevention of market abuse, nor to the improvement of orderly pricing and settlement, we understand the view of policymakers that there might be a value in setting position limits to avoid excessive speculation adversely affecting prices. To achieve this objective - which is identical to the objective of the US position limits regime -, it is sufficient to consider only those contracts where the size of individual positions may affect the price of the respective financial instrument, and where this financial instrument is relevant for the price formation in the underlying commodity. New and illiquid products constitute a minor share of commodity markets. Such contracts are unlikely to influence price movements in the underlying physical commodity markets and do thus not negatively impact consumers. </w:t>
      </w:r>
    </w:p>
    <w:p w14:paraId="67336224" w14:textId="77777777" w:rsidR="00463BA8" w:rsidRPr="00463BA8" w:rsidRDefault="00463BA8" w:rsidP="00463BA8">
      <w:pPr>
        <w:jc w:val="both"/>
        <w:rPr>
          <w:rFonts w:ascii="Arial" w:hAnsi="Arial" w:cs="Arial"/>
        </w:rPr>
      </w:pPr>
    </w:p>
    <w:p w14:paraId="3948F7CA" w14:textId="77777777" w:rsidR="00463BA8" w:rsidRPr="00463BA8" w:rsidRDefault="00463BA8" w:rsidP="00463BA8">
      <w:pPr>
        <w:jc w:val="both"/>
        <w:rPr>
          <w:rFonts w:ascii="Arial" w:hAnsi="Arial" w:cs="Arial"/>
        </w:rPr>
      </w:pPr>
      <w:r w:rsidRPr="00463BA8">
        <w:rPr>
          <w:rFonts w:ascii="Arial" w:hAnsi="Arial" w:cs="Arial"/>
        </w:rPr>
        <w:t>The other (non-critical) contracts would remain subject to the position reporting regime under MiFID II Article 58, the pre-existing position monitoring and position management measures by exchanges and the market oversight practices of the exchanges’ market supervision and market surveillance departments that apply the principles set out in the Regulation on Wholesale Energy Markets Integrity and Transparency (REMIT) and the Market Abuse Regulation (MAR). (See also our response to Q9.) Thus, removing position limits for such contracts would not pose any risk to the transparency and functioning of the respective markets. On the contrary, attracting more volume to regulated venues would contribute to a more transparent trading environment.</w:t>
      </w:r>
    </w:p>
    <w:p w14:paraId="3F56CBC3" w14:textId="77777777" w:rsidR="00463BA8" w:rsidRPr="00463BA8" w:rsidRDefault="00463BA8" w:rsidP="00463BA8">
      <w:pPr>
        <w:jc w:val="both"/>
        <w:rPr>
          <w:rFonts w:ascii="Arial" w:hAnsi="Arial" w:cs="Arial"/>
        </w:rPr>
      </w:pPr>
    </w:p>
    <w:p w14:paraId="7FD3C756" w14:textId="77777777" w:rsidR="00463BA8" w:rsidRPr="00463BA8" w:rsidRDefault="00463BA8" w:rsidP="00463BA8">
      <w:pPr>
        <w:jc w:val="both"/>
        <w:rPr>
          <w:rFonts w:ascii="Arial" w:hAnsi="Arial" w:cs="Arial"/>
        </w:rPr>
      </w:pPr>
      <w:r w:rsidRPr="00463BA8">
        <w:rPr>
          <w:rFonts w:ascii="Arial" w:hAnsi="Arial" w:cs="Arial"/>
        </w:rPr>
        <w:t>However, while we clearly support Option 1, we believe that there is an urgent need to limit the negative impact the position limits regime in its current form has on new and illiquid contracts. For this, we recommend a two-tier approach whereby Level 2 is amended immediately, while the more fundamental reform is dealt with as part of the Level 1 review. As short term relief is essential, it must be ensured that any policy changes suggested under Option 2 can be introduced quickly before a more fundamental review is achieved in Level 1.</w:t>
      </w:r>
    </w:p>
    <w:p w14:paraId="7A9323BA" w14:textId="77777777" w:rsidR="00463BA8" w:rsidRPr="00463BA8" w:rsidRDefault="00463BA8" w:rsidP="00463BA8">
      <w:pPr>
        <w:jc w:val="both"/>
        <w:rPr>
          <w:rFonts w:ascii="Arial" w:hAnsi="Arial" w:cs="Arial"/>
        </w:rPr>
      </w:pPr>
    </w:p>
    <w:p w14:paraId="79CE8F94" w14:textId="77777777" w:rsidR="00463BA8" w:rsidRPr="00463BA8" w:rsidRDefault="00463BA8" w:rsidP="00463BA8">
      <w:pPr>
        <w:jc w:val="both"/>
        <w:rPr>
          <w:rFonts w:ascii="Arial" w:hAnsi="Arial" w:cs="Arial"/>
        </w:rPr>
      </w:pPr>
      <w:r w:rsidRPr="00463BA8">
        <w:rPr>
          <w:rFonts w:ascii="Arial" w:hAnsi="Arial" w:cs="Arial"/>
        </w:rPr>
        <w:t xml:space="preserve">Such a Level 2 change should build upon the policy recommendations proposed by ESMA under Option 2. For this, we support a transitional period for new contracts during which no position limit shall apply. However, based on our experience, a 12-month period is too short to develop a contract. Therefore, this period should be </w:t>
      </w:r>
      <w:r w:rsidRPr="00463BA8">
        <w:rPr>
          <w:rFonts w:ascii="Arial" w:hAnsi="Arial" w:cs="Arial"/>
        </w:rPr>
        <w:lastRenderedPageBreak/>
        <w:t xml:space="preserve">extended to 24 months. Secondly, we believe that a 50% position limit for contracts below 20,000 lots of open interest is insufficient, especially for contracts with a very low open interest and typically a one-digit figure of market participants. If after 24 months the combined open interest has still not exceeded 20,000 lots, ideally a 10,000 lots limit should apply. Only such an approach can facilitate rapid growth and leave sufficient time for NCAs to set a bespoke position limit. </w:t>
      </w:r>
    </w:p>
    <w:p w14:paraId="04670819" w14:textId="77777777" w:rsidR="00463BA8" w:rsidRPr="00463BA8" w:rsidRDefault="00463BA8" w:rsidP="00463BA8">
      <w:pPr>
        <w:jc w:val="both"/>
        <w:rPr>
          <w:rFonts w:ascii="Arial" w:hAnsi="Arial" w:cs="Arial"/>
        </w:rPr>
      </w:pPr>
    </w:p>
    <w:p w14:paraId="7FAE46C6" w14:textId="77777777" w:rsidR="00463BA8" w:rsidRPr="00463BA8" w:rsidRDefault="00463BA8" w:rsidP="00463BA8">
      <w:pPr>
        <w:jc w:val="both"/>
        <w:rPr>
          <w:rFonts w:ascii="Arial" w:hAnsi="Arial" w:cs="Arial"/>
        </w:rPr>
      </w:pPr>
      <w:r w:rsidRPr="00463BA8">
        <w:rPr>
          <w:rFonts w:ascii="Arial" w:hAnsi="Arial" w:cs="Arial"/>
        </w:rPr>
        <w:t>These transitional measures would only include an amendment of Articles 5 and 15 of the Delegated Act 591/2017. In particular, it should include a revision of the distinction between the ‘illiquid’ (below 10,000 lots) and ‘less liquid’ (below 20,000 lots) categories in Article 5 while introducing one basic category of ‘illiquid and less liquid’ contracts, i.e. all contracts below 20,000 lots of open interest. In line with this change, Article 15 should be amended accordingly, i.e. defining a new position limit of 10,000 lots. Article 15(1) would subsequently become redundant.</w:t>
      </w:r>
    </w:p>
    <w:p w14:paraId="5BDE13C3" w14:textId="77777777" w:rsidR="00463BA8" w:rsidRPr="00463BA8" w:rsidRDefault="00463BA8" w:rsidP="00463BA8">
      <w:pPr>
        <w:jc w:val="both"/>
        <w:rPr>
          <w:rFonts w:ascii="Arial" w:hAnsi="Arial" w:cs="Arial"/>
        </w:rPr>
      </w:pPr>
    </w:p>
    <w:p w14:paraId="2E5FABDB" w14:textId="4C1C20CE" w:rsidR="00D5365A" w:rsidRDefault="00463BA8" w:rsidP="00463BA8">
      <w:pPr>
        <w:jc w:val="both"/>
        <w:rPr>
          <w:rFonts w:ascii="Arial" w:hAnsi="Arial" w:cs="Arial"/>
        </w:rPr>
      </w:pPr>
      <w:r w:rsidRPr="00463BA8">
        <w:rPr>
          <w:rFonts w:ascii="Arial" w:hAnsi="Arial" w:cs="Arial"/>
        </w:rPr>
        <w:t xml:space="preserve">Furthermore, to facilitate the growth of fast-moving contracts of both illiquid and liquid contracts, we would like to recall our support for the introduction of a forward-looking model in which the position limit is calculated based </w:t>
      </w:r>
      <w:r w:rsidRPr="00463BA8">
        <w:rPr>
          <w:rFonts w:ascii="Arial" w:hAnsi="Arial" w:cs="Arial"/>
          <w:lang w:val="en-US"/>
        </w:rPr>
        <w:t xml:space="preserve">on an extrapolation </w:t>
      </w:r>
      <w:r w:rsidRPr="00463BA8">
        <w:rPr>
          <w:rFonts w:ascii="Arial" w:hAnsi="Arial" w:cs="Arial"/>
        </w:rPr>
        <w:t>of the market’s historical development of open interest in the case of other month contracts and deliverable supply in the case of spot month contracts. This approach would be particularly well suited to accommodate for periods of strong market growth and should not only apply to setting the limits but also to classifying contracts as liquid or not.</w:t>
      </w:r>
    </w:p>
    <w:permEnd w:id="342492330"/>
    <w:p w14:paraId="2750CA8D" w14:textId="77777777" w:rsidR="00D5365A" w:rsidRDefault="00D5365A" w:rsidP="00D5365A">
      <w:pPr>
        <w:rPr>
          <w:rFonts w:ascii="Arial" w:hAnsi="Arial" w:cs="Arial"/>
        </w:rPr>
      </w:pPr>
      <w:r>
        <w:rPr>
          <w:rFonts w:ascii="Arial" w:hAnsi="Arial" w:cs="Arial"/>
        </w:rPr>
        <w:t>&lt;ESMA_QUESTION_WPR_4&gt;</w:t>
      </w:r>
    </w:p>
    <w:p w14:paraId="61773C77" w14:textId="77777777" w:rsidR="00D5365A" w:rsidRDefault="00D5365A" w:rsidP="00D5365A">
      <w:pPr>
        <w:rPr>
          <w:rFonts w:ascii="Arial" w:hAnsi="Arial" w:cs="Arial"/>
        </w:rPr>
      </w:pPr>
    </w:p>
    <w:p w14:paraId="365798BE" w14:textId="77777777" w:rsidR="00D5365A" w:rsidRDefault="00D5365A" w:rsidP="00D5365A">
      <w:pPr>
        <w:pStyle w:val="Questionstyle"/>
        <w:numPr>
          <w:ilvl w:val="0"/>
          <w:numId w:val="17"/>
        </w:numPr>
        <w:spacing w:after="250" w:line="276" w:lineRule="auto"/>
        <w:rPr>
          <w:rFonts w:ascii="Arial" w:hAnsi="Arial" w:cs="Arial"/>
        </w:rPr>
      </w:pPr>
      <w:r>
        <w:t xml:space="preserve">: If you support Option 1 and would suggest different or additional criteria to determine whether a contract qualifies as a critical contract, please explain which ones.  </w:t>
      </w:r>
    </w:p>
    <w:p w14:paraId="598B7FFF" w14:textId="77777777" w:rsidR="00D5365A" w:rsidRDefault="00D5365A" w:rsidP="00D5365A">
      <w:pPr>
        <w:rPr>
          <w:rFonts w:ascii="Arial" w:hAnsi="Arial" w:cs="Arial"/>
        </w:rPr>
      </w:pPr>
      <w:r>
        <w:rPr>
          <w:rFonts w:ascii="Arial" w:hAnsi="Arial" w:cs="Arial"/>
        </w:rPr>
        <w:t>&lt;ESMA_QUESTION_WPR_5&gt;</w:t>
      </w:r>
    </w:p>
    <w:p w14:paraId="01AC5AE4" w14:textId="5E45BE50" w:rsidR="00463BA8" w:rsidRDefault="00463BA8" w:rsidP="00463BA8">
      <w:pPr>
        <w:jc w:val="both"/>
        <w:rPr>
          <w:rFonts w:ascii="Arial" w:hAnsi="Arial" w:cs="Arial"/>
        </w:rPr>
      </w:pPr>
      <w:permStart w:id="897407953" w:edGrp="everyone"/>
      <w:r w:rsidRPr="00463BA8">
        <w:rPr>
          <w:rFonts w:ascii="Arial" w:hAnsi="Arial" w:cs="Arial"/>
        </w:rPr>
        <w:t xml:space="preserve">Exchanges use various criteria to assess the liquidity of a market. They include, </w:t>
      </w:r>
      <w:r w:rsidRPr="00463BA8">
        <w:rPr>
          <w:rFonts w:ascii="Arial" w:hAnsi="Arial" w:cs="Arial"/>
          <w:i/>
        </w:rPr>
        <w:t>inter alia</w:t>
      </w:r>
      <w:r w:rsidRPr="00463BA8">
        <w:rPr>
          <w:rFonts w:ascii="Arial" w:hAnsi="Arial" w:cs="Arial"/>
        </w:rPr>
        <w:t>, open interest, share of open interest versus deliverable supply, number of active trading participants, churn ratio (for physically settled contracts), share of screen execution and average trading horizon. However, based on internal assessments, Europex has come to the conclusion that these parameters are highly correlated and therefore open interest is sufficient to determine whether a contract qualifies as a ‘critical’ or not. It would be redundant to set additional parameters.</w:t>
      </w:r>
    </w:p>
    <w:p w14:paraId="34A2DAA8" w14:textId="77777777" w:rsidR="00463BA8" w:rsidRPr="00463BA8" w:rsidRDefault="00463BA8" w:rsidP="00463BA8">
      <w:pPr>
        <w:jc w:val="both"/>
        <w:rPr>
          <w:rFonts w:ascii="Arial" w:hAnsi="Arial" w:cs="Arial"/>
        </w:rPr>
      </w:pPr>
    </w:p>
    <w:p w14:paraId="4C278F41" w14:textId="77777777" w:rsidR="00463BA8" w:rsidRPr="00463BA8" w:rsidRDefault="00463BA8" w:rsidP="00463BA8">
      <w:pPr>
        <w:jc w:val="both"/>
        <w:rPr>
          <w:rFonts w:ascii="Arial" w:hAnsi="Arial" w:cs="Arial"/>
        </w:rPr>
      </w:pPr>
      <w:r w:rsidRPr="00463BA8">
        <w:rPr>
          <w:rFonts w:ascii="Arial" w:hAnsi="Arial" w:cs="Arial"/>
        </w:rPr>
        <w:t>In addition, we would not oppose adding “underlying asset” as an additional factor.</w:t>
      </w:r>
    </w:p>
    <w:permEnd w:id="897407953"/>
    <w:p w14:paraId="1FEAC340" w14:textId="77777777" w:rsidR="00D5365A" w:rsidRDefault="00D5365A" w:rsidP="00D5365A">
      <w:pPr>
        <w:rPr>
          <w:rFonts w:ascii="Arial" w:hAnsi="Arial" w:cs="Arial"/>
        </w:rPr>
      </w:pPr>
      <w:r>
        <w:rPr>
          <w:rFonts w:ascii="Arial" w:hAnsi="Arial" w:cs="Arial"/>
        </w:rPr>
        <w:t>&lt;ESMA_QUESTION_WPR_5&gt;</w:t>
      </w:r>
    </w:p>
    <w:p w14:paraId="0C512C85" w14:textId="77777777" w:rsidR="00D5365A" w:rsidRDefault="00D5365A" w:rsidP="00D5365A">
      <w:pPr>
        <w:rPr>
          <w:rFonts w:ascii="Arial" w:hAnsi="Arial" w:cs="Arial"/>
        </w:rPr>
      </w:pPr>
    </w:p>
    <w:p w14:paraId="21259B9F" w14:textId="77777777" w:rsidR="00D5365A" w:rsidRDefault="00D5365A" w:rsidP="00D5365A">
      <w:pPr>
        <w:pStyle w:val="Questionstyle"/>
        <w:numPr>
          <w:ilvl w:val="0"/>
          <w:numId w:val="17"/>
        </w:numPr>
        <w:spacing w:after="250" w:line="276" w:lineRule="auto"/>
        <w:rPr>
          <w:rFonts w:ascii="Arial" w:hAnsi="Arial" w:cs="Arial"/>
        </w:rPr>
      </w:pPr>
      <w:r>
        <w:t>: Which open interest and participant threshold would you suggest for qualifying a commodity derivative as a critical one?</w:t>
      </w:r>
    </w:p>
    <w:p w14:paraId="3ACFEA2B" w14:textId="77777777" w:rsidR="00D5365A" w:rsidRDefault="00D5365A" w:rsidP="00D5365A">
      <w:pPr>
        <w:rPr>
          <w:rFonts w:ascii="Arial" w:hAnsi="Arial" w:cs="Arial"/>
        </w:rPr>
      </w:pPr>
      <w:r>
        <w:rPr>
          <w:rFonts w:ascii="Arial" w:hAnsi="Arial" w:cs="Arial"/>
        </w:rPr>
        <w:t>&lt;ESMA_QUESTION_WPR_6&gt;</w:t>
      </w:r>
    </w:p>
    <w:p w14:paraId="56060A37" w14:textId="77777777" w:rsidR="005F20F2" w:rsidRPr="005F20F2" w:rsidRDefault="005F20F2" w:rsidP="005F20F2">
      <w:pPr>
        <w:jc w:val="both"/>
        <w:rPr>
          <w:rFonts w:ascii="Arial" w:hAnsi="Arial" w:cs="Arial"/>
        </w:rPr>
      </w:pPr>
      <w:permStart w:id="1821780740" w:edGrp="everyone"/>
      <w:r w:rsidRPr="005F20F2">
        <w:rPr>
          <w:rFonts w:ascii="Arial" w:hAnsi="Arial" w:cs="Arial"/>
        </w:rPr>
        <w:t>Europex considers a commodity derivative contract to be critical once it has developed into a highly liquid instrument with open interest levels that imply that all the various more detailed liquidity criteria have been met. Furthermore, the price signal of a critical contract should be broadly recognised in the wider market as a relevant benchmark price for its underlying commodity.</w:t>
      </w:r>
    </w:p>
    <w:p w14:paraId="40C2C8CE" w14:textId="77777777" w:rsidR="005F20F2" w:rsidRPr="005F20F2" w:rsidRDefault="005F20F2" w:rsidP="005F20F2">
      <w:pPr>
        <w:jc w:val="both"/>
        <w:rPr>
          <w:rFonts w:ascii="Arial" w:hAnsi="Arial" w:cs="Arial"/>
        </w:rPr>
      </w:pPr>
      <w:bookmarkStart w:id="3" w:name="_3znysh7" w:colFirst="0" w:colLast="0"/>
      <w:bookmarkEnd w:id="3"/>
    </w:p>
    <w:p w14:paraId="0B9E6519" w14:textId="4C614BC1" w:rsidR="005F20F2" w:rsidRPr="005F20F2" w:rsidRDefault="005F20F2" w:rsidP="005F20F2">
      <w:pPr>
        <w:jc w:val="both"/>
        <w:rPr>
          <w:rFonts w:ascii="Arial" w:hAnsi="Arial" w:cs="Arial"/>
        </w:rPr>
      </w:pPr>
      <w:bookmarkStart w:id="4" w:name="_2et92p0" w:colFirst="0" w:colLast="0"/>
      <w:bookmarkEnd w:id="4"/>
      <w:r w:rsidRPr="005F20F2">
        <w:rPr>
          <w:rFonts w:ascii="Arial" w:hAnsi="Arial" w:cs="Arial"/>
        </w:rPr>
        <w:lastRenderedPageBreak/>
        <w:t xml:space="preserve">Based on the criteria that exchanges use to determine which markets should be considered mature and developed, Europex recommends that a contract should have at least </w:t>
      </w:r>
      <w:r w:rsidR="009E76A7">
        <w:rPr>
          <w:rFonts w:ascii="Arial" w:hAnsi="Arial" w:cs="Arial"/>
        </w:rPr>
        <w:t>3</w:t>
      </w:r>
      <w:r w:rsidRPr="005F20F2">
        <w:rPr>
          <w:rFonts w:ascii="Arial" w:hAnsi="Arial" w:cs="Arial"/>
        </w:rPr>
        <w:t>00,000 lots of open interest on average over one year to qualify as ‘critical’. This threshold is based on the op</w:t>
      </w:r>
      <w:bookmarkStart w:id="5" w:name="_GoBack"/>
      <w:bookmarkEnd w:id="5"/>
      <w:r w:rsidRPr="005F20F2">
        <w:rPr>
          <w:rFonts w:ascii="Arial" w:hAnsi="Arial" w:cs="Arial"/>
        </w:rPr>
        <w:t>en interest calculated by individual exchanges. This approach would produce an outcome broadly comparable with the US regime for position limits, whereby we expect more than 20 commodity derivative contracts offered for trading in Europe to be classed as critical (see table below).</w:t>
      </w:r>
    </w:p>
    <w:p w14:paraId="569936E3" w14:textId="77777777" w:rsidR="005F20F2" w:rsidRPr="005F20F2" w:rsidRDefault="005F20F2" w:rsidP="005F20F2">
      <w:pPr>
        <w:jc w:val="both"/>
        <w:rPr>
          <w:rFonts w:ascii="Arial" w:hAnsi="Arial" w:cs="Arial"/>
        </w:rPr>
      </w:pPr>
    </w:p>
    <w:tbl>
      <w:tblPr>
        <w:tblW w:w="908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027"/>
        <w:gridCol w:w="3027"/>
        <w:gridCol w:w="3027"/>
      </w:tblGrid>
      <w:tr w:rsidR="005F20F2" w:rsidRPr="005F20F2" w14:paraId="4021ECA5" w14:textId="77777777" w:rsidTr="00B01C6D">
        <w:trPr>
          <w:trHeight w:val="557"/>
        </w:trPr>
        <w:tc>
          <w:tcPr>
            <w:tcW w:w="3027" w:type="dxa"/>
          </w:tcPr>
          <w:p w14:paraId="4EDB9541" w14:textId="77777777" w:rsidR="005F20F2" w:rsidRPr="005F20F2" w:rsidRDefault="005F20F2" w:rsidP="005F20F2">
            <w:pPr>
              <w:jc w:val="both"/>
              <w:rPr>
                <w:rFonts w:ascii="Arial" w:hAnsi="Arial" w:cs="Arial"/>
                <w:b/>
              </w:rPr>
            </w:pPr>
            <w:r w:rsidRPr="005F20F2">
              <w:rPr>
                <w:rFonts w:ascii="Arial" w:hAnsi="Arial" w:cs="Arial"/>
                <w:b/>
              </w:rPr>
              <w:t xml:space="preserve">Trading Venue offering the product </w:t>
            </w:r>
          </w:p>
        </w:tc>
        <w:tc>
          <w:tcPr>
            <w:tcW w:w="3027" w:type="dxa"/>
          </w:tcPr>
          <w:p w14:paraId="58F9C2F1" w14:textId="77777777" w:rsidR="005F20F2" w:rsidRPr="005F20F2" w:rsidRDefault="005F20F2" w:rsidP="005F20F2">
            <w:pPr>
              <w:jc w:val="both"/>
              <w:rPr>
                <w:rFonts w:ascii="Arial" w:hAnsi="Arial" w:cs="Arial"/>
                <w:b/>
              </w:rPr>
            </w:pPr>
            <w:r w:rsidRPr="005F20F2">
              <w:rPr>
                <w:rFonts w:ascii="Arial" w:hAnsi="Arial" w:cs="Arial"/>
                <w:b/>
              </w:rPr>
              <w:t>Type</w:t>
            </w:r>
          </w:p>
        </w:tc>
        <w:tc>
          <w:tcPr>
            <w:tcW w:w="3027" w:type="dxa"/>
          </w:tcPr>
          <w:p w14:paraId="00B879B6" w14:textId="77777777" w:rsidR="005F20F2" w:rsidRPr="005F20F2" w:rsidRDefault="005F20F2" w:rsidP="005F20F2">
            <w:pPr>
              <w:jc w:val="both"/>
              <w:rPr>
                <w:rFonts w:ascii="Arial" w:hAnsi="Arial" w:cs="Arial"/>
                <w:b/>
              </w:rPr>
            </w:pPr>
            <w:r w:rsidRPr="005F20F2">
              <w:rPr>
                <w:rFonts w:ascii="Arial" w:hAnsi="Arial" w:cs="Arial"/>
                <w:b/>
              </w:rPr>
              <w:t>Name of the product</w:t>
            </w:r>
          </w:p>
        </w:tc>
      </w:tr>
      <w:tr w:rsidR="005F20F2" w:rsidRPr="005F20F2" w14:paraId="3DC6AA78" w14:textId="77777777" w:rsidTr="00B01C6D">
        <w:trPr>
          <w:trHeight w:val="284"/>
        </w:trPr>
        <w:tc>
          <w:tcPr>
            <w:tcW w:w="3027" w:type="dxa"/>
          </w:tcPr>
          <w:p w14:paraId="70805240" w14:textId="77777777" w:rsidR="005F20F2" w:rsidRPr="005F20F2" w:rsidRDefault="005F20F2" w:rsidP="005F20F2">
            <w:pPr>
              <w:jc w:val="both"/>
              <w:rPr>
                <w:rFonts w:ascii="Arial" w:hAnsi="Arial" w:cs="Arial"/>
                <w:b/>
              </w:rPr>
            </w:pPr>
            <w:r w:rsidRPr="005F20F2">
              <w:rPr>
                <w:rFonts w:ascii="Arial" w:hAnsi="Arial" w:cs="Arial"/>
                <w:b/>
              </w:rPr>
              <w:t>EEX AG</w:t>
            </w:r>
          </w:p>
        </w:tc>
        <w:tc>
          <w:tcPr>
            <w:tcW w:w="3027" w:type="dxa"/>
          </w:tcPr>
          <w:p w14:paraId="05E06487" w14:textId="77777777" w:rsidR="005F20F2" w:rsidRPr="005F20F2" w:rsidRDefault="005F20F2" w:rsidP="005F20F2">
            <w:pPr>
              <w:jc w:val="both"/>
              <w:rPr>
                <w:rFonts w:ascii="Arial" w:hAnsi="Arial" w:cs="Arial"/>
              </w:rPr>
            </w:pPr>
            <w:r w:rsidRPr="005F20F2">
              <w:rPr>
                <w:rFonts w:ascii="Arial" w:hAnsi="Arial" w:cs="Arial"/>
              </w:rPr>
              <w:t>Electricity</w:t>
            </w:r>
          </w:p>
        </w:tc>
        <w:tc>
          <w:tcPr>
            <w:tcW w:w="3027" w:type="dxa"/>
          </w:tcPr>
          <w:p w14:paraId="0C7D4B83" w14:textId="77777777" w:rsidR="005F20F2" w:rsidRPr="005F20F2" w:rsidRDefault="005F20F2" w:rsidP="005F20F2">
            <w:pPr>
              <w:jc w:val="both"/>
              <w:rPr>
                <w:rFonts w:ascii="Arial" w:hAnsi="Arial" w:cs="Arial"/>
              </w:rPr>
            </w:pPr>
            <w:r w:rsidRPr="005F20F2">
              <w:rPr>
                <w:rFonts w:ascii="Arial" w:hAnsi="Arial" w:cs="Arial"/>
              </w:rPr>
              <w:t>Phelix DE-Futures</w:t>
            </w:r>
          </w:p>
        </w:tc>
      </w:tr>
      <w:tr w:rsidR="005F20F2" w:rsidRPr="005F20F2" w14:paraId="558192E8" w14:textId="77777777" w:rsidTr="00B01C6D">
        <w:trPr>
          <w:trHeight w:val="272"/>
        </w:trPr>
        <w:tc>
          <w:tcPr>
            <w:tcW w:w="3027" w:type="dxa"/>
          </w:tcPr>
          <w:p w14:paraId="09869B2F" w14:textId="77777777" w:rsidR="005F20F2" w:rsidRPr="005F20F2" w:rsidRDefault="005F20F2" w:rsidP="005F20F2">
            <w:pPr>
              <w:jc w:val="both"/>
              <w:rPr>
                <w:rFonts w:ascii="Arial" w:hAnsi="Arial" w:cs="Arial"/>
                <w:b/>
              </w:rPr>
            </w:pPr>
            <w:r w:rsidRPr="005F20F2">
              <w:rPr>
                <w:rFonts w:ascii="Arial" w:hAnsi="Arial" w:cs="Arial"/>
                <w:b/>
              </w:rPr>
              <w:t>EEX AG</w:t>
            </w:r>
          </w:p>
        </w:tc>
        <w:tc>
          <w:tcPr>
            <w:tcW w:w="3027" w:type="dxa"/>
          </w:tcPr>
          <w:p w14:paraId="0BFC0889" w14:textId="77777777" w:rsidR="005F20F2" w:rsidRPr="005F20F2" w:rsidRDefault="005F20F2" w:rsidP="005F20F2">
            <w:pPr>
              <w:jc w:val="both"/>
              <w:rPr>
                <w:rFonts w:ascii="Arial" w:hAnsi="Arial" w:cs="Arial"/>
              </w:rPr>
            </w:pPr>
            <w:r w:rsidRPr="005F20F2">
              <w:rPr>
                <w:rFonts w:ascii="Arial" w:hAnsi="Arial" w:cs="Arial"/>
              </w:rPr>
              <w:t>Electricity</w:t>
            </w:r>
          </w:p>
        </w:tc>
        <w:tc>
          <w:tcPr>
            <w:tcW w:w="3027" w:type="dxa"/>
          </w:tcPr>
          <w:p w14:paraId="5EE0148F" w14:textId="77777777" w:rsidR="005F20F2" w:rsidRPr="005F20F2" w:rsidRDefault="005F20F2" w:rsidP="005F20F2">
            <w:pPr>
              <w:jc w:val="both"/>
              <w:rPr>
                <w:rFonts w:ascii="Arial" w:hAnsi="Arial" w:cs="Arial"/>
              </w:rPr>
            </w:pPr>
            <w:r w:rsidRPr="005F20F2">
              <w:rPr>
                <w:rFonts w:ascii="Arial" w:hAnsi="Arial" w:cs="Arial"/>
              </w:rPr>
              <w:t>Italian Base</w:t>
            </w:r>
          </w:p>
        </w:tc>
      </w:tr>
      <w:tr w:rsidR="005F20F2" w:rsidRPr="005F20F2" w14:paraId="5245A0AA" w14:textId="77777777" w:rsidTr="00B01C6D">
        <w:trPr>
          <w:trHeight w:val="272"/>
        </w:trPr>
        <w:tc>
          <w:tcPr>
            <w:tcW w:w="3027" w:type="dxa"/>
          </w:tcPr>
          <w:p w14:paraId="66EDA9C4" w14:textId="77777777" w:rsidR="005F20F2" w:rsidRPr="005F20F2" w:rsidRDefault="005F20F2" w:rsidP="005F20F2">
            <w:pPr>
              <w:jc w:val="both"/>
              <w:rPr>
                <w:rFonts w:ascii="Arial" w:hAnsi="Arial" w:cs="Arial"/>
                <w:b/>
              </w:rPr>
            </w:pPr>
            <w:r w:rsidRPr="005F20F2">
              <w:rPr>
                <w:rFonts w:ascii="Arial" w:hAnsi="Arial" w:cs="Arial"/>
                <w:b/>
              </w:rPr>
              <w:t>Nasdaq Oslo ASA</w:t>
            </w:r>
          </w:p>
        </w:tc>
        <w:tc>
          <w:tcPr>
            <w:tcW w:w="3027" w:type="dxa"/>
          </w:tcPr>
          <w:p w14:paraId="4696BC17" w14:textId="77777777" w:rsidR="005F20F2" w:rsidRPr="005F20F2" w:rsidRDefault="005F20F2" w:rsidP="005F20F2">
            <w:pPr>
              <w:jc w:val="both"/>
              <w:rPr>
                <w:rFonts w:ascii="Arial" w:hAnsi="Arial" w:cs="Arial"/>
              </w:rPr>
            </w:pPr>
            <w:r w:rsidRPr="005F20F2">
              <w:rPr>
                <w:rFonts w:ascii="Arial" w:hAnsi="Arial" w:cs="Arial"/>
              </w:rPr>
              <w:t>Electricity</w:t>
            </w:r>
          </w:p>
        </w:tc>
        <w:tc>
          <w:tcPr>
            <w:tcW w:w="3027" w:type="dxa"/>
          </w:tcPr>
          <w:p w14:paraId="1FBA89D0" w14:textId="77777777" w:rsidR="005F20F2" w:rsidRPr="005F20F2" w:rsidRDefault="005F20F2" w:rsidP="005F20F2">
            <w:pPr>
              <w:jc w:val="both"/>
              <w:rPr>
                <w:rFonts w:ascii="Arial" w:hAnsi="Arial" w:cs="Arial"/>
              </w:rPr>
            </w:pPr>
            <w:r w:rsidRPr="005F20F2">
              <w:rPr>
                <w:rFonts w:ascii="Arial" w:hAnsi="Arial" w:cs="Arial"/>
              </w:rPr>
              <w:t>Nordic Power</w:t>
            </w:r>
          </w:p>
        </w:tc>
      </w:tr>
      <w:tr w:rsidR="005F20F2" w:rsidRPr="005F20F2" w14:paraId="1C296542" w14:textId="77777777" w:rsidTr="00B01C6D">
        <w:trPr>
          <w:trHeight w:val="272"/>
        </w:trPr>
        <w:tc>
          <w:tcPr>
            <w:tcW w:w="3027" w:type="dxa"/>
          </w:tcPr>
          <w:p w14:paraId="54318B20" w14:textId="77777777" w:rsidR="005F20F2" w:rsidRPr="005F20F2" w:rsidRDefault="005F20F2" w:rsidP="005F20F2">
            <w:pPr>
              <w:jc w:val="both"/>
              <w:rPr>
                <w:rFonts w:ascii="Arial" w:hAnsi="Arial" w:cs="Arial"/>
                <w:b/>
              </w:rPr>
            </w:pPr>
            <w:r w:rsidRPr="005F20F2">
              <w:rPr>
                <w:rFonts w:ascii="Arial" w:hAnsi="Arial" w:cs="Arial"/>
                <w:b/>
              </w:rPr>
              <w:t>ICE Futures Europe</w:t>
            </w:r>
          </w:p>
        </w:tc>
        <w:tc>
          <w:tcPr>
            <w:tcW w:w="3027" w:type="dxa"/>
          </w:tcPr>
          <w:p w14:paraId="0BB31DA6" w14:textId="77777777" w:rsidR="005F20F2" w:rsidRPr="005F20F2" w:rsidRDefault="005F20F2" w:rsidP="005F20F2">
            <w:pPr>
              <w:jc w:val="both"/>
              <w:rPr>
                <w:rFonts w:ascii="Arial" w:hAnsi="Arial" w:cs="Arial"/>
              </w:rPr>
            </w:pPr>
            <w:r w:rsidRPr="005F20F2">
              <w:rPr>
                <w:rFonts w:ascii="Arial" w:hAnsi="Arial" w:cs="Arial"/>
              </w:rPr>
              <w:t>Oil</w:t>
            </w:r>
          </w:p>
        </w:tc>
        <w:tc>
          <w:tcPr>
            <w:tcW w:w="3027" w:type="dxa"/>
          </w:tcPr>
          <w:p w14:paraId="718526AB" w14:textId="77777777" w:rsidR="005F20F2" w:rsidRPr="005F20F2" w:rsidRDefault="005F20F2" w:rsidP="005F20F2">
            <w:pPr>
              <w:jc w:val="both"/>
              <w:rPr>
                <w:rFonts w:ascii="Arial" w:hAnsi="Arial" w:cs="Arial"/>
              </w:rPr>
            </w:pPr>
            <w:r w:rsidRPr="005F20F2">
              <w:rPr>
                <w:rFonts w:ascii="Arial" w:hAnsi="Arial" w:cs="Arial"/>
              </w:rPr>
              <w:t>Brent Crude Futures</w:t>
            </w:r>
          </w:p>
        </w:tc>
      </w:tr>
      <w:tr w:rsidR="005F20F2" w:rsidRPr="005F20F2" w14:paraId="6A0359F5" w14:textId="77777777" w:rsidTr="00B01C6D">
        <w:trPr>
          <w:trHeight w:val="284"/>
        </w:trPr>
        <w:tc>
          <w:tcPr>
            <w:tcW w:w="3027" w:type="dxa"/>
          </w:tcPr>
          <w:p w14:paraId="7B1E679F" w14:textId="77777777" w:rsidR="005F20F2" w:rsidRPr="005F20F2" w:rsidRDefault="005F20F2" w:rsidP="005F20F2">
            <w:pPr>
              <w:jc w:val="both"/>
              <w:rPr>
                <w:rFonts w:ascii="Arial" w:hAnsi="Arial" w:cs="Arial"/>
                <w:b/>
              </w:rPr>
            </w:pPr>
            <w:r w:rsidRPr="005F20F2">
              <w:rPr>
                <w:rFonts w:ascii="Arial" w:hAnsi="Arial" w:cs="Arial"/>
                <w:b/>
              </w:rPr>
              <w:t>ICE Futures Europe</w:t>
            </w:r>
          </w:p>
        </w:tc>
        <w:tc>
          <w:tcPr>
            <w:tcW w:w="3027" w:type="dxa"/>
          </w:tcPr>
          <w:p w14:paraId="587A2603" w14:textId="77777777" w:rsidR="005F20F2" w:rsidRPr="005F20F2" w:rsidRDefault="005F20F2" w:rsidP="005F20F2">
            <w:pPr>
              <w:jc w:val="both"/>
              <w:rPr>
                <w:rFonts w:ascii="Arial" w:hAnsi="Arial" w:cs="Arial"/>
              </w:rPr>
            </w:pPr>
            <w:r w:rsidRPr="005F20F2">
              <w:rPr>
                <w:rFonts w:ascii="Arial" w:hAnsi="Arial" w:cs="Arial"/>
              </w:rPr>
              <w:t>Oil</w:t>
            </w:r>
          </w:p>
        </w:tc>
        <w:tc>
          <w:tcPr>
            <w:tcW w:w="3027" w:type="dxa"/>
          </w:tcPr>
          <w:p w14:paraId="6111269E" w14:textId="77777777" w:rsidR="005F20F2" w:rsidRPr="005F20F2" w:rsidRDefault="005F20F2" w:rsidP="005F20F2">
            <w:pPr>
              <w:jc w:val="both"/>
              <w:rPr>
                <w:rFonts w:ascii="Arial" w:hAnsi="Arial" w:cs="Arial"/>
              </w:rPr>
            </w:pPr>
            <w:r w:rsidRPr="005F20F2">
              <w:rPr>
                <w:rFonts w:ascii="Arial" w:hAnsi="Arial" w:cs="Arial"/>
              </w:rPr>
              <w:t>WTI Crude Futures</w:t>
            </w:r>
          </w:p>
        </w:tc>
      </w:tr>
      <w:tr w:rsidR="005F20F2" w:rsidRPr="005F20F2" w14:paraId="240D70D3" w14:textId="77777777" w:rsidTr="00B01C6D">
        <w:trPr>
          <w:trHeight w:val="272"/>
        </w:trPr>
        <w:tc>
          <w:tcPr>
            <w:tcW w:w="3027" w:type="dxa"/>
          </w:tcPr>
          <w:p w14:paraId="1D9EEEB0" w14:textId="77777777" w:rsidR="005F20F2" w:rsidRPr="005F20F2" w:rsidRDefault="005F20F2" w:rsidP="005F20F2">
            <w:pPr>
              <w:jc w:val="both"/>
              <w:rPr>
                <w:rFonts w:ascii="Arial" w:hAnsi="Arial" w:cs="Arial"/>
                <w:b/>
              </w:rPr>
            </w:pPr>
            <w:r w:rsidRPr="005F20F2">
              <w:rPr>
                <w:rFonts w:ascii="Arial" w:hAnsi="Arial" w:cs="Arial"/>
                <w:b/>
              </w:rPr>
              <w:t>ICE Futures Europe</w:t>
            </w:r>
          </w:p>
        </w:tc>
        <w:tc>
          <w:tcPr>
            <w:tcW w:w="3027" w:type="dxa"/>
          </w:tcPr>
          <w:p w14:paraId="753791E1" w14:textId="77777777" w:rsidR="005F20F2" w:rsidRPr="005F20F2" w:rsidRDefault="005F20F2" w:rsidP="005F20F2">
            <w:pPr>
              <w:jc w:val="both"/>
              <w:rPr>
                <w:rFonts w:ascii="Arial" w:hAnsi="Arial" w:cs="Arial"/>
              </w:rPr>
            </w:pPr>
            <w:r w:rsidRPr="005F20F2">
              <w:rPr>
                <w:rFonts w:ascii="Arial" w:hAnsi="Arial" w:cs="Arial"/>
              </w:rPr>
              <w:t>Oil</w:t>
            </w:r>
          </w:p>
        </w:tc>
        <w:tc>
          <w:tcPr>
            <w:tcW w:w="3027" w:type="dxa"/>
          </w:tcPr>
          <w:p w14:paraId="6FE44A90" w14:textId="77777777" w:rsidR="005F20F2" w:rsidRPr="005F20F2" w:rsidRDefault="005F20F2" w:rsidP="005F20F2">
            <w:pPr>
              <w:jc w:val="both"/>
              <w:rPr>
                <w:rFonts w:ascii="Arial" w:hAnsi="Arial" w:cs="Arial"/>
              </w:rPr>
            </w:pPr>
            <w:r w:rsidRPr="005F20F2">
              <w:rPr>
                <w:rFonts w:ascii="Arial" w:hAnsi="Arial" w:cs="Arial"/>
              </w:rPr>
              <w:t>Low Sulphur Gasoil Futures</w:t>
            </w:r>
          </w:p>
        </w:tc>
      </w:tr>
      <w:tr w:rsidR="005F20F2" w:rsidRPr="005F20F2" w14:paraId="780D8C9F" w14:textId="77777777" w:rsidTr="00B01C6D">
        <w:trPr>
          <w:trHeight w:val="272"/>
        </w:trPr>
        <w:tc>
          <w:tcPr>
            <w:tcW w:w="3027" w:type="dxa"/>
          </w:tcPr>
          <w:p w14:paraId="32AE0188" w14:textId="77777777" w:rsidR="005F20F2" w:rsidRPr="005F20F2" w:rsidRDefault="005F20F2" w:rsidP="005F20F2">
            <w:pPr>
              <w:jc w:val="both"/>
              <w:rPr>
                <w:rFonts w:ascii="Arial" w:hAnsi="Arial" w:cs="Arial"/>
                <w:b/>
              </w:rPr>
            </w:pPr>
            <w:r w:rsidRPr="005F20F2">
              <w:rPr>
                <w:rFonts w:ascii="Arial" w:hAnsi="Arial" w:cs="Arial"/>
                <w:b/>
              </w:rPr>
              <w:t>ICE Futures Europe</w:t>
            </w:r>
          </w:p>
        </w:tc>
        <w:tc>
          <w:tcPr>
            <w:tcW w:w="3027" w:type="dxa"/>
          </w:tcPr>
          <w:p w14:paraId="587D7EB2" w14:textId="77777777" w:rsidR="005F20F2" w:rsidRPr="005F20F2" w:rsidRDefault="005F20F2" w:rsidP="005F20F2">
            <w:pPr>
              <w:jc w:val="both"/>
              <w:rPr>
                <w:rFonts w:ascii="Arial" w:hAnsi="Arial" w:cs="Arial"/>
              </w:rPr>
            </w:pPr>
            <w:r w:rsidRPr="005F20F2">
              <w:rPr>
                <w:rFonts w:ascii="Arial" w:hAnsi="Arial" w:cs="Arial"/>
              </w:rPr>
              <w:t>Oil</w:t>
            </w:r>
          </w:p>
        </w:tc>
        <w:tc>
          <w:tcPr>
            <w:tcW w:w="3027" w:type="dxa"/>
          </w:tcPr>
          <w:p w14:paraId="617246A8" w14:textId="77777777" w:rsidR="005F20F2" w:rsidRPr="005F20F2" w:rsidRDefault="005F20F2" w:rsidP="005F20F2">
            <w:pPr>
              <w:jc w:val="both"/>
              <w:rPr>
                <w:rFonts w:ascii="Arial" w:hAnsi="Arial" w:cs="Arial"/>
              </w:rPr>
            </w:pPr>
            <w:r w:rsidRPr="005F20F2">
              <w:rPr>
                <w:rFonts w:ascii="Arial" w:hAnsi="Arial" w:cs="Arial"/>
              </w:rPr>
              <w:t>Crude Diff - Dated Brent vs Brent 1st Line Future</w:t>
            </w:r>
          </w:p>
        </w:tc>
      </w:tr>
      <w:tr w:rsidR="005F20F2" w:rsidRPr="005F20F2" w14:paraId="24278B9F" w14:textId="77777777" w:rsidTr="00B01C6D">
        <w:trPr>
          <w:trHeight w:val="272"/>
        </w:trPr>
        <w:tc>
          <w:tcPr>
            <w:tcW w:w="3027" w:type="dxa"/>
          </w:tcPr>
          <w:p w14:paraId="3AD897B0" w14:textId="77777777" w:rsidR="005F20F2" w:rsidRPr="005F20F2" w:rsidRDefault="005F20F2" w:rsidP="005F20F2">
            <w:pPr>
              <w:jc w:val="both"/>
              <w:rPr>
                <w:rFonts w:ascii="Arial" w:hAnsi="Arial" w:cs="Arial"/>
                <w:b/>
              </w:rPr>
            </w:pPr>
            <w:r w:rsidRPr="005F20F2">
              <w:rPr>
                <w:rFonts w:ascii="Arial" w:hAnsi="Arial" w:cs="Arial"/>
                <w:b/>
              </w:rPr>
              <w:t>ICE Futures Europe</w:t>
            </w:r>
          </w:p>
        </w:tc>
        <w:tc>
          <w:tcPr>
            <w:tcW w:w="3027" w:type="dxa"/>
          </w:tcPr>
          <w:p w14:paraId="22401262" w14:textId="77777777" w:rsidR="005F20F2" w:rsidRPr="005F20F2" w:rsidRDefault="005F20F2" w:rsidP="005F20F2">
            <w:pPr>
              <w:jc w:val="both"/>
              <w:rPr>
                <w:rFonts w:ascii="Arial" w:hAnsi="Arial" w:cs="Arial"/>
              </w:rPr>
            </w:pPr>
            <w:r w:rsidRPr="005F20F2">
              <w:rPr>
                <w:rFonts w:ascii="Arial" w:hAnsi="Arial" w:cs="Arial"/>
              </w:rPr>
              <w:t>Oil</w:t>
            </w:r>
          </w:p>
        </w:tc>
        <w:tc>
          <w:tcPr>
            <w:tcW w:w="3027" w:type="dxa"/>
          </w:tcPr>
          <w:p w14:paraId="0F0DEC1B" w14:textId="77777777" w:rsidR="005F20F2" w:rsidRPr="005F20F2" w:rsidRDefault="005F20F2" w:rsidP="005F20F2">
            <w:pPr>
              <w:jc w:val="both"/>
              <w:rPr>
                <w:rFonts w:ascii="Arial" w:hAnsi="Arial" w:cs="Arial"/>
              </w:rPr>
            </w:pPr>
            <w:r w:rsidRPr="005F20F2">
              <w:rPr>
                <w:rFonts w:ascii="Arial" w:hAnsi="Arial" w:cs="Arial"/>
              </w:rPr>
              <w:t>Brent 1st Line Future</w:t>
            </w:r>
          </w:p>
        </w:tc>
      </w:tr>
      <w:tr w:rsidR="005F20F2" w:rsidRPr="005F20F2" w14:paraId="11C1BABD" w14:textId="77777777" w:rsidTr="00B01C6D">
        <w:trPr>
          <w:trHeight w:val="272"/>
        </w:trPr>
        <w:tc>
          <w:tcPr>
            <w:tcW w:w="3027" w:type="dxa"/>
          </w:tcPr>
          <w:p w14:paraId="1C241500" w14:textId="77777777" w:rsidR="005F20F2" w:rsidRPr="005F20F2" w:rsidRDefault="005F20F2" w:rsidP="005F20F2">
            <w:pPr>
              <w:jc w:val="both"/>
              <w:rPr>
                <w:rFonts w:ascii="Arial" w:hAnsi="Arial" w:cs="Arial"/>
                <w:b/>
              </w:rPr>
            </w:pPr>
            <w:r w:rsidRPr="005F20F2">
              <w:rPr>
                <w:rFonts w:ascii="Arial" w:hAnsi="Arial" w:cs="Arial"/>
                <w:b/>
              </w:rPr>
              <w:t>ICE Futures Europe</w:t>
            </w:r>
          </w:p>
        </w:tc>
        <w:tc>
          <w:tcPr>
            <w:tcW w:w="3027" w:type="dxa"/>
          </w:tcPr>
          <w:p w14:paraId="2F466A5B" w14:textId="77777777" w:rsidR="005F20F2" w:rsidRPr="005F20F2" w:rsidRDefault="005F20F2" w:rsidP="005F20F2">
            <w:pPr>
              <w:jc w:val="both"/>
              <w:rPr>
                <w:rFonts w:ascii="Arial" w:hAnsi="Arial" w:cs="Arial"/>
              </w:rPr>
            </w:pPr>
            <w:r w:rsidRPr="005F20F2">
              <w:rPr>
                <w:rFonts w:ascii="Arial" w:hAnsi="Arial" w:cs="Arial"/>
              </w:rPr>
              <w:t>Natural Gas</w:t>
            </w:r>
          </w:p>
        </w:tc>
        <w:tc>
          <w:tcPr>
            <w:tcW w:w="3027" w:type="dxa"/>
          </w:tcPr>
          <w:p w14:paraId="3B6AF83B" w14:textId="77777777" w:rsidR="005F20F2" w:rsidRPr="005F20F2" w:rsidRDefault="005F20F2" w:rsidP="005F20F2">
            <w:pPr>
              <w:jc w:val="both"/>
              <w:rPr>
                <w:rFonts w:ascii="Arial" w:hAnsi="Arial" w:cs="Arial"/>
              </w:rPr>
            </w:pPr>
            <w:r w:rsidRPr="005F20F2">
              <w:rPr>
                <w:rFonts w:ascii="Arial" w:hAnsi="Arial" w:cs="Arial"/>
              </w:rPr>
              <w:t>UK Natural Gas Futures</w:t>
            </w:r>
          </w:p>
        </w:tc>
      </w:tr>
      <w:tr w:rsidR="005F20F2" w:rsidRPr="005F20F2" w14:paraId="6D619542" w14:textId="77777777" w:rsidTr="00B01C6D">
        <w:trPr>
          <w:trHeight w:val="272"/>
        </w:trPr>
        <w:tc>
          <w:tcPr>
            <w:tcW w:w="3027" w:type="dxa"/>
          </w:tcPr>
          <w:p w14:paraId="5025AD31" w14:textId="77777777" w:rsidR="005F20F2" w:rsidRPr="005F20F2" w:rsidRDefault="005F20F2" w:rsidP="005F20F2">
            <w:pPr>
              <w:jc w:val="both"/>
              <w:rPr>
                <w:rFonts w:ascii="Arial" w:hAnsi="Arial" w:cs="Arial"/>
                <w:b/>
              </w:rPr>
            </w:pPr>
            <w:r w:rsidRPr="005F20F2">
              <w:rPr>
                <w:rFonts w:ascii="Arial" w:hAnsi="Arial" w:cs="Arial"/>
                <w:b/>
              </w:rPr>
              <w:t>ICE Endex</w:t>
            </w:r>
          </w:p>
        </w:tc>
        <w:tc>
          <w:tcPr>
            <w:tcW w:w="3027" w:type="dxa"/>
          </w:tcPr>
          <w:p w14:paraId="5072040C" w14:textId="77777777" w:rsidR="005F20F2" w:rsidRPr="005F20F2" w:rsidRDefault="005F20F2" w:rsidP="005F20F2">
            <w:pPr>
              <w:jc w:val="both"/>
              <w:rPr>
                <w:rFonts w:ascii="Arial" w:hAnsi="Arial" w:cs="Arial"/>
              </w:rPr>
            </w:pPr>
            <w:r w:rsidRPr="005F20F2">
              <w:rPr>
                <w:rFonts w:ascii="Arial" w:hAnsi="Arial" w:cs="Arial"/>
              </w:rPr>
              <w:t>Natural Gas</w:t>
            </w:r>
          </w:p>
        </w:tc>
        <w:tc>
          <w:tcPr>
            <w:tcW w:w="3027" w:type="dxa"/>
          </w:tcPr>
          <w:p w14:paraId="411212A2" w14:textId="77777777" w:rsidR="005F20F2" w:rsidRPr="005F20F2" w:rsidRDefault="005F20F2" w:rsidP="005F20F2">
            <w:pPr>
              <w:jc w:val="both"/>
              <w:rPr>
                <w:rFonts w:ascii="Arial" w:hAnsi="Arial" w:cs="Arial"/>
              </w:rPr>
            </w:pPr>
            <w:r w:rsidRPr="005F20F2">
              <w:rPr>
                <w:rFonts w:ascii="Arial" w:hAnsi="Arial" w:cs="Arial"/>
              </w:rPr>
              <w:t>TTF Gas Futures</w:t>
            </w:r>
          </w:p>
        </w:tc>
      </w:tr>
      <w:tr w:rsidR="005F20F2" w:rsidRPr="005F20F2" w14:paraId="17AD44D2" w14:textId="77777777" w:rsidTr="00B01C6D">
        <w:trPr>
          <w:trHeight w:val="272"/>
        </w:trPr>
        <w:tc>
          <w:tcPr>
            <w:tcW w:w="3027" w:type="dxa"/>
          </w:tcPr>
          <w:p w14:paraId="53A7FEF5" w14:textId="77777777" w:rsidR="005F20F2" w:rsidRPr="005F20F2" w:rsidRDefault="005F20F2" w:rsidP="005F20F2">
            <w:pPr>
              <w:jc w:val="both"/>
              <w:rPr>
                <w:rFonts w:ascii="Arial" w:hAnsi="Arial" w:cs="Arial"/>
                <w:b/>
              </w:rPr>
            </w:pPr>
            <w:r w:rsidRPr="005F20F2">
              <w:rPr>
                <w:rFonts w:ascii="Arial" w:hAnsi="Arial" w:cs="Arial"/>
                <w:b/>
              </w:rPr>
              <w:t>EEX AG</w:t>
            </w:r>
          </w:p>
        </w:tc>
        <w:tc>
          <w:tcPr>
            <w:tcW w:w="3027" w:type="dxa"/>
          </w:tcPr>
          <w:p w14:paraId="6EECF21D" w14:textId="77777777" w:rsidR="005F20F2" w:rsidRPr="005F20F2" w:rsidRDefault="005F20F2" w:rsidP="005F20F2">
            <w:pPr>
              <w:jc w:val="both"/>
              <w:rPr>
                <w:rFonts w:ascii="Arial" w:hAnsi="Arial" w:cs="Arial"/>
              </w:rPr>
            </w:pPr>
            <w:r w:rsidRPr="005F20F2">
              <w:rPr>
                <w:rFonts w:ascii="Arial" w:hAnsi="Arial" w:cs="Arial"/>
              </w:rPr>
              <w:t>Natural Gas</w:t>
            </w:r>
          </w:p>
        </w:tc>
        <w:tc>
          <w:tcPr>
            <w:tcW w:w="3027" w:type="dxa"/>
          </w:tcPr>
          <w:p w14:paraId="13113F12" w14:textId="77777777" w:rsidR="005F20F2" w:rsidRPr="005F20F2" w:rsidRDefault="005F20F2" w:rsidP="005F20F2">
            <w:pPr>
              <w:jc w:val="both"/>
              <w:rPr>
                <w:rFonts w:ascii="Arial" w:hAnsi="Arial" w:cs="Arial"/>
              </w:rPr>
            </w:pPr>
            <w:r w:rsidRPr="005F20F2">
              <w:rPr>
                <w:rFonts w:ascii="Arial" w:hAnsi="Arial" w:cs="Arial"/>
              </w:rPr>
              <w:t>EEX Regulated Market Futures TTF</w:t>
            </w:r>
          </w:p>
        </w:tc>
      </w:tr>
    </w:tbl>
    <w:p w14:paraId="6D35F75D" w14:textId="77777777" w:rsidR="005F20F2" w:rsidRPr="005F20F2" w:rsidRDefault="005F20F2" w:rsidP="005F20F2">
      <w:pPr>
        <w:jc w:val="both"/>
        <w:rPr>
          <w:rFonts w:ascii="Arial" w:hAnsi="Arial" w:cs="Arial"/>
        </w:rPr>
      </w:pPr>
    </w:p>
    <w:p w14:paraId="4A5FAB23" w14:textId="77777777" w:rsidR="005F20F2" w:rsidRPr="005F20F2" w:rsidRDefault="005F20F2" w:rsidP="005F20F2">
      <w:pPr>
        <w:jc w:val="both"/>
        <w:rPr>
          <w:rFonts w:ascii="Arial" w:hAnsi="Arial" w:cs="Arial"/>
        </w:rPr>
      </w:pPr>
      <w:bookmarkStart w:id="6" w:name="_tyjcwt" w:colFirst="0" w:colLast="0"/>
      <w:bookmarkEnd w:id="6"/>
      <w:r w:rsidRPr="005F20F2">
        <w:rPr>
          <w:rFonts w:ascii="Arial" w:hAnsi="Arial" w:cs="Arial"/>
        </w:rPr>
        <w:t>Please note that Europex has merely provided examples of energy derivative contracts above the thresholds for critical contracts. Metals and agricultural contracts have not been taken into account and should add a considerable amount of additional critical contracts.</w:t>
      </w:r>
    </w:p>
    <w:p w14:paraId="53353D66" w14:textId="77777777" w:rsidR="005F20F2" w:rsidRPr="005F20F2" w:rsidRDefault="005F20F2" w:rsidP="005F20F2">
      <w:pPr>
        <w:jc w:val="both"/>
        <w:rPr>
          <w:rFonts w:ascii="Arial" w:hAnsi="Arial" w:cs="Arial"/>
        </w:rPr>
      </w:pPr>
      <w:bookmarkStart w:id="7" w:name="_kpvx2tbuc0vx" w:colFirst="0" w:colLast="0"/>
      <w:bookmarkEnd w:id="7"/>
    </w:p>
    <w:p w14:paraId="3C814A2C" w14:textId="77777777" w:rsidR="005F20F2" w:rsidRPr="005F20F2" w:rsidRDefault="005F20F2" w:rsidP="005F20F2">
      <w:pPr>
        <w:jc w:val="both"/>
        <w:rPr>
          <w:rFonts w:ascii="Arial" w:hAnsi="Arial" w:cs="Arial"/>
        </w:rPr>
      </w:pPr>
      <w:bookmarkStart w:id="8" w:name="_3dy6vkm" w:colFirst="0" w:colLast="0"/>
      <w:bookmarkEnd w:id="8"/>
      <w:r w:rsidRPr="005F20F2">
        <w:rPr>
          <w:rFonts w:ascii="Arial" w:hAnsi="Arial" w:cs="Arial"/>
        </w:rPr>
        <w:t>In relation to the ‘type and variety of market participants’, we consider this indicator to be normally highly correlated with open interest. For the sake of transparency and simplicity , we therefore recommend that this criterion is not considered.</w:t>
      </w:r>
    </w:p>
    <w:p w14:paraId="470744D6" w14:textId="77777777" w:rsidR="005F20F2" w:rsidRPr="005F20F2" w:rsidRDefault="005F20F2" w:rsidP="005F20F2">
      <w:pPr>
        <w:jc w:val="both"/>
        <w:rPr>
          <w:rFonts w:ascii="Arial" w:hAnsi="Arial" w:cs="Arial"/>
        </w:rPr>
      </w:pPr>
      <w:bookmarkStart w:id="9" w:name="_1t3h5sf" w:colFirst="0" w:colLast="0"/>
      <w:bookmarkEnd w:id="9"/>
    </w:p>
    <w:p w14:paraId="7CE8B130" w14:textId="77777777" w:rsidR="005F20F2" w:rsidRPr="005F20F2" w:rsidRDefault="005F20F2" w:rsidP="005F20F2">
      <w:pPr>
        <w:jc w:val="both"/>
        <w:rPr>
          <w:rFonts w:ascii="Arial" w:hAnsi="Arial" w:cs="Arial"/>
        </w:rPr>
      </w:pPr>
      <w:bookmarkStart w:id="10" w:name="_4d34og8" w:colFirst="0" w:colLast="0"/>
      <w:bookmarkEnd w:id="10"/>
      <w:r w:rsidRPr="005F20F2">
        <w:rPr>
          <w:rFonts w:ascii="Arial" w:hAnsi="Arial" w:cs="Arial"/>
        </w:rPr>
        <w:t>However, should ESMA nevertheless wish to take this criterion into account, we recommend that there should be at least 50 actively trading market participants in a contract on average over a one-year period. This number of market participants is also a factor to be considered by NCAs when setting position limits under the implementing legislation of MiFID II Article 57. To qualify as critical, a contract would have to breach the thresholds for open interest and actively trading participants.</w:t>
      </w:r>
    </w:p>
    <w:permEnd w:id="1821780740"/>
    <w:p w14:paraId="11DBD2B0" w14:textId="77777777" w:rsidR="00D5365A" w:rsidRDefault="00D5365A" w:rsidP="00D5365A">
      <w:pPr>
        <w:rPr>
          <w:rFonts w:ascii="Arial" w:hAnsi="Arial" w:cs="Arial"/>
        </w:rPr>
      </w:pPr>
      <w:r>
        <w:rPr>
          <w:rFonts w:ascii="Arial" w:hAnsi="Arial" w:cs="Arial"/>
        </w:rPr>
        <w:t>&lt;ESMA_QUESTION_WPR_6&gt;</w:t>
      </w:r>
    </w:p>
    <w:p w14:paraId="392E68BA" w14:textId="77777777" w:rsidR="00D5365A" w:rsidRDefault="00D5365A" w:rsidP="00D5365A">
      <w:pPr>
        <w:rPr>
          <w:rFonts w:ascii="Arial" w:hAnsi="Arial" w:cs="Arial"/>
        </w:rPr>
      </w:pPr>
    </w:p>
    <w:p w14:paraId="447489A7" w14:textId="77777777" w:rsidR="00D5365A" w:rsidRDefault="00D5365A" w:rsidP="00D5365A">
      <w:pPr>
        <w:pStyle w:val="Questionstyle"/>
        <w:numPr>
          <w:ilvl w:val="0"/>
          <w:numId w:val="17"/>
        </w:numPr>
        <w:spacing w:after="250" w:line="276" w:lineRule="auto"/>
        <w:rPr>
          <w:rFonts w:ascii="Arial" w:hAnsi="Arial" w:cs="Arial"/>
        </w:rPr>
      </w:pPr>
      <w:r>
        <w:t>: Would you support a position limit exemption for financial counterparties under mandatory liquidity provision obligations? If not, please explain why.</w:t>
      </w:r>
    </w:p>
    <w:p w14:paraId="45D19C97" w14:textId="77777777" w:rsidR="00D5365A" w:rsidRDefault="00D5365A" w:rsidP="00D5365A">
      <w:pPr>
        <w:rPr>
          <w:rFonts w:ascii="Arial" w:hAnsi="Arial" w:cs="Arial"/>
        </w:rPr>
      </w:pPr>
      <w:r>
        <w:rPr>
          <w:rFonts w:ascii="Arial" w:hAnsi="Arial" w:cs="Arial"/>
        </w:rPr>
        <w:t>&lt;ESMA_QUESTION_WPR_7&gt;</w:t>
      </w:r>
    </w:p>
    <w:p w14:paraId="3E17C6AA" w14:textId="77777777" w:rsidR="005F20F2" w:rsidRPr="005F20F2" w:rsidRDefault="005F20F2" w:rsidP="005F20F2">
      <w:pPr>
        <w:jc w:val="both"/>
        <w:rPr>
          <w:rFonts w:ascii="Arial" w:hAnsi="Arial" w:cs="Arial"/>
        </w:rPr>
      </w:pPr>
      <w:permStart w:id="602737691" w:edGrp="everyone"/>
      <w:r w:rsidRPr="005F20F2">
        <w:rPr>
          <w:rFonts w:ascii="Arial" w:hAnsi="Arial" w:cs="Arial"/>
        </w:rPr>
        <w:t xml:space="preserve">Yes, we fully support a position limit exemption for financial counterparties under mandatory liquidity provision obligations, similar to the one outlined in Article 2(4) of MiFID II. However, such an exemption should not be limited to financial counterparties </w:t>
      </w:r>
      <w:r w:rsidRPr="005F20F2">
        <w:rPr>
          <w:rFonts w:ascii="Arial" w:hAnsi="Arial" w:cs="Arial"/>
        </w:rPr>
        <w:lastRenderedPageBreak/>
        <w:t>only. Very often, if not in most cases, non-financial counterparties fulfil mandatory liquidity obligations. For this case, too, a position limit exemption should be granted.</w:t>
      </w:r>
    </w:p>
    <w:p w14:paraId="312D38FB" w14:textId="77777777" w:rsidR="005F20F2" w:rsidRPr="005F20F2" w:rsidRDefault="005F20F2" w:rsidP="005F20F2">
      <w:pPr>
        <w:jc w:val="both"/>
        <w:rPr>
          <w:rFonts w:ascii="Arial" w:hAnsi="Arial" w:cs="Arial"/>
        </w:rPr>
      </w:pPr>
    </w:p>
    <w:p w14:paraId="2EEFCB21" w14:textId="77777777" w:rsidR="005F20F2" w:rsidRPr="005F20F2" w:rsidRDefault="005F20F2" w:rsidP="005F20F2">
      <w:pPr>
        <w:jc w:val="both"/>
        <w:rPr>
          <w:rFonts w:ascii="Arial" w:hAnsi="Arial" w:cs="Arial"/>
        </w:rPr>
      </w:pPr>
      <w:r w:rsidRPr="005F20F2">
        <w:rPr>
          <w:rFonts w:ascii="Arial" w:hAnsi="Arial" w:cs="Arial"/>
        </w:rPr>
        <w:t>This is particularly necessary for new contracts that need financial or non-financial entities to incentivise trading in the contract, at least if the position limits regime continues to include the restrictive 2,500 lots limit on new and illiquid contracts. If no such exemption is available and the 2,500 lots limit continues to apply, exchanges have to contract a ‘panel’ of liquidity providers to ensure that none of these firms exceed the 2,500 lots limit. In nascent markets it is highly possible that there may not be the required number of counterparties to build such a ‘panel’ and even where this is the case, it adds significant costs for the exchange.</w:t>
      </w:r>
    </w:p>
    <w:p w14:paraId="40507194" w14:textId="77777777" w:rsidR="005F20F2" w:rsidRPr="005F20F2" w:rsidRDefault="005F20F2" w:rsidP="005F20F2">
      <w:pPr>
        <w:jc w:val="both"/>
        <w:rPr>
          <w:rFonts w:ascii="Arial" w:hAnsi="Arial" w:cs="Arial"/>
        </w:rPr>
      </w:pPr>
    </w:p>
    <w:p w14:paraId="69220445" w14:textId="77777777" w:rsidR="005F20F2" w:rsidRPr="005F20F2" w:rsidRDefault="005F20F2" w:rsidP="005F20F2">
      <w:pPr>
        <w:jc w:val="both"/>
        <w:rPr>
          <w:rFonts w:ascii="Arial" w:hAnsi="Arial" w:cs="Arial"/>
        </w:rPr>
      </w:pPr>
      <w:r w:rsidRPr="005F20F2">
        <w:rPr>
          <w:rFonts w:ascii="Arial" w:hAnsi="Arial" w:cs="Arial"/>
        </w:rPr>
        <w:t>In order to avoid such a situation, Europex recommends that the position limits regime includes an explicit exemption based on the same conditions as the liquidity provision exemption outlined in Article 2(4) of MiFID II and the ESMA Q&amp;A on MiFID II/MiFIR commodity derivative topics. This exemption should be implemented similarly to the hedging exemption under the position limits regime.</w:t>
      </w:r>
    </w:p>
    <w:permEnd w:id="602737691"/>
    <w:p w14:paraId="31E340F5" w14:textId="77777777" w:rsidR="00D5365A" w:rsidRDefault="00D5365A" w:rsidP="00D5365A">
      <w:pPr>
        <w:rPr>
          <w:rFonts w:ascii="Arial" w:hAnsi="Arial" w:cs="Arial"/>
        </w:rPr>
      </w:pPr>
      <w:r>
        <w:rPr>
          <w:rFonts w:ascii="Arial" w:hAnsi="Arial" w:cs="Arial"/>
        </w:rPr>
        <w:t>&lt;ESMA_QUESTION_WPR_7&gt;</w:t>
      </w:r>
    </w:p>
    <w:p w14:paraId="763FBF02" w14:textId="77777777" w:rsidR="00D5365A" w:rsidRDefault="00D5365A" w:rsidP="00D5365A">
      <w:pPr>
        <w:rPr>
          <w:rFonts w:ascii="Arial" w:hAnsi="Arial" w:cs="Arial"/>
        </w:rPr>
      </w:pPr>
    </w:p>
    <w:p w14:paraId="068F9EED" w14:textId="77777777" w:rsidR="00D5365A" w:rsidRDefault="00D5365A" w:rsidP="00D5365A">
      <w:pPr>
        <w:pStyle w:val="Questionstyle"/>
        <w:numPr>
          <w:ilvl w:val="0"/>
          <w:numId w:val="17"/>
        </w:numPr>
        <w:spacing w:after="250" w:line="276" w:lineRule="auto"/>
        <w:rPr>
          <w:rFonts w:ascii="Arial" w:hAnsi="Arial" w:cs="Arial"/>
        </w:rPr>
      </w:pPr>
      <w:r>
        <w:t>: Would you support introducing a hedging exemption for financial counterparties along the lines described above? If not, please explain why.</w:t>
      </w:r>
    </w:p>
    <w:p w14:paraId="4ED08C7D" w14:textId="77777777" w:rsidR="00D5365A" w:rsidRDefault="00D5365A" w:rsidP="00D5365A">
      <w:pPr>
        <w:rPr>
          <w:rFonts w:ascii="Arial" w:hAnsi="Arial" w:cs="Arial"/>
        </w:rPr>
      </w:pPr>
      <w:r>
        <w:rPr>
          <w:rFonts w:ascii="Arial" w:hAnsi="Arial" w:cs="Arial"/>
        </w:rPr>
        <w:t>&lt;ESMA_QUESTION_WPR_8&gt;</w:t>
      </w:r>
    </w:p>
    <w:p w14:paraId="39750075" w14:textId="1B063208" w:rsidR="005F20F2" w:rsidRPr="005F20F2" w:rsidRDefault="005F20F2" w:rsidP="005F20F2">
      <w:pPr>
        <w:jc w:val="both"/>
        <w:rPr>
          <w:rFonts w:ascii="Arial" w:hAnsi="Arial" w:cs="Arial"/>
        </w:rPr>
      </w:pPr>
      <w:permStart w:id="1586561396" w:edGrp="everyone"/>
      <w:r w:rsidRPr="005F20F2">
        <w:rPr>
          <w:rFonts w:ascii="Arial" w:hAnsi="Arial" w:cs="Arial"/>
        </w:rPr>
        <w:t xml:space="preserve">Europex supports the introduction of a hedging exemption for financial </w:t>
      </w:r>
      <w:r>
        <w:rPr>
          <w:rFonts w:ascii="Arial" w:hAnsi="Arial" w:cs="Arial"/>
        </w:rPr>
        <w:t>c</w:t>
      </w:r>
      <w:r w:rsidRPr="005F20F2">
        <w:rPr>
          <w:rFonts w:ascii="Arial" w:hAnsi="Arial" w:cs="Arial"/>
        </w:rPr>
        <w:t>ounterparties.</w:t>
      </w:r>
    </w:p>
    <w:p w14:paraId="589F66FD" w14:textId="77777777" w:rsidR="005F20F2" w:rsidRPr="005F20F2" w:rsidRDefault="005F20F2" w:rsidP="005F20F2">
      <w:pPr>
        <w:jc w:val="both"/>
        <w:rPr>
          <w:rFonts w:ascii="Arial" w:hAnsi="Arial" w:cs="Arial"/>
        </w:rPr>
      </w:pPr>
    </w:p>
    <w:p w14:paraId="763ED39F" w14:textId="77777777" w:rsidR="005F20F2" w:rsidRPr="005F20F2" w:rsidRDefault="005F20F2" w:rsidP="005F20F2">
      <w:pPr>
        <w:jc w:val="both"/>
        <w:rPr>
          <w:rFonts w:ascii="Arial" w:hAnsi="Arial" w:cs="Arial"/>
        </w:rPr>
      </w:pPr>
      <w:r w:rsidRPr="005F20F2">
        <w:rPr>
          <w:rFonts w:ascii="Arial" w:hAnsi="Arial" w:cs="Arial"/>
        </w:rPr>
        <w:t>At the same time, Europex disagrees with ESMA’s view that the compliance monitoring of such exemptions by regulators would not be possible or efficient. In fact, exchanges such as ICE have been operating internal position management systems allowing for exemptions from limits of positions held for genuine hedging purposes by market participants, regardless of their regulatory status or nature of business. We believe that a similar system, inclusive for financial counterparties, could be operated by financial regulators across the EU, all the more given the amount of information the NCAs receive about the activities of such entities.</w:t>
      </w:r>
    </w:p>
    <w:permEnd w:id="1586561396"/>
    <w:p w14:paraId="74EC7D38" w14:textId="77777777" w:rsidR="00D5365A" w:rsidRDefault="00D5365A" w:rsidP="00D5365A">
      <w:pPr>
        <w:rPr>
          <w:rFonts w:ascii="Arial" w:hAnsi="Arial" w:cs="Arial"/>
        </w:rPr>
      </w:pPr>
      <w:r>
        <w:rPr>
          <w:rFonts w:ascii="Arial" w:hAnsi="Arial" w:cs="Arial"/>
        </w:rPr>
        <w:t>&lt;ESMA_QUESTION_WPR_8&gt;</w:t>
      </w:r>
    </w:p>
    <w:p w14:paraId="2F8CB93E" w14:textId="77777777" w:rsidR="00D5365A" w:rsidRDefault="00D5365A" w:rsidP="00D5365A">
      <w:pPr>
        <w:rPr>
          <w:rFonts w:ascii="Arial" w:hAnsi="Arial" w:cs="Arial"/>
        </w:rPr>
      </w:pPr>
    </w:p>
    <w:p w14:paraId="44AB4894" w14:textId="77777777" w:rsidR="00D5365A" w:rsidRDefault="00D5365A" w:rsidP="00D5365A">
      <w:pPr>
        <w:pStyle w:val="Questionstyle"/>
        <w:numPr>
          <w:ilvl w:val="0"/>
          <w:numId w:val="17"/>
        </w:numPr>
        <w:spacing w:after="250" w:line="276" w:lineRule="auto"/>
        <w:rPr>
          <w:rFonts w:ascii="Arial" w:hAnsi="Arial" w:cs="Arial"/>
        </w:rPr>
      </w:pPr>
      <w:r>
        <w:t xml:space="preserve">: Do you agree with ESMA’s proposals to amend Article 57(8)(b) of MiFID II and to introduce Level 2 measures on position management controls? If not, please explain why. </w:t>
      </w:r>
    </w:p>
    <w:p w14:paraId="7A0C336C" w14:textId="77777777" w:rsidR="00D5365A" w:rsidRDefault="00D5365A" w:rsidP="00D5365A">
      <w:pPr>
        <w:rPr>
          <w:rFonts w:ascii="Arial" w:hAnsi="Arial" w:cs="Arial"/>
        </w:rPr>
      </w:pPr>
      <w:r>
        <w:rPr>
          <w:rFonts w:ascii="Arial" w:hAnsi="Arial" w:cs="Arial"/>
        </w:rPr>
        <w:t>&lt;ESMA_QUESTION_WPR_9&gt;</w:t>
      </w:r>
    </w:p>
    <w:p w14:paraId="7E8D062D" w14:textId="77777777" w:rsidR="005F20F2" w:rsidRPr="005F20F2" w:rsidRDefault="005F20F2" w:rsidP="005F20F2">
      <w:pPr>
        <w:jc w:val="both"/>
        <w:rPr>
          <w:rFonts w:ascii="Arial" w:hAnsi="Arial" w:cs="Arial"/>
        </w:rPr>
      </w:pPr>
      <w:permStart w:id="1662860103" w:edGrp="everyone"/>
      <w:r w:rsidRPr="005F20F2">
        <w:rPr>
          <w:rFonts w:ascii="Arial" w:hAnsi="Arial" w:cs="Arial"/>
        </w:rPr>
        <w:t>Europex supports the current regime where trading venues have a substantial responsibility for position monitoring and control. Some trading venues have operated sophisticated position management regimes since before MiFID II. These regimes generally include:</w:t>
      </w:r>
    </w:p>
    <w:p w14:paraId="0332FB3D" w14:textId="77777777" w:rsidR="005F20F2" w:rsidRPr="005F20F2" w:rsidRDefault="005F20F2" w:rsidP="005F20F2">
      <w:pPr>
        <w:jc w:val="both"/>
        <w:rPr>
          <w:rFonts w:ascii="Arial" w:hAnsi="Arial" w:cs="Arial"/>
        </w:rPr>
      </w:pPr>
    </w:p>
    <w:p w14:paraId="55DD159F" w14:textId="77777777" w:rsidR="005F20F2" w:rsidRPr="005F20F2" w:rsidRDefault="005F20F2" w:rsidP="005F20F2">
      <w:pPr>
        <w:numPr>
          <w:ilvl w:val="0"/>
          <w:numId w:val="19"/>
        </w:numPr>
        <w:jc w:val="both"/>
        <w:rPr>
          <w:rFonts w:ascii="Arial" w:hAnsi="Arial" w:cs="Arial"/>
        </w:rPr>
      </w:pPr>
      <w:r w:rsidRPr="005F20F2">
        <w:rPr>
          <w:rFonts w:ascii="Arial" w:hAnsi="Arial" w:cs="Arial"/>
        </w:rPr>
        <w:t>Accountability levels above which members are required to report certain information to the exchange (e.g. their positions in a contract in question and the beneficiaries thereof);</w:t>
      </w:r>
    </w:p>
    <w:p w14:paraId="1D935307" w14:textId="77777777" w:rsidR="005F20F2" w:rsidRPr="005F20F2" w:rsidRDefault="005F20F2" w:rsidP="005F20F2">
      <w:pPr>
        <w:numPr>
          <w:ilvl w:val="0"/>
          <w:numId w:val="19"/>
        </w:numPr>
        <w:jc w:val="both"/>
        <w:rPr>
          <w:rFonts w:ascii="Arial" w:hAnsi="Arial" w:cs="Arial"/>
        </w:rPr>
      </w:pPr>
      <w:r w:rsidRPr="005F20F2">
        <w:rPr>
          <w:rFonts w:ascii="Arial" w:hAnsi="Arial" w:cs="Arial"/>
        </w:rPr>
        <w:lastRenderedPageBreak/>
        <w:t>Position, expiry and delivery limits indicating maximum positions that can be held by members in the contract in question at a given time;</w:t>
      </w:r>
    </w:p>
    <w:p w14:paraId="37E4EAFE" w14:textId="77777777" w:rsidR="005F20F2" w:rsidRPr="005F20F2" w:rsidRDefault="005F20F2" w:rsidP="005F20F2">
      <w:pPr>
        <w:numPr>
          <w:ilvl w:val="0"/>
          <w:numId w:val="19"/>
        </w:numPr>
        <w:jc w:val="both"/>
        <w:rPr>
          <w:rFonts w:ascii="Arial" w:hAnsi="Arial" w:cs="Arial"/>
        </w:rPr>
      </w:pPr>
      <w:r w:rsidRPr="005F20F2">
        <w:rPr>
          <w:rFonts w:ascii="Arial" w:hAnsi="Arial" w:cs="Arial"/>
        </w:rPr>
        <w:t>Exchange rules providing compliance teams with powers to:</w:t>
      </w:r>
    </w:p>
    <w:p w14:paraId="6417D5A2" w14:textId="77777777" w:rsidR="005F20F2" w:rsidRPr="005F20F2" w:rsidRDefault="005F20F2" w:rsidP="005F20F2">
      <w:pPr>
        <w:numPr>
          <w:ilvl w:val="0"/>
          <w:numId w:val="20"/>
        </w:numPr>
        <w:jc w:val="both"/>
        <w:rPr>
          <w:rFonts w:ascii="Arial" w:hAnsi="Arial" w:cs="Arial"/>
        </w:rPr>
      </w:pPr>
      <w:r w:rsidRPr="005F20F2">
        <w:rPr>
          <w:rFonts w:ascii="Arial" w:hAnsi="Arial" w:cs="Arial"/>
        </w:rPr>
        <w:t>Request information from members as to the purpose of the positions they hold in a contract in question;</w:t>
      </w:r>
    </w:p>
    <w:p w14:paraId="016B8D02" w14:textId="77777777" w:rsidR="005F20F2" w:rsidRPr="005F20F2" w:rsidRDefault="005F20F2" w:rsidP="005F20F2">
      <w:pPr>
        <w:numPr>
          <w:ilvl w:val="0"/>
          <w:numId w:val="20"/>
        </w:numPr>
        <w:jc w:val="both"/>
        <w:rPr>
          <w:rFonts w:ascii="Arial" w:hAnsi="Arial" w:cs="Arial"/>
        </w:rPr>
      </w:pPr>
      <w:r w:rsidRPr="005F20F2">
        <w:rPr>
          <w:rFonts w:ascii="Arial" w:hAnsi="Arial" w:cs="Arial"/>
        </w:rPr>
        <w:t>Order members to decrease their position;</w:t>
      </w:r>
    </w:p>
    <w:p w14:paraId="160D4173" w14:textId="77777777" w:rsidR="005F20F2" w:rsidRPr="005F20F2" w:rsidRDefault="005F20F2" w:rsidP="005F20F2">
      <w:pPr>
        <w:numPr>
          <w:ilvl w:val="0"/>
          <w:numId w:val="20"/>
        </w:numPr>
        <w:jc w:val="both"/>
        <w:rPr>
          <w:rFonts w:ascii="Arial" w:hAnsi="Arial" w:cs="Arial"/>
        </w:rPr>
      </w:pPr>
      <w:r w:rsidRPr="005F20F2">
        <w:rPr>
          <w:rFonts w:ascii="Arial" w:hAnsi="Arial" w:cs="Arial"/>
        </w:rPr>
        <w:t>Discipline members that do not comply with the above.</w:t>
      </w:r>
    </w:p>
    <w:p w14:paraId="15948357" w14:textId="77777777" w:rsidR="005F20F2" w:rsidRPr="005F20F2" w:rsidRDefault="005F20F2" w:rsidP="005F20F2">
      <w:pPr>
        <w:jc w:val="both"/>
        <w:rPr>
          <w:rFonts w:ascii="Arial" w:hAnsi="Arial" w:cs="Arial"/>
        </w:rPr>
      </w:pPr>
    </w:p>
    <w:p w14:paraId="7D7F662C" w14:textId="77777777" w:rsidR="005F20F2" w:rsidRPr="005F20F2" w:rsidRDefault="005F20F2" w:rsidP="005F20F2">
      <w:pPr>
        <w:jc w:val="both"/>
        <w:rPr>
          <w:rFonts w:ascii="Arial" w:hAnsi="Arial" w:cs="Arial"/>
        </w:rPr>
      </w:pPr>
      <w:r w:rsidRPr="005F20F2">
        <w:rPr>
          <w:rFonts w:ascii="Arial" w:hAnsi="Arial" w:cs="Arial"/>
        </w:rPr>
        <w:t>These position management regimes are operated by teams of competent staff and technologically advanced tools to monitor on a daily basis the open interest in contracts admitted to trading, positions held in those contracts by exchange members and the activity in physical markets underlying the commodity derivatives admitted to trading. These regimes are cautiously calibrated and tailored to the circumstances of each individual exchange such as the nature of its membership, characteristics of the contracts it admits to trading and the underlying markets. There is no ‘one size fits all’ for these position management regimes.</w:t>
      </w:r>
    </w:p>
    <w:p w14:paraId="1B7FAC12" w14:textId="77777777" w:rsidR="005F20F2" w:rsidRPr="005F20F2" w:rsidRDefault="005F20F2" w:rsidP="005F20F2">
      <w:pPr>
        <w:jc w:val="both"/>
        <w:rPr>
          <w:rFonts w:ascii="Arial" w:hAnsi="Arial" w:cs="Arial"/>
        </w:rPr>
      </w:pPr>
    </w:p>
    <w:p w14:paraId="0BF8F700" w14:textId="77777777" w:rsidR="005F20F2" w:rsidRPr="005F20F2" w:rsidRDefault="005F20F2" w:rsidP="005F20F2">
      <w:pPr>
        <w:jc w:val="both"/>
        <w:rPr>
          <w:rFonts w:ascii="Arial" w:hAnsi="Arial" w:cs="Arial"/>
        </w:rPr>
      </w:pPr>
      <w:r w:rsidRPr="005F20F2">
        <w:rPr>
          <w:rFonts w:ascii="Arial" w:hAnsi="Arial" w:cs="Arial"/>
        </w:rPr>
        <w:t>In reference to our response to the call for evidence, we would like to again highlight that besides being subject to position management regimes, exchange-traded gas and power derivatives markets are also under scrutiny of the exchanges’ market supervision and market surveillance departments. The departments apply the principles set out in REMIT and MAR, which both apply to gas and power derivatives markets. While REMIT introduces a sector-s​</w:t>
      </w:r>
      <w:proofErr w:type="spellStart"/>
      <w:r w:rsidRPr="005F20F2">
        <w:rPr>
          <w:rFonts w:ascii="Arial" w:hAnsi="Arial" w:cs="Arial"/>
        </w:rPr>
        <w:t>pecific</w:t>
      </w:r>
      <w:proofErr w:type="spellEnd"/>
      <w:r w:rsidRPr="005F20F2">
        <w:rPr>
          <w:rFonts w:ascii="Arial" w:hAnsi="Arial" w:cs="Arial"/>
        </w:rPr>
        <w:t xml:space="preserve"> legal framework for identifying and penalising insider trading and market manipulation in wholesale energy markets across Europe, MAR establishes a pan-European regime to prevent and detect market abuse, market manipulation and insider dealing in financial markets, including in energy derivatives markets. </w:t>
      </w:r>
    </w:p>
    <w:p w14:paraId="692860E9" w14:textId="77777777" w:rsidR="005F20F2" w:rsidRPr="005F20F2" w:rsidRDefault="005F20F2" w:rsidP="005F20F2">
      <w:pPr>
        <w:jc w:val="both"/>
        <w:rPr>
          <w:rFonts w:ascii="Arial" w:hAnsi="Arial" w:cs="Arial"/>
        </w:rPr>
      </w:pPr>
    </w:p>
    <w:p w14:paraId="4D1AC766" w14:textId="77777777" w:rsidR="005F20F2" w:rsidRPr="005F20F2" w:rsidRDefault="005F20F2" w:rsidP="005F20F2">
      <w:pPr>
        <w:jc w:val="both"/>
        <w:rPr>
          <w:rFonts w:ascii="Arial" w:hAnsi="Arial" w:cs="Arial"/>
        </w:rPr>
      </w:pPr>
      <w:bookmarkStart w:id="11" w:name="_17dp8vu" w:colFirst="0" w:colLast="0"/>
      <w:bookmarkEnd w:id="11"/>
      <w:r w:rsidRPr="005F20F2">
        <w:rPr>
          <w:rFonts w:ascii="Arial" w:hAnsi="Arial" w:cs="Arial"/>
        </w:rPr>
        <w:t xml:space="preserve">These pre-existing regulations as well as the work of market supervision and market surveillance departments have been effective in preventing market abuse and excessive speculation. REMIT and MAR have a clear objective which stands in contrast to Recital 128 of MiFID II stating that “All venues […] should have in place appropriate position management controls […] to mitigate the effects of large and dominant positions.” From this perspective, we believe that MAR should be the appropriate framework to apply for the position management controls in order to secure that national implementations follow the same direction. </w:t>
      </w:r>
    </w:p>
    <w:permEnd w:id="1662860103"/>
    <w:p w14:paraId="2C377513" w14:textId="77777777" w:rsidR="00D5365A" w:rsidRDefault="00D5365A" w:rsidP="00D5365A">
      <w:pPr>
        <w:rPr>
          <w:rFonts w:ascii="Arial" w:hAnsi="Arial" w:cs="Arial"/>
        </w:rPr>
      </w:pPr>
      <w:r>
        <w:rPr>
          <w:rFonts w:ascii="Arial" w:hAnsi="Arial" w:cs="Arial"/>
        </w:rPr>
        <w:t>&lt;ESMA_QUESTION_WPR_9&gt;</w:t>
      </w:r>
    </w:p>
    <w:p w14:paraId="66931BD6" w14:textId="77C0A432" w:rsidR="00D5365A" w:rsidRDefault="00D5365A" w:rsidP="00D5365A">
      <w:pPr>
        <w:rPr>
          <w:rFonts w:ascii="Arial" w:hAnsi="Arial" w:cs="Arial"/>
        </w:rPr>
      </w:pPr>
    </w:p>
    <w:p w14:paraId="3468173D" w14:textId="1850607F" w:rsidR="00D5365A" w:rsidRDefault="00D5365A" w:rsidP="00D5365A">
      <w:pPr>
        <w:rPr>
          <w:rFonts w:ascii="Arial" w:hAnsi="Arial" w:cs="Arial"/>
        </w:rPr>
      </w:pPr>
    </w:p>
    <w:p w14:paraId="3920CAF1" w14:textId="77777777" w:rsidR="00D5365A" w:rsidRPr="002847A4" w:rsidRDefault="00D5365A" w:rsidP="00D5365A">
      <w:pPr>
        <w:rPr>
          <w:b/>
        </w:rPr>
      </w:pPr>
      <w:r w:rsidRPr="002847A4">
        <w:rPr>
          <w:b/>
        </w:rPr>
        <w:t>Part II</w:t>
      </w:r>
    </w:p>
    <w:p w14:paraId="5E9299BD" w14:textId="77777777" w:rsidR="00D5365A" w:rsidRDefault="00D5365A" w:rsidP="00D5365A">
      <w:pPr>
        <w:rPr>
          <w:rFonts w:ascii="Arial" w:hAnsi="Arial" w:cs="Arial"/>
        </w:rPr>
      </w:pPr>
    </w:p>
    <w:p w14:paraId="349FDAF4" w14:textId="77777777" w:rsidR="00D5365A" w:rsidRDefault="00D5365A" w:rsidP="00D5365A">
      <w:pPr>
        <w:pStyle w:val="Questionstyle"/>
        <w:numPr>
          <w:ilvl w:val="0"/>
          <w:numId w:val="17"/>
        </w:numPr>
        <w:spacing w:after="250" w:line="276" w:lineRule="auto"/>
        <w:rPr>
          <w:rFonts w:ascii="Arial" w:hAnsi="Arial" w:cs="Arial"/>
        </w:rPr>
      </w:pPr>
      <w:r>
        <w:t xml:space="preserve">: Do you agree with the revised proposed minimum threshold level for the open interest criterion for the publication of weekly position reports? If not, please state your preferred alternative for the definition of this threshold and explain why. </w:t>
      </w:r>
    </w:p>
    <w:p w14:paraId="739F7FEE" w14:textId="77777777" w:rsidR="00D5365A" w:rsidRDefault="00D5365A" w:rsidP="00D5365A">
      <w:pPr>
        <w:rPr>
          <w:rFonts w:ascii="Arial" w:hAnsi="Arial" w:cs="Arial"/>
        </w:rPr>
      </w:pPr>
      <w:r>
        <w:rPr>
          <w:rFonts w:ascii="Arial" w:hAnsi="Arial" w:cs="Arial"/>
        </w:rPr>
        <w:t>&lt;ESMA_QUESTION_WPR_10&gt;</w:t>
      </w:r>
    </w:p>
    <w:p w14:paraId="48FBBDA1" w14:textId="18B9D0A8" w:rsidR="00D5365A" w:rsidRDefault="00452625" w:rsidP="00452625">
      <w:pPr>
        <w:jc w:val="both"/>
        <w:rPr>
          <w:rFonts w:ascii="Arial" w:hAnsi="Arial" w:cs="Arial"/>
        </w:rPr>
      </w:pPr>
      <w:permStart w:id="68034811" w:edGrp="everyone"/>
      <w:r w:rsidRPr="00452625">
        <w:rPr>
          <w:rFonts w:ascii="Arial" w:hAnsi="Arial" w:cs="Arial"/>
        </w:rPr>
        <w:t xml:space="preserve">Europex supports the revision of the proposed threshold level for the publication of weekly position reports. However, we believe that the proposed threshold would be too low to prevent that market participants with open positions in a particular contract can </w:t>
      </w:r>
      <w:r w:rsidRPr="00452625">
        <w:rPr>
          <w:rFonts w:ascii="Arial" w:hAnsi="Arial" w:cs="Arial"/>
        </w:rPr>
        <w:lastRenderedPageBreak/>
        <w:t>be easily identified. We therefore suggest decreasing the current threshold of the absolute amount of open interest being four times the size of deliverable supply and to set a new threshold whereby open interest simply equals deliverable supply.</w:t>
      </w:r>
    </w:p>
    <w:permEnd w:id="68034811"/>
    <w:p w14:paraId="7CA6A02D" w14:textId="77777777" w:rsidR="00D5365A" w:rsidRDefault="00D5365A" w:rsidP="00D5365A">
      <w:pPr>
        <w:rPr>
          <w:rFonts w:ascii="Arial" w:hAnsi="Arial" w:cs="Arial"/>
        </w:rPr>
      </w:pPr>
      <w:r>
        <w:rPr>
          <w:rFonts w:ascii="Arial" w:hAnsi="Arial" w:cs="Arial"/>
        </w:rPr>
        <w:t>&lt;ESMA_QUESTION_WPR_10&gt;</w:t>
      </w:r>
    </w:p>
    <w:p w14:paraId="1F5BE49F" w14:textId="77777777" w:rsidR="00D5365A" w:rsidRDefault="00D5365A" w:rsidP="00D5365A">
      <w:pPr>
        <w:rPr>
          <w:rFonts w:ascii="Arial" w:hAnsi="Arial" w:cs="Arial"/>
        </w:rPr>
      </w:pPr>
    </w:p>
    <w:p w14:paraId="235E6E6C" w14:textId="77777777" w:rsidR="00D5365A" w:rsidRDefault="00D5365A" w:rsidP="00D5365A">
      <w:pPr>
        <w:pStyle w:val="Questionstyle"/>
        <w:numPr>
          <w:ilvl w:val="0"/>
          <w:numId w:val="17"/>
        </w:numPr>
        <w:spacing w:after="250" w:line="276" w:lineRule="auto"/>
        <w:rPr>
          <w:rFonts w:ascii="Arial" w:hAnsi="Arial" w:cs="Arial"/>
        </w:rPr>
      </w:pPr>
      <w:r>
        <w:t>: Do you have any comment on the current number of position holders required for the publication of weekly position reports?</w:t>
      </w:r>
    </w:p>
    <w:p w14:paraId="78BEE3B9" w14:textId="77777777" w:rsidR="00D5365A" w:rsidRDefault="00D5365A" w:rsidP="00D5365A">
      <w:pPr>
        <w:rPr>
          <w:rFonts w:ascii="Arial" w:hAnsi="Arial" w:cs="Arial"/>
        </w:rPr>
      </w:pPr>
      <w:r>
        <w:rPr>
          <w:rFonts w:ascii="Arial" w:hAnsi="Arial" w:cs="Arial"/>
        </w:rPr>
        <w:t>&lt;ESMA_QUESTION_WPR_11&gt;</w:t>
      </w:r>
    </w:p>
    <w:p w14:paraId="156425DF" w14:textId="77777777" w:rsidR="00452625" w:rsidRPr="00452625" w:rsidRDefault="00452625" w:rsidP="00452625">
      <w:pPr>
        <w:jc w:val="both"/>
        <w:rPr>
          <w:rFonts w:ascii="Arial" w:hAnsi="Arial" w:cs="Arial"/>
        </w:rPr>
      </w:pPr>
      <w:permStart w:id="281428305" w:edGrp="everyone"/>
      <w:r w:rsidRPr="00452625">
        <w:rPr>
          <w:rFonts w:ascii="Arial" w:hAnsi="Arial" w:cs="Arial"/>
        </w:rPr>
        <w:t>We support the current number of position holders required for the publication of weekly position reports, provided that the open interest is higher than the size of deliverable supply.</w:t>
      </w:r>
    </w:p>
    <w:p w14:paraId="3E0D939C" w14:textId="77777777" w:rsidR="00452625" w:rsidRPr="00452625" w:rsidRDefault="00452625" w:rsidP="00452625">
      <w:pPr>
        <w:jc w:val="both"/>
        <w:rPr>
          <w:rFonts w:ascii="Arial" w:hAnsi="Arial" w:cs="Arial"/>
        </w:rPr>
      </w:pPr>
    </w:p>
    <w:p w14:paraId="71AEDAEE" w14:textId="77777777" w:rsidR="00452625" w:rsidRDefault="00452625" w:rsidP="00452625">
      <w:pPr>
        <w:jc w:val="both"/>
        <w:rPr>
          <w:rFonts w:ascii="Arial" w:hAnsi="Arial" w:cs="Arial"/>
        </w:rPr>
      </w:pPr>
      <w:r w:rsidRPr="00452625">
        <w:rPr>
          <w:rFonts w:ascii="Arial" w:hAnsi="Arial" w:cs="Arial"/>
        </w:rPr>
        <w:t>However, the total number of position holders must be combined with a minimum threshold in each category for preserving the anonymity of market participants. Effectively, if the number of position holders in one category is too low, their positions might be deduced by other market players (primarily by others in the same category), putting at risk their strategy and economic position. Accordingly, we consider that for each category of position holders, there must be at least four different entities. This will provide increased transparency, also with regard to contracts that do not longer fall within the scope of the position limits regime, while preventing a situation in which market participants become easily identifiable.</w:t>
      </w:r>
    </w:p>
    <w:permEnd w:id="281428305"/>
    <w:p w14:paraId="19E3DFC7" w14:textId="49AC4A65" w:rsidR="00D5365A" w:rsidRDefault="00D5365A" w:rsidP="00D5365A">
      <w:pPr>
        <w:rPr>
          <w:rFonts w:ascii="Arial" w:hAnsi="Arial" w:cs="Arial"/>
        </w:rPr>
      </w:pPr>
      <w:r>
        <w:rPr>
          <w:rFonts w:ascii="Arial" w:hAnsi="Arial" w:cs="Arial"/>
        </w:rPr>
        <w:t>&lt;ESMA_QUESTION_WPR_11&gt;</w:t>
      </w:r>
    </w:p>
    <w:p w14:paraId="560C94D5" w14:textId="77777777" w:rsidR="00D5365A" w:rsidRDefault="00D5365A" w:rsidP="00D5365A">
      <w:pPr>
        <w:rPr>
          <w:rFonts w:ascii="Arial" w:hAnsi="Arial" w:cs="Arial"/>
        </w:rPr>
      </w:pPr>
    </w:p>
    <w:p w14:paraId="3BB68A6B" w14:textId="77777777" w:rsidR="00D5365A" w:rsidRDefault="00D5365A" w:rsidP="00D5365A">
      <w:pPr>
        <w:rPr>
          <w:rFonts w:ascii="Arial" w:hAnsi="Arial" w:cs="Arial"/>
        </w:rPr>
      </w:pPr>
    </w:p>
    <w:bookmarkEnd w:id="0"/>
    <w:p w14:paraId="289A1E31" w14:textId="022DBCBF" w:rsidR="00AB6157" w:rsidRDefault="00AB6157" w:rsidP="00C1698A">
      <w:pPr>
        <w:spacing w:line="276" w:lineRule="auto"/>
        <w:rPr>
          <w:rFonts w:asciiTheme="minorHAnsi" w:hAnsiTheme="minorHAnsi" w:cstheme="minorHAnsi"/>
          <w:b/>
          <w:sz w:val="28"/>
          <w:szCs w:val="28"/>
        </w:rPr>
      </w:pPr>
    </w:p>
    <w:sectPr w:rsidR="00AB6157" w:rsidSect="00C85C8B">
      <w:headerReference w:type="default" r:id="rId21"/>
      <w:footerReference w:type="default" r:id="rId2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1CC39F" w14:textId="77777777" w:rsidR="00290C91" w:rsidRDefault="00290C91" w:rsidP="007E7997">
      <w:r>
        <w:separator/>
      </w:r>
    </w:p>
  </w:endnote>
  <w:endnote w:type="continuationSeparator" w:id="0">
    <w:p w14:paraId="646CB645" w14:textId="77777777" w:rsidR="00290C91" w:rsidRDefault="00290C91" w:rsidP="007E7997">
      <w:r>
        <w:continuationSeparator/>
      </w:r>
    </w:p>
  </w:endnote>
  <w:endnote w:type="continuationNotice" w:id="1">
    <w:p w14:paraId="4B943383" w14:textId="77777777" w:rsidR="00290C91" w:rsidRDefault="00290C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4752671"/>
      <w:docPartObj>
        <w:docPartGallery w:val="Page Numbers (Bottom of Page)"/>
        <w:docPartUnique/>
      </w:docPartObj>
    </w:sdtPr>
    <w:sdtEndPr>
      <w:rPr>
        <w:noProof/>
      </w:rPr>
    </w:sdtEndPr>
    <w:sdtContent>
      <w:p w14:paraId="0CF5505D" w14:textId="212D7D4F" w:rsidR="00E36813" w:rsidRDefault="00E36813">
        <w:pPr>
          <w:pStyle w:val="Footer"/>
          <w:jc w:val="center"/>
        </w:pPr>
        <w:r>
          <w:fldChar w:fldCharType="begin"/>
        </w:r>
        <w:r>
          <w:instrText xml:space="preserve"> PAGE   \* MERGEFORMAT </w:instrText>
        </w:r>
        <w:r>
          <w:fldChar w:fldCharType="separate"/>
        </w:r>
        <w:r w:rsidR="00C85C8B">
          <w:rPr>
            <w:noProof/>
          </w:rPr>
          <w:t>3</w:t>
        </w:r>
        <w:r>
          <w:rPr>
            <w:noProof/>
          </w:rPr>
          <w:fldChar w:fldCharType="end"/>
        </w:r>
      </w:p>
    </w:sdtContent>
  </w:sdt>
  <w:p w14:paraId="3A18C8B1" w14:textId="77777777" w:rsidR="00E36813" w:rsidRDefault="00E368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F3915" w14:textId="1D422D72" w:rsidR="00E36813" w:rsidRDefault="00E36813" w:rsidP="007A160F">
    <w:pPr>
      <w:pStyle w:val="Footer"/>
    </w:pPr>
    <w:r>
      <w:rPr>
        <w:rFonts w:asciiTheme="majorHAnsi" w:hAnsiTheme="majorHAnsi"/>
        <w:color w:val="FFFFFF" w:themeColor="background1"/>
      </w:rPr>
      <w:tab/>
    </w:r>
    <w:r>
      <w:rPr>
        <w:rFonts w:asciiTheme="majorHAnsi" w:hAnsiTheme="majorHAnsi"/>
        <w:color w:val="FFFFFF" w:themeColor="background1"/>
      </w:rPr>
      <w:tab/>
    </w:r>
    <w:r w:rsidR="002C56FD">
      <w:rPr>
        <w:rFonts w:asciiTheme="majorHAnsi" w:hAnsiTheme="majorHAnsi"/>
        <w:color w:val="FFFFFF" w:themeColor="background1"/>
      </w:rPr>
      <w:t>5</w:t>
    </w:r>
    <w:r w:rsidR="00C81B36">
      <w:rPr>
        <w:rFonts w:asciiTheme="majorHAnsi" w:hAnsiTheme="majorHAnsi"/>
        <w:color w:val="FFFFFF" w:themeColor="background1"/>
      </w:rPr>
      <w:t xml:space="preserve"> November </w:t>
    </w:r>
    <w:r w:rsidR="00AB6157">
      <w:rPr>
        <w:rFonts w:asciiTheme="majorHAnsi" w:hAnsiTheme="majorHAnsi"/>
        <w:color w:val="FFFFFF" w:themeColor="background1"/>
      </w:rPr>
      <w:t>2019</w:t>
    </w:r>
    <w:r w:rsidR="00FF6930">
      <w:rPr>
        <w:rFonts w:asciiTheme="majorHAnsi" w:hAnsiTheme="majorHAnsi"/>
        <w:color w:val="FFFFFF" w:themeColor="background1"/>
      </w:rPr>
      <w:t xml:space="preserve"> </w:t>
    </w:r>
    <w:r w:rsidR="00961EE5">
      <w:rPr>
        <w:rFonts w:asciiTheme="majorHAnsi" w:hAnsiTheme="majorHAnsi"/>
        <w:color w:val="FFFFFF" w:themeColor="background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3752247"/>
      <w:docPartObj>
        <w:docPartGallery w:val="Page Numbers (Bottom of Page)"/>
        <w:docPartUnique/>
      </w:docPartObj>
    </w:sdtPr>
    <w:sdtEndPr>
      <w:rPr>
        <w:noProof/>
      </w:rPr>
    </w:sdtEndPr>
    <w:sdtContent>
      <w:p w14:paraId="4C9B3DBF" w14:textId="6ECC1B82" w:rsidR="00E36813" w:rsidRDefault="00E36813">
        <w:pPr>
          <w:pStyle w:val="Footer"/>
          <w:jc w:val="center"/>
        </w:pPr>
        <w:r>
          <w:fldChar w:fldCharType="begin"/>
        </w:r>
        <w:r>
          <w:instrText xml:space="preserve"> PAGE   \* MERGEFORMAT </w:instrText>
        </w:r>
        <w:r>
          <w:fldChar w:fldCharType="separate"/>
        </w:r>
        <w:r w:rsidR="00534912">
          <w:rPr>
            <w:noProof/>
          </w:rPr>
          <w:t>1</w:t>
        </w:r>
        <w:r>
          <w:rPr>
            <w:noProof/>
          </w:rPr>
          <w:fldChar w:fldCharType="end"/>
        </w:r>
      </w:p>
    </w:sdtContent>
  </w:sdt>
  <w:p w14:paraId="5EAB6EC7" w14:textId="1F85019A" w:rsidR="00E36813" w:rsidRDefault="00E36813" w:rsidP="00FB24E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0596C" w14:textId="77777777" w:rsidR="00290C91" w:rsidRDefault="00290C91" w:rsidP="007E7997">
      <w:r>
        <w:separator/>
      </w:r>
    </w:p>
  </w:footnote>
  <w:footnote w:type="continuationSeparator" w:id="0">
    <w:p w14:paraId="07913624" w14:textId="77777777" w:rsidR="00290C91" w:rsidRDefault="00290C91" w:rsidP="007E7997">
      <w:r>
        <w:continuationSeparator/>
      </w:r>
    </w:p>
  </w:footnote>
  <w:footnote w:type="continuationNotice" w:id="1">
    <w:p w14:paraId="0DE47141" w14:textId="77777777" w:rsidR="00290C91" w:rsidRDefault="00290C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956F7" w14:textId="77777777" w:rsidR="00E36813" w:rsidRDefault="00E36813">
    <w:pPr>
      <w:pStyle w:val="Header"/>
    </w:pPr>
  </w:p>
  <w:p w14:paraId="59FA3C9D" w14:textId="77777777" w:rsidR="00E36813" w:rsidRDefault="00E368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91035" w14:textId="77777777" w:rsidR="00E36813" w:rsidRDefault="00E36813">
    <w:pPr>
      <w:pStyle w:val="Header"/>
    </w:pPr>
    <w:r>
      <w:rPr>
        <w:noProof/>
      </w:rPr>
      <w:drawing>
        <wp:anchor distT="0" distB="0" distL="114300" distR="114300" simplePos="0" relativeHeight="251658752" behindDoc="0" locked="0" layoutInCell="1" allowOverlap="1" wp14:anchorId="4D6D79BE" wp14:editId="7BE45F50">
          <wp:simplePos x="0" y="0"/>
          <wp:positionH relativeFrom="page">
            <wp:posOffset>366395</wp:posOffset>
          </wp:positionH>
          <wp:positionV relativeFrom="page">
            <wp:posOffset>372745</wp:posOffset>
          </wp:positionV>
          <wp:extent cx="2209800" cy="904875"/>
          <wp:effectExtent l="0" t="0" r="0" b="9525"/>
          <wp:wrapNone/>
          <wp:docPr id="5" name="Picture 5"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329727B" wp14:editId="68199A3E">
          <wp:simplePos x="0" y="0"/>
          <wp:positionH relativeFrom="page">
            <wp:align>right</wp:align>
          </wp:positionH>
          <wp:positionV relativeFrom="page">
            <wp:align>bottom</wp:align>
          </wp:positionV>
          <wp:extent cx="7560310" cy="6800850"/>
          <wp:effectExtent l="0" t="0" r="2540" b="0"/>
          <wp:wrapNone/>
          <wp:docPr id="9" name="Picture 9"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B6EC4" w14:textId="5E62980F" w:rsidR="00E36813" w:rsidRDefault="00E36813" w:rsidP="00B50534">
    <w:pPr>
      <w:pStyle w:val="Header"/>
      <w:jc w:val="right"/>
      <w:rPr>
        <w:b/>
        <w:color w:val="FF0000"/>
      </w:rPr>
    </w:pPr>
    <w:r w:rsidRPr="008D5F86">
      <w:rPr>
        <w:rFonts w:ascii="Arial" w:hAnsi="Arial" w:cs="Arial"/>
        <w:noProof/>
      </w:rPr>
      <mc:AlternateContent>
        <mc:Choice Requires="wps">
          <w:drawing>
            <wp:anchor distT="0" distB="0" distL="114300" distR="114300" simplePos="0" relativeHeight="251656704" behindDoc="0" locked="0" layoutInCell="1" allowOverlap="1" wp14:anchorId="5EAB6ECC" wp14:editId="5EAB6ECD">
              <wp:simplePos x="0" y="0"/>
              <wp:positionH relativeFrom="page">
                <wp:posOffset>1594061</wp:posOffset>
              </wp:positionH>
              <wp:positionV relativeFrom="page">
                <wp:posOffset>461010</wp:posOffset>
              </wp:positionV>
              <wp:extent cx="0" cy="558165"/>
              <wp:effectExtent l="14605" t="12065" r="13970" b="1079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82382" id="Line 16"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5pt,36.3pt" to="125.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" strokecolor="#283583" strokeweight="1pt">
              <w10:wrap anchorx="page" anchory="page"/>
            </v:line>
          </w:pict>
        </mc:Fallback>
      </mc:AlternateContent>
    </w:r>
  </w:p>
  <w:p w14:paraId="5EAB6EC5" w14:textId="74FAFBAA" w:rsidR="00E36813" w:rsidRPr="00D13661" w:rsidRDefault="00E36813" w:rsidP="00B50534">
    <w:pPr>
      <w:pStyle w:val="Header"/>
      <w:jc w:val="right"/>
      <w:rPr>
        <w:rFonts w:asciiTheme="minorHAnsi" w:hAnsiTheme="minorHAnsi" w:cstheme="minorHAnsi"/>
        <w:color w:val="2F5496" w:themeColor="accent5" w:themeShade="BF"/>
        <w:sz w:val="20"/>
      </w:rPr>
    </w:pPr>
    <w:r w:rsidRPr="00D13661">
      <w:rPr>
        <w:rFonts w:asciiTheme="minorHAnsi" w:hAnsiTheme="minorHAnsi" w:cstheme="minorHAnsi"/>
        <w:noProof/>
        <w:color w:val="2F5496" w:themeColor="accent5" w:themeShade="BF"/>
        <w:sz w:val="20"/>
      </w:rPr>
      <w:drawing>
        <wp:anchor distT="0" distB="0" distL="114300" distR="114300" simplePos="0" relativeHeight="251655680" behindDoc="0" locked="0" layoutInCell="1" allowOverlap="1" wp14:anchorId="5EAB6ECE" wp14:editId="5EAB6ECF">
          <wp:simplePos x="0" y="0"/>
          <wp:positionH relativeFrom="page">
            <wp:posOffset>899795</wp:posOffset>
          </wp:positionH>
          <wp:positionV relativeFrom="page">
            <wp:posOffset>448945</wp:posOffset>
          </wp:positionV>
          <wp:extent cx="561975" cy="561975"/>
          <wp:effectExtent l="0" t="0" r="9525" b="9525"/>
          <wp:wrapNone/>
          <wp:docPr id="4" name="Picture 4"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sidRPr="00D13661">
      <w:rPr>
        <w:rFonts w:asciiTheme="minorHAnsi" w:hAnsiTheme="minorHAnsi" w:cstheme="minorHAnsi"/>
        <w:color w:val="2F5496" w:themeColor="accent5" w:themeShade="BF"/>
        <w:sz w:val="20"/>
      </w:rPr>
      <w:t>ESMA REGULAR USE</w:t>
    </w:r>
  </w:p>
  <w:p w14:paraId="276D8625" w14:textId="77777777" w:rsidR="00E36813" w:rsidRPr="00C3170E" w:rsidRDefault="00E36813" w:rsidP="00B50534">
    <w:pPr>
      <w:pStyle w:val="Header"/>
      <w:jc w:val="right"/>
      <w:rPr>
        <w:color w:val="2F5496" w:themeColor="accent5" w:themeShade="BF"/>
        <w:sz w:val="20"/>
      </w:rPr>
    </w:pPr>
  </w:p>
  <w:p w14:paraId="5EAB6EC6" w14:textId="77777777" w:rsidR="00E36813" w:rsidRPr="00B50534" w:rsidRDefault="00E36813" w:rsidP="00B50534">
    <w:pPr>
      <w:pStyle w:val="Header"/>
      <w:jc w:val="right"/>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468A5"/>
    <w:multiLevelType w:val="multilevel"/>
    <w:tmpl w:val="AC34E9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F536377"/>
    <w:multiLevelType w:val="multilevel"/>
    <w:tmpl w:val="2FAEAF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8806DE5"/>
    <w:multiLevelType w:val="multilevel"/>
    <w:tmpl w:val="7F2AD2EE"/>
    <w:lvl w:ilvl="0">
      <w:start w:val="1"/>
      <w:numFmt w:val="decimal"/>
      <w:pStyle w:val="Title1"/>
      <w:lvlText w:val="%1."/>
      <w:lvlJc w:val="left"/>
      <w:pPr>
        <w:ind w:left="360" w:hanging="360"/>
      </w:pPr>
    </w:lvl>
    <w:lvl w:ilvl="1">
      <w:start w:val="1"/>
      <w:numFmt w:val="decimal"/>
      <w:pStyle w:val="Title2"/>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B9E089E"/>
    <w:multiLevelType w:val="hybridMultilevel"/>
    <w:tmpl w:val="87960D64"/>
    <w:lvl w:ilvl="0" w:tplc="4F30587E">
      <w:start w:val="1"/>
      <w:numFmt w:val="lowerLetter"/>
      <w:pStyle w:val="Heading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2D181D69"/>
    <w:multiLevelType w:val="hybridMultilevel"/>
    <w:tmpl w:val="0A189E10"/>
    <w:lvl w:ilvl="0" w:tplc="52DE78C0">
      <w:start w:val="1"/>
      <w:numFmt w:val="upperLetter"/>
      <w:pStyle w:val="ListParagraph"/>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5" w15:restartNumberingAfterBreak="0">
    <w:nsid w:val="2DC75696"/>
    <w:multiLevelType w:val="hybridMultilevel"/>
    <w:tmpl w:val="E89897D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23C6B88"/>
    <w:multiLevelType w:val="multilevel"/>
    <w:tmpl w:val="140A2B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39052AF"/>
    <w:multiLevelType w:val="hybridMultilevel"/>
    <w:tmpl w:val="99F85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52232B"/>
    <w:multiLevelType w:val="hybridMultilevel"/>
    <w:tmpl w:val="93D60914"/>
    <w:lvl w:ilvl="0" w:tplc="AB4E7026">
      <w:start w:val="1"/>
      <w:numFmt w:val="decimal"/>
      <w:lvlText w:val="Q%1"/>
      <w:lvlJc w:val="left"/>
      <w:pPr>
        <w:ind w:left="720"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40663CB"/>
    <w:multiLevelType w:val="hybridMultilevel"/>
    <w:tmpl w:val="B3F40CA6"/>
    <w:lvl w:ilvl="0" w:tplc="ACB06F0C">
      <w:start w:val="1"/>
      <w:numFmt w:val="bullet"/>
      <w:lvlText w:val=""/>
      <w:lvlJc w:val="left"/>
      <w:pPr>
        <w:ind w:left="360" w:hanging="360"/>
      </w:pPr>
      <w:rPr>
        <w:rFonts w:ascii="Symbol" w:hAnsi="Symbol" w:hint="default"/>
      </w:rPr>
    </w:lvl>
    <w:lvl w:ilvl="1" w:tplc="E7564B96">
      <w:start w:val="1"/>
      <w:numFmt w:val="bullet"/>
      <w:lvlText w:val="o"/>
      <w:lvlJc w:val="left"/>
      <w:pPr>
        <w:ind w:left="785"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44261A85"/>
    <w:multiLevelType w:val="hybridMultilevel"/>
    <w:tmpl w:val="5A5CEE6E"/>
    <w:lvl w:ilvl="0" w:tplc="0F768706">
      <w:start w:val="1"/>
      <w:numFmt w:val="decimal"/>
      <w:pStyle w:val="04aNumbering"/>
      <w:lvlText w:val="%1."/>
      <w:lvlJc w:val="left"/>
      <w:pPr>
        <w:tabs>
          <w:tab w:val="num" w:pos="284"/>
        </w:tabs>
        <w:ind w:left="284" w:hanging="284"/>
      </w:pPr>
      <w:rPr>
        <w:rFonts w:ascii="Georgia" w:hAnsi="Georgia" w:hint="default"/>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60F4367C"/>
    <w:multiLevelType w:val="hybridMultilevel"/>
    <w:tmpl w:val="E8BC2FAE"/>
    <w:lvl w:ilvl="0" w:tplc="08090001">
      <w:start w:val="1"/>
      <w:numFmt w:val="bullet"/>
      <w:lvlText w:val=""/>
      <w:lvlJc w:val="left"/>
      <w:pPr>
        <w:ind w:left="928" w:hanging="360"/>
      </w:pPr>
      <w:rPr>
        <w:rFonts w:ascii="Symbol" w:hAnsi="Symbol" w:hint="default"/>
      </w:rPr>
    </w:lvl>
    <w:lvl w:ilvl="1" w:tplc="8D4AE690">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BAD1101"/>
    <w:multiLevelType w:val="multilevel"/>
    <w:tmpl w:val="766C753E"/>
    <w:lvl w:ilvl="0">
      <w:start w:val="1"/>
      <w:numFmt w:val="upperRoman"/>
      <w:pStyle w:val="Heading1"/>
      <w:lvlText w:val="%1."/>
      <w:lvlJc w:val="righ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71494B32"/>
    <w:multiLevelType w:val="hybridMultilevel"/>
    <w:tmpl w:val="066A8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D76F3F"/>
    <w:multiLevelType w:val="hybridMultilevel"/>
    <w:tmpl w:val="221AC284"/>
    <w:lvl w:ilvl="0" w:tplc="E0F01CF2">
      <w:start w:val="1"/>
      <w:numFmt w:val="decimal"/>
      <w:pStyle w:val="Questionstyle"/>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5145C8C"/>
    <w:multiLevelType w:val="hybridMultilevel"/>
    <w:tmpl w:val="D2744510"/>
    <w:lvl w:ilvl="0" w:tplc="F82C7A26">
      <w:start w:val="1"/>
      <w:numFmt w:val="decimal"/>
      <w:lvlText w:val="%1."/>
      <w:lvlJc w:val="left"/>
      <w:pPr>
        <w:ind w:left="928" w:hanging="360"/>
      </w:pPr>
    </w:lvl>
    <w:lvl w:ilvl="1" w:tplc="8D4AE690">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2"/>
  </w:num>
  <w:num w:numId="3">
    <w:abstractNumId w:val="12"/>
  </w:num>
  <w:num w:numId="4">
    <w:abstractNumId w:val="3"/>
  </w:num>
  <w:num w:numId="5">
    <w:abstractNumId w:val="10"/>
  </w:num>
  <w:num w:numId="6">
    <w:abstractNumId w:val="14"/>
  </w:num>
  <w:num w:numId="7">
    <w:abstractNumId w:val="9"/>
  </w:num>
  <w:num w:numId="8">
    <w:abstractNumId w:val="4"/>
  </w:num>
  <w:num w:numId="9">
    <w:abstractNumId w:val="8"/>
  </w:num>
  <w:num w:numId="10">
    <w:abstractNumId w:val="7"/>
  </w:num>
  <w:num w:numId="11">
    <w:abstractNumId w:val="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11"/>
  </w:num>
  <w:num w:numId="16">
    <w:abstractNumId w:val="1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0"/>
  </w:num>
  <w:num w:numId="2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0"/>
  <w:hideSpellingErrors/>
  <w:hideGrammaticalErrors/>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documentProtection w:edit="readOnly" w:enforcement="1" w:cryptProviderType="rsaAES" w:cryptAlgorithmClass="hash" w:cryptAlgorithmType="typeAny" w:cryptAlgorithmSid="14" w:cryptSpinCount="100000" w:hash="3T4gHCw/36fZJqGjBpVdxSvdxJQQuQQ0Z20mR1FA0lQXwCE12LqF/2U4umVg3AevknaitzM/1I4cfr8FMyFGGw==" w:salt="5FaIoUXA3WEmdJfgWb4/lg=="/>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842"/>
    <w:rsid w:val="0000380B"/>
    <w:rsid w:val="00005505"/>
    <w:rsid w:val="00006275"/>
    <w:rsid w:val="00006971"/>
    <w:rsid w:val="00011F6C"/>
    <w:rsid w:val="0001249B"/>
    <w:rsid w:val="00012D68"/>
    <w:rsid w:val="000142BB"/>
    <w:rsid w:val="0001633D"/>
    <w:rsid w:val="0001726F"/>
    <w:rsid w:val="00020098"/>
    <w:rsid w:val="00020300"/>
    <w:rsid w:val="00021A9A"/>
    <w:rsid w:val="00022ADA"/>
    <w:rsid w:val="00026327"/>
    <w:rsid w:val="00027EC9"/>
    <w:rsid w:val="00033934"/>
    <w:rsid w:val="00036C09"/>
    <w:rsid w:val="000372BF"/>
    <w:rsid w:val="00040A52"/>
    <w:rsid w:val="00044C5A"/>
    <w:rsid w:val="00044E0A"/>
    <w:rsid w:val="000461AB"/>
    <w:rsid w:val="00054E00"/>
    <w:rsid w:val="00061B2B"/>
    <w:rsid w:val="0006448C"/>
    <w:rsid w:val="0006449B"/>
    <w:rsid w:val="000655AD"/>
    <w:rsid w:val="00066FD1"/>
    <w:rsid w:val="00072BF9"/>
    <w:rsid w:val="00073DF9"/>
    <w:rsid w:val="0007767E"/>
    <w:rsid w:val="0007796D"/>
    <w:rsid w:val="000830DA"/>
    <w:rsid w:val="00083FBB"/>
    <w:rsid w:val="000921E6"/>
    <w:rsid w:val="00093239"/>
    <w:rsid w:val="000A03C9"/>
    <w:rsid w:val="000A12CC"/>
    <w:rsid w:val="000A2738"/>
    <w:rsid w:val="000A2DF1"/>
    <w:rsid w:val="000A3D10"/>
    <w:rsid w:val="000A409B"/>
    <w:rsid w:val="000A66FC"/>
    <w:rsid w:val="000A741E"/>
    <w:rsid w:val="000B1615"/>
    <w:rsid w:val="000B2AAF"/>
    <w:rsid w:val="000B2E26"/>
    <w:rsid w:val="000B5D3D"/>
    <w:rsid w:val="000C0CE0"/>
    <w:rsid w:val="000C2400"/>
    <w:rsid w:val="000C299C"/>
    <w:rsid w:val="000C5ACC"/>
    <w:rsid w:val="000D0293"/>
    <w:rsid w:val="000D0850"/>
    <w:rsid w:val="000D1038"/>
    <w:rsid w:val="000D11A9"/>
    <w:rsid w:val="000D2D7B"/>
    <w:rsid w:val="000E2232"/>
    <w:rsid w:val="000E3DB1"/>
    <w:rsid w:val="000F0169"/>
    <w:rsid w:val="000F0951"/>
    <w:rsid w:val="000F2598"/>
    <w:rsid w:val="000F29C0"/>
    <w:rsid w:val="000F2BE6"/>
    <w:rsid w:val="000F474D"/>
    <w:rsid w:val="000F5C90"/>
    <w:rsid w:val="000F5EA6"/>
    <w:rsid w:val="000F74C4"/>
    <w:rsid w:val="000F7998"/>
    <w:rsid w:val="00100ADC"/>
    <w:rsid w:val="0010429A"/>
    <w:rsid w:val="00105424"/>
    <w:rsid w:val="001075EC"/>
    <w:rsid w:val="00113D82"/>
    <w:rsid w:val="00120F0D"/>
    <w:rsid w:val="001214DA"/>
    <w:rsid w:val="0012722A"/>
    <w:rsid w:val="00130EF9"/>
    <w:rsid w:val="001319C7"/>
    <w:rsid w:val="001355E6"/>
    <w:rsid w:val="0013644A"/>
    <w:rsid w:val="00140BA6"/>
    <w:rsid w:val="00141946"/>
    <w:rsid w:val="00143DCA"/>
    <w:rsid w:val="00144AAD"/>
    <w:rsid w:val="001455E7"/>
    <w:rsid w:val="0014624E"/>
    <w:rsid w:val="001608B2"/>
    <w:rsid w:val="00160FE0"/>
    <w:rsid w:val="00163AB3"/>
    <w:rsid w:val="00165047"/>
    <w:rsid w:val="00165FF8"/>
    <w:rsid w:val="0016669F"/>
    <w:rsid w:val="00170AD6"/>
    <w:rsid w:val="001735B8"/>
    <w:rsid w:val="00177AA7"/>
    <w:rsid w:val="00180917"/>
    <w:rsid w:val="00180E53"/>
    <w:rsid w:val="00181CB7"/>
    <w:rsid w:val="001862A5"/>
    <w:rsid w:val="00186A70"/>
    <w:rsid w:val="00191035"/>
    <w:rsid w:val="001918E5"/>
    <w:rsid w:val="00192A7A"/>
    <w:rsid w:val="001A1EF4"/>
    <w:rsid w:val="001A7046"/>
    <w:rsid w:val="001A710D"/>
    <w:rsid w:val="001A7E6F"/>
    <w:rsid w:val="001B0A77"/>
    <w:rsid w:val="001B1727"/>
    <w:rsid w:val="001B2151"/>
    <w:rsid w:val="001B3CFF"/>
    <w:rsid w:val="001B4957"/>
    <w:rsid w:val="001B4996"/>
    <w:rsid w:val="001C0E59"/>
    <w:rsid w:val="001C432D"/>
    <w:rsid w:val="001C469E"/>
    <w:rsid w:val="001C56C3"/>
    <w:rsid w:val="001C5D8C"/>
    <w:rsid w:val="001C7E0A"/>
    <w:rsid w:val="001D0112"/>
    <w:rsid w:val="001D19F5"/>
    <w:rsid w:val="001D385A"/>
    <w:rsid w:val="001D388A"/>
    <w:rsid w:val="001D6B39"/>
    <w:rsid w:val="001E1ECD"/>
    <w:rsid w:val="001E3E0D"/>
    <w:rsid w:val="001E4A45"/>
    <w:rsid w:val="001E5E30"/>
    <w:rsid w:val="001F0479"/>
    <w:rsid w:val="001F1F10"/>
    <w:rsid w:val="001F3999"/>
    <w:rsid w:val="001F3D9D"/>
    <w:rsid w:val="00200894"/>
    <w:rsid w:val="00202333"/>
    <w:rsid w:val="00202FA8"/>
    <w:rsid w:val="002034B8"/>
    <w:rsid w:val="00205922"/>
    <w:rsid w:val="00206FB8"/>
    <w:rsid w:val="0020766F"/>
    <w:rsid w:val="00207A07"/>
    <w:rsid w:val="00210498"/>
    <w:rsid w:val="0021147A"/>
    <w:rsid w:val="00213BFB"/>
    <w:rsid w:val="00217478"/>
    <w:rsid w:val="00223F79"/>
    <w:rsid w:val="00224806"/>
    <w:rsid w:val="00232F8E"/>
    <w:rsid w:val="00233071"/>
    <w:rsid w:val="00235E99"/>
    <w:rsid w:val="0024299F"/>
    <w:rsid w:val="002449D8"/>
    <w:rsid w:val="00244B86"/>
    <w:rsid w:val="00244C97"/>
    <w:rsid w:val="0024512F"/>
    <w:rsid w:val="00245406"/>
    <w:rsid w:val="002455D7"/>
    <w:rsid w:val="00245D2E"/>
    <w:rsid w:val="00246E1D"/>
    <w:rsid w:val="002472F6"/>
    <w:rsid w:val="0025020D"/>
    <w:rsid w:val="00254CC2"/>
    <w:rsid w:val="002574D1"/>
    <w:rsid w:val="00261CCB"/>
    <w:rsid w:val="002630C0"/>
    <w:rsid w:val="0026332A"/>
    <w:rsid w:val="002645A8"/>
    <w:rsid w:val="0026493B"/>
    <w:rsid w:val="00265566"/>
    <w:rsid w:val="00265F44"/>
    <w:rsid w:val="002665E3"/>
    <w:rsid w:val="00270B7C"/>
    <w:rsid w:val="0027199C"/>
    <w:rsid w:val="00272C4E"/>
    <w:rsid w:val="002751FC"/>
    <w:rsid w:val="002753BD"/>
    <w:rsid w:val="00282D38"/>
    <w:rsid w:val="00282FBE"/>
    <w:rsid w:val="00284AF2"/>
    <w:rsid w:val="0028536B"/>
    <w:rsid w:val="00285CED"/>
    <w:rsid w:val="00285EB5"/>
    <w:rsid w:val="00287C8F"/>
    <w:rsid w:val="00290893"/>
    <w:rsid w:val="00290C91"/>
    <w:rsid w:val="002917B9"/>
    <w:rsid w:val="00291A55"/>
    <w:rsid w:val="0029394C"/>
    <w:rsid w:val="002A13B0"/>
    <w:rsid w:val="002A2C91"/>
    <w:rsid w:val="002A6C21"/>
    <w:rsid w:val="002A780E"/>
    <w:rsid w:val="002B144C"/>
    <w:rsid w:val="002B1A78"/>
    <w:rsid w:val="002B53F3"/>
    <w:rsid w:val="002C03FD"/>
    <w:rsid w:val="002C044D"/>
    <w:rsid w:val="002C1AA5"/>
    <w:rsid w:val="002C2A46"/>
    <w:rsid w:val="002C3048"/>
    <w:rsid w:val="002C56FD"/>
    <w:rsid w:val="002D2992"/>
    <w:rsid w:val="002D37A0"/>
    <w:rsid w:val="002D5AB5"/>
    <w:rsid w:val="002D6667"/>
    <w:rsid w:val="002D79F3"/>
    <w:rsid w:val="002E1C11"/>
    <w:rsid w:val="002E3D0B"/>
    <w:rsid w:val="002E3E7D"/>
    <w:rsid w:val="002F6279"/>
    <w:rsid w:val="003013B7"/>
    <w:rsid w:val="00301993"/>
    <w:rsid w:val="00301E55"/>
    <w:rsid w:val="00307397"/>
    <w:rsid w:val="003101EF"/>
    <w:rsid w:val="00312BDD"/>
    <w:rsid w:val="00314117"/>
    <w:rsid w:val="00317EDF"/>
    <w:rsid w:val="003279E7"/>
    <w:rsid w:val="00327B62"/>
    <w:rsid w:val="00331FE9"/>
    <w:rsid w:val="0033324D"/>
    <w:rsid w:val="0033587C"/>
    <w:rsid w:val="00336BF9"/>
    <w:rsid w:val="003371E8"/>
    <w:rsid w:val="00337471"/>
    <w:rsid w:val="0034151D"/>
    <w:rsid w:val="00342B5B"/>
    <w:rsid w:val="00343532"/>
    <w:rsid w:val="00345469"/>
    <w:rsid w:val="003454ED"/>
    <w:rsid w:val="00345EB9"/>
    <w:rsid w:val="0035030F"/>
    <w:rsid w:val="00353C4B"/>
    <w:rsid w:val="003545A6"/>
    <w:rsid w:val="00356C60"/>
    <w:rsid w:val="003578D1"/>
    <w:rsid w:val="00366D42"/>
    <w:rsid w:val="0036748C"/>
    <w:rsid w:val="00372615"/>
    <w:rsid w:val="00373A3C"/>
    <w:rsid w:val="00376233"/>
    <w:rsid w:val="00380B30"/>
    <w:rsid w:val="00381784"/>
    <w:rsid w:val="00381EB0"/>
    <w:rsid w:val="00382A72"/>
    <w:rsid w:val="00382EBA"/>
    <w:rsid w:val="0038331A"/>
    <w:rsid w:val="0039135B"/>
    <w:rsid w:val="003A34E7"/>
    <w:rsid w:val="003A3CB1"/>
    <w:rsid w:val="003A3D55"/>
    <w:rsid w:val="003A73A4"/>
    <w:rsid w:val="003B102E"/>
    <w:rsid w:val="003B4E3D"/>
    <w:rsid w:val="003C167E"/>
    <w:rsid w:val="003C481D"/>
    <w:rsid w:val="003C4EB5"/>
    <w:rsid w:val="003D2CED"/>
    <w:rsid w:val="003D344A"/>
    <w:rsid w:val="003D3BB8"/>
    <w:rsid w:val="003D7C07"/>
    <w:rsid w:val="003E13FD"/>
    <w:rsid w:val="003E1C24"/>
    <w:rsid w:val="003E61FC"/>
    <w:rsid w:val="003E77BC"/>
    <w:rsid w:val="003F0EDF"/>
    <w:rsid w:val="003F20C7"/>
    <w:rsid w:val="003F39B1"/>
    <w:rsid w:val="00400D9C"/>
    <w:rsid w:val="00400FBE"/>
    <w:rsid w:val="004022CF"/>
    <w:rsid w:val="004029B1"/>
    <w:rsid w:val="004038F1"/>
    <w:rsid w:val="00404282"/>
    <w:rsid w:val="0040743A"/>
    <w:rsid w:val="00407623"/>
    <w:rsid w:val="00407A74"/>
    <w:rsid w:val="00414210"/>
    <w:rsid w:val="004159DB"/>
    <w:rsid w:val="00420FD4"/>
    <w:rsid w:val="004242B3"/>
    <w:rsid w:val="00426D62"/>
    <w:rsid w:val="00427A89"/>
    <w:rsid w:val="00430C5B"/>
    <w:rsid w:val="00431968"/>
    <w:rsid w:val="00433936"/>
    <w:rsid w:val="0043475E"/>
    <w:rsid w:val="00435FE9"/>
    <w:rsid w:val="00436279"/>
    <w:rsid w:val="0044199E"/>
    <w:rsid w:val="0044206D"/>
    <w:rsid w:val="00444803"/>
    <w:rsid w:val="00445696"/>
    <w:rsid w:val="00446E5F"/>
    <w:rsid w:val="00450C4E"/>
    <w:rsid w:val="00451D9E"/>
    <w:rsid w:val="00452625"/>
    <w:rsid w:val="00455577"/>
    <w:rsid w:val="00456795"/>
    <w:rsid w:val="00461CC8"/>
    <w:rsid w:val="00462B2F"/>
    <w:rsid w:val="00463BA8"/>
    <w:rsid w:val="00465EAA"/>
    <w:rsid w:val="004708CA"/>
    <w:rsid w:val="004709E7"/>
    <w:rsid w:val="00470ADE"/>
    <w:rsid w:val="004712C7"/>
    <w:rsid w:val="004759EB"/>
    <w:rsid w:val="00477919"/>
    <w:rsid w:val="00482611"/>
    <w:rsid w:val="00482A27"/>
    <w:rsid w:val="00487DCE"/>
    <w:rsid w:val="004950B7"/>
    <w:rsid w:val="00497FEA"/>
    <w:rsid w:val="004B07B2"/>
    <w:rsid w:val="004B0955"/>
    <w:rsid w:val="004B1842"/>
    <w:rsid w:val="004B25D0"/>
    <w:rsid w:val="004B3553"/>
    <w:rsid w:val="004B5E92"/>
    <w:rsid w:val="004C0A30"/>
    <w:rsid w:val="004C357C"/>
    <w:rsid w:val="004C3D18"/>
    <w:rsid w:val="004D42B1"/>
    <w:rsid w:val="004D526F"/>
    <w:rsid w:val="004E19C0"/>
    <w:rsid w:val="004E1C54"/>
    <w:rsid w:val="004E2C37"/>
    <w:rsid w:val="004E5285"/>
    <w:rsid w:val="004F0CF3"/>
    <w:rsid w:val="004F5740"/>
    <w:rsid w:val="004F58C9"/>
    <w:rsid w:val="005028B9"/>
    <w:rsid w:val="00505E17"/>
    <w:rsid w:val="00511A59"/>
    <w:rsid w:val="00511C3B"/>
    <w:rsid w:val="00514440"/>
    <w:rsid w:val="005166C3"/>
    <w:rsid w:val="00520F7C"/>
    <w:rsid w:val="00523974"/>
    <w:rsid w:val="00526E5D"/>
    <w:rsid w:val="00531432"/>
    <w:rsid w:val="00532BC8"/>
    <w:rsid w:val="005333E8"/>
    <w:rsid w:val="00534912"/>
    <w:rsid w:val="005370E7"/>
    <w:rsid w:val="005409B7"/>
    <w:rsid w:val="00545E62"/>
    <w:rsid w:val="00551070"/>
    <w:rsid w:val="00552C8A"/>
    <w:rsid w:val="00555156"/>
    <w:rsid w:val="0055535B"/>
    <w:rsid w:val="00560A96"/>
    <w:rsid w:val="005619CB"/>
    <w:rsid w:val="00561B71"/>
    <w:rsid w:val="00561F98"/>
    <w:rsid w:val="00564607"/>
    <w:rsid w:val="00565193"/>
    <w:rsid w:val="00570896"/>
    <w:rsid w:val="005725BD"/>
    <w:rsid w:val="005730B0"/>
    <w:rsid w:val="00575DCC"/>
    <w:rsid w:val="005821B0"/>
    <w:rsid w:val="0059175F"/>
    <w:rsid w:val="00591AAC"/>
    <w:rsid w:val="00595F08"/>
    <w:rsid w:val="00595FBE"/>
    <w:rsid w:val="005A1C55"/>
    <w:rsid w:val="005B169D"/>
    <w:rsid w:val="005B4ACA"/>
    <w:rsid w:val="005B6B12"/>
    <w:rsid w:val="005C19E9"/>
    <w:rsid w:val="005C2DBC"/>
    <w:rsid w:val="005C5F13"/>
    <w:rsid w:val="005C65F9"/>
    <w:rsid w:val="005C6B0E"/>
    <w:rsid w:val="005C7E1F"/>
    <w:rsid w:val="005D1B9E"/>
    <w:rsid w:val="005D1F6B"/>
    <w:rsid w:val="005D2DE7"/>
    <w:rsid w:val="005D331C"/>
    <w:rsid w:val="005D6355"/>
    <w:rsid w:val="005D7AAF"/>
    <w:rsid w:val="005E0C59"/>
    <w:rsid w:val="005E1DA3"/>
    <w:rsid w:val="005E306B"/>
    <w:rsid w:val="005E53D0"/>
    <w:rsid w:val="005E5785"/>
    <w:rsid w:val="005E6098"/>
    <w:rsid w:val="005E7969"/>
    <w:rsid w:val="005F0C93"/>
    <w:rsid w:val="005F20F2"/>
    <w:rsid w:val="005F3F22"/>
    <w:rsid w:val="005F4FC0"/>
    <w:rsid w:val="005F540F"/>
    <w:rsid w:val="005F5491"/>
    <w:rsid w:val="005F6144"/>
    <w:rsid w:val="005F6573"/>
    <w:rsid w:val="00601541"/>
    <w:rsid w:val="0060361E"/>
    <w:rsid w:val="00604A25"/>
    <w:rsid w:val="00606683"/>
    <w:rsid w:val="00613BF6"/>
    <w:rsid w:val="00616D27"/>
    <w:rsid w:val="006234FE"/>
    <w:rsid w:val="00623840"/>
    <w:rsid w:val="006255EC"/>
    <w:rsid w:val="00625A25"/>
    <w:rsid w:val="0062736A"/>
    <w:rsid w:val="0063070E"/>
    <w:rsid w:val="0063565E"/>
    <w:rsid w:val="00636E02"/>
    <w:rsid w:val="00641DB1"/>
    <w:rsid w:val="00642297"/>
    <w:rsid w:val="00644A34"/>
    <w:rsid w:val="00654824"/>
    <w:rsid w:val="00661766"/>
    <w:rsid w:val="00662882"/>
    <w:rsid w:val="0066298C"/>
    <w:rsid w:val="00663008"/>
    <w:rsid w:val="00663093"/>
    <w:rsid w:val="00665A7C"/>
    <w:rsid w:val="00665B0B"/>
    <w:rsid w:val="006705CD"/>
    <w:rsid w:val="00671363"/>
    <w:rsid w:val="00672780"/>
    <w:rsid w:val="00672842"/>
    <w:rsid w:val="00676CFC"/>
    <w:rsid w:val="00677133"/>
    <w:rsid w:val="00681482"/>
    <w:rsid w:val="00687BF0"/>
    <w:rsid w:val="006904CF"/>
    <w:rsid w:val="006912FB"/>
    <w:rsid w:val="00695AF2"/>
    <w:rsid w:val="00696A2B"/>
    <w:rsid w:val="00696BD5"/>
    <w:rsid w:val="006A04AE"/>
    <w:rsid w:val="006A0AE4"/>
    <w:rsid w:val="006A23F3"/>
    <w:rsid w:val="006A2CF3"/>
    <w:rsid w:val="006A5047"/>
    <w:rsid w:val="006A7A10"/>
    <w:rsid w:val="006B0DA4"/>
    <w:rsid w:val="006B1B6B"/>
    <w:rsid w:val="006B2C57"/>
    <w:rsid w:val="006B79E0"/>
    <w:rsid w:val="006C1633"/>
    <w:rsid w:val="006C5BF8"/>
    <w:rsid w:val="006C7CCB"/>
    <w:rsid w:val="006D6009"/>
    <w:rsid w:val="006D7D41"/>
    <w:rsid w:val="006E2F4D"/>
    <w:rsid w:val="006E3FDD"/>
    <w:rsid w:val="006E58FB"/>
    <w:rsid w:val="006E5D82"/>
    <w:rsid w:val="006E66B2"/>
    <w:rsid w:val="006E6C50"/>
    <w:rsid w:val="006E7A69"/>
    <w:rsid w:val="006E7DE4"/>
    <w:rsid w:val="006F53E8"/>
    <w:rsid w:val="006F5FB8"/>
    <w:rsid w:val="0070017B"/>
    <w:rsid w:val="0070427E"/>
    <w:rsid w:val="00704D53"/>
    <w:rsid w:val="007056C3"/>
    <w:rsid w:val="00706072"/>
    <w:rsid w:val="00713644"/>
    <w:rsid w:val="00721256"/>
    <w:rsid w:val="007217AD"/>
    <w:rsid w:val="00723BA1"/>
    <w:rsid w:val="00724A1B"/>
    <w:rsid w:val="0073173E"/>
    <w:rsid w:val="007319C3"/>
    <w:rsid w:val="0073454F"/>
    <w:rsid w:val="00735C00"/>
    <w:rsid w:val="007364C6"/>
    <w:rsid w:val="00740BF3"/>
    <w:rsid w:val="00741D5C"/>
    <w:rsid w:val="0074352F"/>
    <w:rsid w:val="00747C5E"/>
    <w:rsid w:val="00750210"/>
    <w:rsid w:val="00754B57"/>
    <w:rsid w:val="0075671D"/>
    <w:rsid w:val="0076002F"/>
    <w:rsid w:val="0076038B"/>
    <w:rsid w:val="00761744"/>
    <w:rsid w:val="00764582"/>
    <w:rsid w:val="00765FA3"/>
    <w:rsid w:val="00766961"/>
    <w:rsid w:val="00766B5A"/>
    <w:rsid w:val="00770C33"/>
    <w:rsid w:val="007741C3"/>
    <w:rsid w:val="00777BE0"/>
    <w:rsid w:val="00780923"/>
    <w:rsid w:val="0078131F"/>
    <w:rsid w:val="007844C6"/>
    <w:rsid w:val="007876EF"/>
    <w:rsid w:val="00790306"/>
    <w:rsid w:val="0079364C"/>
    <w:rsid w:val="007942B9"/>
    <w:rsid w:val="00796C7F"/>
    <w:rsid w:val="00797E0C"/>
    <w:rsid w:val="007A160F"/>
    <w:rsid w:val="007A48BC"/>
    <w:rsid w:val="007B0BC1"/>
    <w:rsid w:val="007B354B"/>
    <w:rsid w:val="007B4FC3"/>
    <w:rsid w:val="007B73F3"/>
    <w:rsid w:val="007B7EE5"/>
    <w:rsid w:val="007C1C28"/>
    <w:rsid w:val="007C2A2C"/>
    <w:rsid w:val="007C3577"/>
    <w:rsid w:val="007C5E08"/>
    <w:rsid w:val="007D0002"/>
    <w:rsid w:val="007D7A59"/>
    <w:rsid w:val="007E53F5"/>
    <w:rsid w:val="007E6E9E"/>
    <w:rsid w:val="007E7637"/>
    <w:rsid w:val="007E7997"/>
    <w:rsid w:val="007F014A"/>
    <w:rsid w:val="007F04EF"/>
    <w:rsid w:val="007F0763"/>
    <w:rsid w:val="007F1DE9"/>
    <w:rsid w:val="007F25C2"/>
    <w:rsid w:val="007F4F88"/>
    <w:rsid w:val="007F5822"/>
    <w:rsid w:val="007F5B86"/>
    <w:rsid w:val="00800A7F"/>
    <w:rsid w:val="0080285D"/>
    <w:rsid w:val="0081028F"/>
    <w:rsid w:val="008107D9"/>
    <w:rsid w:val="0081093B"/>
    <w:rsid w:val="008116D9"/>
    <w:rsid w:val="00811936"/>
    <w:rsid w:val="00813059"/>
    <w:rsid w:val="008173E2"/>
    <w:rsid w:val="008201C3"/>
    <w:rsid w:val="00820422"/>
    <w:rsid w:val="00820655"/>
    <w:rsid w:val="008227D7"/>
    <w:rsid w:val="008249A1"/>
    <w:rsid w:val="00825D43"/>
    <w:rsid w:val="0082632D"/>
    <w:rsid w:val="00832500"/>
    <w:rsid w:val="00832787"/>
    <w:rsid w:val="00835805"/>
    <w:rsid w:val="0083595F"/>
    <w:rsid w:val="008372B6"/>
    <w:rsid w:val="00843A1A"/>
    <w:rsid w:val="00846433"/>
    <w:rsid w:val="008472C2"/>
    <w:rsid w:val="008510D9"/>
    <w:rsid w:val="00851EE3"/>
    <w:rsid w:val="00853121"/>
    <w:rsid w:val="008555E4"/>
    <w:rsid w:val="00864E60"/>
    <w:rsid w:val="00866A09"/>
    <w:rsid w:val="008712BF"/>
    <w:rsid w:val="00872209"/>
    <w:rsid w:val="00873656"/>
    <w:rsid w:val="008750BA"/>
    <w:rsid w:val="00880140"/>
    <w:rsid w:val="008842F7"/>
    <w:rsid w:val="00885B94"/>
    <w:rsid w:val="0089075A"/>
    <w:rsid w:val="00890F80"/>
    <w:rsid w:val="00892BFD"/>
    <w:rsid w:val="0089338A"/>
    <w:rsid w:val="00894199"/>
    <w:rsid w:val="008948BE"/>
    <w:rsid w:val="008A1E27"/>
    <w:rsid w:val="008A2C86"/>
    <w:rsid w:val="008A6000"/>
    <w:rsid w:val="008A70A8"/>
    <w:rsid w:val="008A7FAC"/>
    <w:rsid w:val="008B1FD9"/>
    <w:rsid w:val="008B2AF1"/>
    <w:rsid w:val="008B5191"/>
    <w:rsid w:val="008B710D"/>
    <w:rsid w:val="008B7CA1"/>
    <w:rsid w:val="008C0389"/>
    <w:rsid w:val="008C27D3"/>
    <w:rsid w:val="008C4B2B"/>
    <w:rsid w:val="008C5E91"/>
    <w:rsid w:val="008C686D"/>
    <w:rsid w:val="008C6B18"/>
    <w:rsid w:val="008C75E6"/>
    <w:rsid w:val="008C767A"/>
    <w:rsid w:val="008C7A73"/>
    <w:rsid w:val="008D0569"/>
    <w:rsid w:val="008D24F5"/>
    <w:rsid w:val="008D5C28"/>
    <w:rsid w:val="008E2D26"/>
    <w:rsid w:val="008E4076"/>
    <w:rsid w:val="008E7DBA"/>
    <w:rsid w:val="008F3386"/>
    <w:rsid w:val="008F3AD9"/>
    <w:rsid w:val="008F4642"/>
    <w:rsid w:val="008F4E00"/>
    <w:rsid w:val="008F761D"/>
    <w:rsid w:val="00900D44"/>
    <w:rsid w:val="00902520"/>
    <w:rsid w:val="00906DC4"/>
    <w:rsid w:val="0091457F"/>
    <w:rsid w:val="0091729E"/>
    <w:rsid w:val="0094008E"/>
    <w:rsid w:val="00941C0C"/>
    <w:rsid w:val="009437F2"/>
    <w:rsid w:val="0094528B"/>
    <w:rsid w:val="00960A8B"/>
    <w:rsid w:val="00961EE5"/>
    <w:rsid w:val="00965128"/>
    <w:rsid w:val="00973F43"/>
    <w:rsid w:val="0097785D"/>
    <w:rsid w:val="0098011D"/>
    <w:rsid w:val="00981912"/>
    <w:rsid w:val="009819C0"/>
    <w:rsid w:val="00987A75"/>
    <w:rsid w:val="00991A8A"/>
    <w:rsid w:val="00992611"/>
    <w:rsid w:val="00994303"/>
    <w:rsid w:val="0099526D"/>
    <w:rsid w:val="009A0054"/>
    <w:rsid w:val="009A0F6E"/>
    <w:rsid w:val="009A5548"/>
    <w:rsid w:val="009B25C1"/>
    <w:rsid w:val="009B7B79"/>
    <w:rsid w:val="009C0383"/>
    <w:rsid w:val="009C145B"/>
    <w:rsid w:val="009C3E04"/>
    <w:rsid w:val="009C3F1A"/>
    <w:rsid w:val="009C4FB0"/>
    <w:rsid w:val="009C75D1"/>
    <w:rsid w:val="009C7694"/>
    <w:rsid w:val="009D0570"/>
    <w:rsid w:val="009D3E5C"/>
    <w:rsid w:val="009D495C"/>
    <w:rsid w:val="009D570F"/>
    <w:rsid w:val="009D5E88"/>
    <w:rsid w:val="009D6E1A"/>
    <w:rsid w:val="009D7294"/>
    <w:rsid w:val="009E1690"/>
    <w:rsid w:val="009E18AF"/>
    <w:rsid w:val="009E2105"/>
    <w:rsid w:val="009E2C9D"/>
    <w:rsid w:val="009E2CDD"/>
    <w:rsid w:val="009E3545"/>
    <w:rsid w:val="009E4FCE"/>
    <w:rsid w:val="009E522E"/>
    <w:rsid w:val="009E76A7"/>
    <w:rsid w:val="009F0ABA"/>
    <w:rsid w:val="009F0AF5"/>
    <w:rsid w:val="00A02199"/>
    <w:rsid w:val="00A026A4"/>
    <w:rsid w:val="00A04044"/>
    <w:rsid w:val="00A11D0C"/>
    <w:rsid w:val="00A16579"/>
    <w:rsid w:val="00A24843"/>
    <w:rsid w:val="00A26D48"/>
    <w:rsid w:val="00A31C7C"/>
    <w:rsid w:val="00A367AA"/>
    <w:rsid w:val="00A378DF"/>
    <w:rsid w:val="00A37AC6"/>
    <w:rsid w:val="00A410CC"/>
    <w:rsid w:val="00A42B43"/>
    <w:rsid w:val="00A42BD0"/>
    <w:rsid w:val="00A433DC"/>
    <w:rsid w:val="00A460CD"/>
    <w:rsid w:val="00A50761"/>
    <w:rsid w:val="00A51DF2"/>
    <w:rsid w:val="00A53AF0"/>
    <w:rsid w:val="00A54ED7"/>
    <w:rsid w:val="00A61561"/>
    <w:rsid w:val="00A63249"/>
    <w:rsid w:val="00A6691F"/>
    <w:rsid w:val="00A67E6A"/>
    <w:rsid w:val="00A70F49"/>
    <w:rsid w:val="00A72203"/>
    <w:rsid w:val="00A7281F"/>
    <w:rsid w:val="00A73949"/>
    <w:rsid w:val="00A7697E"/>
    <w:rsid w:val="00A76E20"/>
    <w:rsid w:val="00A8284E"/>
    <w:rsid w:val="00A870EE"/>
    <w:rsid w:val="00A91D91"/>
    <w:rsid w:val="00A96F81"/>
    <w:rsid w:val="00A9709D"/>
    <w:rsid w:val="00AA054E"/>
    <w:rsid w:val="00AA0A10"/>
    <w:rsid w:val="00AA2094"/>
    <w:rsid w:val="00AA2947"/>
    <w:rsid w:val="00AB1894"/>
    <w:rsid w:val="00AB22DF"/>
    <w:rsid w:val="00AB30EA"/>
    <w:rsid w:val="00AB458B"/>
    <w:rsid w:val="00AB45E4"/>
    <w:rsid w:val="00AB6157"/>
    <w:rsid w:val="00AB7542"/>
    <w:rsid w:val="00AC022D"/>
    <w:rsid w:val="00AC0629"/>
    <w:rsid w:val="00AC70C7"/>
    <w:rsid w:val="00AC79E0"/>
    <w:rsid w:val="00AD32CE"/>
    <w:rsid w:val="00AD5187"/>
    <w:rsid w:val="00AD6B11"/>
    <w:rsid w:val="00AD6B34"/>
    <w:rsid w:val="00AD6F90"/>
    <w:rsid w:val="00AE0286"/>
    <w:rsid w:val="00AE247F"/>
    <w:rsid w:val="00AE4A24"/>
    <w:rsid w:val="00AE4FC7"/>
    <w:rsid w:val="00AF01E3"/>
    <w:rsid w:val="00AF23AE"/>
    <w:rsid w:val="00AF2EF7"/>
    <w:rsid w:val="00AF3741"/>
    <w:rsid w:val="00AF3B5C"/>
    <w:rsid w:val="00B0014A"/>
    <w:rsid w:val="00B00B50"/>
    <w:rsid w:val="00B00DB2"/>
    <w:rsid w:val="00B016E3"/>
    <w:rsid w:val="00B02B0B"/>
    <w:rsid w:val="00B03817"/>
    <w:rsid w:val="00B04283"/>
    <w:rsid w:val="00B05BA8"/>
    <w:rsid w:val="00B0741D"/>
    <w:rsid w:val="00B07AD8"/>
    <w:rsid w:val="00B07B20"/>
    <w:rsid w:val="00B1081B"/>
    <w:rsid w:val="00B14F01"/>
    <w:rsid w:val="00B15525"/>
    <w:rsid w:val="00B15C0B"/>
    <w:rsid w:val="00B174BA"/>
    <w:rsid w:val="00B17AF3"/>
    <w:rsid w:val="00B223B5"/>
    <w:rsid w:val="00B229AD"/>
    <w:rsid w:val="00B237BC"/>
    <w:rsid w:val="00B26EBB"/>
    <w:rsid w:val="00B27499"/>
    <w:rsid w:val="00B335C4"/>
    <w:rsid w:val="00B3369E"/>
    <w:rsid w:val="00B33D9A"/>
    <w:rsid w:val="00B40D81"/>
    <w:rsid w:val="00B424F5"/>
    <w:rsid w:val="00B43167"/>
    <w:rsid w:val="00B435BE"/>
    <w:rsid w:val="00B43A9D"/>
    <w:rsid w:val="00B467B0"/>
    <w:rsid w:val="00B47F9B"/>
    <w:rsid w:val="00B50534"/>
    <w:rsid w:val="00B51FCB"/>
    <w:rsid w:val="00B5289B"/>
    <w:rsid w:val="00B52E10"/>
    <w:rsid w:val="00B5331D"/>
    <w:rsid w:val="00B543D6"/>
    <w:rsid w:val="00B556B0"/>
    <w:rsid w:val="00B57687"/>
    <w:rsid w:val="00B578E3"/>
    <w:rsid w:val="00B57CE5"/>
    <w:rsid w:val="00B648F2"/>
    <w:rsid w:val="00B655D1"/>
    <w:rsid w:val="00B73FF2"/>
    <w:rsid w:val="00B74CBA"/>
    <w:rsid w:val="00B74ED3"/>
    <w:rsid w:val="00B768CF"/>
    <w:rsid w:val="00B81A44"/>
    <w:rsid w:val="00B86BB5"/>
    <w:rsid w:val="00B91072"/>
    <w:rsid w:val="00B91B6E"/>
    <w:rsid w:val="00B94B2C"/>
    <w:rsid w:val="00B96F7D"/>
    <w:rsid w:val="00B970D0"/>
    <w:rsid w:val="00BA49F4"/>
    <w:rsid w:val="00BA5C41"/>
    <w:rsid w:val="00BA6ACA"/>
    <w:rsid w:val="00BA7232"/>
    <w:rsid w:val="00BA7809"/>
    <w:rsid w:val="00BB449C"/>
    <w:rsid w:val="00BB44D7"/>
    <w:rsid w:val="00BC2561"/>
    <w:rsid w:val="00BC3E3E"/>
    <w:rsid w:val="00BC422A"/>
    <w:rsid w:val="00BC5128"/>
    <w:rsid w:val="00BC5608"/>
    <w:rsid w:val="00BD04C9"/>
    <w:rsid w:val="00BD3536"/>
    <w:rsid w:val="00BD37FD"/>
    <w:rsid w:val="00BE225E"/>
    <w:rsid w:val="00BE237E"/>
    <w:rsid w:val="00BE3703"/>
    <w:rsid w:val="00BE567F"/>
    <w:rsid w:val="00BF0A29"/>
    <w:rsid w:val="00BF25CD"/>
    <w:rsid w:val="00BF5553"/>
    <w:rsid w:val="00BF75CD"/>
    <w:rsid w:val="00C00F1C"/>
    <w:rsid w:val="00C0346D"/>
    <w:rsid w:val="00C0358F"/>
    <w:rsid w:val="00C03BB0"/>
    <w:rsid w:val="00C041CF"/>
    <w:rsid w:val="00C0696A"/>
    <w:rsid w:val="00C12034"/>
    <w:rsid w:val="00C1396B"/>
    <w:rsid w:val="00C1698A"/>
    <w:rsid w:val="00C17E6C"/>
    <w:rsid w:val="00C249CC"/>
    <w:rsid w:val="00C24E5F"/>
    <w:rsid w:val="00C255B6"/>
    <w:rsid w:val="00C26F3A"/>
    <w:rsid w:val="00C2770B"/>
    <w:rsid w:val="00C30296"/>
    <w:rsid w:val="00C3170E"/>
    <w:rsid w:val="00C31947"/>
    <w:rsid w:val="00C40053"/>
    <w:rsid w:val="00C4294D"/>
    <w:rsid w:val="00C444C8"/>
    <w:rsid w:val="00C452DD"/>
    <w:rsid w:val="00C45856"/>
    <w:rsid w:val="00C46603"/>
    <w:rsid w:val="00C54316"/>
    <w:rsid w:val="00C55208"/>
    <w:rsid w:val="00C5527D"/>
    <w:rsid w:val="00C61B1A"/>
    <w:rsid w:val="00C62A53"/>
    <w:rsid w:val="00C73A70"/>
    <w:rsid w:val="00C76054"/>
    <w:rsid w:val="00C779A2"/>
    <w:rsid w:val="00C80546"/>
    <w:rsid w:val="00C81B36"/>
    <w:rsid w:val="00C83CAD"/>
    <w:rsid w:val="00C8419E"/>
    <w:rsid w:val="00C851D7"/>
    <w:rsid w:val="00C85C8B"/>
    <w:rsid w:val="00C867AD"/>
    <w:rsid w:val="00C87F9F"/>
    <w:rsid w:val="00C9545D"/>
    <w:rsid w:val="00C9625C"/>
    <w:rsid w:val="00C978C6"/>
    <w:rsid w:val="00C97F2A"/>
    <w:rsid w:val="00CA112D"/>
    <w:rsid w:val="00CA1F9F"/>
    <w:rsid w:val="00CA2179"/>
    <w:rsid w:val="00CA3D8A"/>
    <w:rsid w:val="00CB4B3E"/>
    <w:rsid w:val="00CB50EF"/>
    <w:rsid w:val="00CB623F"/>
    <w:rsid w:val="00CB791A"/>
    <w:rsid w:val="00CB7D1B"/>
    <w:rsid w:val="00CC11DF"/>
    <w:rsid w:val="00CC1A6E"/>
    <w:rsid w:val="00CC3F62"/>
    <w:rsid w:val="00CC536E"/>
    <w:rsid w:val="00CC59DD"/>
    <w:rsid w:val="00CC7FC6"/>
    <w:rsid w:val="00CD47B2"/>
    <w:rsid w:val="00CD5AFD"/>
    <w:rsid w:val="00CD74EB"/>
    <w:rsid w:val="00CE49F8"/>
    <w:rsid w:val="00CE4E1E"/>
    <w:rsid w:val="00CE66B5"/>
    <w:rsid w:val="00CF52DF"/>
    <w:rsid w:val="00CF5832"/>
    <w:rsid w:val="00CF5911"/>
    <w:rsid w:val="00CF7221"/>
    <w:rsid w:val="00CF724E"/>
    <w:rsid w:val="00D059F5"/>
    <w:rsid w:val="00D117F5"/>
    <w:rsid w:val="00D13661"/>
    <w:rsid w:val="00D142BD"/>
    <w:rsid w:val="00D146DE"/>
    <w:rsid w:val="00D17407"/>
    <w:rsid w:val="00D17FEC"/>
    <w:rsid w:val="00D200E7"/>
    <w:rsid w:val="00D21427"/>
    <w:rsid w:val="00D22164"/>
    <w:rsid w:val="00D22B86"/>
    <w:rsid w:val="00D22F2F"/>
    <w:rsid w:val="00D24194"/>
    <w:rsid w:val="00D2460F"/>
    <w:rsid w:val="00D2590F"/>
    <w:rsid w:val="00D27150"/>
    <w:rsid w:val="00D27EB3"/>
    <w:rsid w:val="00D35E02"/>
    <w:rsid w:val="00D41425"/>
    <w:rsid w:val="00D46275"/>
    <w:rsid w:val="00D467CA"/>
    <w:rsid w:val="00D4759B"/>
    <w:rsid w:val="00D500A4"/>
    <w:rsid w:val="00D51205"/>
    <w:rsid w:val="00D516FC"/>
    <w:rsid w:val="00D51F2D"/>
    <w:rsid w:val="00D535EE"/>
    <w:rsid w:val="00D5365A"/>
    <w:rsid w:val="00D54FC4"/>
    <w:rsid w:val="00D574C1"/>
    <w:rsid w:val="00D57615"/>
    <w:rsid w:val="00D577C9"/>
    <w:rsid w:val="00D606B7"/>
    <w:rsid w:val="00D61A94"/>
    <w:rsid w:val="00D62282"/>
    <w:rsid w:val="00D6356C"/>
    <w:rsid w:val="00D64A32"/>
    <w:rsid w:val="00D6553A"/>
    <w:rsid w:val="00D657CA"/>
    <w:rsid w:val="00D73338"/>
    <w:rsid w:val="00D775F3"/>
    <w:rsid w:val="00D77868"/>
    <w:rsid w:val="00D77F25"/>
    <w:rsid w:val="00D84C2A"/>
    <w:rsid w:val="00D9064B"/>
    <w:rsid w:val="00D978C6"/>
    <w:rsid w:val="00DA03F6"/>
    <w:rsid w:val="00DA134A"/>
    <w:rsid w:val="00DA1A2E"/>
    <w:rsid w:val="00DA3413"/>
    <w:rsid w:val="00DA426E"/>
    <w:rsid w:val="00DA4339"/>
    <w:rsid w:val="00DA4B1B"/>
    <w:rsid w:val="00DA4EFC"/>
    <w:rsid w:val="00DA648D"/>
    <w:rsid w:val="00DA726D"/>
    <w:rsid w:val="00DB40BD"/>
    <w:rsid w:val="00DB4B8E"/>
    <w:rsid w:val="00DB4F4B"/>
    <w:rsid w:val="00DC070F"/>
    <w:rsid w:val="00DC3858"/>
    <w:rsid w:val="00DC3A57"/>
    <w:rsid w:val="00DC7A95"/>
    <w:rsid w:val="00DD55C2"/>
    <w:rsid w:val="00DD759E"/>
    <w:rsid w:val="00DE314E"/>
    <w:rsid w:val="00DE4CFB"/>
    <w:rsid w:val="00DF045B"/>
    <w:rsid w:val="00DF1ED8"/>
    <w:rsid w:val="00DF3785"/>
    <w:rsid w:val="00DF3D27"/>
    <w:rsid w:val="00DF6074"/>
    <w:rsid w:val="00E02239"/>
    <w:rsid w:val="00E047EC"/>
    <w:rsid w:val="00E07D42"/>
    <w:rsid w:val="00E163E9"/>
    <w:rsid w:val="00E240F5"/>
    <w:rsid w:val="00E30004"/>
    <w:rsid w:val="00E333AC"/>
    <w:rsid w:val="00E3456B"/>
    <w:rsid w:val="00E35C16"/>
    <w:rsid w:val="00E36085"/>
    <w:rsid w:val="00E36813"/>
    <w:rsid w:val="00E42382"/>
    <w:rsid w:val="00E603DF"/>
    <w:rsid w:val="00E63745"/>
    <w:rsid w:val="00E6699F"/>
    <w:rsid w:val="00E67B40"/>
    <w:rsid w:val="00E703AE"/>
    <w:rsid w:val="00E72373"/>
    <w:rsid w:val="00E76AF9"/>
    <w:rsid w:val="00E84EF0"/>
    <w:rsid w:val="00E8649C"/>
    <w:rsid w:val="00E87886"/>
    <w:rsid w:val="00E87CDE"/>
    <w:rsid w:val="00E91FC1"/>
    <w:rsid w:val="00E92D54"/>
    <w:rsid w:val="00E9323C"/>
    <w:rsid w:val="00E95FD8"/>
    <w:rsid w:val="00EA0283"/>
    <w:rsid w:val="00EA344D"/>
    <w:rsid w:val="00EA5DE1"/>
    <w:rsid w:val="00EB0C86"/>
    <w:rsid w:val="00EB0E16"/>
    <w:rsid w:val="00EB236F"/>
    <w:rsid w:val="00EB237E"/>
    <w:rsid w:val="00EC1546"/>
    <w:rsid w:val="00EC5B23"/>
    <w:rsid w:val="00EC5DED"/>
    <w:rsid w:val="00EC66BF"/>
    <w:rsid w:val="00EC6BD8"/>
    <w:rsid w:val="00ED0356"/>
    <w:rsid w:val="00ED0D71"/>
    <w:rsid w:val="00ED3DCD"/>
    <w:rsid w:val="00ED3DD5"/>
    <w:rsid w:val="00ED56BE"/>
    <w:rsid w:val="00ED74D7"/>
    <w:rsid w:val="00EE40F8"/>
    <w:rsid w:val="00EE6DD6"/>
    <w:rsid w:val="00EF0867"/>
    <w:rsid w:val="00EF1A10"/>
    <w:rsid w:val="00EF1A9F"/>
    <w:rsid w:val="00EF1B27"/>
    <w:rsid w:val="00EF4370"/>
    <w:rsid w:val="00EF5AD7"/>
    <w:rsid w:val="00F03FA7"/>
    <w:rsid w:val="00F048EF"/>
    <w:rsid w:val="00F06AAD"/>
    <w:rsid w:val="00F146BE"/>
    <w:rsid w:val="00F22013"/>
    <w:rsid w:val="00F22356"/>
    <w:rsid w:val="00F226E0"/>
    <w:rsid w:val="00F2522F"/>
    <w:rsid w:val="00F30180"/>
    <w:rsid w:val="00F31A29"/>
    <w:rsid w:val="00F3279A"/>
    <w:rsid w:val="00F37236"/>
    <w:rsid w:val="00F44634"/>
    <w:rsid w:val="00F505EC"/>
    <w:rsid w:val="00F5088F"/>
    <w:rsid w:val="00F51657"/>
    <w:rsid w:val="00F5223C"/>
    <w:rsid w:val="00F57787"/>
    <w:rsid w:val="00F61E82"/>
    <w:rsid w:val="00F6243A"/>
    <w:rsid w:val="00F63323"/>
    <w:rsid w:val="00F636FE"/>
    <w:rsid w:val="00F648B2"/>
    <w:rsid w:val="00F67EBD"/>
    <w:rsid w:val="00F70EA4"/>
    <w:rsid w:val="00F77851"/>
    <w:rsid w:val="00F80FAB"/>
    <w:rsid w:val="00F81E3B"/>
    <w:rsid w:val="00F827E1"/>
    <w:rsid w:val="00F927B5"/>
    <w:rsid w:val="00F94BD0"/>
    <w:rsid w:val="00F95403"/>
    <w:rsid w:val="00F96705"/>
    <w:rsid w:val="00F96750"/>
    <w:rsid w:val="00F9704D"/>
    <w:rsid w:val="00FA0166"/>
    <w:rsid w:val="00FA2400"/>
    <w:rsid w:val="00FA33E9"/>
    <w:rsid w:val="00FA55C8"/>
    <w:rsid w:val="00FA74C6"/>
    <w:rsid w:val="00FB24ED"/>
    <w:rsid w:val="00FB29AF"/>
    <w:rsid w:val="00FB313D"/>
    <w:rsid w:val="00FB4003"/>
    <w:rsid w:val="00FB4EBA"/>
    <w:rsid w:val="00FB7086"/>
    <w:rsid w:val="00FC6733"/>
    <w:rsid w:val="00FD2677"/>
    <w:rsid w:val="00FD28B8"/>
    <w:rsid w:val="00FE0BD8"/>
    <w:rsid w:val="00FE1709"/>
    <w:rsid w:val="00FE1FC9"/>
    <w:rsid w:val="00FE7B44"/>
    <w:rsid w:val="00FF32DE"/>
    <w:rsid w:val="00FF4205"/>
    <w:rsid w:val="00FF5858"/>
    <w:rsid w:val="00FF693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AB6E44"/>
  <w15:docId w15:val="{623B9E68-3536-4AAD-8A38-AE12768B4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169"/>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qFormat/>
    <w:rsid w:val="00FE0BD8"/>
    <w:pPr>
      <w:keepNext/>
      <w:keepLines/>
      <w:numPr>
        <w:numId w:val="3"/>
      </w:numPr>
      <w:spacing w:before="32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nhideWhenUsed/>
    <w:qFormat/>
    <w:rsid w:val="003C167E"/>
    <w:pPr>
      <w:keepNext/>
      <w:keepLines/>
      <w:numPr>
        <w:ilvl w:val="1"/>
        <w:numId w:val="3"/>
      </w:numPr>
      <w:spacing w:before="320"/>
      <w:outlineLvl w:val="1"/>
    </w:pPr>
    <w:rPr>
      <w:rFonts w:asciiTheme="majorHAnsi" w:eastAsiaTheme="majorEastAsia" w:hAnsiTheme="majorHAnsi" w:cstheme="majorBidi"/>
      <w:b/>
      <w:sz w:val="28"/>
      <w:szCs w:val="28"/>
    </w:rPr>
  </w:style>
  <w:style w:type="paragraph" w:styleId="Heading3">
    <w:name w:val="heading 3"/>
    <w:basedOn w:val="Normal"/>
    <w:next w:val="Normal"/>
    <w:link w:val="Heading3Char"/>
    <w:unhideWhenUsed/>
    <w:qFormat/>
    <w:rsid w:val="00020300"/>
    <w:pPr>
      <w:keepNext/>
      <w:keepLines/>
      <w:numPr>
        <w:ilvl w:val="2"/>
        <w:numId w:val="3"/>
      </w:numPr>
      <w:spacing w:before="320"/>
      <w:outlineLvl w:val="2"/>
    </w:pPr>
    <w:rPr>
      <w:rFonts w:asciiTheme="majorHAnsi" w:eastAsiaTheme="majorEastAsia" w:hAnsiTheme="majorHAnsi" w:cstheme="majorBidi"/>
    </w:rPr>
  </w:style>
  <w:style w:type="paragraph" w:styleId="Heading4">
    <w:name w:val="heading 4"/>
    <w:basedOn w:val="Normal"/>
    <w:next w:val="Normal"/>
    <w:link w:val="Heading4Char"/>
    <w:unhideWhenUsed/>
    <w:qFormat/>
    <w:rsid w:val="00020300"/>
    <w:pPr>
      <w:keepNext/>
      <w:keepLines/>
      <w:numPr>
        <w:ilvl w:val="3"/>
        <w:numId w:val="3"/>
      </w:numPr>
      <w:spacing w:before="320"/>
      <w:ind w:left="862" w:hanging="862"/>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7E7997"/>
    <w:pPr>
      <w:keepNext/>
      <w:keepLines/>
      <w:numPr>
        <w:numId w:val="4"/>
      </w:numPr>
      <w:spacing w:before="40"/>
      <w:outlineLvl w:val="4"/>
    </w:pPr>
    <w:rPr>
      <w:rFonts w:asciiTheme="majorHAnsi" w:eastAsiaTheme="majorEastAsia" w:hAnsiTheme="majorHAnsi" w:cstheme="majorBidi"/>
      <w:szCs w:val="22"/>
    </w:rPr>
  </w:style>
  <w:style w:type="paragraph" w:styleId="Heading6">
    <w:name w:val="heading 6"/>
    <w:basedOn w:val="Normal"/>
    <w:next w:val="Normal"/>
    <w:link w:val="Heading6Char"/>
    <w:unhideWhenUsed/>
    <w:qFormat/>
    <w:rsid w:val="00AA054E"/>
    <w:pPr>
      <w:keepNext/>
      <w:keepLines/>
      <w:numPr>
        <w:ilvl w:val="5"/>
        <w:numId w:val="3"/>
      </w:numPr>
      <w:spacing w:before="4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nhideWhenUsed/>
    <w:qFormat/>
    <w:rsid w:val="00AA054E"/>
    <w:pPr>
      <w:keepNext/>
      <w:keepLines/>
      <w:numPr>
        <w:ilvl w:val="6"/>
        <w:numId w:val="3"/>
      </w:numPr>
      <w:spacing w:before="4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nhideWhenUsed/>
    <w:qFormat/>
    <w:rsid w:val="00AA054E"/>
    <w:pPr>
      <w:keepNext/>
      <w:keepLines/>
      <w:numPr>
        <w:ilvl w:val="7"/>
        <w:numId w:val="3"/>
      </w:numPr>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nhideWhenUsed/>
    <w:qFormat/>
    <w:rsid w:val="00AA054E"/>
    <w:pPr>
      <w:keepNext/>
      <w:keepLines/>
      <w:numPr>
        <w:ilvl w:val="8"/>
        <w:numId w:val="3"/>
      </w:numPr>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6B12"/>
    <w:pPr>
      <w:spacing w:after="0" w:line="240" w:lineRule="auto"/>
    </w:pPr>
    <w:rPr>
      <w:lang w:val="en-GB"/>
    </w:rPr>
  </w:style>
  <w:style w:type="character" w:customStyle="1" w:styleId="Heading4Char">
    <w:name w:val="Heading 4 Char"/>
    <w:basedOn w:val="DefaultParagraphFont"/>
    <w:link w:val="Heading4"/>
    <w:rsid w:val="00020300"/>
    <w:rPr>
      <w:rFonts w:asciiTheme="majorHAnsi" w:eastAsiaTheme="majorEastAsia" w:hAnsiTheme="majorHAnsi" w:cstheme="majorBidi"/>
      <w:sz w:val="24"/>
      <w:szCs w:val="22"/>
      <w:lang w:val="en-GB" w:eastAsia="en-GB"/>
    </w:rPr>
  </w:style>
  <w:style w:type="character" w:customStyle="1" w:styleId="Heading3Char">
    <w:name w:val="Heading 3 Char"/>
    <w:basedOn w:val="DefaultParagraphFont"/>
    <w:link w:val="Heading3"/>
    <w:rsid w:val="00020300"/>
    <w:rPr>
      <w:rFonts w:asciiTheme="majorHAnsi" w:eastAsiaTheme="majorEastAsia" w:hAnsiTheme="majorHAnsi" w:cstheme="majorBidi"/>
      <w:sz w:val="24"/>
      <w:szCs w:val="24"/>
      <w:lang w:val="en-GB" w:eastAsia="en-GB"/>
    </w:rPr>
  </w:style>
  <w:style w:type="character" w:customStyle="1" w:styleId="Heading1Char">
    <w:name w:val="Heading 1 Char"/>
    <w:basedOn w:val="DefaultParagraphFont"/>
    <w:link w:val="Heading1"/>
    <w:rsid w:val="00FE0BD8"/>
    <w:rPr>
      <w:rFonts w:asciiTheme="majorHAnsi" w:eastAsiaTheme="majorEastAsia" w:hAnsiTheme="majorHAnsi" w:cstheme="majorBidi"/>
      <w:b/>
      <w:sz w:val="32"/>
      <w:szCs w:val="32"/>
      <w:lang w:val="en-GB" w:eastAsia="en-GB"/>
    </w:rPr>
  </w:style>
  <w:style w:type="character" w:customStyle="1" w:styleId="Heading2Char">
    <w:name w:val="Heading 2 Char"/>
    <w:basedOn w:val="DefaultParagraphFont"/>
    <w:link w:val="Heading2"/>
    <w:rsid w:val="003C167E"/>
    <w:rPr>
      <w:rFonts w:asciiTheme="majorHAnsi" w:eastAsiaTheme="majorEastAsia" w:hAnsiTheme="majorHAnsi" w:cstheme="majorBidi"/>
      <w:b/>
      <w:sz w:val="28"/>
      <w:szCs w:val="28"/>
      <w:lang w:val="en-GB" w:eastAsia="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autoRedefine/>
    <w:rsid w:val="002574D1"/>
    <w:pPr>
      <w:numPr>
        <w:numId w:val="2"/>
      </w:numPr>
    </w:pPr>
    <w:rPr>
      <w:b/>
      <w:sz w:val="28"/>
    </w:rPr>
  </w:style>
  <w:style w:type="character" w:customStyle="1" w:styleId="Title1Char">
    <w:name w:val="Title 1 Char"/>
    <w:basedOn w:val="DefaultParagraphFont"/>
    <w:link w:val="Title1"/>
    <w:rsid w:val="003C4EB5"/>
    <w:rPr>
      <w:rFonts w:eastAsiaTheme="majorEastAsia" w:cstheme="minorHAnsi"/>
      <w:b/>
      <w:sz w:val="28"/>
      <w:szCs w:val="22"/>
      <w:lang w:val="en-GB" w:eastAsia="en-GB"/>
    </w:rPr>
  </w:style>
  <w:style w:type="paragraph" w:styleId="ListParagraph">
    <w:name w:val="List Paragraph"/>
    <w:aliases w:val="Paragraphe EI,Paragraphe de liste1,EC,Paragraphe de liste,Normal Nivel 1,List Paragraph Main,List first level,List Paragraph_Sections"/>
    <w:basedOn w:val="Normal"/>
    <w:link w:val="ListParagraphChar"/>
    <w:autoRedefine/>
    <w:uiPriority w:val="34"/>
    <w:qFormat/>
    <w:rsid w:val="00695AF2"/>
    <w:pPr>
      <w:numPr>
        <w:numId w:val="8"/>
      </w:numPr>
      <w:tabs>
        <w:tab w:val="left" w:pos="0"/>
        <w:tab w:val="left" w:pos="142"/>
        <w:tab w:val="left" w:pos="284"/>
        <w:tab w:val="left" w:pos="567"/>
      </w:tabs>
      <w:autoSpaceDE w:val="0"/>
      <w:autoSpaceDN w:val="0"/>
      <w:adjustRightInd w:val="0"/>
      <w:spacing w:line="264" w:lineRule="auto"/>
      <w:jc w:val="both"/>
    </w:pPr>
    <w:rPr>
      <w:rFonts w:asciiTheme="minorHAnsi" w:eastAsiaTheme="majorEastAsia" w:hAnsiTheme="minorHAnsi" w:cstheme="minorHAnsi"/>
      <w:sz w:val="22"/>
      <w:szCs w:val="22"/>
    </w:rPr>
  </w:style>
  <w:style w:type="paragraph" w:customStyle="1" w:styleId="Title3">
    <w:name w:val="Title 3"/>
    <w:basedOn w:val="ListParagraph"/>
    <w:link w:val="Title3Char"/>
    <w:autoRedefine/>
    <w:rsid w:val="002574D1"/>
    <w:pPr>
      <w:numPr>
        <w:ilvl w:val="3"/>
        <w:numId w:val="2"/>
      </w:numPr>
    </w:pPr>
  </w:style>
  <w:style w:type="character" w:customStyle="1" w:styleId="Title3Char">
    <w:name w:val="Title 3 Char"/>
    <w:basedOn w:val="DefaultParagraphFont"/>
    <w:link w:val="Title3"/>
    <w:rsid w:val="003C4EB5"/>
    <w:rPr>
      <w:rFonts w:eastAsiaTheme="majorEastAsia" w:cstheme="minorHAnsi"/>
      <w:sz w:val="22"/>
      <w:szCs w:val="22"/>
      <w:lang w:val="en-GB" w:eastAsia="en-GB"/>
    </w:rPr>
  </w:style>
  <w:style w:type="paragraph" w:customStyle="1" w:styleId="Title2">
    <w:name w:val="Title 2"/>
    <w:basedOn w:val="Title1"/>
    <w:link w:val="Title2Char"/>
    <w:autoRedefine/>
    <w:rsid w:val="002574D1"/>
    <w:pPr>
      <w:numPr>
        <w:ilvl w:val="1"/>
        <w:numId w:val="1"/>
      </w:numPr>
      <w:ind w:left="0" w:firstLine="0"/>
    </w:pPr>
  </w:style>
  <w:style w:type="character" w:customStyle="1" w:styleId="Title2Char">
    <w:name w:val="Title 2 Char"/>
    <w:basedOn w:val="Title1Char"/>
    <w:link w:val="Title2"/>
    <w:rsid w:val="002574D1"/>
    <w:rPr>
      <w:rFonts w:eastAsiaTheme="majorEastAsia" w:cstheme="minorHAnsi"/>
      <w:b/>
      <w:sz w:val="28"/>
      <w:szCs w:val="22"/>
      <w:lang w:val="en-GB" w:eastAsia="en-GB"/>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rFonts w:asciiTheme="majorHAnsi" w:eastAsiaTheme="majorEastAsia" w:hAnsiTheme="majorHAnsi" w:cstheme="majorBidi"/>
      <w:sz w:val="22"/>
      <w:szCs w:val="22"/>
      <w:lang w:val="fr-BE" w:eastAsia="en-GB"/>
    </w:rPr>
  </w:style>
  <w:style w:type="paragraph" w:customStyle="1" w:styleId="DocumentTitle">
    <w:name w:val="Document Title"/>
    <w:basedOn w:val="Normal"/>
    <w:link w:val="DocumentTitleChar"/>
    <w:autoRedefine/>
    <w:rsid w:val="003C4EB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DefaultParagraphFont"/>
    <w:link w:val="DocumentTitle"/>
    <w:rsid w:val="003C4EB5"/>
    <w:rPr>
      <w:rFonts w:asciiTheme="majorHAnsi" w:hAnsiTheme="majorHAnsi" w:cs="Times New Roman"/>
      <w:b/>
      <w:color w:val="2D4190"/>
      <w:sz w:val="48"/>
      <w:szCs w:val="24"/>
      <w:lang w:val="en-GB" w:eastAsia="de-DE"/>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rPr>
      <w:rFonts w:asciiTheme="majorHAnsi" w:hAnsiTheme="majorHAnsi"/>
      <w:b/>
      <w:sz w:val="28"/>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hAnsiTheme="majorHAnsi"/>
      <w:b/>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b/>
      <w:sz w:val="28"/>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character" w:customStyle="1" w:styleId="Heading5Char">
    <w:name w:val="Heading 5 Char"/>
    <w:basedOn w:val="DefaultParagraphFont"/>
    <w:link w:val="Heading5"/>
    <w:uiPriority w:val="9"/>
    <w:rsid w:val="007E7997"/>
    <w:rPr>
      <w:rFonts w:asciiTheme="majorHAnsi" w:eastAsiaTheme="majorEastAsia" w:hAnsiTheme="majorHAnsi" w:cstheme="majorBidi"/>
      <w:sz w:val="24"/>
      <w:szCs w:val="22"/>
      <w:lang w:val="en-GB" w:eastAsia="en-GB"/>
    </w:rPr>
  </w:style>
  <w:style w:type="paragraph" w:styleId="BodyText">
    <w:name w:val="Body Text"/>
    <w:basedOn w:val="Normal"/>
    <w:link w:val="BodyTextChar"/>
    <w:uiPriority w:val="99"/>
    <w:semiHidden/>
    <w:unhideWhenUsed/>
    <w:rsid w:val="00044C5A"/>
  </w:style>
  <w:style w:type="character" w:customStyle="1" w:styleId="BodyTextChar">
    <w:name w:val="Body Text Char"/>
    <w:basedOn w:val="DefaultParagraphFont"/>
    <w:link w:val="BodyText"/>
    <w:uiPriority w:val="99"/>
    <w:semiHidden/>
    <w:rsid w:val="00044C5A"/>
    <w:rPr>
      <w:rFonts w:ascii="Arial" w:eastAsiaTheme="minorEastAsia" w:hAnsi="Arial"/>
    </w:rPr>
  </w:style>
  <w:style w:type="paragraph" w:styleId="BodyTextFirstIndent">
    <w:name w:val="Body Text First Indent"/>
    <w:basedOn w:val="BodyText"/>
    <w:link w:val="BodyTextFirstIndentChar"/>
    <w:uiPriority w:val="99"/>
    <w:semiHidden/>
    <w:unhideWhenUsed/>
    <w:rsid w:val="00044C5A"/>
    <w:pPr>
      <w:ind w:firstLine="360"/>
    </w:pPr>
  </w:style>
  <w:style w:type="character" w:customStyle="1" w:styleId="BodyTextFirstIndentChar">
    <w:name w:val="Body Text First Indent Char"/>
    <w:basedOn w:val="BodyTextChar"/>
    <w:link w:val="BodyTextFirstIndent"/>
    <w:uiPriority w:val="99"/>
    <w:semiHidden/>
    <w:rsid w:val="00044C5A"/>
    <w:rPr>
      <w:rFonts w:ascii="Arial" w:eastAsiaTheme="minorEastAsia" w:hAnsi="Arial"/>
    </w:rPr>
  </w:style>
  <w:style w:type="character" w:customStyle="1" w:styleId="Heading6Char">
    <w:name w:val="Heading 6 Char"/>
    <w:basedOn w:val="DefaultParagraphFont"/>
    <w:link w:val="Heading6"/>
    <w:rsid w:val="00AA054E"/>
    <w:rPr>
      <w:rFonts w:asciiTheme="majorHAnsi" w:eastAsiaTheme="majorEastAsia" w:hAnsiTheme="majorHAnsi" w:cstheme="majorBidi"/>
      <w:i/>
      <w:iCs/>
      <w:color w:val="44546A" w:themeColor="text2"/>
      <w:sz w:val="21"/>
      <w:szCs w:val="21"/>
      <w:lang w:val="en-GB" w:eastAsia="en-GB"/>
    </w:rPr>
  </w:style>
  <w:style w:type="paragraph" w:styleId="Title">
    <w:name w:val="Title"/>
    <w:basedOn w:val="Normal"/>
    <w:next w:val="Normal"/>
    <w:link w:val="TitleChar"/>
    <w:uiPriority w:val="10"/>
    <w:qFormat/>
    <w:rsid w:val="008F4642"/>
    <w:pPr>
      <w:contextualSpacing/>
    </w:pPr>
    <w:rPr>
      <w:rFonts w:asciiTheme="majorHAnsi" w:eastAsiaTheme="majorEastAsia" w:hAnsiTheme="majorHAnsi" w:cstheme="majorBidi"/>
      <w:b/>
      <w:color w:val="2F5496" w:themeColor="accent5" w:themeShade="BF"/>
      <w:spacing w:val="-10"/>
      <w:sz w:val="56"/>
      <w:szCs w:val="56"/>
    </w:rPr>
  </w:style>
  <w:style w:type="character" w:customStyle="1" w:styleId="TitleChar">
    <w:name w:val="Title Char"/>
    <w:basedOn w:val="DefaultParagraphFont"/>
    <w:link w:val="Title"/>
    <w:uiPriority w:val="10"/>
    <w:rsid w:val="008F4642"/>
    <w:rPr>
      <w:rFonts w:asciiTheme="majorHAnsi" w:eastAsiaTheme="majorEastAsia" w:hAnsiTheme="majorHAnsi" w:cstheme="majorBidi"/>
      <w:b/>
      <w:color w:val="2F5496" w:themeColor="accent5" w:themeShade="BF"/>
      <w:spacing w:val="-10"/>
      <w:sz w:val="56"/>
      <w:szCs w:val="56"/>
      <w:lang w:val="en-GB"/>
    </w:rPr>
  </w:style>
  <w:style w:type="paragraph" w:styleId="Subtitle">
    <w:name w:val="Subtitle"/>
    <w:basedOn w:val="Normal"/>
    <w:next w:val="Normal"/>
    <w:link w:val="SubtitleChar"/>
    <w:uiPriority w:val="11"/>
    <w:qFormat/>
    <w:rsid w:val="00366D42"/>
    <w:pPr>
      <w:numPr>
        <w:ilvl w:val="1"/>
      </w:numPr>
    </w:pPr>
    <w:rPr>
      <w:rFonts w:asciiTheme="majorHAnsi" w:eastAsiaTheme="majorEastAsia" w:hAnsiTheme="majorHAnsi" w:cstheme="majorBidi"/>
      <w:b/>
      <w:sz w:val="28"/>
    </w:rPr>
  </w:style>
  <w:style w:type="character" w:customStyle="1" w:styleId="SubtitleChar">
    <w:name w:val="Subtitle Char"/>
    <w:basedOn w:val="DefaultParagraphFont"/>
    <w:link w:val="Subtitle"/>
    <w:uiPriority w:val="11"/>
    <w:rsid w:val="00366D42"/>
    <w:rPr>
      <w:rFonts w:asciiTheme="majorHAnsi" w:eastAsiaTheme="majorEastAsia" w:hAnsiTheme="majorHAnsi" w:cstheme="majorBidi"/>
      <w:b/>
      <w:sz w:val="28"/>
      <w:szCs w:val="24"/>
      <w:lang w:val="en-GB"/>
    </w:rPr>
  </w:style>
  <w:style w:type="character" w:customStyle="1" w:styleId="Heading7Char">
    <w:name w:val="Heading 7 Char"/>
    <w:basedOn w:val="DefaultParagraphFont"/>
    <w:link w:val="Heading7"/>
    <w:rsid w:val="00AA054E"/>
    <w:rPr>
      <w:rFonts w:asciiTheme="majorHAnsi" w:eastAsiaTheme="majorEastAsia" w:hAnsiTheme="majorHAnsi" w:cstheme="majorBidi"/>
      <w:i/>
      <w:iCs/>
      <w:color w:val="1F4E79" w:themeColor="accent1" w:themeShade="80"/>
      <w:sz w:val="21"/>
      <w:szCs w:val="21"/>
      <w:lang w:val="en-GB" w:eastAsia="en-GB"/>
    </w:rPr>
  </w:style>
  <w:style w:type="character" w:customStyle="1" w:styleId="Heading8Char">
    <w:name w:val="Heading 8 Char"/>
    <w:basedOn w:val="DefaultParagraphFont"/>
    <w:link w:val="Heading8"/>
    <w:rsid w:val="00AA054E"/>
    <w:rPr>
      <w:rFonts w:asciiTheme="majorHAnsi" w:eastAsiaTheme="majorEastAsia" w:hAnsiTheme="majorHAnsi" w:cstheme="majorBidi"/>
      <w:b/>
      <w:bCs/>
      <w:color w:val="44546A" w:themeColor="text2"/>
      <w:sz w:val="24"/>
      <w:szCs w:val="24"/>
      <w:lang w:val="en-GB" w:eastAsia="en-GB"/>
    </w:rPr>
  </w:style>
  <w:style w:type="character" w:customStyle="1" w:styleId="Heading9Char">
    <w:name w:val="Heading 9 Char"/>
    <w:basedOn w:val="DefaultParagraphFont"/>
    <w:link w:val="Heading9"/>
    <w:rsid w:val="00AA054E"/>
    <w:rPr>
      <w:rFonts w:asciiTheme="majorHAnsi" w:eastAsiaTheme="majorEastAsia" w:hAnsiTheme="majorHAnsi" w:cstheme="majorBidi"/>
      <w:b/>
      <w:bCs/>
      <w:i/>
      <w:iCs/>
      <w:color w:val="44546A" w:themeColor="text2"/>
      <w:sz w:val="24"/>
      <w:szCs w:val="24"/>
      <w:lang w:val="en-GB" w:eastAsia="en-GB"/>
    </w:rPr>
  </w:style>
  <w:style w:type="paragraph" w:styleId="Caption">
    <w:name w:val="caption"/>
    <w:basedOn w:val="Normal"/>
    <w:next w:val="Normal"/>
    <w:uiPriority w:val="35"/>
    <w:semiHidden/>
    <w:unhideWhenUsed/>
    <w:qFormat/>
    <w:rsid w:val="00AA054E"/>
    <w:rPr>
      <w:b/>
      <w:bCs/>
      <w:smallCaps/>
      <w:color w:val="595959" w:themeColor="text1" w:themeTint="A6"/>
      <w:spacing w:val="6"/>
    </w:rPr>
  </w:style>
  <w:style w:type="character" w:styleId="Strong">
    <w:name w:val="Strong"/>
    <w:basedOn w:val="DefaultParagraphFont"/>
    <w:uiPriority w:val="22"/>
    <w:qFormat/>
    <w:rsid w:val="00AA054E"/>
    <w:rPr>
      <w:b/>
      <w:bCs/>
    </w:rPr>
  </w:style>
  <w:style w:type="character" w:styleId="Emphasis">
    <w:name w:val="Emphasis"/>
    <w:basedOn w:val="DefaultParagraphFont"/>
    <w:uiPriority w:val="20"/>
    <w:qFormat/>
    <w:rsid w:val="00AA054E"/>
    <w:rPr>
      <w:i/>
      <w:iCs/>
    </w:rPr>
  </w:style>
  <w:style w:type="paragraph" w:styleId="Quote">
    <w:name w:val="Quote"/>
    <w:basedOn w:val="Normal"/>
    <w:next w:val="Normal"/>
    <w:link w:val="QuoteChar"/>
    <w:uiPriority w:val="29"/>
    <w:qFormat/>
    <w:rsid w:val="00AA054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A054E"/>
    <w:rPr>
      <w:i/>
      <w:iCs/>
      <w:color w:val="404040" w:themeColor="text1" w:themeTint="BF"/>
    </w:rPr>
  </w:style>
  <w:style w:type="paragraph" w:styleId="IntenseQuote">
    <w:name w:val="Intense Quote"/>
    <w:basedOn w:val="Normal"/>
    <w:next w:val="Normal"/>
    <w:link w:val="IntenseQuoteChar"/>
    <w:uiPriority w:val="30"/>
    <w:qFormat/>
    <w:rsid w:val="00AA054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AA054E"/>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287C8F"/>
    <w:rPr>
      <w:rFonts w:asciiTheme="majorHAnsi" w:hAnsiTheme="majorHAnsi"/>
      <w:i/>
      <w:iCs/>
      <w:color w:val="auto"/>
      <w:sz w:val="22"/>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iPriority w:val="39"/>
    <w:unhideWhenUsed/>
    <w:qFormat/>
    <w:rsid w:val="00AA054E"/>
    <w:pPr>
      <w:outlineLvl w:val="9"/>
    </w:pPr>
  </w:style>
  <w:style w:type="character" w:customStyle="1" w:styleId="NoSpacingChar">
    <w:name w:val="No Spacing Char"/>
    <w:basedOn w:val="DefaultParagraphFont"/>
    <w:link w:val="NoSpacing"/>
    <w:uiPriority w:val="1"/>
    <w:rsid w:val="005B6B12"/>
    <w:rPr>
      <w:lang w:val="en-GB"/>
    </w:rPr>
  </w:style>
  <w:style w:type="paragraph" w:styleId="Header">
    <w:name w:val="header"/>
    <w:basedOn w:val="Normal"/>
    <w:link w:val="HeaderChar"/>
    <w:unhideWhenUsed/>
    <w:rsid w:val="007E7997"/>
    <w:pPr>
      <w:tabs>
        <w:tab w:val="center" w:pos="4536"/>
        <w:tab w:val="right" w:pos="9072"/>
      </w:tabs>
    </w:pPr>
  </w:style>
  <w:style w:type="character" w:customStyle="1" w:styleId="HeaderChar">
    <w:name w:val="Header Char"/>
    <w:basedOn w:val="DefaultParagraphFont"/>
    <w:link w:val="Header"/>
    <w:uiPriority w:val="99"/>
    <w:rsid w:val="007E7997"/>
    <w:rPr>
      <w:sz w:val="22"/>
    </w:rPr>
  </w:style>
  <w:style w:type="paragraph" w:styleId="Footer">
    <w:name w:val="footer"/>
    <w:basedOn w:val="Normal"/>
    <w:link w:val="FooterChar"/>
    <w:uiPriority w:val="99"/>
    <w:unhideWhenUsed/>
    <w:rsid w:val="007E7997"/>
    <w:pPr>
      <w:tabs>
        <w:tab w:val="center" w:pos="4536"/>
        <w:tab w:val="right" w:pos="9072"/>
      </w:tabs>
    </w:pPr>
  </w:style>
  <w:style w:type="character" w:customStyle="1" w:styleId="FooterChar">
    <w:name w:val="Footer Char"/>
    <w:basedOn w:val="DefaultParagraphFont"/>
    <w:link w:val="Footer"/>
    <w:uiPriority w:val="99"/>
    <w:rsid w:val="007E7997"/>
    <w:rPr>
      <w:sz w:val="22"/>
    </w:rPr>
  </w:style>
  <w:style w:type="paragraph" w:customStyle="1" w:styleId="00aPagenumber">
    <w:name w:val="00a_Page number"/>
    <w:basedOn w:val="Normal"/>
    <w:rsid w:val="007E7997"/>
    <w:pPr>
      <w:spacing w:line="280" w:lineRule="atLeast"/>
      <w:jc w:val="right"/>
    </w:pPr>
    <w:rPr>
      <w:rFonts w:ascii="Georgia" w:hAnsi="Georgia"/>
      <w:color w:val="000000"/>
      <w:lang w:eastAsia="de-DE"/>
    </w:rPr>
  </w:style>
  <w:style w:type="paragraph" w:customStyle="1" w:styleId="02Date">
    <w:name w:val="02_Date"/>
    <w:basedOn w:val="Normal"/>
    <w:rsid w:val="00636E02"/>
    <w:pPr>
      <w:spacing w:line="220" w:lineRule="exact"/>
    </w:pPr>
    <w:rPr>
      <w:rFonts w:ascii="Georgia" w:hAnsi="Georgia"/>
      <w:sz w:val="17"/>
      <w:lang w:eastAsia="de-DE"/>
    </w:rPr>
  </w:style>
  <w:style w:type="paragraph" w:styleId="TOC1">
    <w:name w:val="toc 1"/>
    <w:basedOn w:val="Normal"/>
    <w:next w:val="Normal"/>
    <w:autoRedefine/>
    <w:uiPriority w:val="39"/>
    <w:unhideWhenUsed/>
    <w:rsid w:val="00B81A44"/>
    <w:pPr>
      <w:tabs>
        <w:tab w:val="left" w:pos="440"/>
        <w:tab w:val="right" w:leader="dot" w:pos="9062"/>
      </w:tabs>
      <w:spacing w:after="100"/>
    </w:pPr>
  </w:style>
  <w:style w:type="paragraph" w:styleId="TOC2">
    <w:name w:val="toc 2"/>
    <w:basedOn w:val="Normal"/>
    <w:next w:val="Normal"/>
    <w:autoRedefine/>
    <w:uiPriority w:val="39"/>
    <w:unhideWhenUsed/>
    <w:rsid w:val="00BC422A"/>
    <w:pPr>
      <w:spacing w:after="100"/>
      <w:ind w:left="220"/>
    </w:pPr>
  </w:style>
  <w:style w:type="paragraph" w:styleId="TOC3">
    <w:name w:val="toc 3"/>
    <w:basedOn w:val="Normal"/>
    <w:next w:val="Normal"/>
    <w:autoRedefine/>
    <w:uiPriority w:val="39"/>
    <w:unhideWhenUsed/>
    <w:rsid w:val="00BC422A"/>
    <w:pPr>
      <w:spacing w:after="100"/>
      <w:ind w:left="440"/>
    </w:pPr>
  </w:style>
  <w:style w:type="character" w:styleId="Hyperlink">
    <w:name w:val="Hyperlink"/>
    <w:basedOn w:val="DefaultParagraphFont"/>
    <w:uiPriority w:val="99"/>
    <w:unhideWhenUsed/>
    <w:rsid w:val="00BC422A"/>
    <w:rPr>
      <w:color w:val="0563C1" w:themeColor="hyperlink"/>
      <w:u w:val="single"/>
    </w:rPr>
  </w:style>
  <w:style w:type="paragraph" w:customStyle="1" w:styleId="Questionstyle">
    <w:name w:val="Question style"/>
    <w:basedOn w:val="Normal"/>
    <w:next w:val="Normal"/>
    <w:link w:val="QuestionstyleChar"/>
    <w:autoRedefine/>
    <w:qFormat/>
    <w:rsid w:val="00F77851"/>
    <w:pPr>
      <w:numPr>
        <w:numId w:val="6"/>
      </w:numPr>
      <w:contextualSpacing/>
      <w:jc w:val="both"/>
    </w:pPr>
    <w:rPr>
      <w:rFonts w:asciiTheme="minorHAnsi" w:hAnsiTheme="minorHAnsi" w:cstheme="minorHAnsi"/>
      <w:sz w:val="22"/>
      <w:szCs w:val="22"/>
    </w:rPr>
  </w:style>
  <w:style w:type="character" w:customStyle="1" w:styleId="QuestionstyleChar">
    <w:name w:val="Question style Char"/>
    <w:basedOn w:val="DefaultParagraphFont"/>
    <w:link w:val="Questionstyle"/>
    <w:rsid w:val="00F77851"/>
    <w:rPr>
      <w:rFonts w:eastAsia="Times New Roman" w:cstheme="minorHAnsi"/>
      <w:sz w:val="22"/>
      <w:szCs w:val="22"/>
      <w:lang w:val="en-GB" w:eastAsia="en-GB"/>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uiPriority w:val="3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50534"/>
  </w:style>
  <w:style w:type="character" w:customStyle="1" w:styleId="EndnoteTextChar">
    <w:name w:val="Endnote Text Char"/>
    <w:basedOn w:val="DefaultParagraphFont"/>
    <w:link w:val="EndnoteText"/>
    <w:uiPriority w:val="99"/>
    <w:semiHidden/>
    <w:rsid w:val="00B50534"/>
    <w:rPr>
      <w:lang w:val="en-GB"/>
    </w:rPr>
  </w:style>
  <w:style w:type="character" w:styleId="EndnoteReference">
    <w:name w:val="endnote reference"/>
    <w:basedOn w:val="DefaultParagraphFont"/>
    <w:uiPriority w:val="99"/>
    <w:semiHidden/>
    <w:unhideWhenUsed/>
    <w:rsid w:val="00B50534"/>
    <w:rPr>
      <w:vertAlign w:val="superscript"/>
    </w:rPr>
  </w:style>
  <w:style w:type="paragraph" w:styleId="FootnoteText">
    <w:name w:val="footnote text"/>
    <w:basedOn w:val="Normal"/>
    <w:link w:val="FootnoteTextChar"/>
    <w:autoRedefine/>
    <w:uiPriority w:val="99"/>
    <w:semiHidden/>
    <w:unhideWhenUsed/>
    <w:qFormat/>
    <w:rsid w:val="006F53E8"/>
    <w:rPr>
      <w:sz w:val="16"/>
    </w:rPr>
  </w:style>
  <w:style w:type="character" w:customStyle="1" w:styleId="FootnoteTextChar">
    <w:name w:val="Footnote Text Char"/>
    <w:basedOn w:val="DefaultParagraphFont"/>
    <w:link w:val="FootnoteText"/>
    <w:uiPriority w:val="99"/>
    <w:semiHidden/>
    <w:rsid w:val="006F53E8"/>
    <w:rPr>
      <w:sz w:val="16"/>
      <w:lang w:val="en-GB"/>
    </w:rPr>
  </w:style>
  <w:style w:type="character" w:styleId="FootnoteReference">
    <w:name w:val="footnote reference"/>
    <w:aliases w:val="SUPERS,Footnote reference number,Footnote symbol,note TESI,-E Fußnotenzeichen,number,BVI fnr,Footnote Reference Superscript,(Footnote Reference),EN Footnote Reference,Voetnootverwijzing,Times 10 Point,Exposant 3 Poi,16 Point, BVI fnr"/>
    <w:basedOn w:val="DefaultParagraphFont"/>
    <w:uiPriority w:val="99"/>
    <w:unhideWhenUsed/>
    <w:qFormat/>
    <w:rsid w:val="00A91D91"/>
    <w:rPr>
      <w:rFonts w:asciiTheme="majorHAnsi" w:hAnsiTheme="majorHAnsi"/>
      <w:sz w:val="16"/>
      <w:vertAlign w:val="superscript"/>
    </w:rPr>
  </w:style>
  <w:style w:type="paragraph" w:customStyle="1" w:styleId="Footnote">
    <w:name w:val="Footnote"/>
    <w:basedOn w:val="FootnoteText"/>
    <w:link w:val="FootnoteChar"/>
    <w:rsid w:val="00B50534"/>
    <w:rPr>
      <w:lang w:val="nl-BE"/>
    </w:rPr>
  </w:style>
  <w:style w:type="character" w:customStyle="1" w:styleId="FootnoteChar">
    <w:name w:val="Footnote Char"/>
    <w:basedOn w:val="FootnoteTextChar"/>
    <w:link w:val="Footnote"/>
    <w:rsid w:val="00B50534"/>
    <w:rPr>
      <w:sz w:val="16"/>
      <w:lang w:val="en-GB"/>
    </w:rPr>
  </w:style>
  <w:style w:type="table" w:customStyle="1" w:styleId="GridTable4-Accent11">
    <w:name w:val="Grid Table 4 - Accent 11"/>
    <w:basedOn w:val="TableNormal"/>
    <w:uiPriority w:val="49"/>
    <w:rsid w:val="00B15C0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04aNumbering">
    <w:name w:val="04a_Numbering"/>
    <w:basedOn w:val="Normal"/>
    <w:rsid w:val="00287C8F"/>
    <w:pPr>
      <w:numPr>
        <w:numId w:val="5"/>
      </w:numPr>
      <w:tabs>
        <w:tab w:val="clear" w:pos="284"/>
        <w:tab w:val="num" w:pos="567"/>
      </w:tabs>
      <w:ind w:left="567" w:hanging="454"/>
    </w:pPr>
    <w:rPr>
      <w:rFonts w:ascii="Georgia" w:hAnsi="Georgia"/>
      <w:sz w:val="20"/>
      <w:lang w:eastAsia="de-DE"/>
    </w:rPr>
  </w:style>
  <w:style w:type="paragraph" w:styleId="BalloonText">
    <w:name w:val="Balloon Text"/>
    <w:basedOn w:val="Normal"/>
    <w:link w:val="BalloonTextChar"/>
    <w:uiPriority w:val="99"/>
    <w:semiHidden/>
    <w:unhideWhenUsed/>
    <w:rsid w:val="003C167E"/>
    <w:rPr>
      <w:rFonts w:ascii="Tahoma" w:hAnsi="Tahoma" w:cs="Tahoma"/>
      <w:sz w:val="16"/>
      <w:szCs w:val="16"/>
    </w:rPr>
  </w:style>
  <w:style w:type="character" w:customStyle="1" w:styleId="BalloonTextChar">
    <w:name w:val="Balloon Text Char"/>
    <w:basedOn w:val="DefaultParagraphFont"/>
    <w:link w:val="BalloonText"/>
    <w:uiPriority w:val="99"/>
    <w:semiHidden/>
    <w:rsid w:val="003C167E"/>
    <w:rPr>
      <w:rFonts w:ascii="Tahoma" w:hAnsi="Tahoma" w:cs="Tahoma"/>
      <w:sz w:val="16"/>
      <w:szCs w:val="16"/>
      <w:lang w:val="en-GB"/>
    </w:rPr>
  </w:style>
  <w:style w:type="character" w:styleId="CommentReference">
    <w:name w:val="annotation reference"/>
    <w:basedOn w:val="DefaultParagraphFont"/>
    <w:uiPriority w:val="99"/>
    <w:semiHidden/>
    <w:unhideWhenUsed/>
    <w:rsid w:val="00FA2400"/>
    <w:rPr>
      <w:sz w:val="16"/>
      <w:szCs w:val="16"/>
    </w:rPr>
  </w:style>
  <w:style w:type="paragraph" w:styleId="CommentText">
    <w:name w:val="annotation text"/>
    <w:basedOn w:val="Normal"/>
    <w:link w:val="CommentTextChar"/>
    <w:uiPriority w:val="99"/>
    <w:unhideWhenUsed/>
    <w:rsid w:val="00FA2400"/>
    <w:rPr>
      <w:sz w:val="20"/>
    </w:rPr>
  </w:style>
  <w:style w:type="character" w:customStyle="1" w:styleId="CommentTextChar">
    <w:name w:val="Comment Text Char"/>
    <w:basedOn w:val="DefaultParagraphFont"/>
    <w:link w:val="CommentText"/>
    <w:uiPriority w:val="99"/>
    <w:rsid w:val="00FA2400"/>
    <w:rPr>
      <w:lang w:val="en-GB"/>
    </w:rPr>
  </w:style>
  <w:style w:type="paragraph" w:styleId="CommentSubject">
    <w:name w:val="annotation subject"/>
    <w:basedOn w:val="CommentText"/>
    <w:next w:val="CommentText"/>
    <w:link w:val="CommentSubjectChar"/>
    <w:uiPriority w:val="99"/>
    <w:semiHidden/>
    <w:unhideWhenUsed/>
    <w:rsid w:val="00FA2400"/>
    <w:rPr>
      <w:b/>
      <w:bCs/>
    </w:rPr>
  </w:style>
  <w:style w:type="character" w:customStyle="1" w:styleId="CommentSubjectChar">
    <w:name w:val="Comment Subject Char"/>
    <w:basedOn w:val="CommentTextChar"/>
    <w:link w:val="CommentSubject"/>
    <w:uiPriority w:val="99"/>
    <w:semiHidden/>
    <w:rsid w:val="00FA2400"/>
    <w:rPr>
      <w:b/>
      <w:bCs/>
      <w:lang w:val="en-GB"/>
    </w:rPr>
  </w:style>
  <w:style w:type="paragraph" w:styleId="Revision">
    <w:name w:val="Revision"/>
    <w:hidden/>
    <w:uiPriority w:val="99"/>
    <w:semiHidden/>
    <w:rsid w:val="00FD2677"/>
    <w:pPr>
      <w:spacing w:after="0" w:line="240" w:lineRule="auto"/>
    </w:pPr>
    <w:rPr>
      <w:sz w:val="22"/>
      <w:lang w:val="en-GB"/>
    </w:rPr>
  </w:style>
  <w:style w:type="paragraph" w:customStyle="1" w:styleId="body">
    <w:name w:val="body"/>
    <w:qFormat/>
    <w:rsid w:val="00750210"/>
    <w:pPr>
      <w:spacing w:before="240" w:line="276" w:lineRule="auto"/>
      <w:jc w:val="both"/>
    </w:pPr>
    <w:rPr>
      <w:sz w:val="22"/>
      <w:szCs w:val="24"/>
      <w:lang w:val="en-US"/>
    </w:rPr>
  </w:style>
  <w:style w:type="character" w:styleId="FollowedHyperlink">
    <w:name w:val="FollowedHyperlink"/>
    <w:basedOn w:val="DefaultParagraphFont"/>
    <w:uiPriority w:val="99"/>
    <w:semiHidden/>
    <w:unhideWhenUsed/>
    <w:rsid w:val="007B354B"/>
    <w:rPr>
      <w:color w:val="954F72" w:themeColor="followedHyperlink"/>
      <w:u w:val="single"/>
    </w:rPr>
  </w:style>
  <w:style w:type="paragraph" w:styleId="NormalWeb">
    <w:name w:val="Normal (Web)"/>
    <w:basedOn w:val="Normal"/>
    <w:uiPriority w:val="99"/>
    <w:semiHidden/>
    <w:unhideWhenUsed/>
    <w:rsid w:val="00B424F5"/>
    <w:pPr>
      <w:spacing w:before="100" w:beforeAutospacing="1" w:after="100" w:afterAutospacing="1"/>
    </w:pPr>
  </w:style>
  <w:style w:type="character" w:customStyle="1" w:styleId="outputecliaff">
    <w:name w:val="outputecliaff"/>
    <w:basedOn w:val="DefaultParagraphFont"/>
    <w:rsid w:val="00595F08"/>
  </w:style>
  <w:style w:type="paragraph" w:customStyle="1" w:styleId="05HeadlinenoIndex">
    <w:name w:val="05_Headline no Index"/>
    <w:basedOn w:val="Normal"/>
    <w:rsid w:val="005C7E1F"/>
    <w:pPr>
      <w:spacing w:after="250" w:line="300" w:lineRule="exact"/>
      <w:jc w:val="both"/>
    </w:pPr>
    <w:rPr>
      <w:rFonts w:ascii="Georgia" w:hAnsi="Georgia"/>
      <w:b/>
      <w:lang w:eastAsia="de-DE"/>
    </w:rPr>
  </w:style>
  <w:style w:type="paragraph" w:customStyle="1" w:styleId="04BodyText">
    <w:name w:val="04_Body Text"/>
    <w:basedOn w:val="Normal"/>
    <w:link w:val="04BodyTextChar"/>
    <w:uiPriority w:val="99"/>
    <w:rsid w:val="00BC5128"/>
    <w:pPr>
      <w:spacing w:after="250" w:line="276" w:lineRule="auto"/>
      <w:jc w:val="both"/>
    </w:pPr>
    <w:rPr>
      <w:rFonts w:ascii="Georgia" w:hAnsi="Georgia"/>
      <w:sz w:val="20"/>
      <w:lang w:eastAsia="de-DE"/>
    </w:rPr>
  </w:style>
  <w:style w:type="character" w:customStyle="1" w:styleId="04BodyTextChar">
    <w:name w:val="04_Body Text Char"/>
    <w:link w:val="04BodyText"/>
    <w:uiPriority w:val="99"/>
    <w:rsid w:val="00BC5128"/>
    <w:rPr>
      <w:rFonts w:ascii="Georgia" w:eastAsia="Times New Roman" w:hAnsi="Georgia" w:cs="Times New Roman"/>
      <w:szCs w:val="24"/>
      <w:lang w:val="en-GB" w:eastAsia="de-DE"/>
    </w:rPr>
  </w:style>
  <w:style w:type="table" w:customStyle="1" w:styleId="TableGrid1">
    <w:name w:val="Table Grid1"/>
    <w:basedOn w:val="TableNormal"/>
    <w:next w:val="TableGrid"/>
    <w:uiPriority w:val="59"/>
    <w:rsid w:val="003E1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E1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phe EI Char,Paragraphe de liste1 Char,EC Char,Paragraphe de liste Char,Normal Nivel 1 Char,List Paragraph Main Char,List first level Char,List Paragraph_Sections Char"/>
    <w:basedOn w:val="DefaultParagraphFont"/>
    <w:link w:val="ListParagraph"/>
    <w:uiPriority w:val="34"/>
    <w:rsid w:val="00695AF2"/>
    <w:rPr>
      <w:rFonts w:eastAsiaTheme="majorEastAsia" w:cstheme="minorHAnsi"/>
      <w:sz w:val="22"/>
      <w:szCs w:val="22"/>
      <w:lang w:val="en-GB" w:eastAsia="en-GB"/>
    </w:rPr>
  </w:style>
  <w:style w:type="table" w:customStyle="1" w:styleId="TableGrid3">
    <w:name w:val="Table Grid3"/>
    <w:basedOn w:val="TableNormal"/>
    <w:uiPriority w:val="59"/>
    <w:rsid w:val="00F37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A2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12966">
      <w:bodyDiv w:val="1"/>
      <w:marLeft w:val="0"/>
      <w:marRight w:val="0"/>
      <w:marTop w:val="0"/>
      <w:marBottom w:val="0"/>
      <w:divBdr>
        <w:top w:val="none" w:sz="0" w:space="0" w:color="auto"/>
        <w:left w:val="none" w:sz="0" w:space="0" w:color="auto"/>
        <w:bottom w:val="none" w:sz="0" w:space="0" w:color="auto"/>
        <w:right w:val="none" w:sz="0" w:space="0" w:color="auto"/>
      </w:divBdr>
    </w:div>
    <w:div w:id="79907767">
      <w:bodyDiv w:val="1"/>
      <w:marLeft w:val="0"/>
      <w:marRight w:val="0"/>
      <w:marTop w:val="0"/>
      <w:marBottom w:val="0"/>
      <w:divBdr>
        <w:top w:val="none" w:sz="0" w:space="0" w:color="auto"/>
        <w:left w:val="none" w:sz="0" w:space="0" w:color="auto"/>
        <w:bottom w:val="none" w:sz="0" w:space="0" w:color="auto"/>
        <w:right w:val="none" w:sz="0" w:space="0" w:color="auto"/>
      </w:divBdr>
    </w:div>
    <w:div w:id="195436536">
      <w:bodyDiv w:val="1"/>
      <w:marLeft w:val="0"/>
      <w:marRight w:val="0"/>
      <w:marTop w:val="0"/>
      <w:marBottom w:val="0"/>
      <w:divBdr>
        <w:top w:val="none" w:sz="0" w:space="0" w:color="auto"/>
        <w:left w:val="none" w:sz="0" w:space="0" w:color="auto"/>
        <w:bottom w:val="none" w:sz="0" w:space="0" w:color="auto"/>
        <w:right w:val="none" w:sz="0" w:space="0" w:color="auto"/>
      </w:divBdr>
      <w:divsChild>
        <w:div w:id="2053576486">
          <w:marLeft w:val="547"/>
          <w:marRight w:val="0"/>
          <w:marTop w:val="120"/>
          <w:marBottom w:val="120"/>
          <w:divBdr>
            <w:top w:val="none" w:sz="0" w:space="0" w:color="auto"/>
            <w:left w:val="none" w:sz="0" w:space="0" w:color="auto"/>
            <w:bottom w:val="none" w:sz="0" w:space="0" w:color="auto"/>
            <w:right w:val="none" w:sz="0" w:space="0" w:color="auto"/>
          </w:divBdr>
        </w:div>
      </w:divsChild>
    </w:div>
    <w:div w:id="308559352">
      <w:bodyDiv w:val="1"/>
      <w:marLeft w:val="0"/>
      <w:marRight w:val="0"/>
      <w:marTop w:val="0"/>
      <w:marBottom w:val="0"/>
      <w:divBdr>
        <w:top w:val="none" w:sz="0" w:space="0" w:color="auto"/>
        <w:left w:val="none" w:sz="0" w:space="0" w:color="auto"/>
        <w:bottom w:val="none" w:sz="0" w:space="0" w:color="auto"/>
        <w:right w:val="none" w:sz="0" w:space="0" w:color="auto"/>
      </w:divBdr>
    </w:div>
    <w:div w:id="558631356">
      <w:bodyDiv w:val="1"/>
      <w:marLeft w:val="0"/>
      <w:marRight w:val="0"/>
      <w:marTop w:val="0"/>
      <w:marBottom w:val="0"/>
      <w:divBdr>
        <w:top w:val="none" w:sz="0" w:space="0" w:color="auto"/>
        <w:left w:val="none" w:sz="0" w:space="0" w:color="auto"/>
        <w:bottom w:val="none" w:sz="0" w:space="0" w:color="auto"/>
        <w:right w:val="none" w:sz="0" w:space="0" w:color="auto"/>
      </w:divBdr>
    </w:div>
    <w:div w:id="607393598">
      <w:bodyDiv w:val="1"/>
      <w:marLeft w:val="0"/>
      <w:marRight w:val="0"/>
      <w:marTop w:val="0"/>
      <w:marBottom w:val="0"/>
      <w:divBdr>
        <w:top w:val="none" w:sz="0" w:space="0" w:color="auto"/>
        <w:left w:val="none" w:sz="0" w:space="0" w:color="auto"/>
        <w:bottom w:val="none" w:sz="0" w:space="0" w:color="auto"/>
        <w:right w:val="none" w:sz="0" w:space="0" w:color="auto"/>
      </w:divBdr>
      <w:divsChild>
        <w:div w:id="719549589">
          <w:marLeft w:val="0"/>
          <w:marRight w:val="0"/>
          <w:marTop w:val="0"/>
          <w:marBottom w:val="0"/>
          <w:divBdr>
            <w:top w:val="none" w:sz="0" w:space="0" w:color="auto"/>
            <w:left w:val="none" w:sz="0" w:space="0" w:color="auto"/>
            <w:bottom w:val="none" w:sz="0" w:space="0" w:color="auto"/>
            <w:right w:val="none" w:sz="0" w:space="0" w:color="auto"/>
          </w:divBdr>
          <w:divsChild>
            <w:div w:id="715467520">
              <w:marLeft w:val="0"/>
              <w:marRight w:val="0"/>
              <w:marTop w:val="0"/>
              <w:marBottom w:val="0"/>
              <w:divBdr>
                <w:top w:val="none" w:sz="0" w:space="0" w:color="auto"/>
                <w:left w:val="none" w:sz="0" w:space="0" w:color="auto"/>
                <w:bottom w:val="none" w:sz="0" w:space="0" w:color="auto"/>
                <w:right w:val="none" w:sz="0" w:space="0" w:color="auto"/>
              </w:divBdr>
              <w:divsChild>
                <w:div w:id="1683974626">
                  <w:marLeft w:val="0"/>
                  <w:marRight w:val="0"/>
                  <w:marTop w:val="0"/>
                  <w:marBottom w:val="0"/>
                  <w:divBdr>
                    <w:top w:val="none" w:sz="0" w:space="0" w:color="auto"/>
                    <w:left w:val="none" w:sz="0" w:space="0" w:color="auto"/>
                    <w:bottom w:val="none" w:sz="0" w:space="0" w:color="auto"/>
                    <w:right w:val="none" w:sz="0" w:space="0" w:color="auto"/>
                  </w:divBdr>
                  <w:divsChild>
                    <w:div w:id="1551724287">
                      <w:marLeft w:val="1"/>
                      <w:marRight w:val="1"/>
                      <w:marTop w:val="0"/>
                      <w:marBottom w:val="0"/>
                      <w:divBdr>
                        <w:top w:val="none" w:sz="0" w:space="0" w:color="auto"/>
                        <w:left w:val="none" w:sz="0" w:space="0" w:color="auto"/>
                        <w:bottom w:val="none" w:sz="0" w:space="0" w:color="auto"/>
                        <w:right w:val="none" w:sz="0" w:space="0" w:color="auto"/>
                      </w:divBdr>
                      <w:divsChild>
                        <w:div w:id="1105809413">
                          <w:marLeft w:val="0"/>
                          <w:marRight w:val="0"/>
                          <w:marTop w:val="0"/>
                          <w:marBottom w:val="0"/>
                          <w:divBdr>
                            <w:top w:val="none" w:sz="0" w:space="0" w:color="auto"/>
                            <w:left w:val="none" w:sz="0" w:space="0" w:color="auto"/>
                            <w:bottom w:val="none" w:sz="0" w:space="0" w:color="auto"/>
                            <w:right w:val="none" w:sz="0" w:space="0" w:color="auto"/>
                          </w:divBdr>
                          <w:divsChild>
                            <w:div w:id="527523748">
                              <w:marLeft w:val="0"/>
                              <w:marRight w:val="0"/>
                              <w:marTop w:val="0"/>
                              <w:marBottom w:val="360"/>
                              <w:divBdr>
                                <w:top w:val="none" w:sz="0" w:space="0" w:color="auto"/>
                                <w:left w:val="none" w:sz="0" w:space="0" w:color="auto"/>
                                <w:bottom w:val="none" w:sz="0" w:space="0" w:color="auto"/>
                                <w:right w:val="none" w:sz="0" w:space="0" w:color="auto"/>
                              </w:divBdr>
                              <w:divsChild>
                                <w:div w:id="1643266757">
                                  <w:marLeft w:val="0"/>
                                  <w:marRight w:val="0"/>
                                  <w:marTop w:val="0"/>
                                  <w:marBottom w:val="0"/>
                                  <w:divBdr>
                                    <w:top w:val="none" w:sz="0" w:space="0" w:color="auto"/>
                                    <w:left w:val="none" w:sz="0" w:space="0" w:color="auto"/>
                                    <w:bottom w:val="none" w:sz="0" w:space="0" w:color="auto"/>
                                    <w:right w:val="none" w:sz="0" w:space="0" w:color="auto"/>
                                  </w:divBdr>
                                  <w:divsChild>
                                    <w:div w:id="79509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310116">
      <w:bodyDiv w:val="1"/>
      <w:marLeft w:val="0"/>
      <w:marRight w:val="0"/>
      <w:marTop w:val="0"/>
      <w:marBottom w:val="0"/>
      <w:divBdr>
        <w:top w:val="none" w:sz="0" w:space="0" w:color="auto"/>
        <w:left w:val="none" w:sz="0" w:space="0" w:color="auto"/>
        <w:bottom w:val="none" w:sz="0" w:space="0" w:color="auto"/>
        <w:right w:val="none" w:sz="0" w:space="0" w:color="auto"/>
      </w:divBdr>
      <w:divsChild>
        <w:div w:id="2113477775">
          <w:marLeft w:val="0"/>
          <w:marRight w:val="0"/>
          <w:marTop w:val="0"/>
          <w:marBottom w:val="0"/>
          <w:divBdr>
            <w:top w:val="none" w:sz="0" w:space="0" w:color="auto"/>
            <w:left w:val="none" w:sz="0" w:space="0" w:color="auto"/>
            <w:bottom w:val="none" w:sz="0" w:space="0" w:color="auto"/>
            <w:right w:val="none" w:sz="0" w:space="0" w:color="auto"/>
          </w:divBdr>
          <w:divsChild>
            <w:div w:id="1261253972">
              <w:marLeft w:val="0"/>
              <w:marRight w:val="0"/>
              <w:marTop w:val="0"/>
              <w:marBottom w:val="0"/>
              <w:divBdr>
                <w:top w:val="none" w:sz="0" w:space="0" w:color="auto"/>
                <w:left w:val="none" w:sz="0" w:space="0" w:color="auto"/>
                <w:bottom w:val="none" w:sz="0" w:space="0" w:color="auto"/>
                <w:right w:val="none" w:sz="0" w:space="0" w:color="auto"/>
              </w:divBdr>
              <w:divsChild>
                <w:div w:id="517893123">
                  <w:marLeft w:val="0"/>
                  <w:marRight w:val="0"/>
                  <w:marTop w:val="0"/>
                  <w:marBottom w:val="0"/>
                  <w:divBdr>
                    <w:top w:val="none" w:sz="0" w:space="0" w:color="auto"/>
                    <w:left w:val="none" w:sz="0" w:space="0" w:color="auto"/>
                    <w:bottom w:val="none" w:sz="0" w:space="0" w:color="auto"/>
                    <w:right w:val="none" w:sz="0" w:space="0" w:color="auto"/>
                  </w:divBdr>
                  <w:divsChild>
                    <w:div w:id="1599218891">
                      <w:marLeft w:val="1"/>
                      <w:marRight w:val="1"/>
                      <w:marTop w:val="0"/>
                      <w:marBottom w:val="0"/>
                      <w:divBdr>
                        <w:top w:val="none" w:sz="0" w:space="0" w:color="auto"/>
                        <w:left w:val="none" w:sz="0" w:space="0" w:color="auto"/>
                        <w:bottom w:val="none" w:sz="0" w:space="0" w:color="auto"/>
                        <w:right w:val="none" w:sz="0" w:space="0" w:color="auto"/>
                      </w:divBdr>
                      <w:divsChild>
                        <w:div w:id="1515613444">
                          <w:marLeft w:val="0"/>
                          <w:marRight w:val="0"/>
                          <w:marTop w:val="0"/>
                          <w:marBottom w:val="0"/>
                          <w:divBdr>
                            <w:top w:val="none" w:sz="0" w:space="0" w:color="auto"/>
                            <w:left w:val="none" w:sz="0" w:space="0" w:color="auto"/>
                            <w:bottom w:val="none" w:sz="0" w:space="0" w:color="auto"/>
                            <w:right w:val="none" w:sz="0" w:space="0" w:color="auto"/>
                          </w:divBdr>
                          <w:divsChild>
                            <w:div w:id="639384916">
                              <w:marLeft w:val="0"/>
                              <w:marRight w:val="0"/>
                              <w:marTop w:val="0"/>
                              <w:marBottom w:val="360"/>
                              <w:divBdr>
                                <w:top w:val="none" w:sz="0" w:space="0" w:color="auto"/>
                                <w:left w:val="none" w:sz="0" w:space="0" w:color="auto"/>
                                <w:bottom w:val="none" w:sz="0" w:space="0" w:color="auto"/>
                                <w:right w:val="none" w:sz="0" w:space="0" w:color="auto"/>
                              </w:divBdr>
                              <w:divsChild>
                                <w:div w:id="1081947748">
                                  <w:marLeft w:val="0"/>
                                  <w:marRight w:val="0"/>
                                  <w:marTop w:val="0"/>
                                  <w:marBottom w:val="0"/>
                                  <w:divBdr>
                                    <w:top w:val="none" w:sz="0" w:space="0" w:color="auto"/>
                                    <w:left w:val="none" w:sz="0" w:space="0" w:color="auto"/>
                                    <w:bottom w:val="none" w:sz="0" w:space="0" w:color="auto"/>
                                    <w:right w:val="none" w:sz="0" w:space="0" w:color="auto"/>
                                  </w:divBdr>
                                  <w:divsChild>
                                    <w:div w:id="4005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1907172">
      <w:bodyDiv w:val="1"/>
      <w:marLeft w:val="0"/>
      <w:marRight w:val="0"/>
      <w:marTop w:val="0"/>
      <w:marBottom w:val="0"/>
      <w:divBdr>
        <w:top w:val="none" w:sz="0" w:space="0" w:color="auto"/>
        <w:left w:val="none" w:sz="0" w:space="0" w:color="auto"/>
        <w:bottom w:val="none" w:sz="0" w:space="0" w:color="auto"/>
        <w:right w:val="none" w:sz="0" w:space="0" w:color="auto"/>
      </w:divBdr>
    </w:div>
    <w:div w:id="654142365">
      <w:bodyDiv w:val="1"/>
      <w:marLeft w:val="0"/>
      <w:marRight w:val="0"/>
      <w:marTop w:val="0"/>
      <w:marBottom w:val="0"/>
      <w:divBdr>
        <w:top w:val="none" w:sz="0" w:space="0" w:color="auto"/>
        <w:left w:val="none" w:sz="0" w:space="0" w:color="auto"/>
        <w:bottom w:val="none" w:sz="0" w:space="0" w:color="auto"/>
        <w:right w:val="none" w:sz="0" w:space="0" w:color="auto"/>
      </w:divBdr>
      <w:divsChild>
        <w:div w:id="829757675">
          <w:marLeft w:val="547"/>
          <w:marRight w:val="0"/>
          <w:marTop w:val="120"/>
          <w:marBottom w:val="120"/>
          <w:divBdr>
            <w:top w:val="none" w:sz="0" w:space="0" w:color="auto"/>
            <w:left w:val="none" w:sz="0" w:space="0" w:color="auto"/>
            <w:bottom w:val="none" w:sz="0" w:space="0" w:color="auto"/>
            <w:right w:val="none" w:sz="0" w:space="0" w:color="auto"/>
          </w:divBdr>
        </w:div>
        <w:div w:id="1430617638">
          <w:marLeft w:val="547"/>
          <w:marRight w:val="0"/>
          <w:marTop w:val="120"/>
          <w:marBottom w:val="120"/>
          <w:divBdr>
            <w:top w:val="none" w:sz="0" w:space="0" w:color="auto"/>
            <w:left w:val="none" w:sz="0" w:space="0" w:color="auto"/>
            <w:bottom w:val="none" w:sz="0" w:space="0" w:color="auto"/>
            <w:right w:val="none" w:sz="0" w:space="0" w:color="auto"/>
          </w:divBdr>
        </w:div>
      </w:divsChild>
    </w:div>
    <w:div w:id="667555890">
      <w:bodyDiv w:val="1"/>
      <w:marLeft w:val="0"/>
      <w:marRight w:val="0"/>
      <w:marTop w:val="0"/>
      <w:marBottom w:val="0"/>
      <w:divBdr>
        <w:top w:val="none" w:sz="0" w:space="0" w:color="auto"/>
        <w:left w:val="none" w:sz="0" w:space="0" w:color="auto"/>
        <w:bottom w:val="none" w:sz="0" w:space="0" w:color="auto"/>
        <w:right w:val="none" w:sz="0" w:space="0" w:color="auto"/>
      </w:divBdr>
      <w:divsChild>
        <w:div w:id="627320154">
          <w:marLeft w:val="547"/>
          <w:marRight w:val="0"/>
          <w:marTop w:val="120"/>
          <w:marBottom w:val="120"/>
          <w:divBdr>
            <w:top w:val="none" w:sz="0" w:space="0" w:color="auto"/>
            <w:left w:val="none" w:sz="0" w:space="0" w:color="auto"/>
            <w:bottom w:val="none" w:sz="0" w:space="0" w:color="auto"/>
            <w:right w:val="none" w:sz="0" w:space="0" w:color="auto"/>
          </w:divBdr>
        </w:div>
        <w:div w:id="437221792">
          <w:marLeft w:val="547"/>
          <w:marRight w:val="0"/>
          <w:marTop w:val="120"/>
          <w:marBottom w:val="120"/>
          <w:divBdr>
            <w:top w:val="none" w:sz="0" w:space="0" w:color="auto"/>
            <w:left w:val="none" w:sz="0" w:space="0" w:color="auto"/>
            <w:bottom w:val="none" w:sz="0" w:space="0" w:color="auto"/>
            <w:right w:val="none" w:sz="0" w:space="0" w:color="auto"/>
          </w:divBdr>
        </w:div>
      </w:divsChild>
    </w:div>
    <w:div w:id="805780515">
      <w:bodyDiv w:val="1"/>
      <w:marLeft w:val="0"/>
      <w:marRight w:val="0"/>
      <w:marTop w:val="0"/>
      <w:marBottom w:val="0"/>
      <w:divBdr>
        <w:top w:val="none" w:sz="0" w:space="0" w:color="auto"/>
        <w:left w:val="none" w:sz="0" w:space="0" w:color="auto"/>
        <w:bottom w:val="none" w:sz="0" w:space="0" w:color="auto"/>
        <w:right w:val="none" w:sz="0" w:space="0" w:color="auto"/>
      </w:divBdr>
      <w:divsChild>
        <w:div w:id="1467972504">
          <w:marLeft w:val="547"/>
          <w:marRight w:val="0"/>
          <w:marTop w:val="120"/>
          <w:marBottom w:val="120"/>
          <w:divBdr>
            <w:top w:val="none" w:sz="0" w:space="0" w:color="auto"/>
            <w:left w:val="none" w:sz="0" w:space="0" w:color="auto"/>
            <w:bottom w:val="none" w:sz="0" w:space="0" w:color="auto"/>
            <w:right w:val="none" w:sz="0" w:space="0" w:color="auto"/>
          </w:divBdr>
        </w:div>
        <w:div w:id="1093010987">
          <w:marLeft w:val="547"/>
          <w:marRight w:val="0"/>
          <w:marTop w:val="120"/>
          <w:marBottom w:val="120"/>
          <w:divBdr>
            <w:top w:val="none" w:sz="0" w:space="0" w:color="auto"/>
            <w:left w:val="none" w:sz="0" w:space="0" w:color="auto"/>
            <w:bottom w:val="none" w:sz="0" w:space="0" w:color="auto"/>
            <w:right w:val="none" w:sz="0" w:space="0" w:color="auto"/>
          </w:divBdr>
        </w:div>
      </w:divsChild>
    </w:div>
    <w:div w:id="821391096">
      <w:bodyDiv w:val="1"/>
      <w:marLeft w:val="0"/>
      <w:marRight w:val="0"/>
      <w:marTop w:val="0"/>
      <w:marBottom w:val="0"/>
      <w:divBdr>
        <w:top w:val="none" w:sz="0" w:space="0" w:color="auto"/>
        <w:left w:val="none" w:sz="0" w:space="0" w:color="auto"/>
        <w:bottom w:val="none" w:sz="0" w:space="0" w:color="auto"/>
        <w:right w:val="none" w:sz="0" w:space="0" w:color="auto"/>
      </w:divBdr>
    </w:div>
    <w:div w:id="828716617">
      <w:bodyDiv w:val="1"/>
      <w:marLeft w:val="0"/>
      <w:marRight w:val="0"/>
      <w:marTop w:val="0"/>
      <w:marBottom w:val="0"/>
      <w:divBdr>
        <w:top w:val="none" w:sz="0" w:space="0" w:color="auto"/>
        <w:left w:val="none" w:sz="0" w:space="0" w:color="auto"/>
        <w:bottom w:val="none" w:sz="0" w:space="0" w:color="auto"/>
        <w:right w:val="none" w:sz="0" w:space="0" w:color="auto"/>
      </w:divBdr>
    </w:div>
    <w:div w:id="843976993">
      <w:bodyDiv w:val="1"/>
      <w:marLeft w:val="0"/>
      <w:marRight w:val="0"/>
      <w:marTop w:val="0"/>
      <w:marBottom w:val="0"/>
      <w:divBdr>
        <w:top w:val="none" w:sz="0" w:space="0" w:color="auto"/>
        <w:left w:val="none" w:sz="0" w:space="0" w:color="auto"/>
        <w:bottom w:val="none" w:sz="0" w:space="0" w:color="auto"/>
        <w:right w:val="none" w:sz="0" w:space="0" w:color="auto"/>
      </w:divBdr>
    </w:div>
    <w:div w:id="871646249">
      <w:bodyDiv w:val="1"/>
      <w:marLeft w:val="0"/>
      <w:marRight w:val="0"/>
      <w:marTop w:val="0"/>
      <w:marBottom w:val="0"/>
      <w:divBdr>
        <w:top w:val="none" w:sz="0" w:space="0" w:color="auto"/>
        <w:left w:val="none" w:sz="0" w:space="0" w:color="auto"/>
        <w:bottom w:val="none" w:sz="0" w:space="0" w:color="auto"/>
        <w:right w:val="none" w:sz="0" w:space="0" w:color="auto"/>
      </w:divBdr>
      <w:divsChild>
        <w:div w:id="531115712">
          <w:marLeft w:val="547"/>
          <w:marRight w:val="0"/>
          <w:marTop w:val="120"/>
          <w:marBottom w:val="120"/>
          <w:divBdr>
            <w:top w:val="none" w:sz="0" w:space="0" w:color="auto"/>
            <w:left w:val="none" w:sz="0" w:space="0" w:color="auto"/>
            <w:bottom w:val="none" w:sz="0" w:space="0" w:color="auto"/>
            <w:right w:val="none" w:sz="0" w:space="0" w:color="auto"/>
          </w:divBdr>
        </w:div>
        <w:div w:id="1251349587">
          <w:marLeft w:val="547"/>
          <w:marRight w:val="0"/>
          <w:marTop w:val="120"/>
          <w:marBottom w:val="120"/>
          <w:divBdr>
            <w:top w:val="none" w:sz="0" w:space="0" w:color="auto"/>
            <w:left w:val="none" w:sz="0" w:space="0" w:color="auto"/>
            <w:bottom w:val="none" w:sz="0" w:space="0" w:color="auto"/>
            <w:right w:val="none" w:sz="0" w:space="0" w:color="auto"/>
          </w:divBdr>
        </w:div>
      </w:divsChild>
    </w:div>
    <w:div w:id="974680293">
      <w:bodyDiv w:val="1"/>
      <w:marLeft w:val="0"/>
      <w:marRight w:val="0"/>
      <w:marTop w:val="0"/>
      <w:marBottom w:val="0"/>
      <w:divBdr>
        <w:top w:val="none" w:sz="0" w:space="0" w:color="auto"/>
        <w:left w:val="none" w:sz="0" w:space="0" w:color="auto"/>
        <w:bottom w:val="none" w:sz="0" w:space="0" w:color="auto"/>
        <w:right w:val="none" w:sz="0" w:space="0" w:color="auto"/>
      </w:divBdr>
    </w:div>
    <w:div w:id="1084842750">
      <w:bodyDiv w:val="1"/>
      <w:marLeft w:val="0"/>
      <w:marRight w:val="0"/>
      <w:marTop w:val="0"/>
      <w:marBottom w:val="0"/>
      <w:divBdr>
        <w:top w:val="none" w:sz="0" w:space="0" w:color="auto"/>
        <w:left w:val="none" w:sz="0" w:space="0" w:color="auto"/>
        <w:bottom w:val="none" w:sz="0" w:space="0" w:color="auto"/>
        <w:right w:val="none" w:sz="0" w:space="0" w:color="auto"/>
      </w:divBdr>
      <w:divsChild>
        <w:div w:id="1170751860">
          <w:marLeft w:val="547"/>
          <w:marRight w:val="0"/>
          <w:marTop w:val="120"/>
          <w:marBottom w:val="120"/>
          <w:divBdr>
            <w:top w:val="none" w:sz="0" w:space="0" w:color="auto"/>
            <w:left w:val="none" w:sz="0" w:space="0" w:color="auto"/>
            <w:bottom w:val="none" w:sz="0" w:space="0" w:color="auto"/>
            <w:right w:val="none" w:sz="0" w:space="0" w:color="auto"/>
          </w:divBdr>
        </w:div>
        <w:div w:id="1558198995">
          <w:marLeft w:val="547"/>
          <w:marRight w:val="0"/>
          <w:marTop w:val="120"/>
          <w:marBottom w:val="120"/>
          <w:divBdr>
            <w:top w:val="none" w:sz="0" w:space="0" w:color="auto"/>
            <w:left w:val="none" w:sz="0" w:space="0" w:color="auto"/>
            <w:bottom w:val="none" w:sz="0" w:space="0" w:color="auto"/>
            <w:right w:val="none" w:sz="0" w:space="0" w:color="auto"/>
          </w:divBdr>
        </w:div>
      </w:divsChild>
    </w:div>
    <w:div w:id="1106535437">
      <w:bodyDiv w:val="1"/>
      <w:marLeft w:val="0"/>
      <w:marRight w:val="0"/>
      <w:marTop w:val="0"/>
      <w:marBottom w:val="0"/>
      <w:divBdr>
        <w:top w:val="none" w:sz="0" w:space="0" w:color="auto"/>
        <w:left w:val="none" w:sz="0" w:space="0" w:color="auto"/>
        <w:bottom w:val="none" w:sz="0" w:space="0" w:color="auto"/>
        <w:right w:val="none" w:sz="0" w:space="0" w:color="auto"/>
      </w:divBdr>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335379244">
      <w:bodyDiv w:val="1"/>
      <w:marLeft w:val="0"/>
      <w:marRight w:val="0"/>
      <w:marTop w:val="0"/>
      <w:marBottom w:val="0"/>
      <w:divBdr>
        <w:top w:val="none" w:sz="0" w:space="0" w:color="auto"/>
        <w:left w:val="none" w:sz="0" w:space="0" w:color="auto"/>
        <w:bottom w:val="none" w:sz="0" w:space="0" w:color="auto"/>
        <w:right w:val="none" w:sz="0" w:space="0" w:color="auto"/>
      </w:divBdr>
    </w:div>
    <w:div w:id="1345857783">
      <w:bodyDiv w:val="1"/>
      <w:marLeft w:val="0"/>
      <w:marRight w:val="0"/>
      <w:marTop w:val="0"/>
      <w:marBottom w:val="0"/>
      <w:divBdr>
        <w:top w:val="none" w:sz="0" w:space="0" w:color="auto"/>
        <w:left w:val="none" w:sz="0" w:space="0" w:color="auto"/>
        <w:bottom w:val="none" w:sz="0" w:space="0" w:color="auto"/>
        <w:right w:val="none" w:sz="0" w:space="0" w:color="auto"/>
      </w:divBdr>
    </w:div>
    <w:div w:id="1349058892">
      <w:bodyDiv w:val="1"/>
      <w:marLeft w:val="0"/>
      <w:marRight w:val="0"/>
      <w:marTop w:val="0"/>
      <w:marBottom w:val="0"/>
      <w:divBdr>
        <w:top w:val="none" w:sz="0" w:space="0" w:color="auto"/>
        <w:left w:val="none" w:sz="0" w:space="0" w:color="auto"/>
        <w:bottom w:val="none" w:sz="0" w:space="0" w:color="auto"/>
        <w:right w:val="none" w:sz="0" w:space="0" w:color="auto"/>
      </w:divBdr>
      <w:divsChild>
        <w:div w:id="1554805026">
          <w:marLeft w:val="547"/>
          <w:marRight w:val="0"/>
          <w:marTop w:val="120"/>
          <w:marBottom w:val="120"/>
          <w:divBdr>
            <w:top w:val="none" w:sz="0" w:space="0" w:color="auto"/>
            <w:left w:val="none" w:sz="0" w:space="0" w:color="auto"/>
            <w:bottom w:val="none" w:sz="0" w:space="0" w:color="auto"/>
            <w:right w:val="none" w:sz="0" w:space="0" w:color="auto"/>
          </w:divBdr>
        </w:div>
        <w:div w:id="1500736113">
          <w:marLeft w:val="1267"/>
          <w:marRight w:val="0"/>
          <w:marTop w:val="120"/>
          <w:marBottom w:val="120"/>
          <w:divBdr>
            <w:top w:val="none" w:sz="0" w:space="0" w:color="auto"/>
            <w:left w:val="none" w:sz="0" w:space="0" w:color="auto"/>
            <w:bottom w:val="none" w:sz="0" w:space="0" w:color="auto"/>
            <w:right w:val="none" w:sz="0" w:space="0" w:color="auto"/>
          </w:divBdr>
        </w:div>
        <w:div w:id="1184972619">
          <w:marLeft w:val="1267"/>
          <w:marRight w:val="0"/>
          <w:marTop w:val="120"/>
          <w:marBottom w:val="120"/>
          <w:divBdr>
            <w:top w:val="none" w:sz="0" w:space="0" w:color="auto"/>
            <w:left w:val="none" w:sz="0" w:space="0" w:color="auto"/>
            <w:bottom w:val="none" w:sz="0" w:space="0" w:color="auto"/>
            <w:right w:val="none" w:sz="0" w:space="0" w:color="auto"/>
          </w:divBdr>
        </w:div>
        <w:div w:id="1378621289">
          <w:marLeft w:val="547"/>
          <w:marRight w:val="0"/>
          <w:marTop w:val="120"/>
          <w:marBottom w:val="120"/>
          <w:divBdr>
            <w:top w:val="none" w:sz="0" w:space="0" w:color="auto"/>
            <w:left w:val="none" w:sz="0" w:space="0" w:color="auto"/>
            <w:bottom w:val="none" w:sz="0" w:space="0" w:color="auto"/>
            <w:right w:val="none" w:sz="0" w:space="0" w:color="auto"/>
          </w:divBdr>
        </w:div>
        <w:div w:id="1932665473">
          <w:marLeft w:val="547"/>
          <w:marRight w:val="0"/>
          <w:marTop w:val="120"/>
          <w:marBottom w:val="120"/>
          <w:divBdr>
            <w:top w:val="none" w:sz="0" w:space="0" w:color="auto"/>
            <w:left w:val="none" w:sz="0" w:space="0" w:color="auto"/>
            <w:bottom w:val="none" w:sz="0" w:space="0" w:color="auto"/>
            <w:right w:val="none" w:sz="0" w:space="0" w:color="auto"/>
          </w:divBdr>
        </w:div>
      </w:divsChild>
    </w:div>
    <w:div w:id="1358581502">
      <w:bodyDiv w:val="1"/>
      <w:marLeft w:val="0"/>
      <w:marRight w:val="0"/>
      <w:marTop w:val="0"/>
      <w:marBottom w:val="0"/>
      <w:divBdr>
        <w:top w:val="none" w:sz="0" w:space="0" w:color="auto"/>
        <w:left w:val="none" w:sz="0" w:space="0" w:color="auto"/>
        <w:bottom w:val="none" w:sz="0" w:space="0" w:color="auto"/>
        <w:right w:val="none" w:sz="0" w:space="0" w:color="auto"/>
      </w:divBdr>
      <w:divsChild>
        <w:div w:id="1146043688">
          <w:marLeft w:val="0"/>
          <w:marRight w:val="0"/>
          <w:marTop w:val="0"/>
          <w:marBottom w:val="0"/>
          <w:divBdr>
            <w:top w:val="none" w:sz="0" w:space="0" w:color="auto"/>
            <w:left w:val="none" w:sz="0" w:space="0" w:color="auto"/>
            <w:bottom w:val="none" w:sz="0" w:space="0" w:color="auto"/>
            <w:right w:val="none" w:sz="0" w:space="0" w:color="auto"/>
          </w:divBdr>
          <w:divsChild>
            <w:div w:id="1355889373">
              <w:marLeft w:val="0"/>
              <w:marRight w:val="0"/>
              <w:marTop w:val="0"/>
              <w:marBottom w:val="0"/>
              <w:divBdr>
                <w:top w:val="none" w:sz="0" w:space="0" w:color="auto"/>
                <w:left w:val="none" w:sz="0" w:space="0" w:color="auto"/>
                <w:bottom w:val="none" w:sz="0" w:space="0" w:color="auto"/>
                <w:right w:val="none" w:sz="0" w:space="0" w:color="auto"/>
              </w:divBdr>
              <w:divsChild>
                <w:div w:id="2025665832">
                  <w:marLeft w:val="0"/>
                  <w:marRight w:val="0"/>
                  <w:marTop w:val="0"/>
                  <w:marBottom w:val="0"/>
                  <w:divBdr>
                    <w:top w:val="none" w:sz="0" w:space="0" w:color="auto"/>
                    <w:left w:val="none" w:sz="0" w:space="0" w:color="auto"/>
                    <w:bottom w:val="none" w:sz="0" w:space="0" w:color="auto"/>
                    <w:right w:val="none" w:sz="0" w:space="0" w:color="auto"/>
                  </w:divBdr>
                  <w:divsChild>
                    <w:div w:id="470754153">
                      <w:marLeft w:val="1"/>
                      <w:marRight w:val="1"/>
                      <w:marTop w:val="0"/>
                      <w:marBottom w:val="0"/>
                      <w:divBdr>
                        <w:top w:val="none" w:sz="0" w:space="0" w:color="auto"/>
                        <w:left w:val="none" w:sz="0" w:space="0" w:color="auto"/>
                        <w:bottom w:val="none" w:sz="0" w:space="0" w:color="auto"/>
                        <w:right w:val="none" w:sz="0" w:space="0" w:color="auto"/>
                      </w:divBdr>
                      <w:divsChild>
                        <w:div w:id="1547788802">
                          <w:marLeft w:val="0"/>
                          <w:marRight w:val="0"/>
                          <w:marTop w:val="0"/>
                          <w:marBottom w:val="0"/>
                          <w:divBdr>
                            <w:top w:val="none" w:sz="0" w:space="0" w:color="auto"/>
                            <w:left w:val="none" w:sz="0" w:space="0" w:color="auto"/>
                            <w:bottom w:val="none" w:sz="0" w:space="0" w:color="auto"/>
                            <w:right w:val="none" w:sz="0" w:space="0" w:color="auto"/>
                          </w:divBdr>
                          <w:divsChild>
                            <w:div w:id="1744714415">
                              <w:marLeft w:val="0"/>
                              <w:marRight w:val="0"/>
                              <w:marTop w:val="0"/>
                              <w:marBottom w:val="360"/>
                              <w:divBdr>
                                <w:top w:val="none" w:sz="0" w:space="0" w:color="auto"/>
                                <w:left w:val="none" w:sz="0" w:space="0" w:color="auto"/>
                                <w:bottom w:val="none" w:sz="0" w:space="0" w:color="auto"/>
                                <w:right w:val="none" w:sz="0" w:space="0" w:color="auto"/>
                              </w:divBdr>
                              <w:divsChild>
                                <w:div w:id="88623802">
                                  <w:marLeft w:val="0"/>
                                  <w:marRight w:val="0"/>
                                  <w:marTop w:val="0"/>
                                  <w:marBottom w:val="0"/>
                                  <w:divBdr>
                                    <w:top w:val="none" w:sz="0" w:space="0" w:color="auto"/>
                                    <w:left w:val="none" w:sz="0" w:space="0" w:color="auto"/>
                                    <w:bottom w:val="none" w:sz="0" w:space="0" w:color="auto"/>
                                    <w:right w:val="none" w:sz="0" w:space="0" w:color="auto"/>
                                  </w:divBdr>
                                  <w:divsChild>
                                    <w:div w:id="706103141">
                                      <w:marLeft w:val="0"/>
                                      <w:marRight w:val="0"/>
                                      <w:marTop w:val="0"/>
                                      <w:marBottom w:val="0"/>
                                      <w:divBdr>
                                        <w:top w:val="none" w:sz="0" w:space="0" w:color="auto"/>
                                        <w:left w:val="none" w:sz="0" w:space="0" w:color="auto"/>
                                        <w:bottom w:val="none" w:sz="0" w:space="0" w:color="auto"/>
                                        <w:right w:val="none" w:sz="0" w:space="0" w:color="auto"/>
                                      </w:divBdr>
                                      <w:divsChild>
                                        <w:div w:id="601651463">
                                          <w:marLeft w:val="0"/>
                                          <w:marRight w:val="0"/>
                                          <w:marTop w:val="0"/>
                                          <w:marBottom w:val="0"/>
                                          <w:divBdr>
                                            <w:top w:val="none" w:sz="0" w:space="0" w:color="auto"/>
                                            <w:left w:val="none" w:sz="0" w:space="0" w:color="auto"/>
                                            <w:bottom w:val="none" w:sz="0" w:space="0" w:color="auto"/>
                                            <w:right w:val="none" w:sz="0" w:space="0" w:color="auto"/>
                                          </w:divBdr>
                                          <w:divsChild>
                                            <w:div w:id="2028939348">
                                              <w:marLeft w:val="0"/>
                                              <w:marRight w:val="0"/>
                                              <w:marTop w:val="0"/>
                                              <w:marBottom w:val="0"/>
                                              <w:divBdr>
                                                <w:top w:val="none" w:sz="0" w:space="0" w:color="auto"/>
                                                <w:left w:val="none" w:sz="0" w:space="0" w:color="auto"/>
                                                <w:bottom w:val="none" w:sz="0" w:space="0" w:color="auto"/>
                                                <w:right w:val="none" w:sz="0" w:space="0" w:color="auto"/>
                                              </w:divBdr>
                                              <w:divsChild>
                                                <w:div w:id="1912084995">
                                                  <w:marLeft w:val="0"/>
                                                  <w:marRight w:val="0"/>
                                                  <w:marTop w:val="0"/>
                                                  <w:marBottom w:val="0"/>
                                                  <w:divBdr>
                                                    <w:top w:val="none" w:sz="0" w:space="0" w:color="auto"/>
                                                    <w:left w:val="none" w:sz="0" w:space="0" w:color="auto"/>
                                                    <w:bottom w:val="none" w:sz="0" w:space="0" w:color="auto"/>
                                                    <w:right w:val="none" w:sz="0" w:space="0" w:color="auto"/>
                                                  </w:divBdr>
                                                  <w:divsChild>
                                                    <w:div w:id="8715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8505886">
      <w:bodyDiv w:val="1"/>
      <w:marLeft w:val="0"/>
      <w:marRight w:val="0"/>
      <w:marTop w:val="0"/>
      <w:marBottom w:val="0"/>
      <w:divBdr>
        <w:top w:val="none" w:sz="0" w:space="0" w:color="auto"/>
        <w:left w:val="none" w:sz="0" w:space="0" w:color="auto"/>
        <w:bottom w:val="none" w:sz="0" w:space="0" w:color="auto"/>
        <w:right w:val="none" w:sz="0" w:space="0" w:color="auto"/>
      </w:divBdr>
    </w:div>
    <w:div w:id="1496989097">
      <w:bodyDiv w:val="1"/>
      <w:marLeft w:val="0"/>
      <w:marRight w:val="0"/>
      <w:marTop w:val="0"/>
      <w:marBottom w:val="0"/>
      <w:divBdr>
        <w:top w:val="none" w:sz="0" w:space="0" w:color="auto"/>
        <w:left w:val="none" w:sz="0" w:space="0" w:color="auto"/>
        <w:bottom w:val="none" w:sz="0" w:space="0" w:color="auto"/>
        <w:right w:val="none" w:sz="0" w:space="0" w:color="auto"/>
      </w:divBdr>
    </w:div>
    <w:div w:id="1498619144">
      <w:bodyDiv w:val="1"/>
      <w:marLeft w:val="0"/>
      <w:marRight w:val="0"/>
      <w:marTop w:val="0"/>
      <w:marBottom w:val="0"/>
      <w:divBdr>
        <w:top w:val="none" w:sz="0" w:space="0" w:color="auto"/>
        <w:left w:val="none" w:sz="0" w:space="0" w:color="auto"/>
        <w:bottom w:val="none" w:sz="0" w:space="0" w:color="auto"/>
        <w:right w:val="none" w:sz="0" w:space="0" w:color="auto"/>
      </w:divBdr>
      <w:divsChild>
        <w:div w:id="1910724800">
          <w:marLeft w:val="547"/>
          <w:marRight w:val="0"/>
          <w:marTop w:val="120"/>
          <w:marBottom w:val="120"/>
          <w:divBdr>
            <w:top w:val="none" w:sz="0" w:space="0" w:color="auto"/>
            <w:left w:val="none" w:sz="0" w:space="0" w:color="auto"/>
            <w:bottom w:val="none" w:sz="0" w:space="0" w:color="auto"/>
            <w:right w:val="none" w:sz="0" w:space="0" w:color="auto"/>
          </w:divBdr>
        </w:div>
        <w:div w:id="1334718046">
          <w:marLeft w:val="547"/>
          <w:marRight w:val="0"/>
          <w:marTop w:val="120"/>
          <w:marBottom w:val="120"/>
          <w:divBdr>
            <w:top w:val="none" w:sz="0" w:space="0" w:color="auto"/>
            <w:left w:val="none" w:sz="0" w:space="0" w:color="auto"/>
            <w:bottom w:val="none" w:sz="0" w:space="0" w:color="auto"/>
            <w:right w:val="none" w:sz="0" w:space="0" w:color="auto"/>
          </w:divBdr>
        </w:div>
      </w:divsChild>
    </w:div>
    <w:div w:id="1623803368">
      <w:bodyDiv w:val="1"/>
      <w:marLeft w:val="0"/>
      <w:marRight w:val="0"/>
      <w:marTop w:val="0"/>
      <w:marBottom w:val="0"/>
      <w:divBdr>
        <w:top w:val="none" w:sz="0" w:space="0" w:color="auto"/>
        <w:left w:val="none" w:sz="0" w:space="0" w:color="auto"/>
        <w:bottom w:val="none" w:sz="0" w:space="0" w:color="auto"/>
        <w:right w:val="none" w:sz="0" w:space="0" w:color="auto"/>
      </w:divBdr>
    </w:div>
    <w:div w:id="1634559279">
      <w:bodyDiv w:val="1"/>
      <w:marLeft w:val="0"/>
      <w:marRight w:val="0"/>
      <w:marTop w:val="0"/>
      <w:marBottom w:val="0"/>
      <w:divBdr>
        <w:top w:val="none" w:sz="0" w:space="0" w:color="auto"/>
        <w:left w:val="none" w:sz="0" w:space="0" w:color="auto"/>
        <w:bottom w:val="none" w:sz="0" w:space="0" w:color="auto"/>
        <w:right w:val="none" w:sz="0" w:space="0" w:color="auto"/>
      </w:divBdr>
    </w:div>
    <w:div w:id="1847287915">
      <w:bodyDiv w:val="1"/>
      <w:marLeft w:val="0"/>
      <w:marRight w:val="0"/>
      <w:marTop w:val="0"/>
      <w:marBottom w:val="0"/>
      <w:divBdr>
        <w:top w:val="none" w:sz="0" w:space="0" w:color="auto"/>
        <w:left w:val="none" w:sz="0" w:space="0" w:color="auto"/>
        <w:bottom w:val="none" w:sz="0" w:space="0" w:color="auto"/>
        <w:right w:val="none" w:sz="0" w:space="0" w:color="auto"/>
      </w:divBdr>
    </w:div>
    <w:div w:id="2072077721">
      <w:bodyDiv w:val="1"/>
      <w:marLeft w:val="0"/>
      <w:marRight w:val="0"/>
      <w:marTop w:val="0"/>
      <w:marBottom w:val="0"/>
      <w:divBdr>
        <w:top w:val="none" w:sz="0" w:space="0" w:color="auto"/>
        <w:left w:val="none" w:sz="0" w:space="0" w:color="auto"/>
        <w:bottom w:val="none" w:sz="0" w:space="0" w:color="auto"/>
        <w:right w:val="none" w:sz="0" w:space="0" w:color="auto"/>
      </w:divBdr>
    </w:div>
    <w:div w:id="2085683279">
      <w:bodyDiv w:val="1"/>
      <w:marLeft w:val="0"/>
      <w:marRight w:val="0"/>
      <w:marTop w:val="0"/>
      <w:marBottom w:val="0"/>
      <w:divBdr>
        <w:top w:val="none" w:sz="0" w:space="0" w:color="auto"/>
        <w:left w:val="none" w:sz="0" w:space="0" w:color="auto"/>
        <w:bottom w:val="none" w:sz="0" w:space="0" w:color="auto"/>
        <w:right w:val="none" w:sz="0" w:space="0" w:color="auto"/>
      </w:divBdr>
      <w:divsChild>
        <w:div w:id="1322007622">
          <w:marLeft w:val="547"/>
          <w:marRight w:val="0"/>
          <w:marTop w:val="120"/>
          <w:marBottom w:val="120"/>
          <w:divBdr>
            <w:top w:val="none" w:sz="0" w:space="0" w:color="auto"/>
            <w:left w:val="none" w:sz="0" w:space="0" w:color="auto"/>
            <w:bottom w:val="none" w:sz="0" w:space="0" w:color="auto"/>
            <w:right w:val="none" w:sz="0" w:space="0" w:color="auto"/>
          </w:divBdr>
        </w:div>
        <w:div w:id="1156873382">
          <w:marLeft w:val="1267"/>
          <w:marRight w:val="0"/>
          <w:marTop w:val="120"/>
          <w:marBottom w:val="120"/>
          <w:divBdr>
            <w:top w:val="none" w:sz="0" w:space="0" w:color="auto"/>
            <w:left w:val="none" w:sz="0" w:space="0" w:color="auto"/>
            <w:bottom w:val="none" w:sz="0" w:space="0" w:color="auto"/>
            <w:right w:val="none" w:sz="0" w:space="0" w:color="auto"/>
          </w:divBdr>
        </w:div>
        <w:div w:id="384447457">
          <w:marLeft w:val="1267"/>
          <w:marRight w:val="0"/>
          <w:marTop w:val="120"/>
          <w:marBottom w:val="120"/>
          <w:divBdr>
            <w:top w:val="none" w:sz="0" w:space="0" w:color="auto"/>
            <w:left w:val="none" w:sz="0" w:space="0" w:color="auto"/>
            <w:bottom w:val="none" w:sz="0" w:space="0" w:color="auto"/>
            <w:right w:val="none" w:sz="0" w:space="0" w:color="auto"/>
          </w:divBdr>
        </w:div>
        <w:div w:id="1197542969">
          <w:marLeft w:val="547"/>
          <w:marRight w:val="0"/>
          <w:marTop w:val="120"/>
          <w:marBottom w:val="120"/>
          <w:divBdr>
            <w:top w:val="none" w:sz="0" w:space="0" w:color="auto"/>
            <w:left w:val="none" w:sz="0" w:space="0" w:color="auto"/>
            <w:bottom w:val="none" w:sz="0" w:space="0" w:color="auto"/>
            <w:right w:val="none" w:sz="0" w:space="0" w:color="auto"/>
          </w:divBdr>
        </w:div>
        <w:div w:id="1085809987">
          <w:marLeft w:val="547"/>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esma.europa.eu"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esma.europa.eu" TargetMode="External"/><Relationship Id="rId2" Type="http://schemas.openxmlformats.org/officeDocument/2006/relationships/customXml" Target="../customXml/item2.xml"/><Relationship Id="rId16" Type="http://schemas.openxmlformats.org/officeDocument/2006/relationships/hyperlink" Target="http://www.esma.europa.eu"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esma.europa.eu/legal-notic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sovskij\Desktop\Template%20to%20Upload\Guidelines%20and%20Recommendations%20Templates\GuidelinesAndRecommendations_Template_Regul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20fbe147-bbda-4e53-b6b1-7e8bbff3fe19">ESMA70-156-1933</_dlc_DocId>
    <TaxCatchAll xmlns="20fbe147-bbda-4e53-b6b1-7e8bbff3fe19">
      <Value>474</Value>
      <Value>5</Value>
      <Value>91</Value>
      <Value>2</Value>
      <Value>434</Value>
    </TaxCatchAll>
    <_dlc_DocIdUrl xmlns="20fbe147-bbda-4e53-b6b1-7e8bbff3fe19">
      <Url>https://sherpa.esma.europa.eu/sites/MKT/SMK/_layouts/15/DocIdRedir.aspx?ID=ESMA70-156-1933</Url>
      <Description>ESMA70-156-1933</Description>
    </_dlc_DocIdUrl>
    <Year xmlns="20fbe147-bbda-4e53-b6b1-7e8bbff3fe19">2019</Year>
    <MeetingDate xmlns="20fbe147-bbda-4e53-b6b1-7e8bbff3fe19" xsi:nil="true"/>
    <caa5aeb1a6644849b60fbe2335e12657 xmlns="20fbe147-bbda-4e53-b6b1-7e8bbff3fe19">
      <Terms xmlns="http://schemas.microsoft.com/office/infopath/2007/PartnerControls">
        <TermInfo xmlns="http://schemas.microsoft.com/office/infopath/2007/PartnerControls">
          <TermName xmlns="http://schemas.microsoft.com/office/infopath/2007/PartnerControls">MiFID reports</TermName>
          <TermId xmlns="http://schemas.microsoft.com/office/infopath/2007/PartnerControls">3c5cc422-10d2-4956-abed-da9583ea216a</TermId>
        </TermInfo>
      </Terms>
    </caa5aeb1a6644849b60fbe2335e12657>
    <j69a081f486747f6ac8a5aeed63facfd xmlns="20fbe147-bbda-4e53-b6b1-7e8bbff3fe19">
      <Terms xmlns="http://schemas.microsoft.com/office/infopath/2007/PartnerControls">
        <TermInfo xmlns="http://schemas.microsoft.com/office/infopath/2007/PartnerControls">
          <TermName xmlns="http://schemas.microsoft.com/office/infopath/2007/PartnerControls">Restricted</TermName>
          <TermId xmlns="http://schemas.microsoft.com/office/infopath/2007/PartnerControls">187aa7e6-627f-4951-b138-6ff841dc883d</TermId>
        </TermInfo>
      </Terms>
    </j69a081f486747f6ac8a5aeed63facfd>
    <bce29119141747ccb9ac7d87218ed4af xmlns="20fbe147-bbda-4e53-b6b1-7e8bbff3fe19">
      <Terms xmlns="http://schemas.microsoft.com/office/infopath/2007/PartnerControls">
        <TermInfo xmlns="http://schemas.microsoft.com/office/infopath/2007/PartnerControls">
          <TermName xmlns="http://schemas.microsoft.com/office/infopath/2007/PartnerControls">Secondary Markets</TermName>
          <TermId xmlns="http://schemas.microsoft.com/office/infopath/2007/PartnerControls">64c18f63-8e0f-46d8-84d6-b5a5f7a39938</TermId>
        </TermInfo>
      </Terms>
    </bce29119141747ccb9ac7d87218ed4af>
    <a9b3b1dad23b4ba58c3f3e36a96e1d9c xmlns="20fbe147-bbda-4e53-b6b1-7e8bbff3fe19">
      <Terms xmlns="http://schemas.microsoft.com/office/infopath/2007/PartnerControls"/>
    </a9b3b1dad23b4ba58c3f3e36a96e1d9c>
    <n644e5dfaa29486bad4a4fc019c6d2df xmlns="20fbe147-bbda-4e53-b6b1-7e8bbff3fe19">
      <Terms xmlns="http://schemas.microsoft.com/office/infopath/2007/PartnerControls">
        <TermInfo xmlns="http://schemas.microsoft.com/office/infopath/2007/PartnerControls">
          <TermName xmlns="http://schemas.microsoft.com/office/infopath/2007/PartnerControls">MiFID reports - MiFID II 90(1)(f) - Position limits</TermName>
          <TermId xmlns="http://schemas.microsoft.com/office/infopath/2007/PartnerControls">e81dbf1e-3064-4884-a3c8-df0a9f8119ae</TermId>
        </TermInfo>
      </Terms>
    </n644e5dfaa29486bad4a4fc019c6d2df>
    <eed0a0b2ea6941718a34434e243f3d8f xmlns="20fbe147-bbda-4e53-b6b1-7e8bbff3fe19">
      <Terms xmlns="http://schemas.microsoft.com/office/infopath/2007/PartnerControls">
        <TermInfo xmlns="http://schemas.microsoft.com/office/infopath/2007/PartnerControls">
          <TermName xmlns="http://schemas.microsoft.com/office/infopath/2007/PartnerControls">Consultation Paper</TermName>
          <TermId xmlns="http://schemas.microsoft.com/office/infopath/2007/PartnerControls">c6238baf-c3d7-4bb8-8cf2-f28a89601f52</TermId>
        </TermInfo>
      </Terms>
    </eed0a0b2ea6941718a34434e243f3d8f>
  </documentManagement>
</p:properties>
</file>

<file path=customXml/item2.xml><?xml version="1.0" encoding="utf-8"?>
<ct:contentTypeSchema xmlns:ct="http://schemas.microsoft.com/office/2006/metadata/contentType" xmlns:ma="http://schemas.microsoft.com/office/2006/metadata/properties/metaAttributes" ct:_="" ma:_="" ma:contentTypeName="Policy Document" ma:contentTypeID="0x01010001BD15C3986B91498E0AE644B715B9EE010D00757D222C6B0DA241B5F74437644107D4" ma:contentTypeVersion="16" ma:contentTypeDescription="" ma:contentTypeScope="" ma:versionID="8ee7228954dca49665f07e42400ad76d">
  <xsd:schema xmlns:xsd="http://www.w3.org/2001/XMLSchema" xmlns:xs="http://www.w3.org/2001/XMLSchema" xmlns:p="http://schemas.microsoft.com/office/2006/metadata/properties" xmlns:ns1="http://schemas.microsoft.com/sharepoint/v3" xmlns:ns2="20fbe147-bbda-4e53-b6b1-7e8bbff3fe19" xmlns:ns3="http://schemas.microsoft.com/sharepoint/v4" targetNamespace="http://schemas.microsoft.com/office/2006/metadata/properties" ma:root="true" ma:fieldsID="44925884f65367f862a25afa2b9086ca" ns1:_="" ns2:_="" ns3:_="">
    <xsd:import namespace="http://schemas.microsoft.com/sharepoint/v3"/>
    <xsd:import namespace="20fbe147-bbda-4e53-b6b1-7e8bbff3fe19"/>
    <xsd:import namespace="http://schemas.microsoft.com/sharepoint/v4"/>
    <xsd:element name="properties">
      <xsd:complexType>
        <xsd:sequence>
          <xsd:element name="documentManagement">
            <xsd:complexType>
              <xsd:all>
                <xsd:element ref="ns2:_dlc_DocIdPersistId" minOccurs="0"/>
                <xsd:element ref="ns2:TaxCatchAll" minOccurs="0"/>
                <xsd:element ref="ns2:TaxCatchAllLabel" minOccurs="0"/>
                <xsd:element ref="ns2:_dlc_DocId" minOccurs="0"/>
                <xsd:element ref="ns2:_dlc_DocIdUrl" minOccurs="0"/>
                <xsd:element ref="ns2:caa5aeb1a6644849b60fbe2335e12657" minOccurs="0"/>
                <xsd:element ref="ns2:n644e5dfaa29486bad4a4fc019c6d2df" minOccurs="0"/>
                <xsd:element ref="ns2:bce29119141747ccb9ac7d87218ed4af" minOccurs="0"/>
                <xsd:element ref="ns3:IconOverlay" minOccurs="0"/>
                <xsd:element ref="ns2:eed0a0b2ea6941718a34434e243f3d8f" minOccurs="0"/>
                <xsd:element ref="ns2:j69a081f486747f6ac8a5aeed63facfd" minOccurs="0"/>
                <xsd:element ref="ns2:Year"/>
                <xsd:element ref="ns2:a9b3b1dad23b4ba58c3f3e36a96e1d9c" minOccurs="0"/>
                <xsd:element ref="ns2:MeetingDate"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8" nillable="true" ma:displayName="Declared Record" ma:hidden="true" ma:internalName="_vti_ItemDeclaredRecord" ma:readOnly="true">
      <xsd:simpleType>
        <xsd:restriction base="dms:DateTime"/>
      </xsd:simpleType>
    </xsd:element>
    <xsd:element name="_vti_ItemHoldRecordStatus" ma:index="29"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fbe147-bbda-4e53-b6b1-7e8bbff3fe19" elementFormDefault="qualified">
    <xsd:import namespace="http://schemas.microsoft.com/office/2006/documentManagement/types"/>
    <xsd:import namespace="http://schemas.microsoft.com/office/infopath/2007/PartnerControls"/>
    <xsd:element name="_dlc_DocIdPersistId" ma:index="4" nillable="true" ma:displayName="Persist ID" ma:description="Keep ID on add." ma:hidden="true" ma:internalName="_dlc_DocIdPersistId" ma:readOnly="true">
      <xsd:simpleType>
        <xsd:restriction base="dms:Boolean"/>
      </xsd:simpleType>
    </xsd:element>
    <xsd:element name="TaxCatchAll" ma:index="5" nillable="true" ma:displayName="Taxonomy Catch All Column" ma:hidden="true" ma:list="{c38c24d3-2590-4616-bee0-79d7eeedacac}" ma:internalName="TaxCatchAll" ma:showField="CatchAllData"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c38c24d3-2590-4616-bee0-79d7eeedacac}" ma:internalName="TaxCatchAllLabel" ma:readOnly="true" ma:showField="CatchAllDataLabel"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caa5aeb1a6644849b60fbe2335e12657" ma:index="12" ma:taxonomy="true" ma:internalName="caa5aeb1a6644849b60fbe2335e12657" ma:taxonomyFieldName="Topic" ma:displayName="Topic" ma:default="" ma:fieldId="{caa5aeb1-a664-4849-b60f-be2335e12657}" ma:sspId="0ac1876e-32bf-4158-94e7-cdbcd053a335" ma:termSetId="7b949606-90e2-4f49-8484-424f131284b3" ma:anchorId="00000000-0000-0000-0000-000000000000" ma:open="false" ma:isKeyword="false">
      <xsd:complexType>
        <xsd:sequence>
          <xsd:element ref="pc:Terms" minOccurs="0" maxOccurs="1"/>
        </xsd:sequence>
      </xsd:complexType>
    </xsd:element>
    <xsd:element name="n644e5dfaa29486bad4a4fc019c6d2df" ma:index="14" nillable="true" ma:taxonomy="true" ma:internalName="n644e5dfaa29486bad4a4fc019c6d2df" ma:taxonomyFieldName="SubTopic" ma:displayName="Sub Topic" ma:readOnly="false" ma:default="" ma:fieldId="{7644e5df-aa29-486b-ad4a-4fc019c6d2df}" ma:sspId="0ac1876e-32bf-4158-94e7-cdbcd053a335" ma:termSetId="c9d88329-36bd-4ba5-881c-dae898303a52" ma:anchorId="00000000-0000-0000-0000-000000000000" ma:open="false" ma:isKeyword="false">
      <xsd:complexType>
        <xsd:sequence>
          <xsd:element ref="pc:Terms" minOccurs="0" maxOccurs="1"/>
        </xsd:sequence>
      </xsd:complexType>
    </xsd:element>
    <xsd:element name="bce29119141747ccb9ac7d87218ed4af" ma:index="16" ma:taxonomy="true" ma:internalName="bce29119141747ccb9ac7d87218ed4af" ma:taxonomyFieldName="TeamName" ma:displayName="Team Name" ma:readOnly="false" ma:default="5;#Secondary Markets|64c18f63-8e0f-46d8-84d6-b5a5f7a39938" ma:fieldId="{bce29119-1417-47cc-b9ac-7d87218ed4af}" ma:sspId="0ac1876e-32bf-4158-94e7-cdbcd053a335" ma:termSetId="9ab8a8dd-aa7f-4e9e-9345-c8f50d6bfad1" ma:anchorId="00000000-0000-0000-0000-000000000000" ma:open="false" ma:isKeyword="false">
      <xsd:complexType>
        <xsd:sequence>
          <xsd:element ref="pc:Terms" minOccurs="0" maxOccurs="1"/>
        </xsd:sequence>
      </xsd:complexType>
    </xsd:element>
    <xsd:element name="eed0a0b2ea6941718a34434e243f3d8f" ma:index="19" ma:taxonomy="true" ma:internalName="eed0a0b2ea6941718a34434e243f3d8f" ma:taxonomyFieldName="DocumentType" ma:displayName="Document Type" ma:readOnly="false" ma:default="1;#Report / Note;Note|b9e1c92e-303a-4555-86f0-5c711c65937e" ma:fieldId="{eed0a0b2-ea69-4171-8a34-434e243f3d8f}" ma:sspId="0ac1876e-32bf-4158-94e7-cdbcd053a335" ma:termSetId="f83a1c9a-b23f-455b-8c9e-17fb9037db30" ma:anchorId="00000000-0000-0000-0000-000000000000" ma:open="false" ma:isKeyword="false">
      <xsd:complexType>
        <xsd:sequence>
          <xsd:element ref="pc:Terms" minOccurs="0" maxOccurs="1"/>
        </xsd:sequence>
      </xsd:complexType>
    </xsd:element>
    <xsd:element name="j69a081f486747f6ac8a5aeed63facfd" ma:index="21" ma:taxonomy="true" ma:internalName="j69a081f486747f6ac8a5aeed63facfd" ma:taxonomyFieldName="ConfidentialityLevel" ma:displayName="Confidentiality Level" ma:readOnly="false" ma:default="2;#Restricted|187aa7e6-627f-4951-b138-6ff841dc883d" ma:fieldId="{369a081f-4867-47f6-ac8a-5aeed63facfd}" ma:sspId="0ac1876e-32bf-4158-94e7-cdbcd053a335" ma:termSetId="63da149f-0364-4b58-9838-6f5855a402c0" ma:anchorId="00000000-0000-0000-0000-000000000000" ma:open="false" ma:isKeyword="false">
      <xsd:complexType>
        <xsd:sequence>
          <xsd:element ref="pc:Terms" minOccurs="0" maxOccurs="1"/>
        </xsd:sequence>
      </xsd:complexType>
    </xsd:element>
    <xsd:element name="Year" ma:index="23" ma:displayName="Year" ma:description="" ma:internalName="Year" ma:readOnly="false">
      <xsd:simpleType>
        <xsd:restriction base="dms:Text">
          <xsd:maxLength value="4"/>
        </xsd:restriction>
      </xsd:simpleType>
    </xsd:element>
    <xsd:element name="a9b3b1dad23b4ba58c3f3e36a96e1d9c" ma:index="24" nillable="true" ma:taxonomy="true" ma:internalName="a9b3b1dad23b4ba58c3f3e36a96e1d9c" ma:taxonomyFieldName="EsmaAudience" ma:displayName="Audience" ma:readOnly="false" ma:default="" ma:fieldId="{a9b3b1da-d23b-4ba5-8c3f-3e36a96e1d9c}" ma:sspId="0ac1876e-32bf-4158-94e7-cdbcd053a335" ma:termSetId="76343289-0524-4d6c-b317-76d8c2e49caa" ma:anchorId="00000000-0000-0000-0000-000000000000" ma:open="false" ma:isKeyword="false">
      <xsd:complexType>
        <xsd:sequence>
          <xsd:element ref="pc:Terms" minOccurs="0" maxOccurs="1"/>
        </xsd:sequence>
      </xsd:complexType>
    </xsd:element>
    <xsd:element name="MeetingDate" ma:index="26" nillable="true" ma:displayName="Meeting Date" ma:description="" ma:format="DateOnly" ma:internalName="Meeting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7F5EE-E87B-49CE-96B5-F95CE63A0DF2}">
  <ds:schemaRefs>
    <ds:schemaRef ds:uri="http://schemas.microsoft.com/office/2006/metadata/properties"/>
    <ds:schemaRef ds:uri="http://schemas.microsoft.com/office/infopath/2007/PartnerControls"/>
    <ds:schemaRef ds:uri="http://schemas.microsoft.com/sharepoint/v4"/>
    <ds:schemaRef ds:uri="20fbe147-bbda-4e53-b6b1-7e8bbff3fe19"/>
  </ds:schemaRefs>
</ds:datastoreItem>
</file>

<file path=customXml/itemProps2.xml><?xml version="1.0" encoding="utf-8"?>
<ds:datastoreItem xmlns:ds="http://schemas.openxmlformats.org/officeDocument/2006/customXml" ds:itemID="{C4A87B1C-94F7-4601-8DD2-296DC1F53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fbe147-bbda-4e53-b6b1-7e8bbff3fe1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9D69CF-149B-4D2F-89A2-279037685A12}">
  <ds:schemaRefs>
    <ds:schemaRef ds:uri="http://schemas.microsoft.com/sharepoint/events"/>
  </ds:schemaRefs>
</ds:datastoreItem>
</file>

<file path=customXml/itemProps4.xml><?xml version="1.0" encoding="utf-8"?>
<ds:datastoreItem xmlns:ds="http://schemas.openxmlformats.org/officeDocument/2006/customXml" ds:itemID="{FC2455EB-3D3A-4C02-9873-6A72D376E4F0}">
  <ds:schemaRefs>
    <ds:schemaRef ds:uri="http://schemas.microsoft.com/sharepoint/v3/contenttype/forms"/>
  </ds:schemaRefs>
</ds:datastoreItem>
</file>

<file path=customXml/itemProps5.xml><?xml version="1.0" encoding="utf-8"?>
<ds:datastoreItem xmlns:ds="http://schemas.openxmlformats.org/officeDocument/2006/customXml" ds:itemID="{E2925B17-76B6-604F-9D41-1EE04A891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C:\Users\Klisovskij\Desktop\Template to Upload\Guidelines and Recommendations Templates\GuidelinesAndRecommendations_Template_Regular.dotx</Template>
  <TotalTime>13</TotalTime>
  <Pages>14</Pages>
  <Words>4136</Words>
  <Characters>23577</Characters>
  <Application>Microsoft Office Word</Application>
  <DocSecurity>8</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ESMA</Company>
  <LinksUpToDate>false</LinksUpToDate>
  <CharactersWithSpaces>27658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Alina.Dragomir@esma.europa.eu</dc:creator>
  <cp:keywords/>
  <cp:lastModifiedBy>Edmund Beavor</cp:lastModifiedBy>
  <cp:revision>10</cp:revision>
  <cp:lastPrinted>2017-07-24T14:47:00Z</cp:lastPrinted>
  <dcterms:created xsi:type="dcterms:W3CDTF">2020-01-06T13:50:00Z</dcterms:created>
  <dcterms:modified xsi:type="dcterms:W3CDTF">2020-01-15T10:38:00Z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maAudience">
    <vt:lpwstr/>
  </property>
  <property fmtid="{D5CDD505-2E9C-101B-9397-08002B2CF9AE}" pid="3" name="ConfidentialityLevel">
    <vt:lpwstr>2;#Restricted|187aa7e6-627f-4951-b138-6ff841dc883d</vt:lpwstr>
  </property>
  <property fmtid="{D5CDD505-2E9C-101B-9397-08002B2CF9AE}" pid="4" name="ContentTypeId">
    <vt:lpwstr>0x01010001BD15C3986B91498E0AE644B715B9EE010D00757D222C6B0DA241B5F74437644107D4</vt:lpwstr>
  </property>
  <property fmtid="{D5CDD505-2E9C-101B-9397-08002B2CF9AE}" pid="5" name="_dlc_DocIdItemGuid">
    <vt:lpwstr>155ab378-0408-4a09-bf77-47f9e5213ee4</vt:lpwstr>
  </property>
  <property fmtid="{D5CDD505-2E9C-101B-9397-08002B2CF9AE}" pid="6" name="DocumentType">
    <vt:lpwstr>91;#Consultation Paper|c6238baf-c3d7-4bb8-8cf2-f28a89601f52</vt:lpwstr>
  </property>
  <property fmtid="{D5CDD505-2E9C-101B-9397-08002B2CF9AE}" pid="7" name="Topic">
    <vt:lpwstr>434;#MiFID reports|3c5cc422-10d2-4956-abed-da9583ea216a</vt:lpwstr>
  </property>
  <property fmtid="{D5CDD505-2E9C-101B-9397-08002B2CF9AE}" pid="8" name="_docset_NoMedatataSyncRequired">
    <vt:lpwstr>False</vt:lpwstr>
  </property>
  <property fmtid="{D5CDD505-2E9C-101B-9397-08002B2CF9AE}" pid="9" name="Document_x0020_Language">
    <vt:lpwstr/>
  </property>
  <property fmtid="{D5CDD505-2E9C-101B-9397-08002B2CF9AE}" pid="10" name="Document Language">
    <vt:lpwstr/>
  </property>
  <property fmtid="{D5CDD505-2E9C-101B-9397-08002B2CF9AE}" pid="11" name="TeamName">
    <vt:lpwstr>5;#Secondary Markets|64c18f63-8e0f-46d8-84d6-b5a5f7a39938</vt:lpwstr>
  </property>
  <property fmtid="{D5CDD505-2E9C-101B-9397-08002B2CF9AE}" pid="12" name="LegalInstrument">
    <vt:lpwstr>27;#Guidelines|5e144655-8ff3-49e5-b82a-b036da8a9173</vt:lpwstr>
  </property>
  <property fmtid="{D5CDD505-2E9C-101B-9397-08002B2CF9AE}" pid="13" name="MemberState">
    <vt:lpwstr/>
  </property>
  <property fmtid="{D5CDD505-2E9C-101B-9397-08002B2CF9AE}" pid="14" name="Stakeholder">
    <vt:lpwstr/>
  </property>
  <property fmtid="{D5CDD505-2E9C-101B-9397-08002B2CF9AE}" pid="15" name="LegalAct">
    <vt:lpwstr>30;#ESMA Regulation|1f6010a2-1a2c-44cf-adf8-f8fd9b166bb1</vt:lpwstr>
  </property>
  <property fmtid="{D5CDD505-2E9C-101B-9397-08002B2CF9AE}" pid="16" name="Related Legal Acts">
    <vt:lpwstr/>
  </property>
  <property fmtid="{D5CDD505-2E9C-101B-9397-08002B2CF9AE}" pid="17" name="SubTopic">
    <vt:lpwstr>474;#MiFID reports - MiFID II 90(1)(f) - Position limits|e81dbf1e-3064-4884-a3c8-df0a9f8119ae</vt:lpwstr>
  </property>
</Properties>
</file>