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08848791" w:rsidR="00AF2EF7" w:rsidRPr="00B8572C" w:rsidRDefault="00C1698A" w:rsidP="00D13661">
                <w:pPr>
                  <w:pStyle w:val="Titel"/>
                  <w:spacing w:line="276" w:lineRule="auto"/>
                  <w:ind w:right="854"/>
                  <w:rPr>
                    <w:rFonts w:asciiTheme="minorHAnsi" w:hAnsiTheme="minorHAnsi" w:cstheme="minorHAnsi"/>
                    <w:sz w:val="48"/>
                    <w:szCs w:val="48"/>
                  </w:rPr>
                </w:pPr>
                <w:r>
                  <w:rPr>
                    <w:rFonts w:asciiTheme="minorHAnsi" w:hAnsiTheme="minorHAnsi" w:cstheme="minorHAnsi"/>
                    <w:sz w:val="48"/>
                    <w:szCs w:val="48"/>
                  </w:rPr>
                  <w:t>Re</w:t>
                </w:r>
                <w:r w:rsidR="00961EE5">
                  <w:rPr>
                    <w:rFonts w:asciiTheme="minorHAnsi" w:hAnsiTheme="minorHAnsi" w:cstheme="minorHAnsi"/>
                    <w:sz w:val="48"/>
                    <w:szCs w:val="48"/>
                  </w:rPr>
                  <w:t xml:space="preserve">ply </w:t>
                </w:r>
                <w:r>
                  <w:rPr>
                    <w:rFonts w:asciiTheme="minorHAnsi" w:hAnsiTheme="minorHAnsi" w:cstheme="minorHAnsi"/>
                    <w:sz w:val="48"/>
                    <w:szCs w:val="48"/>
                  </w:rPr>
                  <w:t xml:space="preserve">Form to the </w:t>
                </w:r>
                <w:r w:rsidR="008B2AF1">
                  <w:rPr>
                    <w:rFonts w:asciiTheme="minorHAnsi" w:hAnsiTheme="minorHAnsi" w:cstheme="minorHAnsi"/>
                    <w:sz w:val="48"/>
                    <w:szCs w:val="48"/>
                  </w:rPr>
                  <w:t>C</w:t>
                </w:r>
                <w:r w:rsidR="0063070E">
                  <w:rPr>
                    <w:rFonts w:asciiTheme="minorHAnsi" w:hAnsiTheme="minorHAnsi" w:cstheme="minorHAnsi"/>
                    <w:sz w:val="48"/>
                    <w:szCs w:val="48"/>
                  </w:rPr>
                  <w:t>onsultation Paper</w:t>
                </w:r>
                <w:r w:rsidR="000F74C4">
                  <w:rPr>
                    <w:rFonts w:asciiTheme="minorHAnsi" w:hAnsiTheme="minorHAnsi" w:cstheme="minorHAnsi"/>
                    <w:sz w:val="48"/>
                    <w:szCs w:val="48"/>
                  </w:rPr>
                  <w:t xml:space="preserve"> </w:t>
                </w:r>
              </w:p>
            </w:tc>
          </w:tr>
          <w:tr w:rsidR="00AB6157" w:rsidRPr="00B8572C" w14:paraId="76D253F5" w14:textId="77777777" w:rsidTr="00D13661">
            <w:trPr>
              <w:trHeight w:hRule="exact" w:val="747"/>
            </w:trPr>
            <w:tc>
              <w:tcPr>
                <w:tcW w:w="10490" w:type="dxa"/>
                <w:tcMar>
                  <w:top w:w="142" w:type="dxa"/>
                </w:tcMar>
              </w:tcPr>
              <w:p w14:paraId="1317ADC8" w14:textId="2C37C777" w:rsidR="0063070E" w:rsidRDefault="0063070E" w:rsidP="0063070E">
                <w:pPr>
                  <w:pStyle w:val="Untertitel"/>
                  <w:rPr>
                    <w:rFonts w:cs="Arial"/>
                  </w:rPr>
                </w:pPr>
                <w:r>
                  <w:rPr>
                    <w:rFonts w:cs="Arial"/>
                  </w:rPr>
                  <w:t xml:space="preserve">MiFID II review report on position limits and position management </w:t>
                </w:r>
              </w:p>
              <w:p w14:paraId="2CBF8F9B" w14:textId="2B39453C" w:rsidR="0063070E" w:rsidRDefault="0063070E" w:rsidP="0063070E">
                <w:pPr>
                  <w:pStyle w:val="Untertitel"/>
                  <w:rPr>
                    <w:rFonts w:cs="Arial"/>
                  </w:rPr>
                </w:pPr>
                <w:r>
                  <w:rPr>
                    <w:rFonts w:cs="Arial"/>
                  </w:rPr>
                  <w:t>Draft Technical Advice on weekly position reports</w:t>
                </w:r>
              </w:p>
              <w:p w14:paraId="72EBF426" w14:textId="641E1005" w:rsidR="0063070E" w:rsidRPr="0063070E" w:rsidRDefault="0063070E" w:rsidP="0063070E"/>
              <w:p w14:paraId="26CF3934" w14:textId="5F517F25" w:rsidR="00AB6157" w:rsidRPr="00B8572C" w:rsidRDefault="00AB6157" w:rsidP="00AB6157">
                <w:pPr>
                  <w:pStyle w:val="berschrift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ESMA invites comments on all matters in this paper and in particular on the specific questions summarised in Annex 1.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9490734"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w:t>
          </w:r>
          <w:r w:rsidRPr="002C56FD">
            <w:rPr>
              <w:rFonts w:asciiTheme="minorHAnsi" w:eastAsiaTheme="minorEastAsia" w:hAnsiTheme="minorHAnsi" w:cstheme="minorBidi"/>
              <w:sz w:val="22"/>
              <w:szCs w:val="20"/>
              <w:lang w:eastAsia="en-US"/>
            </w:rPr>
            <w:t>received by</w:t>
          </w:r>
          <w:r w:rsidRPr="002C56FD">
            <w:rPr>
              <w:rFonts w:asciiTheme="minorHAnsi" w:eastAsiaTheme="minorEastAsia" w:hAnsiTheme="minorHAnsi" w:cstheme="minorBidi"/>
              <w:b/>
              <w:sz w:val="22"/>
              <w:szCs w:val="20"/>
              <w:lang w:eastAsia="en-US"/>
            </w:rPr>
            <w:t xml:space="preserve"> </w:t>
          </w:r>
          <w:r w:rsidR="00223F79" w:rsidRPr="002C56FD">
            <w:rPr>
              <w:rFonts w:asciiTheme="minorHAnsi" w:eastAsiaTheme="minorEastAsia" w:hAnsiTheme="minorHAnsi" w:cstheme="minorBidi"/>
              <w:b/>
              <w:sz w:val="22"/>
              <w:szCs w:val="20"/>
              <w:lang w:eastAsia="en-US"/>
            </w:rPr>
            <w:t>8</w:t>
          </w:r>
          <w:r w:rsidR="009C3F1A" w:rsidRPr="002C56FD">
            <w:rPr>
              <w:rFonts w:asciiTheme="minorHAnsi" w:eastAsiaTheme="minorEastAsia" w:hAnsiTheme="minorHAnsi" w:cstheme="minorBidi"/>
              <w:b/>
              <w:sz w:val="22"/>
              <w:szCs w:val="20"/>
              <w:lang w:eastAsia="en-US"/>
            </w:rPr>
            <w:t xml:space="preserve"> January </w:t>
          </w:r>
          <w:r w:rsidRPr="002C56FD">
            <w:rPr>
              <w:rFonts w:asciiTheme="minorHAnsi" w:eastAsiaTheme="minorEastAsia" w:hAnsiTheme="minorHAnsi" w:cstheme="minorBidi"/>
              <w:b/>
              <w:sz w:val="22"/>
              <w:szCs w:val="20"/>
              <w:lang w:eastAsia="en-US"/>
            </w:rPr>
            <w:t>20</w:t>
          </w:r>
          <w:r w:rsidR="009C3F1A" w:rsidRPr="002C56FD">
            <w:rPr>
              <w:rFonts w:asciiTheme="minorHAnsi" w:eastAsiaTheme="minorEastAsia" w:hAnsiTheme="minorHAnsi" w:cstheme="minorBidi"/>
              <w:b/>
              <w:sz w:val="22"/>
              <w:szCs w:val="20"/>
              <w:lang w:eastAsia="en-US"/>
            </w:rPr>
            <w:t>20</w:t>
          </w:r>
          <w:r w:rsidRPr="002C56FD">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209BDB6C"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5"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Please follow the instructions given in the document ‘Reply form for the </w:t>
          </w:r>
          <w:r w:rsidR="009C3F1A">
            <w:rPr>
              <w:rFonts w:asciiTheme="minorHAnsi" w:eastAsiaTheme="minorEastAsia" w:hAnsiTheme="minorHAnsi" w:cstheme="minorBidi"/>
              <w:sz w:val="22"/>
              <w:szCs w:val="20"/>
              <w:lang w:eastAsia="en-US"/>
            </w:rPr>
            <w:t>consultation paper o</w:t>
          </w:r>
          <w:r w:rsidRPr="00AB6157">
            <w:rPr>
              <w:rFonts w:asciiTheme="minorHAnsi" w:eastAsiaTheme="minorEastAsia" w:hAnsiTheme="minorHAnsi" w:cstheme="minorBidi"/>
              <w:sz w:val="22"/>
              <w:szCs w:val="20"/>
              <w:lang w:eastAsia="en-US"/>
            </w:rPr>
            <w:t xml:space="preserve">n </w:t>
          </w:r>
          <w:r w:rsidR="009C3F1A">
            <w:rPr>
              <w:rFonts w:asciiTheme="minorHAnsi" w:eastAsiaTheme="minorEastAsia" w:hAnsiTheme="minorHAnsi" w:cstheme="minorBidi"/>
              <w:sz w:val="22"/>
              <w:szCs w:val="20"/>
              <w:lang w:eastAsia="en-US"/>
            </w:rPr>
            <w:t>“</w:t>
          </w:r>
          <w:r w:rsidR="009C3F1A" w:rsidRPr="009C3F1A">
            <w:rPr>
              <w:rFonts w:asciiTheme="minorHAnsi" w:eastAsiaTheme="minorEastAsia" w:hAnsiTheme="minorHAnsi" w:cstheme="minorBidi"/>
              <w:color w:val="2F5496" w:themeColor="accent5" w:themeShade="BF"/>
              <w:sz w:val="22"/>
              <w:szCs w:val="20"/>
              <w:lang w:eastAsia="en-US"/>
            </w:rPr>
            <w:t xml:space="preserve">MiFID II review report on position limits and position management and </w:t>
          </w:r>
          <w:r w:rsidR="009C3F1A">
            <w:rPr>
              <w:rFonts w:asciiTheme="minorHAnsi" w:eastAsiaTheme="minorEastAsia" w:hAnsiTheme="minorHAnsi" w:cstheme="minorBidi"/>
              <w:color w:val="2F5496" w:themeColor="accent5" w:themeShade="BF"/>
              <w:sz w:val="22"/>
              <w:szCs w:val="20"/>
              <w:lang w:eastAsia="en-US"/>
            </w:rPr>
            <w:t>draft technical advice on weekly position reports</w:t>
          </w:r>
          <w:r w:rsidRPr="00AB6157">
            <w:rPr>
              <w:rFonts w:asciiTheme="minorHAnsi" w:eastAsiaTheme="minorEastAsia" w:hAnsiTheme="minorHAnsi" w:cstheme="minorBidi"/>
              <w:sz w:val="22"/>
              <w:szCs w:val="20"/>
              <w:lang w:eastAsia="en-US"/>
            </w:rPr>
            <w:t>’ also published on the ESMA website.</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334CF29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w:t>
          </w:r>
          <w:r w:rsidR="009C3F1A">
            <w:rPr>
              <w:rFonts w:asciiTheme="minorHAnsi" w:eastAsiaTheme="minorEastAsia" w:hAnsiTheme="minorHAnsi" w:cstheme="minorBidi"/>
              <w:sz w:val="22"/>
              <w:szCs w:val="20"/>
              <w:lang w:eastAsia="en-US"/>
            </w:rPr>
            <w:t xml:space="preserve"> </w:t>
          </w:r>
          <w:r w:rsidR="00223F79">
            <w:rPr>
              <w:rFonts w:asciiTheme="minorHAnsi" w:eastAsiaTheme="minorEastAsia" w:hAnsiTheme="minorHAnsi" w:cstheme="minorBidi"/>
              <w:sz w:val="22"/>
              <w:szCs w:val="20"/>
              <w:lang w:eastAsia="en-US"/>
            </w:rPr>
            <w:t>C</w:t>
          </w:r>
          <w:r w:rsidR="009C3F1A">
            <w:rPr>
              <w:rFonts w:asciiTheme="minorHAnsi" w:eastAsiaTheme="minorEastAsia" w:hAnsiTheme="minorHAnsi" w:cstheme="minorBidi"/>
              <w:sz w:val="22"/>
              <w:szCs w:val="20"/>
              <w:lang w:eastAsia="en-US"/>
            </w:rPr>
            <w:t>onsultation paper</w:t>
          </w:r>
          <w:r w:rsidRPr="00C85C8B">
            <w:rPr>
              <w:rFonts w:asciiTheme="minorHAnsi" w:eastAsiaTheme="minorEastAsia" w:hAnsiTheme="minorHAnsi" w:cstheme="minorBidi"/>
              <w:sz w:val="22"/>
              <w:szCs w:val="20"/>
              <w:lang w:eastAsia="en-US"/>
            </w:rPr>
            <w:t>, respondents are requested to follow the below steps when preparing and submitting their response:</w:t>
          </w:r>
        </w:p>
        <w:p w14:paraId="1200930E" w14:textId="7324BCF9" w:rsidR="00C85C8B" w:rsidRPr="00C85C8B" w:rsidRDefault="00C85C8B" w:rsidP="00E7297E">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w:t>
          </w:r>
          <w:r w:rsidR="00223F79">
            <w:rPr>
              <w:rFonts w:eastAsiaTheme="minorEastAsia" w:cstheme="minorBidi"/>
              <w:szCs w:val="20"/>
              <w:lang w:eastAsia="en-US"/>
            </w:rPr>
            <w:t>C</w:t>
          </w:r>
          <w:r w:rsidR="009C3F1A">
            <w:rPr>
              <w:rFonts w:eastAsiaTheme="minorEastAsia" w:cstheme="minorBidi"/>
              <w:szCs w:val="20"/>
              <w:lang w:eastAsia="en-US"/>
            </w:rPr>
            <w:t xml:space="preserve">onsultation paper </w:t>
          </w:r>
          <w:r w:rsidRPr="00C85C8B">
            <w:rPr>
              <w:rFonts w:eastAsiaTheme="minorEastAsia" w:cstheme="minorBidi"/>
              <w:szCs w:val="20"/>
              <w:lang w:eastAsia="en-US"/>
            </w:rPr>
            <w:t xml:space="preserve">in the present response form. </w:t>
          </w:r>
        </w:p>
        <w:p w14:paraId="3B16398E" w14:textId="1D970CA3"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D5365A">
            <w:rPr>
              <w:rFonts w:eastAsiaTheme="minorEastAsia" w:cstheme="minorBidi"/>
              <w:szCs w:val="20"/>
              <w:lang w:eastAsia="en-US"/>
            </w:rPr>
            <w:t>WPR</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E8DA51F"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D5365A">
            <w:rPr>
              <w:rFonts w:eastAsiaTheme="minorEastAsia" w:cstheme="minorBidi"/>
              <w:szCs w:val="20"/>
              <w:lang w:eastAsia="en-US"/>
            </w:rPr>
            <w:t>WPR</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w:t>
          </w:r>
          <w:bookmarkStart w:id="0" w:name="_GoBack"/>
          <w:r>
            <w:rPr>
              <w:rFonts w:eastAsiaTheme="minorEastAsia" w:cstheme="minorBidi"/>
              <w:szCs w:val="20"/>
              <w:lang w:eastAsia="en-US"/>
            </w:rPr>
            <w:t>ESMA_</w:t>
          </w:r>
          <w:r w:rsidR="00D5365A">
            <w:rPr>
              <w:rFonts w:eastAsiaTheme="minorEastAsia" w:cstheme="minorBidi"/>
              <w:szCs w:val="20"/>
              <w:lang w:eastAsia="en-US"/>
            </w:rPr>
            <w:t>WPR</w:t>
          </w:r>
          <w:r w:rsidRPr="00C85C8B">
            <w:rPr>
              <w:rFonts w:eastAsiaTheme="minorEastAsia" w:cstheme="minorBidi"/>
              <w:szCs w:val="20"/>
              <w:lang w:eastAsia="en-US"/>
            </w:rPr>
            <w:t>_ABCD_RESPONSEFORM.</w:t>
          </w:r>
          <w:bookmarkEnd w:id="0"/>
        </w:p>
        <w:p w14:paraId="1A9C59D6" w14:textId="013251ED"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6"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w:t>
          </w:r>
          <w:r w:rsidR="000F74C4">
            <w:rPr>
              <w:rFonts w:eastAsiaTheme="minorEastAsia" w:cstheme="minorBidi"/>
              <w:szCs w:val="20"/>
              <w:lang w:eastAsia="en-US"/>
            </w:rPr>
            <w:t xml:space="preserve">all for Evidence </w:t>
          </w:r>
          <w:r w:rsidRPr="00C85C8B">
            <w:rPr>
              <w:rFonts w:eastAsiaTheme="minorEastAsia" w:cstheme="minorBidi"/>
              <w:szCs w:val="20"/>
              <w:lang w:eastAsia="en-US"/>
            </w:rPr>
            <w:t xml:space="preserve">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7"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8"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5B44E0DB"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trading venues, investment firms and non-financial counterparties trading in commodity derivatives, but responses are also sought from any other market participant including trade associations, industry bodies and investors.</w:t>
          </w:r>
        </w:p>
        <w:p w14:paraId="14912E5E" w14:textId="1CE85474" w:rsidR="00AF2EF7" w:rsidRPr="00B8572C" w:rsidRDefault="00CC2240"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berschrift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1"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val="de-DE" w:eastAsia="de-DE"/>
            </w:rPr>
            <w:id w:val="-1905066999"/>
            <w:text/>
          </w:sdtPr>
          <w:sdtEndPr/>
          <w:sdtContent>
            <w:tc>
              <w:tcPr>
                <w:tcW w:w="5595" w:type="dxa"/>
                <w:shd w:val="clear" w:color="auto" w:fill="auto"/>
              </w:tcPr>
              <w:p w14:paraId="1B67440D" w14:textId="2BBF2C1B" w:rsidR="00C85C8B" w:rsidRPr="00CC2240" w:rsidRDefault="00CC2240" w:rsidP="00C85C8B">
                <w:pPr>
                  <w:rPr>
                    <w:rFonts w:ascii="Arial" w:hAnsi="Arial" w:cs="Arial"/>
                    <w:color w:val="808080"/>
                    <w:sz w:val="20"/>
                    <w:lang w:val="de-DE" w:eastAsia="de-DE"/>
                  </w:rPr>
                </w:pPr>
                <w:r w:rsidRPr="00CC2240">
                  <w:rPr>
                    <w:rFonts w:ascii="Arial" w:hAnsi="Arial" w:cs="Arial"/>
                    <w:color w:val="808080"/>
                    <w:sz w:val="20"/>
                    <w:lang w:val="de-DE" w:eastAsia="de-DE"/>
                  </w:rPr>
                  <w:t>EnBW Energie Baden-Württemberg A</w:t>
                </w:r>
                <w:r>
                  <w:rPr>
                    <w:rFonts w:ascii="Arial" w:hAnsi="Arial" w:cs="Arial"/>
                    <w:color w:val="808080"/>
                    <w:sz w:val="20"/>
                    <w:lang w:val="de-DE" w:eastAsia="de-DE"/>
                  </w:rPr>
                  <w:t>G</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224D3655" w:rsidR="00C85C8B" w:rsidRPr="00C85C8B" w:rsidRDefault="00CC2240"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ascii="Arial" w:hAnsi="Arial" w:cs="Arial"/>
                    <w:sz w:val="20"/>
                    <w:lang w:eastAsia="de-DE"/>
                  </w:rPr>
                  <w:t>Non-financial counterparty</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1ACD1D27" w:rsidR="00C85C8B" w:rsidRPr="00C85C8B" w:rsidRDefault="00CC2240" w:rsidP="00C85C8B">
                <w:pPr>
                  <w:rPr>
                    <w:rFonts w:ascii="Arial" w:hAnsi="Arial" w:cs="Arial"/>
                    <w:sz w:val="20"/>
                    <w:lang w:eastAsia="de-DE"/>
                  </w:rPr>
                </w:pPr>
                <w:r>
                  <w:rPr>
                    <w:rFonts w:ascii="Arial" w:hAnsi="Arial" w:cs="Arial"/>
                    <w:sz w:val="20"/>
                    <w:lang w:eastAsia="de-DE"/>
                  </w:rPr>
                  <w:t>Germany</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21EEEC9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theme="minorBidi"/>
          <w:sz w:val="22"/>
          <w:szCs w:val="20"/>
          <w:lang w:eastAsia="en-US"/>
        </w:rPr>
        <w:t>WPR</w:t>
      </w:r>
      <w:r w:rsidRPr="00C85C8B">
        <w:rPr>
          <w:rFonts w:asciiTheme="minorHAnsi" w:eastAsiaTheme="minorEastAsia" w:hAnsiTheme="minorHAnsi" w:cstheme="minorBidi"/>
          <w:sz w:val="22"/>
          <w:szCs w:val="20"/>
          <w:lang w:eastAsia="en-US"/>
        </w:rPr>
        <w:t>_1&gt;</w:t>
      </w:r>
    </w:p>
    <w:p w14:paraId="02AF2FF9" w14:textId="77777777" w:rsidR="00C85C8B" w:rsidRPr="00C85C8B" w:rsidRDefault="00C85C8B" w:rsidP="00C85C8B">
      <w:pPr>
        <w:spacing w:after="250" w:line="276" w:lineRule="auto"/>
        <w:jc w:val="both"/>
        <w:rPr>
          <w:rFonts w:ascii="Arial" w:eastAsiaTheme="minorEastAsia" w:hAnsi="Arial" w:cs="Arial"/>
          <w:sz w:val="22"/>
          <w:szCs w:val="20"/>
          <w:lang w:eastAsia="en-US"/>
        </w:rPr>
      </w:pPr>
      <w:permStart w:id="885457707" w:edGrp="everyone"/>
      <w:r w:rsidRPr="00C85C8B">
        <w:rPr>
          <w:rFonts w:ascii="Arial" w:eastAsiaTheme="minorEastAsia" w:hAnsi="Arial" w:cs="Arial"/>
          <w:sz w:val="22"/>
          <w:szCs w:val="20"/>
          <w:lang w:eastAsia="en-US"/>
        </w:rPr>
        <w:t>TYPE YOUR TEXT HERE</w:t>
      </w:r>
    </w:p>
    <w:permEnd w:id="885457707"/>
    <w:p w14:paraId="15D00E65" w14:textId="12BB6964"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Arial"/>
          <w:sz w:val="22"/>
          <w:szCs w:val="20"/>
          <w:lang w:eastAsia="en-US"/>
        </w:rPr>
        <w:t>WPR</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6708E7F3"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5BB748F7" w14:textId="18FE1F4F" w:rsidR="00D5365A" w:rsidRDefault="00D5365A" w:rsidP="00C1698A">
      <w:pPr>
        <w:spacing w:line="276" w:lineRule="auto"/>
        <w:rPr>
          <w:rFonts w:asciiTheme="minorHAnsi" w:hAnsiTheme="minorHAnsi" w:cstheme="minorHAnsi"/>
          <w:b/>
          <w:sz w:val="28"/>
          <w:szCs w:val="28"/>
        </w:rPr>
      </w:pPr>
    </w:p>
    <w:p w14:paraId="78C87C24" w14:textId="77777777" w:rsidR="00D5365A" w:rsidRPr="002847A4" w:rsidRDefault="00D5365A" w:rsidP="00D5365A">
      <w:pPr>
        <w:rPr>
          <w:b/>
        </w:rPr>
      </w:pPr>
      <w:r w:rsidRPr="002847A4">
        <w:rPr>
          <w:b/>
        </w:rPr>
        <w:t>Part I</w:t>
      </w:r>
    </w:p>
    <w:p w14:paraId="6803E72C" w14:textId="77777777" w:rsidR="00D5365A" w:rsidRDefault="00D5365A" w:rsidP="00C1698A">
      <w:pPr>
        <w:spacing w:line="276" w:lineRule="auto"/>
        <w:rPr>
          <w:rFonts w:asciiTheme="minorHAnsi" w:hAnsiTheme="minorHAnsi" w:cstheme="minorHAnsi"/>
          <w:b/>
          <w:sz w:val="28"/>
          <w:szCs w:val="28"/>
        </w:rPr>
      </w:pPr>
    </w:p>
    <w:p w14:paraId="31CCCD1B" w14:textId="77777777" w:rsidR="00D5365A" w:rsidRDefault="00D5365A" w:rsidP="00D5365A">
      <w:pPr>
        <w:pStyle w:val="Questionstyle"/>
        <w:numPr>
          <w:ilvl w:val="0"/>
          <w:numId w:val="17"/>
        </w:numPr>
        <w:spacing w:after="250" w:line="276" w:lineRule="auto"/>
      </w:pPr>
      <w:r>
        <w:t>: Which option (Option 1 or Option 2) do you support for dealing with competing contracts? Please explain why. If you support Option 1, do you have any suggestions for amending the definition of “same contract” in Article 5(1) of RTS 21?  If you support another alternative, please explain which one and why.</w:t>
      </w:r>
    </w:p>
    <w:p w14:paraId="18E545B3" w14:textId="77777777" w:rsidR="00D5365A" w:rsidRDefault="00D5365A" w:rsidP="00D5365A">
      <w:pPr>
        <w:rPr>
          <w:rFonts w:ascii="Arial" w:hAnsi="Arial" w:cs="Arial"/>
        </w:rPr>
      </w:pPr>
      <w:r>
        <w:rPr>
          <w:rFonts w:ascii="Arial" w:hAnsi="Arial" w:cs="Arial"/>
        </w:rPr>
        <w:t>&lt;ESMA_QUESTION_WPR_1&gt;</w:t>
      </w:r>
    </w:p>
    <w:p w14:paraId="64BDAC2F" w14:textId="77777777" w:rsidR="00CC2240" w:rsidRDefault="00CC2240" w:rsidP="00D5365A">
      <w:pPr>
        <w:rPr>
          <w:rFonts w:ascii="EnBW DIN Pro" w:hAnsi="EnBW DIN Pro" w:cs="EnBW DIN Pro"/>
          <w:bCs/>
          <w:szCs w:val="22"/>
          <w:lang w:val="en-US"/>
        </w:rPr>
      </w:pPr>
      <w:permStart w:id="1245597596" w:edGrp="everyone"/>
      <w:r w:rsidRPr="00366260">
        <w:rPr>
          <w:rFonts w:ascii="EnBW DIN Pro" w:hAnsi="EnBW DIN Pro" w:cs="EnBW DIN Pro"/>
          <w:bCs/>
          <w:szCs w:val="22"/>
          <w:lang w:val="en-US"/>
        </w:rPr>
        <w:t xml:space="preserve">We </w:t>
      </w:r>
      <w:proofErr w:type="spellStart"/>
      <w:r w:rsidRPr="00366260">
        <w:rPr>
          <w:rFonts w:ascii="EnBW DIN Pro" w:hAnsi="EnBW DIN Pro" w:cs="EnBW DIN Pro"/>
          <w:bCs/>
          <w:szCs w:val="22"/>
          <w:lang w:val="en-US"/>
        </w:rPr>
        <w:t>favour</w:t>
      </w:r>
      <w:proofErr w:type="spellEnd"/>
      <w:r w:rsidRPr="00366260">
        <w:rPr>
          <w:rFonts w:ascii="EnBW DIN Pro" w:hAnsi="EnBW DIN Pro" w:cs="EnBW DIN Pro"/>
          <w:bCs/>
          <w:szCs w:val="22"/>
          <w:lang w:val="en-US"/>
        </w:rPr>
        <w:t xml:space="preserve"> Option 2 where limits remain separate and continue to be set by the respective NCAs. This seems to be an adequate approach that allows ab easier implementation and monitoring of limits. Allowing the NCA of the less liquid trading venue(s) to set the other months’ limit at 25% of the open interest on the most liquid market will be an effective mechanism to promote a level playing field between trading venues and adequate choice to market participants.</w:t>
      </w:r>
    </w:p>
    <w:permEnd w:id="1245597596"/>
    <w:p w14:paraId="230EAD9F" w14:textId="5256BDD6" w:rsidR="00D5365A" w:rsidRDefault="00D5365A" w:rsidP="00D5365A">
      <w:pPr>
        <w:rPr>
          <w:rFonts w:ascii="Arial" w:hAnsi="Arial" w:cs="Arial"/>
        </w:rPr>
      </w:pPr>
      <w:r>
        <w:rPr>
          <w:rFonts w:ascii="Arial" w:hAnsi="Arial" w:cs="Arial"/>
        </w:rPr>
        <w:t>&lt;ESMA_QUESTION_WPR_1&gt;</w:t>
      </w:r>
    </w:p>
    <w:p w14:paraId="05277153" w14:textId="77777777" w:rsidR="00D5365A" w:rsidRDefault="00D5365A" w:rsidP="00D5365A">
      <w:pPr>
        <w:rPr>
          <w:rFonts w:ascii="Arial" w:hAnsi="Arial" w:cs="Arial"/>
        </w:rPr>
      </w:pPr>
    </w:p>
    <w:p w14:paraId="55333858" w14:textId="77777777" w:rsidR="00D5365A" w:rsidRDefault="00D5365A" w:rsidP="00D5365A">
      <w:pPr>
        <w:pStyle w:val="Questionstyle"/>
        <w:numPr>
          <w:ilvl w:val="0"/>
          <w:numId w:val="17"/>
        </w:numPr>
        <w:spacing w:after="250" w:line="276" w:lineRule="auto"/>
        <w:rPr>
          <w:rFonts w:ascii="Arial" w:hAnsi="Arial" w:cs="Arial"/>
        </w:rPr>
      </w:pPr>
      <w:r>
        <w:t>: Do you agree that the C(6) carve-out creates an unlevel playing field across trading venues and should be reconsidered? If not, please explain why.</w:t>
      </w:r>
    </w:p>
    <w:p w14:paraId="290574D7" w14:textId="77777777" w:rsidR="00D5365A" w:rsidRDefault="00D5365A" w:rsidP="00D5365A">
      <w:pPr>
        <w:rPr>
          <w:rFonts w:ascii="Arial" w:hAnsi="Arial" w:cs="Arial"/>
        </w:rPr>
      </w:pPr>
      <w:r>
        <w:rPr>
          <w:rFonts w:ascii="Arial" w:hAnsi="Arial" w:cs="Arial"/>
        </w:rPr>
        <w:t>&lt;ESMA_QUESTION_WPR_2&gt;</w:t>
      </w:r>
    </w:p>
    <w:p w14:paraId="481D09AF" w14:textId="77777777" w:rsidR="00CC2240" w:rsidRPr="00366260" w:rsidRDefault="00CC2240" w:rsidP="00CC2240">
      <w:pPr>
        <w:jc w:val="both"/>
        <w:rPr>
          <w:rFonts w:ascii="EnBW DIN Pro" w:eastAsia="Calibri" w:hAnsi="EnBW DIN Pro" w:cs="EnBW DIN Pro"/>
          <w:color w:val="403F41"/>
          <w:szCs w:val="22"/>
        </w:rPr>
      </w:pPr>
      <w:permStart w:id="311558394" w:edGrp="everyone"/>
      <w:r w:rsidRPr="00366260">
        <w:rPr>
          <w:rFonts w:ascii="EnBW DIN Pro" w:hAnsi="EnBW DIN Pro" w:cs="EnBW DIN Pro"/>
          <w:szCs w:val="22"/>
        </w:rPr>
        <w:t xml:space="preserve">We strongly disagree with the ESMA view that the </w:t>
      </w:r>
      <w:proofErr w:type="gramStart"/>
      <w:r w:rsidRPr="00366260">
        <w:rPr>
          <w:rFonts w:ascii="EnBW DIN Pro" w:hAnsi="EnBW DIN Pro" w:cs="EnBW DIN Pro"/>
          <w:szCs w:val="22"/>
        </w:rPr>
        <w:t>C(</w:t>
      </w:r>
      <w:proofErr w:type="gramEnd"/>
      <w:r w:rsidRPr="00366260">
        <w:rPr>
          <w:rFonts w:ascii="EnBW DIN Pro" w:hAnsi="EnBW DIN Pro" w:cs="EnBW DIN Pro"/>
          <w:szCs w:val="22"/>
        </w:rPr>
        <w:t xml:space="preserve">6) carve out creates an unlevel playing field across trading venues </w:t>
      </w:r>
      <w:r w:rsidRPr="00366260">
        <w:rPr>
          <w:rFonts w:ascii="EnBW DIN Pro" w:eastAsia="Calibri" w:hAnsi="EnBW DIN Pro" w:cs="EnBW DIN Pro"/>
          <w:color w:val="403F41"/>
          <w:szCs w:val="22"/>
        </w:rPr>
        <w:t>a</w:t>
      </w:r>
      <w:r w:rsidRPr="00366260">
        <w:rPr>
          <w:rFonts w:ascii="EnBW DIN Pro" w:eastAsia="Calibri" w:hAnsi="EnBW DIN Pro" w:cs="EnBW DIN Pro"/>
          <w:color w:val="403F41"/>
          <w:spacing w:val="-1"/>
          <w:szCs w:val="22"/>
        </w:rPr>
        <w:t>n</w:t>
      </w:r>
      <w:r w:rsidRPr="00366260">
        <w:rPr>
          <w:rFonts w:ascii="EnBW DIN Pro" w:eastAsia="Calibri" w:hAnsi="EnBW DIN Pro" w:cs="EnBW DIN Pro"/>
          <w:color w:val="403F41"/>
          <w:szCs w:val="22"/>
        </w:rPr>
        <w:t>d</w:t>
      </w:r>
      <w:r w:rsidRPr="00366260">
        <w:rPr>
          <w:rFonts w:ascii="EnBW DIN Pro" w:hAnsi="EnBW DIN Pro" w:cs="EnBW DIN Pro"/>
          <w:color w:val="403F41"/>
          <w:spacing w:val="2"/>
          <w:szCs w:val="22"/>
        </w:rPr>
        <w:t xml:space="preserve"> </w:t>
      </w:r>
      <w:r w:rsidRPr="00366260">
        <w:rPr>
          <w:rFonts w:ascii="EnBW DIN Pro" w:eastAsia="Calibri" w:hAnsi="EnBW DIN Pro" w:cs="EnBW DIN Pro"/>
          <w:color w:val="403F41"/>
          <w:spacing w:val="-1"/>
          <w:szCs w:val="22"/>
        </w:rPr>
        <w:t>h</w:t>
      </w:r>
      <w:r w:rsidRPr="00366260">
        <w:rPr>
          <w:rFonts w:ascii="EnBW DIN Pro" w:eastAsia="Calibri" w:hAnsi="EnBW DIN Pro" w:cs="EnBW DIN Pro"/>
          <w:color w:val="403F41"/>
          <w:szCs w:val="22"/>
        </w:rPr>
        <w:t>as</w:t>
      </w:r>
      <w:r w:rsidRPr="00366260">
        <w:rPr>
          <w:rFonts w:ascii="EnBW DIN Pro" w:hAnsi="EnBW DIN Pro" w:cs="EnBW DIN Pro"/>
          <w:color w:val="403F41"/>
          <w:spacing w:val="3"/>
          <w:szCs w:val="22"/>
        </w:rPr>
        <w:t xml:space="preserve"> </w:t>
      </w:r>
      <w:r w:rsidRPr="00366260">
        <w:rPr>
          <w:rFonts w:ascii="EnBW DIN Pro" w:eastAsia="Calibri" w:hAnsi="EnBW DIN Pro" w:cs="EnBW DIN Pro"/>
          <w:color w:val="403F41"/>
          <w:szCs w:val="22"/>
        </w:rPr>
        <w:t>l</w:t>
      </w:r>
      <w:r w:rsidRPr="00366260">
        <w:rPr>
          <w:rFonts w:ascii="EnBW DIN Pro" w:eastAsia="Calibri" w:hAnsi="EnBW DIN Pro" w:cs="EnBW DIN Pro"/>
          <w:color w:val="403F41"/>
          <w:spacing w:val="1"/>
          <w:szCs w:val="22"/>
        </w:rPr>
        <w:t>e</w:t>
      </w:r>
      <w:r w:rsidRPr="00366260">
        <w:rPr>
          <w:rFonts w:ascii="EnBW DIN Pro" w:eastAsia="Calibri" w:hAnsi="EnBW DIN Pro" w:cs="EnBW DIN Pro"/>
          <w:color w:val="403F41"/>
          <w:szCs w:val="22"/>
        </w:rPr>
        <w:t>d</w:t>
      </w:r>
      <w:r w:rsidRPr="00366260">
        <w:rPr>
          <w:rFonts w:ascii="EnBW DIN Pro" w:hAnsi="EnBW DIN Pro" w:cs="EnBW DIN Pro"/>
          <w:color w:val="403F41"/>
          <w:szCs w:val="22"/>
        </w:rPr>
        <w:t xml:space="preserve"> </w:t>
      </w:r>
      <w:r w:rsidRPr="00366260">
        <w:rPr>
          <w:rFonts w:ascii="EnBW DIN Pro" w:eastAsia="Calibri" w:hAnsi="EnBW DIN Pro" w:cs="EnBW DIN Pro"/>
          <w:color w:val="403F41"/>
          <w:szCs w:val="22"/>
        </w:rPr>
        <w:t>to</w:t>
      </w:r>
      <w:r w:rsidRPr="00366260">
        <w:rPr>
          <w:rFonts w:ascii="EnBW DIN Pro" w:hAnsi="EnBW DIN Pro" w:cs="EnBW DIN Pro"/>
          <w:color w:val="403F41"/>
          <w:spacing w:val="2"/>
          <w:szCs w:val="22"/>
        </w:rPr>
        <w:t xml:space="preserve"> </w:t>
      </w:r>
      <w:r w:rsidRPr="00366260">
        <w:rPr>
          <w:rFonts w:ascii="EnBW DIN Pro" w:eastAsia="Calibri" w:hAnsi="EnBW DIN Pro" w:cs="EnBW DIN Pro"/>
          <w:color w:val="403F41"/>
          <w:szCs w:val="22"/>
        </w:rPr>
        <w:t>a</w:t>
      </w:r>
      <w:r w:rsidRPr="00366260">
        <w:rPr>
          <w:rFonts w:ascii="EnBW DIN Pro" w:hAnsi="EnBW DIN Pro" w:cs="EnBW DIN Pro"/>
          <w:color w:val="403F41"/>
          <w:spacing w:val="3"/>
          <w:szCs w:val="22"/>
        </w:rPr>
        <w:t xml:space="preserve"> </w:t>
      </w:r>
      <w:r w:rsidRPr="00366260">
        <w:rPr>
          <w:rFonts w:ascii="EnBW DIN Pro" w:eastAsia="Calibri" w:hAnsi="EnBW DIN Pro" w:cs="EnBW DIN Pro"/>
          <w:color w:val="403F41"/>
          <w:szCs w:val="22"/>
        </w:rPr>
        <w:t>s</w:t>
      </w:r>
      <w:r w:rsidRPr="00366260">
        <w:rPr>
          <w:rFonts w:ascii="EnBW DIN Pro" w:eastAsia="Calibri" w:hAnsi="EnBW DIN Pro" w:cs="EnBW DIN Pro"/>
          <w:color w:val="403F41"/>
          <w:spacing w:val="-1"/>
          <w:szCs w:val="22"/>
        </w:rPr>
        <w:t>h</w:t>
      </w:r>
      <w:r w:rsidRPr="00366260">
        <w:rPr>
          <w:rFonts w:ascii="EnBW DIN Pro" w:eastAsia="Calibri" w:hAnsi="EnBW DIN Pro" w:cs="EnBW DIN Pro"/>
          <w:color w:val="403F41"/>
          <w:szCs w:val="22"/>
        </w:rPr>
        <w:t>ift</w:t>
      </w:r>
      <w:r w:rsidRPr="00366260">
        <w:rPr>
          <w:rFonts w:ascii="EnBW DIN Pro" w:hAnsi="EnBW DIN Pro" w:cs="EnBW DIN Pro"/>
          <w:color w:val="403F41"/>
          <w:spacing w:val="4"/>
          <w:szCs w:val="22"/>
        </w:rPr>
        <w:t xml:space="preserve"> </w:t>
      </w:r>
      <w:r w:rsidRPr="00366260">
        <w:rPr>
          <w:rFonts w:ascii="EnBW DIN Pro" w:eastAsia="Calibri" w:hAnsi="EnBW DIN Pro" w:cs="EnBW DIN Pro"/>
          <w:color w:val="403F41"/>
          <w:spacing w:val="1"/>
          <w:szCs w:val="22"/>
        </w:rPr>
        <w:t>o</w:t>
      </w:r>
      <w:r w:rsidRPr="00366260">
        <w:rPr>
          <w:rFonts w:ascii="EnBW DIN Pro" w:eastAsia="Calibri" w:hAnsi="EnBW DIN Pro" w:cs="EnBW DIN Pro"/>
          <w:color w:val="403F41"/>
          <w:szCs w:val="22"/>
        </w:rPr>
        <w:t>f</w:t>
      </w:r>
      <w:r w:rsidRPr="00366260">
        <w:rPr>
          <w:rFonts w:ascii="EnBW DIN Pro" w:hAnsi="EnBW DIN Pro" w:cs="EnBW DIN Pro"/>
          <w:color w:val="403F41"/>
          <w:spacing w:val="1"/>
          <w:szCs w:val="22"/>
        </w:rPr>
        <w:t xml:space="preserve"> </w:t>
      </w:r>
      <w:r w:rsidRPr="00366260">
        <w:rPr>
          <w:rFonts w:ascii="EnBW DIN Pro" w:eastAsia="Calibri" w:hAnsi="EnBW DIN Pro" w:cs="EnBW DIN Pro"/>
          <w:color w:val="403F41"/>
          <w:szCs w:val="22"/>
        </w:rPr>
        <w:t>tra</w:t>
      </w:r>
      <w:r w:rsidRPr="00366260">
        <w:rPr>
          <w:rFonts w:ascii="EnBW DIN Pro" w:eastAsia="Calibri" w:hAnsi="EnBW DIN Pro" w:cs="EnBW DIN Pro"/>
          <w:color w:val="403F41"/>
          <w:spacing w:val="-1"/>
          <w:szCs w:val="22"/>
        </w:rPr>
        <w:t>d</w:t>
      </w:r>
      <w:r w:rsidRPr="00366260">
        <w:rPr>
          <w:rFonts w:ascii="EnBW DIN Pro" w:eastAsia="Calibri" w:hAnsi="EnBW DIN Pro" w:cs="EnBW DIN Pro"/>
          <w:color w:val="403F41"/>
          <w:szCs w:val="22"/>
        </w:rPr>
        <w:t>i</w:t>
      </w:r>
      <w:r w:rsidRPr="00366260">
        <w:rPr>
          <w:rFonts w:ascii="EnBW DIN Pro" w:eastAsia="Calibri" w:hAnsi="EnBW DIN Pro" w:cs="EnBW DIN Pro"/>
          <w:color w:val="403F41"/>
          <w:spacing w:val="-1"/>
          <w:szCs w:val="22"/>
        </w:rPr>
        <w:t>n</w:t>
      </w:r>
      <w:r w:rsidRPr="00366260">
        <w:rPr>
          <w:rFonts w:ascii="EnBW DIN Pro" w:eastAsia="Calibri" w:hAnsi="EnBW DIN Pro" w:cs="EnBW DIN Pro"/>
          <w:color w:val="403F41"/>
          <w:szCs w:val="22"/>
        </w:rPr>
        <w:t>g</w:t>
      </w:r>
      <w:r w:rsidRPr="00366260">
        <w:rPr>
          <w:rFonts w:ascii="EnBW DIN Pro" w:hAnsi="EnBW DIN Pro" w:cs="EnBW DIN Pro"/>
          <w:color w:val="403F41"/>
          <w:szCs w:val="22"/>
        </w:rPr>
        <w:t xml:space="preserve"> </w:t>
      </w:r>
      <w:r w:rsidRPr="00366260">
        <w:rPr>
          <w:rFonts w:ascii="EnBW DIN Pro" w:eastAsia="Calibri" w:hAnsi="EnBW DIN Pro" w:cs="EnBW DIN Pro"/>
          <w:color w:val="403F41"/>
          <w:spacing w:val="1"/>
          <w:szCs w:val="22"/>
        </w:rPr>
        <w:t>vo</w:t>
      </w:r>
      <w:r w:rsidRPr="00366260">
        <w:rPr>
          <w:rFonts w:ascii="EnBW DIN Pro" w:eastAsia="Calibri" w:hAnsi="EnBW DIN Pro" w:cs="EnBW DIN Pro"/>
          <w:color w:val="403F41"/>
          <w:szCs w:val="22"/>
        </w:rPr>
        <w:t>l</w:t>
      </w:r>
      <w:r w:rsidRPr="00366260">
        <w:rPr>
          <w:rFonts w:ascii="EnBW DIN Pro" w:eastAsia="Calibri" w:hAnsi="EnBW DIN Pro" w:cs="EnBW DIN Pro"/>
          <w:color w:val="403F41"/>
          <w:spacing w:val="-3"/>
          <w:szCs w:val="22"/>
        </w:rPr>
        <w:t>u</w:t>
      </w:r>
      <w:r w:rsidRPr="00366260">
        <w:rPr>
          <w:rFonts w:ascii="EnBW DIN Pro" w:eastAsia="Calibri" w:hAnsi="EnBW DIN Pro" w:cs="EnBW DIN Pro"/>
          <w:color w:val="403F41"/>
          <w:spacing w:val="1"/>
          <w:szCs w:val="22"/>
        </w:rPr>
        <w:t>me</w:t>
      </w:r>
      <w:r w:rsidRPr="00366260">
        <w:rPr>
          <w:rFonts w:ascii="EnBW DIN Pro" w:eastAsia="Calibri" w:hAnsi="EnBW DIN Pro" w:cs="EnBW DIN Pro"/>
          <w:color w:val="403F41"/>
          <w:szCs w:val="22"/>
        </w:rPr>
        <w:t>s</w:t>
      </w:r>
      <w:r w:rsidRPr="00366260">
        <w:rPr>
          <w:rFonts w:ascii="EnBW DIN Pro" w:hAnsi="EnBW DIN Pro" w:cs="EnBW DIN Pro"/>
          <w:color w:val="403F41"/>
          <w:szCs w:val="22"/>
        </w:rPr>
        <w:t xml:space="preserve"> </w:t>
      </w:r>
      <w:r w:rsidRPr="00366260">
        <w:rPr>
          <w:rFonts w:ascii="EnBW DIN Pro" w:eastAsia="Calibri" w:hAnsi="EnBW DIN Pro" w:cs="EnBW DIN Pro"/>
          <w:color w:val="403F41"/>
          <w:szCs w:val="22"/>
        </w:rPr>
        <w:t>t</w:t>
      </w:r>
      <w:r w:rsidRPr="00366260">
        <w:rPr>
          <w:rFonts w:ascii="EnBW DIN Pro" w:eastAsia="Calibri" w:hAnsi="EnBW DIN Pro" w:cs="EnBW DIN Pro"/>
          <w:color w:val="403F41"/>
          <w:spacing w:val="-1"/>
          <w:szCs w:val="22"/>
        </w:rPr>
        <w:t>o</w:t>
      </w:r>
      <w:r w:rsidRPr="00366260">
        <w:rPr>
          <w:rFonts w:ascii="EnBW DIN Pro" w:eastAsia="Calibri" w:hAnsi="EnBW DIN Pro" w:cs="EnBW DIN Pro"/>
          <w:color w:val="403F41"/>
          <w:spacing w:val="1"/>
          <w:szCs w:val="22"/>
        </w:rPr>
        <w:t>w</w:t>
      </w:r>
      <w:r w:rsidRPr="00366260">
        <w:rPr>
          <w:rFonts w:ascii="EnBW DIN Pro" w:eastAsia="Calibri" w:hAnsi="EnBW DIN Pro" w:cs="EnBW DIN Pro"/>
          <w:color w:val="403F41"/>
          <w:szCs w:val="22"/>
        </w:rPr>
        <w:t>ar</w:t>
      </w:r>
      <w:r w:rsidRPr="00366260">
        <w:rPr>
          <w:rFonts w:ascii="EnBW DIN Pro" w:eastAsia="Calibri" w:hAnsi="EnBW DIN Pro" w:cs="EnBW DIN Pro"/>
          <w:color w:val="403F41"/>
          <w:spacing w:val="-1"/>
          <w:szCs w:val="22"/>
        </w:rPr>
        <w:t>d</w:t>
      </w:r>
      <w:r w:rsidRPr="00366260">
        <w:rPr>
          <w:rFonts w:ascii="EnBW DIN Pro" w:eastAsia="Calibri" w:hAnsi="EnBW DIN Pro" w:cs="EnBW DIN Pro"/>
          <w:color w:val="403F41"/>
          <w:szCs w:val="22"/>
        </w:rPr>
        <w:t>s</w:t>
      </w:r>
      <w:r w:rsidRPr="00366260">
        <w:rPr>
          <w:rFonts w:ascii="EnBW DIN Pro" w:hAnsi="EnBW DIN Pro" w:cs="EnBW DIN Pro"/>
          <w:color w:val="403F41"/>
          <w:szCs w:val="22"/>
        </w:rPr>
        <w:t xml:space="preserve"> </w:t>
      </w:r>
      <w:r w:rsidRPr="00366260">
        <w:rPr>
          <w:rFonts w:ascii="EnBW DIN Pro" w:eastAsia="Calibri" w:hAnsi="EnBW DIN Pro" w:cs="EnBW DIN Pro"/>
          <w:color w:val="403F41"/>
          <w:szCs w:val="22"/>
        </w:rPr>
        <w:t>OT</w:t>
      </w:r>
      <w:r w:rsidRPr="00366260">
        <w:rPr>
          <w:rFonts w:ascii="EnBW DIN Pro" w:eastAsia="Calibri" w:hAnsi="EnBW DIN Pro" w:cs="EnBW DIN Pro"/>
          <w:color w:val="403F41"/>
          <w:spacing w:val="-1"/>
          <w:szCs w:val="22"/>
        </w:rPr>
        <w:t>F</w:t>
      </w:r>
      <w:r w:rsidRPr="00366260">
        <w:rPr>
          <w:rFonts w:ascii="EnBW DIN Pro" w:eastAsia="Calibri" w:hAnsi="EnBW DIN Pro" w:cs="EnBW DIN Pro"/>
          <w:color w:val="403F41"/>
          <w:szCs w:val="22"/>
        </w:rPr>
        <w:t>s.</w:t>
      </w:r>
      <w:r w:rsidRPr="00366260">
        <w:rPr>
          <w:rFonts w:ascii="EnBW DIN Pro" w:hAnsi="EnBW DIN Pro" w:cs="EnBW DIN Pro"/>
          <w:color w:val="403F41"/>
          <w:szCs w:val="22"/>
        </w:rPr>
        <w:t xml:space="preserve"> </w:t>
      </w:r>
      <w:r w:rsidRPr="00366260">
        <w:rPr>
          <w:rFonts w:ascii="EnBW DIN Pro" w:eastAsia="Calibri" w:hAnsi="EnBW DIN Pro" w:cs="EnBW DIN Pro"/>
          <w:color w:val="403F41"/>
          <w:spacing w:val="-1"/>
          <w:szCs w:val="22"/>
        </w:rPr>
        <w:t>Su</w:t>
      </w:r>
      <w:r w:rsidRPr="00366260">
        <w:rPr>
          <w:rFonts w:ascii="EnBW DIN Pro" w:eastAsia="Calibri" w:hAnsi="EnBW DIN Pro" w:cs="EnBW DIN Pro"/>
          <w:color w:val="403F41"/>
          <w:szCs w:val="22"/>
        </w:rPr>
        <w:t>ch</w:t>
      </w:r>
      <w:r w:rsidRPr="00366260">
        <w:rPr>
          <w:rFonts w:ascii="EnBW DIN Pro" w:hAnsi="EnBW DIN Pro" w:cs="EnBW DIN Pro"/>
          <w:color w:val="403F41"/>
          <w:spacing w:val="2"/>
          <w:szCs w:val="22"/>
        </w:rPr>
        <w:t xml:space="preserve"> </w:t>
      </w:r>
      <w:r w:rsidRPr="00366260">
        <w:rPr>
          <w:rFonts w:ascii="EnBW DIN Pro" w:eastAsia="Calibri" w:hAnsi="EnBW DIN Pro" w:cs="EnBW DIN Pro"/>
          <w:color w:val="403F41"/>
          <w:szCs w:val="22"/>
        </w:rPr>
        <w:t>c</w:t>
      </w:r>
      <w:r w:rsidRPr="00366260">
        <w:rPr>
          <w:rFonts w:ascii="EnBW DIN Pro" w:eastAsia="Calibri" w:hAnsi="EnBW DIN Pro" w:cs="EnBW DIN Pro"/>
          <w:color w:val="403F41"/>
          <w:spacing w:val="1"/>
          <w:szCs w:val="22"/>
        </w:rPr>
        <w:t>o</w:t>
      </w:r>
      <w:r w:rsidRPr="00366260">
        <w:rPr>
          <w:rFonts w:ascii="EnBW DIN Pro" w:eastAsia="Calibri" w:hAnsi="EnBW DIN Pro" w:cs="EnBW DIN Pro"/>
          <w:color w:val="403F41"/>
          <w:spacing w:val="-1"/>
          <w:szCs w:val="22"/>
        </w:rPr>
        <w:t>n</w:t>
      </w:r>
      <w:r w:rsidRPr="00366260">
        <w:rPr>
          <w:rFonts w:ascii="EnBW DIN Pro" w:eastAsia="Calibri" w:hAnsi="EnBW DIN Pro" w:cs="EnBW DIN Pro"/>
          <w:color w:val="403F41"/>
          <w:szCs w:val="22"/>
        </w:rPr>
        <w:t>cl</w:t>
      </w:r>
      <w:r w:rsidRPr="00366260">
        <w:rPr>
          <w:rFonts w:ascii="EnBW DIN Pro" w:eastAsia="Calibri" w:hAnsi="EnBW DIN Pro" w:cs="EnBW DIN Pro"/>
          <w:color w:val="403F41"/>
          <w:spacing w:val="-1"/>
          <w:szCs w:val="22"/>
        </w:rPr>
        <w:t>u</w:t>
      </w:r>
      <w:r w:rsidRPr="00366260">
        <w:rPr>
          <w:rFonts w:ascii="EnBW DIN Pro" w:eastAsia="Calibri" w:hAnsi="EnBW DIN Pro" w:cs="EnBW DIN Pro"/>
          <w:color w:val="403F41"/>
          <w:szCs w:val="22"/>
        </w:rPr>
        <w:t>si</w:t>
      </w:r>
      <w:r w:rsidRPr="00366260">
        <w:rPr>
          <w:rFonts w:ascii="EnBW DIN Pro" w:eastAsia="Calibri" w:hAnsi="EnBW DIN Pro" w:cs="EnBW DIN Pro"/>
          <w:color w:val="403F41"/>
          <w:spacing w:val="1"/>
          <w:szCs w:val="22"/>
        </w:rPr>
        <w:t>o</w:t>
      </w:r>
      <w:r w:rsidRPr="00366260">
        <w:rPr>
          <w:rFonts w:ascii="EnBW DIN Pro" w:eastAsia="Calibri" w:hAnsi="EnBW DIN Pro" w:cs="EnBW DIN Pro"/>
          <w:color w:val="403F41"/>
          <w:szCs w:val="22"/>
        </w:rPr>
        <w:t>n</w:t>
      </w:r>
      <w:r w:rsidRPr="00366260">
        <w:rPr>
          <w:rFonts w:ascii="EnBW DIN Pro" w:hAnsi="EnBW DIN Pro" w:cs="EnBW DIN Pro"/>
          <w:color w:val="403F41"/>
          <w:spacing w:val="2"/>
          <w:szCs w:val="22"/>
        </w:rPr>
        <w:t xml:space="preserve"> </w:t>
      </w:r>
      <w:r w:rsidRPr="00366260">
        <w:rPr>
          <w:rFonts w:ascii="EnBW DIN Pro" w:eastAsia="Calibri" w:hAnsi="EnBW DIN Pro" w:cs="EnBW DIN Pro"/>
          <w:color w:val="403F41"/>
          <w:spacing w:val="-3"/>
          <w:szCs w:val="22"/>
        </w:rPr>
        <w:t>n</w:t>
      </w:r>
      <w:r w:rsidRPr="00366260">
        <w:rPr>
          <w:rFonts w:ascii="EnBW DIN Pro" w:eastAsia="Calibri" w:hAnsi="EnBW DIN Pro" w:cs="EnBW DIN Pro"/>
          <w:color w:val="403F41"/>
          <w:spacing w:val="1"/>
          <w:szCs w:val="22"/>
        </w:rPr>
        <w:t>o</w:t>
      </w:r>
      <w:r w:rsidRPr="00366260">
        <w:rPr>
          <w:rFonts w:ascii="EnBW DIN Pro" w:eastAsia="Calibri" w:hAnsi="EnBW DIN Pro" w:cs="EnBW DIN Pro"/>
          <w:color w:val="403F41"/>
          <w:szCs w:val="22"/>
        </w:rPr>
        <w:t>t</w:t>
      </w:r>
      <w:r w:rsidRPr="00366260">
        <w:rPr>
          <w:rFonts w:ascii="EnBW DIN Pro" w:hAnsi="EnBW DIN Pro" w:cs="EnBW DIN Pro"/>
          <w:color w:val="403F41"/>
          <w:spacing w:val="1"/>
          <w:szCs w:val="22"/>
        </w:rPr>
        <w:t xml:space="preserve"> </w:t>
      </w:r>
      <w:r w:rsidRPr="00366260">
        <w:rPr>
          <w:rFonts w:ascii="EnBW DIN Pro" w:eastAsia="Calibri" w:hAnsi="EnBW DIN Pro" w:cs="EnBW DIN Pro"/>
          <w:color w:val="403F41"/>
          <w:spacing w:val="1"/>
          <w:szCs w:val="22"/>
        </w:rPr>
        <w:t>o</w:t>
      </w:r>
      <w:r w:rsidRPr="00366260">
        <w:rPr>
          <w:rFonts w:ascii="EnBW DIN Pro" w:eastAsia="Calibri" w:hAnsi="EnBW DIN Pro" w:cs="EnBW DIN Pro"/>
          <w:color w:val="403F41"/>
          <w:spacing w:val="-1"/>
          <w:szCs w:val="22"/>
        </w:rPr>
        <w:t>n</w:t>
      </w:r>
      <w:r w:rsidRPr="00366260">
        <w:rPr>
          <w:rFonts w:ascii="EnBW DIN Pro" w:eastAsia="Calibri" w:hAnsi="EnBW DIN Pro" w:cs="EnBW DIN Pro"/>
          <w:color w:val="403F41"/>
          <w:szCs w:val="22"/>
        </w:rPr>
        <w:t>ly</w:t>
      </w:r>
      <w:r w:rsidRPr="00366260">
        <w:rPr>
          <w:rFonts w:ascii="EnBW DIN Pro" w:hAnsi="EnBW DIN Pro" w:cs="EnBW DIN Pro"/>
          <w:color w:val="403F41"/>
          <w:spacing w:val="1"/>
          <w:szCs w:val="22"/>
        </w:rPr>
        <w:t xml:space="preserve"> </w:t>
      </w:r>
      <w:r w:rsidRPr="00366260">
        <w:rPr>
          <w:rFonts w:ascii="EnBW DIN Pro" w:eastAsia="Calibri" w:hAnsi="EnBW DIN Pro" w:cs="EnBW DIN Pro"/>
          <w:color w:val="403F41"/>
          <w:szCs w:val="22"/>
        </w:rPr>
        <w:t>i</w:t>
      </w:r>
      <w:r w:rsidRPr="00366260">
        <w:rPr>
          <w:rFonts w:ascii="EnBW DIN Pro" w:eastAsia="Calibri" w:hAnsi="EnBW DIN Pro" w:cs="EnBW DIN Pro"/>
          <w:color w:val="403F41"/>
          <w:spacing w:val="-1"/>
          <w:szCs w:val="22"/>
        </w:rPr>
        <w:t>gn</w:t>
      </w:r>
      <w:r w:rsidRPr="00366260">
        <w:rPr>
          <w:rFonts w:ascii="EnBW DIN Pro" w:eastAsia="Calibri" w:hAnsi="EnBW DIN Pro" w:cs="EnBW DIN Pro"/>
          <w:color w:val="403F41"/>
          <w:spacing w:val="1"/>
          <w:szCs w:val="22"/>
        </w:rPr>
        <w:t>o</w:t>
      </w:r>
      <w:r w:rsidRPr="00366260">
        <w:rPr>
          <w:rFonts w:ascii="EnBW DIN Pro" w:eastAsia="Calibri" w:hAnsi="EnBW DIN Pro" w:cs="EnBW DIN Pro"/>
          <w:color w:val="403F41"/>
          <w:szCs w:val="22"/>
        </w:rPr>
        <w:t>r</w:t>
      </w:r>
      <w:r w:rsidRPr="00366260">
        <w:rPr>
          <w:rFonts w:ascii="EnBW DIN Pro" w:eastAsia="Calibri" w:hAnsi="EnBW DIN Pro" w:cs="EnBW DIN Pro"/>
          <w:color w:val="403F41"/>
          <w:spacing w:val="1"/>
          <w:szCs w:val="22"/>
        </w:rPr>
        <w:t>e</w:t>
      </w:r>
      <w:r w:rsidRPr="00366260">
        <w:rPr>
          <w:rFonts w:ascii="EnBW DIN Pro" w:eastAsia="Calibri" w:hAnsi="EnBW DIN Pro" w:cs="EnBW DIN Pro"/>
          <w:color w:val="403F41"/>
          <w:szCs w:val="22"/>
        </w:rPr>
        <w:t>s</w:t>
      </w:r>
      <w:r w:rsidRPr="00366260">
        <w:rPr>
          <w:rFonts w:ascii="EnBW DIN Pro" w:hAnsi="EnBW DIN Pro" w:cs="EnBW DIN Pro"/>
          <w:color w:val="403F41"/>
          <w:szCs w:val="22"/>
        </w:rPr>
        <w:t xml:space="preserve"> </w:t>
      </w:r>
      <w:r w:rsidRPr="00366260">
        <w:rPr>
          <w:rFonts w:ascii="EnBW DIN Pro" w:eastAsia="Calibri" w:hAnsi="EnBW DIN Pro" w:cs="EnBW DIN Pro"/>
          <w:color w:val="403F41"/>
          <w:szCs w:val="22"/>
        </w:rPr>
        <w:t>t</w:t>
      </w:r>
      <w:r w:rsidRPr="00366260">
        <w:rPr>
          <w:rFonts w:ascii="EnBW DIN Pro" w:eastAsia="Calibri" w:hAnsi="EnBW DIN Pro" w:cs="EnBW DIN Pro"/>
          <w:color w:val="403F41"/>
          <w:spacing w:val="-1"/>
          <w:szCs w:val="22"/>
        </w:rPr>
        <w:t>h</w:t>
      </w:r>
      <w:r w:rsidRPr="00366260">
        <w:rPr>
          <w:rFonts w:ascii="EnBW DIN Pro" w:eastAsia="Calibri" w:hAnsi="EnBW DIN Pro" w:cs="EnBW DIN Pro"/>
          <w:color w:val="403F41"/>
          <w:szCs w:val="22"/>
        </w:rPr>
        <w:t>e</w:t>
      </w:r>
      <w:r w:rsidRPr="00366260">
        <w:rPr>
          <w:rFonts w:ascii="EnBW DIN Pro" w:hAnsi="EnBW DIN Pro" w:cs="EnBW DIN Pro"/>
          <w:color w:val="403F41"/>
          <w:spacing w:val="3"/>
          <w:szCs w:val="22"/>
        </w:rPr>
        <w:t xml:space="preserve"> </w:t>
      </w:r>
      <w:r w:rsidRPr="00366260">
        <w:rPr>
          <w:rFonts w:ascii="EnBW DIN Pro" w:eastAsia="Calibri" w:hAnsi="EnBW DIN Pro" w:cs="EnBW DIN Pro"/>
          <w:color w:val="403F41"/>
          <w:szCs w:val="22"/>
        </w:rPr>
        <w:t>f</w:t>
      </w:r>
      <w:r w:rsidRPr="00366260">
        <w:rPr>
          <w:rFonts w:ascii="EnBW DIN Pro" w:eastAsia="Calibri" w:hAnsi="EnBW DIN Pro" w:cs="EnBW DIN Pro"/>
          <w:color w:val="403F41"/>
          <w:spacing w:val="-1"/>
          <w:szCs w:val="22"/>
        </w:rPr>
        <w:t>und</w:t>
      </w:r>
      <w:r w:rsidRPr="00366260">
        <w:rPr>
          <w:rFonts w:ascii="EnBW DIN Pro" w:eastAsia="Calibri" w:hAnsi="EnBW DIN Pro" w:cs="EnBW DIN Pro"/>
          <w:color w:val="403F41"/>
          <w:szCs w:val="22"/>
        </w:rPr>
        <w:t>a</w:t>
      </w:r>
      <w:r w:rsidRPr="00366260">
        <w:rPr>
          <w:rFonts w:ascii="EnBW DIN Pro" w:eastAsia="Calibri" w:hAnsi="EnBW DIN Pro" w:cs="EnBW DIN Pro"/>
          <w:color w:val="403F41"/>
          <w:spacing w:val="-1"/>
          <w:szCs w:val="22"/>
        </w:rPr>
        <w:t>m</w:t>
      </w:r>
      <w:r w:rsidRPr="00366260">
        <w:rPr>
          <w:rFonts w:ascii="EnBW DIN Pro" w:eastAsia="Calibri" w:hAnsi="EnBW DIN Pro" w:cs="EnBW DIN Pro"/>
          <w:color w:val="403F41"/>
          <w:spacing w:val="1"/>
          <w:szCs w:val="22"/>
        </w:rPr>
        <w:t>e</w:t>
      </w:r>
      <w:r w:rsidRPr="00366260">
        <w:rPr>
          <w:rFonts w:ascii="EnBW DIN Pro" w:eastAsia="Calibri" w:hAnsi="EnBW DIN Pro" w:cs="EnBW DIN Pro"/>
          <w:color w:val="403F41"/>
          <w:spacing w:val="-1"/>
          <w:szCs w:val="22"/>
        </w:rPr>
        <w:t>n</w:t>
      </w:r>
      <w:r w:rsidRPr="00366260">
        <w:rPr>
          <w:rFonts w:ascii="EnBW DIN Pro" w:eastAsia="Calibri" w:hAnsi="EnBW DIN Pro" w:cs="EnBW DIN Pro"/>
          <w:color w:val="403F41"/>
          <w:szCs w:val="22"/>
        </w:rPr>
        <w:t>t</w:t>
      </w:r>
      <w:r w:rsidRPr="00366260">
        <w:rPr>
          <w:rFonts w:ascii="EnBW DIN Pro" w:eastAsia="Calibri" w:hAnsi="EnBW DIN Pro" w:cs="EnBW DIN Pro"/>
          <w:color w:val="403F41"/>
          <w:spacing w:val="-3"/>
          <w:szCs w:val="22"/>
        </w:rPr>
        <w:t>a</w:t>
      </w:r>
      <w:r w:rsidRPr="00366260">
        <w:rPr>
          <w:rFonts w:ascii="EnBW DIN Pro" w:eastAsia="Calibri" w:hAnsi="EnBW DIN Pro" w:cs="EnBW DIN Pro"/>
          <w:color w:val="403F41"/>
          <w:szCs w:val="22"/>
        </w:rPr>
        <w:t>l</w:t>
      </w:r>
      <w:r w:rsidRPr="00366260">
        <w:rPr>
          <w:rFonts w:ascii="EnBW DIN Pro" w:hAnsi="EnBW DIN Pro" w:cs="EnBW DIN Pro"/>
          <w:color w:val="403F41"/>
          <w:spacing w:val="2"/>
          <w:szCs w:val="22"/>
        </w:rPr>
        <w:t xml:space="preserve"> </w:t>
      </w:r>
      <w:r w:rsidRPr="00366260">
        <w:rPr>
          <w:rFonts w:ascii="EnBW DIN Pro" w:eastAsia="Calibri" w:hAnsi="EnBW DIN Pro" w:cs="EnBW DIN Pro"/>
          <w:color w:val="403F41"/>
          <w:szCs w:val="22"/>
        </w:rPr>
        <w:t>a</w:t>
      </w:r>
      <w:r w:rsidRPr="00366260">
        <w:rPr>
          <w:rFonts w:ascii="EnBW DIN Pro" w:eastAsia="Calibri" w:hAnsi="EnBW DIN Pro" w:cs="EnBW DIN Pro"/>
          <w:color w:val="403F41"/>
          <w:spacing w:val="-1"/>
          <w:szCs w:val="22"/>
        </w:rPr>
        <w:t>n</w:t>
      </w:r>
      <w:r w:rsidRPr="00366260">
        <w:rPr>
          <w:rFonts w:ascii="EnBW DIN Pro" w:eastAsia="Calibri" w:hAnsi="EnBW DIN Pro" w:cs="EnBW DIN Pro"/>
          <w:color w:val="403F41"/>
          <w:szCs w:val="22"/>
        </w:rPr>
        <w:t>d</w:t>
      </w:r>
      <w:r w:rsidRPr="00366260">
        <w:rPr>
          <w:rFonts w:ascii="EnBW DIN Pro" w:hAnsi="EnBW DIN Pro" w:cs="EnBW DIN Pro"/>
          <w:color w:val="403F41"/>
          <w:spacing w:val="2"/>
          <w:szCs w:val="22"/>
        </w:rPr>
        <w:t xml:space="preserve"> </w:t>
      </w:r>
      <w:r w:rsidRPr="00366260">
        <w:rPr>
          <w:rFonts w:ascii="EnBW DIN Pro" w:eastAsia="Calibri" w:hAnsi="EnBW DIN Pro" w:cs="EnBW DIN Pro"/>
          <w:color w:val="403F41"/>
          <w:szCs w:val="22"/>
        </w:rPr>
        <w:t>str</w:t>
      </w:r>
      <w:r w:rsidRPr="00366260">
        <w:rPr>
          <w:rFonts w:ascii="EnBW DIN Pro" w:eastAsia="Calibri" w:hAnsi="EnBW DIN Pro" w:cs="EnBW DIN Pro"/>
          <w:color w:val="403F41"/>
          <w:spacing w:val="-1"/>
          <w:szCs w:val="22"/>
        </w:rPr>
        <w:t>u</w:t>
      </w:r>
      <w:r w:rsidRPr="00366260">
        <w:rPr>
          <w:rFonts w:ascii="EnBW DIN Pro" w:eastAsia="Calibri" w:hAnsi="EnBW DIN Pro" w:cs="EnBW DIN Pro"/>
          <w:color w:val="403F41"/>
          <w:szCs w:val="22"/>
        </w:rPr>
        <w:t>ct</w:t>
      </w:r>
      <w:r w:rsidRPr="00366260">
        <w:rPr>
          <w:rFonts w:ascii="EnBW DIN Pro" w:eastAsia="Calibri" w:hAnsi="EnBW DIN Pro" w:cs="EnBW DIN Pro"/>
          <w:color w:val="403F41"/>
          <w:spacing w:val="-1"/>
          <w:szCs w:val="22"/>
        </w:rPr>
        <w:t>u</w:t>
      </w:r>
      <w:r w:rsidRPr="00366260">
        <w:rPr>
          <w:rFonts w:ascii="EnBW DIN Pro" w:eastAsia="Calibri" w:hAnsi="EnBW DIN Pro" w:cs="EnBW DIN Pro"/>
          <w:color w:val="403F41"/>
          <w:szCs w:val="22"/>
        </w:rPr>
        <w:t>ral</w:t>
      </w:r>
      <w:r w:rsidRPr="00366260">
        <w:rPr>
          <w:rFonts w:ascii="EnBW DIN Pro" w:hAnsi="EnBW DIN Pro" w:cs="EnBW DIN Pro"/>
          <w:color w:val="403F41"/>
          <w:szCs w:val="22"/>
        </w:rPr>
        <w:t xml:space="preserve"> </w:t>
      </w:r>
      <w:r w:rsidRPr="00366260">
        <w:rPr>
          <w:rFonts w:ascii="EnBW DIN Pro" w:eastAsia="Calibri" w:hAnsi="EnBW DIN Pro" w:cs="EnBW DIN Pro"/>
          <w:color w:val="403F41"/>
          <w:spacing w:val="-1"/>
          <w:szCs w:val="22"/>
        </w:rPr>
        <w:t>d</w:t>
      </w:r>
      <w:r w:rsidRPr="00366260">
        <w:rPr>
          <w:rFonts w:ascii="EnBW DIN Pro" w:eastAsia="Calibri" w:hAnsi="EnBW DIN Pro" w:cs="EnBW DIN Pro"/>
          <w:color w:val="403F41"/>
          <w:szCs w:val="22"/>
        </w:rPr>
        <w:t>iff</w:t>
      </w:r>
      <w:r w:rsidRPr="00366260">
        <w:rPr>
          <w:rFonts w:ascii="EnBW DIN Pro" w:eastAsia="Calibri" w:hAnsi="EnBW DIN Pro" w:cs="EnBW DIN Pro"/>
          <w:color w:val="403F41"/>
          <w:spacing w:val="1"/>
          <w:szCs w:val="22"/>
        </w:rPr>
        <w:t>e</w:t>
      </w:r>
      <w:r w:rsidRPr="00366260">
        <w:rPr>
          <w:rFonts w:ascii="EnBW DIN Pro" w:eastAsia="Calibri" w:hAnsi="EnBW DIN Pro" w:cs="EnBW DIN Pro"/>
          <w:color w:val="403F41"/>
          <w:szCs w:val="22"/>
        </w:rPr>
        <w:t>r</w:t>
      </w:r>
      <w:r w:rsidRPr="00366260">
        <w:rPr>
          <w:rFonts w:ascii="EnBW DIN Pro" w:eastAsia="Calibri" w:hAnsi="EnBW DIN Pro" w:cs="EnBW DIN Pro"/>
          <w:color w:val="403F41"/>
          <w:spacing w:val="1"/>
          <w:szCs w:val="22"/>
        </w:rPr>
        <w:t>e</w:t>
      </w:r>
      <w:r w:rsidRPr="00366260">
        <w:rPr>
          <w:rFonts w:ascii="EnBW DIN Pro" w:eastAsia="Calibri" w:hAnsi="EnBW DIN Pro" w:cs="EnBW DIN Pro"/>
          <w:color w:val="403F41"/>
          <w:spacing w:val="-1"/>
          <w:szCs w:val="22"/>
        </w:rPr>
        <w:t>n</w:t>
      </w:r>
      <w:r w:rsidRPr="00366260">
        <w:rPr>
          <w:rFonts w:ascii="EnBW DIN Pro" w:eastAsia="Calibri" w:hAnsi="EnBW DIN Pro" w:cs="EnBW DIN Pro"/>
          <w:color w:val="403F41"/>
          <w:szCs w:val="22"/>
        </w:rPr>
        <w:t>c</w:t>
      </w:r>
      <w:r w:rsidRPr="00366260">
        <w:rPr>
          <w:rFonts w:ascii="EnBW DIN Pro" w:eastAsia="Calibri" w:hAnsi="EnBW DIN Pro" w:cs="EnBW DIN Pro"/>
          <w:color w:val="403F41"/>
          <w:spacing w:val="1"/>
          <w:szCs w:val="22"/>
        </w:rPr>
        <w:t>e</w:t>
      </w:r>
      <w:r w:rsidRPr="00366260">
        <w:rPr>
          <w:rFonts w:ascii="EnBW DIN Pro" w:eastAsia="Calibri" w:hAnsi="EnBW DIN Pro" w:cs="EnBW DIN Pro"/>
          <w:color w:val="403F41"/>
          <w:szCs w:val="22"/>
        </w:rPr>
        <w:t>s</w:t>
      </w:r>
      <w:r w:rsidRPr="00366260">
        <w:rPr>
          <w:rFonts w:ascii="EnBW DIN Pro" w:hAnsi="EnBW DIN Pro" w:cs="EnBW DIN Pro"/>
          <w:color w:val="403F41"/>
          <w:spacing w:val="1"/>
          <w:szCs w:val="22"/>
        </w:rPr>
        <w:t xml:space="preserve"> </w:t>
      </w:r>
      <w:r w:rsidRPr="00366260">
        <w:rPr>
          <w:rFonts w:ascii="EnBW DIN Pro" w:eastAsia="Calibri" w:hAnsi="EnBW DIN Pro" w:cs="EnBW DIN Pro"/>
          <w:color w:val="403F41"/>
          <w:spacing w:val="-1"/>
          <w:szCs w:val="22"/>
        </w:rPr>
        <w:t>b</w:t>
      </w:r>
      <w:r w:rsidRPr="00366260">
        <w:rPr>
          <w:rFonts w:ascii="EnBW DIN Pro" w:eastAsia="Calibri" w:hAnsi="EnBW DIN Pro" w:cs="EnBW DIN Pro"/>
          <w:color w:val="403F41"/>
          <w:spacing w:val="1"/>
          <w:szCs w:val="22"/>
        </w:rPr>
        <w:t>e</w:t>
      </w:r>
      <w:r w:rsidRPr="00366260">
        <w:rPr>
          <w:rFonts w:ascii="EnBW DIN Pro" w:eastAsia="Calibri" w:hAnsi="EnBW DIN Pro" w:cs="EnBW DIN Pro"/>
          <w:color w:val="403F41"/>
          <w:spacing w:val="-2"/>
          <w:szCs w:val="22"/>
        </w:rPr>
        <w:t>t</w:t>
      </w:r>
      <w:r w:rsidRPr="00366260">
        <w:rPr>
          <w:rFonts w:ascii="EnBW DIN Pro" w:eastAsia="Calibri" w:hAnsi="EnBW DIN Pro" w:cs="EnBW DIN Pro"/>
          <w:color w:val="403F41"/>
          <w:spacing w:val="1"/>
          <w:szCs w:val="22"/>
        </w:rPr>
        <w:t>w</w:t>
      </w:r>
      <w:r w:rsidRPr="00366260">
        <w:rPr>
          <w:rFonts w:ascii="EnBW DIN Pro" w:eastAsia="Calibri" w:hAnsi="EnBW DIN Pro" w:cs="EnBW DIN Pro"/>
          <w:color w:val="403F41"/>
          <w:spacing w:val="-2"/>
          <w:szCs w:val="22"/>
        </w:rPr>
        <w:t>e</w:t>
      </w:r>
      <w:r w:rsidRPr="00366260">
        <w:rPr>
          <w:rFonts w:ascii="EnBW DIN Pro" w:eastAsia="Calibri" w:hAnsi="EnBW DIN Pro" w:cs="EnBW DIN Pro"/>
          <w:color w:val="403F41"/>
          <w:spacing w:val="1"/>
          <w:szCs w:val="22"/>
        </w:rPr>
        <w:t>e</w:t>
      </w:r>
      <w:r w:rsidRPr="00366260">
        <w:rPr>
          <w:rFonts w:ascii="EnBW DIN Pro" w:eastAsia="Calibri" w:hAnsi="EnBW DIN Pro" w:cs="EnBW DIN Pro"/>
          <w:color w:val="403F41"/>
          <w:szCs w:val="22"/>
        </w:rPr>
        <w:t>n</w:t>
      </w:r>
      <w:r w:rsidRPr="00366260">
        <w:rPr>
          <w:rFonts w:ascii="EnBW DIN Pro" w:hAnsi="EnBW DIN Pro" w:cs="EnBW DIN Pro"/>
          <w:color w:val="403F41"/>
          <w:spacing w:val="3"/>
          <w:szCs w:val="22"/>
        </w:rPr>
        <w:t xml:space="preserve"> </w:t>
      </w:r>
      <w:r w:rsidRPr="00366260">
        <w:rPr>
          <w:rFonts w:ascii="EnBW DIN Pro" w:eastAsia="Calibri" w:hAnsi="EnBW DIN Pro" w:cs="EnBW DIN Pro"/>
          <w:color w:val="403F41"/>
          <w:szCs w:val="22"/>
        </w:rPr>
        <w:t>fi</w:t>
      </w:r>
      <w:r w:rsidRPr="00366260">
        <w:rPr>
          <w:rFonts w:ascii="EnBW DIN Pro" w:eastAsia="Calibri" w:hAnsi="EnBW DIN Pro" w:cs="EnBW DIN Pro"/>
          <w:color w:val="403F41"/>
          <w:spacing w:val="-1"/>
          <w:szCs w:val="22"/>
        </w:rPr>
        <w:t>n</w:t>
      </w:r>
      <w:r w:rsidRPr="00366260">
        <w:rPr>
          <w:rFonts w:ascii="EnBW DIN Pro" w:eastAsia="Calibri" w:hAnsi="EnBW DIN Pro" w:cs="EnBW DIN Pro"/>
          <w:color w:val="403F41"/>
          <w:szCs w:val="22"/>
        </w:rPr>
        <w:t>a</w:t>
      </w:r>
      <w:r w:rsidRPr="00366260">
        <w:rPr>
          <w:rFonts w:ascii="EnBW DIN Pro" w:eastAsia="Calibri" w:hAnsi="EnBW DIN Pro" w:cs="EnBW DIN Pro"/>
          <w:color w:val="403F41"/>
          <w:spacing w:val="-3"/>
          <w:szCs w:val="22"/>
        </w:rPr>
        <w:t>n</w:t>
      </w:r>
      <w:r w:rsidRPr="00366260">
        <w:rPr>
          <w:rFonts w:ascii="EnBW DIN Pro" w:eastAsia="Calibri" w:hAnsi="EnBW DIN Pro" w:cs="EnBW DIN Pro"/>
          <w:color w:val="403F41"/>
          <w:szCs w:val="22"/>
        </w:rPr>
        <w:t>cial</w:t>
      </w:r>
      <w:r w:rsidRPr="00366260">
        <w:rPr>
          <w:rFonts w:ascii="EnBW DIN Pro" w:hAnsi="EnBW DIN Pro" w:cs="EnBW DIN Pro"/>
          <w:color w:val="403F41"/>
          <w:spacing w:val="1"/>
          <w:szCs w:val="22"/>
        </w:rPr>
        <w:t xml:space="preserve"> </w:t>
      </w:r>
      <w:r w:rsidRPr="00366260">
        <w:rPr>
          <w:rFonts w:ascii="EnBW DIN Pro" w:eastAsia="Calibri" w:hAnsi="EnBW DIN Pro" w:cs="EnBW DIN Pro"/>
          <w:color w:val="403F41"/>
          <w:szCs w:val="22"/>
        </w:rPr>
        <w:t xml:space="preserve">markets and physical energy markets but is also not supported by data-driven evidence. To the contrary, publicly available data demonstrate the opposite. </w:t>
      </w:r>
    </w:p>
    <w:p w14:paraId="1D094A41" w14:textId="77777777" w:rsidR="00CC2240" w:rsidRDefault="00CC2240" w:rsidP="00CC2240">
      <w:pPr>
        <w:jc w:val="both"/>
        <w:rPr>
          <w:rFonts w:ascii="EnBW DIN Pro" w:eastAsia="Calibri" w:hAnsi="EnBW DIN Pro" w:cs="EnBW DIN Pro"/>
          <w:color w:val="403F41"/>
          <w:szCs w:val="22"/>
        </w:rPr>
      </w:pPr>
    </w:p>
    <w:p w14:paraId="087264A0" w14:textId="77777777" w:rsidR="00CC2240" w:rsidRDefault="00CC2240" w:rsidP="00CC2240">
      <w:pPr>
        <w:jc w:val="both"/>
        <w:rPr>
          <w:rFonts w:ascii="EnBW DIN Pro" w:hAnsi="EnBW DIN Pro" w:cs="EnBW DIN Pro"/>
          <w:szCs w:val="22"/>
        </w:rPr>
      </w:pPr>
      <w:r w:rsidRPr="00366260">
        <w:rPr>
          <w:rFonts w:ascii="EnBW DIN Pro" w:eastAsia="Calibri" w:hAnsi="EnBW DIN Pro" w:cs="EnBW DIN Pro"/>
          <w:color w:val="403F41"/>
          <w:szCs w:val="22"/>
        </w:rPr>
        <w:t>There are substantial structural differences between the Energy Sector and the Financial Sector which are not considered by ESMA. Physical wholesale energy trading is subject to the REMIT rules because of the substantial</w:t>
      </w:r>
      <w:r w:rsidRPr="00366260" w:rsidDel="002F2740">
        <w:rPr>
          <w:rFonts w:ascii="EnBW DIN Pro" w:eastAsia="Calibri" w:hAnsi="EnBW DIN Pro" w:cs="EnBW DIN Pro"/>
          <w:color w:val="403F41"/>
          <w:szCs w:val="22"/>
        </w:rPr>
        <w:t xml:space="preserve"> </w:t>
      </w:r>
      <w:r w:rsidRPr="00366260">
        <w:rPr>
          <w:rFonts w:ascii="EnBW DIN Pro" w:eastAsia="Calibri" w:hAnsi="EnBW DIN Pro" w:cs="EnBW DIN Pro"/>
          <w:color w:val="403F41"/>
          <w:szCs w:val="22"/>
        </w:rPr>
        <w:t>differences between the energy sector and the financial sector, which ESMA has not been considered. Whereas in the financial sector systemic risk (as manifested in the financial crisis) is present, the energy sector poses no systemic risk to the financial market. There is no substantiate evidence that physical gas and power contracts pose a threat to the well-functioning</w:t>
      </w:r>
      <w:r w:rsidRPr="00366260">
        <w:rPr>
          <w:rFonts w:ascii="EnBW DIN Pro" w:hAnsi="EnBW DIN Pro" w:cs="EnBW DIN Pro"/>
          <w:szCs w:val="22"/>
        </w:rPr>
        <w:t xml:space="preserve"> of the financial market. Further, wholesale energy trading happens between trading professionals and aims at managing supply and demand, whereas in the traditional financial sector investor protection is needed. The differences between the financial sector and the energy sector materialise even more, when it comes to the overall trading approach and objective. The energy firms provide the market liquidity that the energy and real economy firms need to efficiently reduce their commercial (commodity price) risks by selling or buying the power and gas at market prices which they produced or need for their industrial production. </w:t>
      </w:r>
      <w:r w:rsidRPr="00366260">
        <w:rPr>
          <w:rFonts w:ascii="EnBW DIN Pro" w:hAnsi="EnBW DIN Pro" w:cs="EnBW DIN Pro"/>
          <w:szCs w:val="22"/>
          <w:lang w:val="en-US"/>
        </w:rPr>
        <w:t xml:space="preserve">Hence, energy firms’ trading </w:t>
      </w:r>
      <w:r w:rsidRPr="00366260">
        <w:rPr>
          <w:rFonts w:ascii="EnBW DIN Pro" w:hAnsi="EnBW DIN Pro" w:cs="EnBW DIN Pro"/>
          <w:szCs w:val="22"/>
          <w:lang w:val="en-US"/>
        </w:rPr>
        <w:lastRenderedPageBreak/>
        <w:t>activities are key to ensure a secure, sustainable and competitive energy supply to end consumers.</w:t>
      </w:r>
      <w:r>
        <w:rPr>
          <w:rFonts w:ascii="EnBW DIN Pro" w:hAnsi="EnBW DIN Pro" w:cs="EnBW DIN Pro"/>
          <w:szCs w:val="22"/>
          <w:lang w:val="en-US"/>
        </w:rPr>
        <w:t xml:space="preserve"> </w:t>
      </w:r>
      <w:r w:rsidRPr="00366260">
        <w:rPr>
          <w:rFonts w:ascii="EnBW DIN Pro" w:hAnsi="EnBW DIN Pro" w:cs="EnBW DIN Pro"/>
          <w:szCs w:val="22"/>
        </w:rPr>
        <w:t xml:space="preserve">As result of that, the transparency requirements differ, as the energy sector is exposed to specific regulation such as REMIT and Third Energy Package to deal with transparency (i.e. trade transparency, fundamental transparency) in the wholesale energy market in gas and power. Furthermore, the </w:t>
      </w:r>
      <w:proofErr w:type="gramStart"/>
      <w:r w:rsidRPr="00366260">
        <w:rPr>
          <w:rFonts w:ascii="EnBW DIN Pro" w:hAnsi="EnBW DIN Pro" w:cs="EnBW DIN Pro"/>
          <w:szCs w:val="22"/>
        </w:rPr>
        <w:t>C(</w:t>
      </w:r>
      <w:proofErr w:type="gramEnd"/>
      <w:r w:rsidRPr="00366260">
        <w:rPr>
          <w:rFonts w:ascii="EnBW DIN Pro" w:hAnsi="EnBW DIN Pro" w:cs="EnBW DIN Pro"/>
          <w:szCs w:val="22"/>
        </w:rPr>
        <w:t xml:space="preserve">6) carve-out has been a well-considered exemption by EU stakeholders and sufficient safeguards are built to only capture physically-delivered wholesale energy transactions (gas and power only). Wholesale energy trading in gas and power is subject to REMIT which is a specific and tailored regulation. The removal of the </w:t>
      </w:r>
      <w:proofErr w:type="gramStart"/>
      <w:r w:rsidRPr="00366260">
        <w:rPr>
          <w:rFonts w:ascii="EnBW DIN Pro" w:hAnsi="EnBW DIN Pro" w:cs="EnBW DIN Pro"/>
          <w:szCs w:val="22"/>
        </w:rPr>
        <w:t>C(</w:t>
      </w:r>
      <w:proofErr w:type="gramEnd"/>
      <w:r w:rsidRPr="00366260">
        <w:rPr>
          <w:rFonts w:ascii="EnBW DIN Pro" w:hAnsi="EnBW DIN Pro" w:cs="EnBW DIN Pro"/>
          <w:szCs w:val="22"/>
        </w:rPr>
        <w:t xml:space="preserve">6) carve-out would render the REMIT regulation almost useless as to a large part it is focused on the physical energy markets. Under the current REMIT regime, the </w:t>
      </w:r>
      <w:proofErr w:type="gramStart"/>
      <w:r w:rsidRPr="00366260">
        <w:rPr>
          <w:rFonts w:ascii="EnBW DIN Pro" w:hAnsi="EnBW DIN Pro" w:cs="EnBW DIN Pro"/>
          <w:szCs w:val="22"/>
        </w:rPr>
        <w:t>C(</w:t>
      </w:r>
      <w:proofErr w:type="gramEnd"/>
      <w:r w:rsidRPr="00366260">
        <w:rPr>
          <w:rFonts w:ascii="EnBW DIN Pro" w:hAnsi="EnBW DIN Pro" w:cs="EnBW DIN Pro"/>
          <w:szCs w:val="22"/>
        </w:rPr>
        <w:t xml:space="preserve">6) carve-out contracts are supervised under a tailored regime through a specialised authority, which ensures the well-functioning of the gas and power energy markets. The </w:t>
      </w:r>
      <w:proofErr w:type="gramStart"/>
      <w:r w:rsidRPr="00366260">
        <w:rPr>
          <w:rFonts w:ascii="EnBW DIN Pro" w:hAnsi="EnBW DIN Pro" w:cs="EnBW DIN Pro"/>
          <w:szCs w:val="22"/>
        </w:rPr>
        <w:t>C(</w:t>
      </w:r>
      <w:proofErr w:type="gramEnd"/>
      <w:r w:rsidRPr="00366260">
        <w:rPr>
          <w:rFonts w:ascii="EnBW DIN Pro" w:hAnsi="EnBW DIN Pro" w:cs="EnBW DIN Pro"/>
          <w:szCs w:val="22"/>
        </w:rPr>
        <w:t xml:space="preserve">6) carve-out contracts are used to hedge merchant risk to manage supply and demand. Market participants need to be able to deliver or take delivery of the contract or they will be subject to sector specific </w:t>
      </w:r>
      <w:proofErr w:type="spellStart"/>
      <w:r w:rsidRPr="00366260">
        <w:rPr>
          <w:rFonts w:ascii="EnBW DIN Pro" w:hAnsi="EnBW DIN Pro" w:cs="EnBW DIN Pro"/>
          <w:szCs w:val="22"/>
        </w:rPr>
        <w:t>imbalancing</w:t>
      </w:r>
      <w:proofErr w:type="spellEnd"/>
      <w:r w:rsidRPr="00366260">
        <w:rPr>
          <w:rFonts w:ascii="EnBW DIN Pro" w:hAnsi="EnBW DIN Pro" w:cs="EnBW DIN Pro"/>
          <w:szCs w:val="22"/>
        </w:rPr>
        <w:t xml:space="preserve"> procedures. The REMIT framework is robust and ensures market transparency and integrity: Each transaction is subject to REMIT reporting which guarantees transparency in the physical market. REMIT foresees access to the transaction data to Financial Regulators should there be a concern that the activity on the physical market has an impact on the financial market. Furthermore, REMIT provides for the disclosure of inside information as well as the prohibition of market manipulation and insider trading.</w:t>
      </w:r>
      <w:r>
        <w:rPr>
          <w:rFonts w:ascii="EnBW DIN Pro" w:hAnsi="EnBW DIN Pro" w:cs="EnBW DIN Pro"/>
          <w:szCs w:val="22"/>
        </w:rPr>
        <w:t xml:space="preserve"> </w:t>
      </w:r>
    </w:p>
    <w:p w14:paraId="278B0CC4" w14:textId="77777777" w:rsidR="00CC2240" w:rsidRDefault="00CC2240" w:rsidP="00CC2240">
      <w:pPr>
        <w:jc w:val="both"/>
        <w:rPr>
          <w:rFonts w:ascii="EnBW DIN Pro" w:hAnsi="EnBW DIN Pro" w:cs="EnBW DIN Pro"/>
          <w:szCs w:val="22"/>
        </w:rPr>
      </w:pPr>
    </w:p>
    <w:p w14:paraId="1C758F5A" w14:textId="77777777" w:rsidR="00CC2240" w:rsidRPr="00366260" w:rsidRDefault="00CC2240" w:rsidP="00CC2240">
      <w:pPr>
        <w:jc w:val="both"/>
        <w:rPr>
          <w:rFonts w:ascii="EnBW DIN Pro" w:hAnsi="EnBW DIN Pro" w:cs="EnBW DIN Pro"/>
          <w:szCs w:val="22"/>
        </w:rPr>
      </w:pPr>
      <w:r w:rsidRPr="00366260">
        <w:rPr>
          <w:rFonts w:ascii="EnBW DIN Pro" w:hAnsi="EnBW DIN Pro" w:cs="EnBW DIN Pro"/>
          <w:szCs w:val="22"/>
        </w:rPr>
        <w:t>MiFID II did not cause liquidity to move away from regulated markets. Contrary to ESMA’s analysis, public data indicates that since the implementation of MiFID II, the market share of exchange executed transactions in gas and power has increased. By introducing OTFs, MiFID II just provided formalisation of the previously (MIFID I) non-MTF broker platforms. The physical gas and power products have been out of scope of financial regulation since MiFID I, because they were traded on non-</w:t>
      </w:r>
      <w:proofErr w:type="gramStart"/>
      <w:r w:rsidRPr="00366260">
        <w:rPr>
          <w:rFonts w:ascii="EnBW DIN Pro" w:hAnsi="EnBW DIN Pro" w:cs="EnBW DIN Pro"/>
          <w:szCs w:val="22"/>
        </w:rPr>
        <w:t>MiFID</w:t>
      </w:r>
      <w:proofErr w:type="gramEnd"/>
      <w:r w:rsidRPr="00366260">
        <w:rPr>
          <w:rFonts w:ascii="EnBW DIN Pro" w:hAnsi="EnBW DIN Pro" w:cs="EnBW DIN Pro"/>
          <w:szCs w:val="22"/>
        </w:rPr>
        <w:t xml:space="preserve"> I regulated broker platforms (so-called non-MTF brokers). It is therefore, factually wrong to state that trading in physically settled wholesale energy contracts shifted from MiFID regulated platforms to OTFs.</w:t>
      </w:r>
    </w:p>
    <w:p w14:paraId="6509227F" w14:textId="77777777" w:rsidR="00CC2240" w:rsidRDefault="00CC2240" w:rsidP="00CC2240">
      <w:pPr>
        <w:jc w:val="both"/>
        <w:rPr>
          <w:rFonts w:ascii="EnBW DIN Pro" w:hAnsi="EnBW DIN Pro" w:cs="EnBW DIN Pro"/>
          <w:szCs w:val="22"/>
        </w:rPr>
      </w:pPr>
    </w:p>
    <w:p w14:paraId="51603306" w14:textId="17B1736E" w:rsidR="00D5365A" w:rsidRDefault="00CC2240" w:rsidP="00CC2240">
      <w:pPr>
        <w:rPr>
          <w:rFonts w:ascii="Arial" w:hAnsi="Arial" w:cs="Arial"/>
        </w:rPr>
      </w:pPr>
      <w:r w:rsidRPr="00366260">
        <w:rPr>
          <w:rFonts w:ascii="EnBW DIN Pro" w:hAnsi="EnBW DIN Pro" w:cs="EnBW DIN Pro"/>
          <w:szCs w:val="22"/>
        </w:rPr>
        <w:t xml:space="preserve">Removing the REMIT carve-out would have a major, detrimental consequences to the treatment of wholesale energy products under various regulations, triggering unintended negative consequence. It will not only lead to a significant increase in costs for market participants, but also to a loss of competitiveness of EU energy markets and severe impacts on wholesale energy market functioning and market participation. Energy utilities and industrial clients often only cover their risks via physical (and non MiFID relevant) transactions and would - after the deletion of </w:t>
      </w:r>
      <w:proofErr w:type="gramStart"/>
      <w:r w:rsidRPr="00366260">
        <w:rPr>
          <w:rFonts w:ascii="EnBW DIN Pro" w:hAnsi="EnBW DIN Pro" w:cs="EnBW DIN Pro"/>
          <w:szCs w:val="22"/>
        </w:rPr>
        <w:t>C(</w:t>
      </w:r>
      <w:proofErr w:type="gramEnd"/>
      <w:r w:rsidRPr="00366260">
        <w:rPr>
          <w:rFonts w:ascii="EnBW DIN Pro" w:hAnsi="EnBW DIN Pro" w:cs="EnBW DIN Pro"/>
          <w:szCs w:val="22"/>
        </w:rPr>
        <w:t>6) – become subject of the entire set of rules of financial regulation.</w:t>
      </w:r>
    </w:p>
    <w:permEnd w:id="311558394"/>
    <w:p w14:paraId="72923BA0" w14:textId="77777777" w:rsidR="00D5365A" w:rsidRDefault="00D5365A" w:rsidP="00D5365A">
      <w:pPr>
        <w:rPr>
          <w:rFonts w:ascii="Arial" w:hAnsi="Arial" w:cs="Arial"/>
        </w:rPr>
      </w:pPr>
      <w:r>
        <w:rPr>
          <w:rFonts w:ascii="Arial" w:hAnsi="Arial" w:cs="Arial"/>
        </w:rPr>
        <w:t>&lt;ESMA_QUESTION_WPR_2&gt;</w:t>
      </w:r>
    </w:p>
    <w:p w14:paraId="6F067025" w14:textId="77777777" w:rsidR="00D5365A" w:rsidRDefault="00D5365A" w:rsidP="00D5365A">
      <w:pPr>
        <w:rPr>
          <w:rFonts w:ascii="Arial" w:hAnsi="Arial" w:cs="Arial"/>
        </w:rPr>
      </w:pPr>
    </w:p>
    <w:p w14:paraId="65092191" w14:textId="77777777" w:rsidR="00D5365A" w:rsidRDefault="00D5365A" w:rsidP="00D5365A">
      <w:pPr>
        <w:pStyle w:val="Questionstyle"/>
        <w:numPr>
          <w:ilvl w:val="0"/>
          <w:numId w:val="17"/>
        </w:numPr>
        <w:spacing w:after="250" w:line="276" w:lineRule="auto"/>
        <w:rPr>
          <w:rFonts w:ascii="Arial" w:hAnsi="Arial" w:cs="Arial"/>
        </w:rPr>
      </w:pPr>
      <w:r>
        <w:lastRenderedPageBreak/>
        <w:t>: Do you agree that the position limit framework should not apply to securitised derivatives? If not, please explain why.</w:t>
      </w:r>
    </w:p>
    <w:p w14:paraId="2A59A7B2" w14:textId="77777777" w:rsidR="00D5365A" w:rsidRDefault="00D5365A" w:rsidP="00D5365A">
      <w:pPr>
        <w:rPr>
          <w:rFonts w:ascii="Arial" w:hAnsi="Arial" w:cs="Arial"/>
        </w:rPr>
      </w:pPr>
      <w:r>
        <w:rPr>
          <w:rFonts w:ascii="Arial" w:hAnsi="Arial" w:cs="Arial"/>
        </w:rPr>
        <w:t>&lt;ESMA_QUESTION_WPR_3&gt;</w:t>
      </w:r>
    </w:p>
    <w:p w14:paraId="4C832058" w14:textId="77777777" w:rsidR="00D5365A" w:rsidRDefault="00D5365A" w:rsidP="00D5365A">
      <w:pPr>
        <w:rPr>
          <w:rFonts w:ascii="Arial" w:hAnsi="Arial" w:cs="Arial"/>
        </w:rPr>
      </w:pPr>
      <w:permStart w:id="1945511407" w:edGrp="everyone"/>
      <w:r>
        <w:rPr>
          <w:rFonts w:ascii="Arial" w:hAnsi="Arial" w:cs="Arial"/>
        </w:rPr>
        <w:t>TYPE YOUR TEXT HERE</w:t>
      </w:r>
    </w:p>
    <w:permEnd w:id="1945511407"/>
    <w:p w14:paraId="5D7CB126" w14:textId="77777777" w:rsidR="00D5365A" w:rsidRDefault="00D5365A" w:rsidP="00D5365A">
      <w:pPr>
        <w:rPr>
          <w:rFonts w:ascii="Arial" w:hAnsi="Arial" w:cs="Arial"/>
        </w:rPr>
      </w:pPr>
      <w:r>
        <w:rPr>
          <w:rFonts w:ascii="Arial" w:hAnsi="Arial" w:cs="Arial"/>
        </w:rPr>
        <w:t>&lt;ESMA_QUESTION_WPR_3&gt;</w:t>
      </w:r>
    </w:p>
    <w:p w14:paraId="13A4EF33" w14:textId="77777777" w:rsidR="00D5365A" w:rsidRDefault="00D5365A" w:rsidP="00D5365A">
      <w:pPr>
        <w:rPr>
          <w:rFonts w:ascii="Arial" w:hAnsi="Arial" w:cs="Arial"/>
        </w:rPr>
      </w:pPr>
    </w:p>
    <w:p w14:paraId="39793CB0" w14:textId="77777777" w:rsidR="00D5365A" w:rsidRDefault="00D5365A" w:rsidP="00D5365A">
      <w:pPr>
        <w:pStyle w:val="Questionstyle"/>
        <w:numPr>
          <w:ilvl w:val="0"/>
          <w:numId w:val="17"/>
        </w:numPr>
        <w:spacing w:after="250" w:line="276" w:lineRule="auto"/>
        <w:rPr>
          <w:rFonts w:ascii="Arial" w:hAnsi="Arial" w:cs="Arial"/>
        </w:rPr>
      </w:pPr>
      <w:r>
        <w:t xml:space="preserve">: Which option do you support to address the negative impact of position limits on new and illiquid commodity derivatives: Option 1 or Option 2? Please explain why. If you support another alternative, please explain which one and why. </w:t>
      </w:r>
    </w:p>
    <w:p w14:paraId="7B19F883" w14:textId="77777777" w:rsidR="00D5365A" w:rsidRDefault="00D5365A" w:rsidP="00D5365A">
      <w:pPr>
        <w:rPr>
          <w:rFonts w:ascii="Arial" w:hAnsi="Arial" w:cs="Arial"/>
        </w:rPr>
      </w:pPr>
      <w:r>
        <w:rPr>
          <w:rFonts w:ascii="Arial" w:hAnsi="Arial" w:cs="Arial"/>
        </w:rPr>
        <w:t>&lt;ESMA_QUESTION_WPR_4&gt;</w:t>
      </w:r>
    </w:p>
    <w:p w14:paraId="2E5FABDB" w14:textId="63009A7D" w:rsidR="00D5365A" w:rsidRDefault="00CC2240" w:rsidP="00CC2240">
      <w:pPr>
        <w:jc w:val="both"/>
        <w:rPr>
          <w:rFonts w:ascii="Arial" w:hAnsi="Arial" w:cs="Arial"/>
        </w:rPr>
      </w:pPr>
      <w:permStart w:id="342492330" w:edGrp="everyone"/>
      <w:r w:rsidRPr="00366260">
        <w:rPr>
          <w:rFonts w:ascii="EnBW DIN Pro" w:hAnsi="EnBW DIN Pro" w:cs="EnBW DIN Pro"/>
          <w:bCs/>
          <w:szCs w:val="22"/>
          <w:lang w:val="en-US"/>
        </w:rPr>
        <w:t>We support Option 1. Refocusing the scope of the position limit regime to a limited set of critical contracts is a more effective tool to address the negative impact of position limits on new and illiquid contracts and would deliver a much-needed simplification of the regime without significantly impacting its effectiveness in terms of market abuse prevention and market transparency.</w:t>
      </w:r>
    </w:p>
    <w:permEnd w:id="342492330"/>
    <w:p w14:paraId="2750CA8D" w14:textId="77777777" w:rsidR="00D5365A" w:rsidRDefault="00D5365A" w:rsidP="00D5365A">
      <w:pPr>
        <w:rPr>
          <w:rFonts w:ascii="Arial" w:hAnsi="Arial" w:cs="Arial"/>
        </w:rPr>
      </w:pPr>
      <w:r>
        <w:rPr>
          <w:rFonts w:ascii="Arial" w:hAnsi="Arial" w:cs="Arial"/>
        </w:rPr>
        <w:t>&lt;ESMA_QUESTION_WPR_4&gt;</w:t>
      </w:r>
    </w:p>
    <w:p w14:paraId="61773C77" w14:textId="77777777" w:rsidR="00D5365A" w:rsidRDefault="00D5365A" w:rsidP="00D5365A">
      <w:pPr>
        <w:rPr>
          <w:rFonts w:ascii="Arial" w:hAnsi="Arial" w:cs="Arial"/>
        </w:rPr>
      </w:pPr>
    </w:p>
    <w:p w14:paraId="365798BE" w14:textId="77777777" w:rsidR="00D5365A" w:rsidRDefault="00D5365A" w:rsidP="00D5365A">
      <w:pPr>
        <w:pStyle w:val="Questionstyle"/>
        <w:numPr>
          <w:ilvl w:val="0"/>
          <w:numId w:val="17"/>
        </w:numPr>
        <w:spacing w:after="250" w:line="276" w:lineRule="auto"/>
        <w:rPr>
          <w:rFonts w:ascii="Arial" w:hAnsi="Arial" w:cs="Arial"/>
        </w:rPr>
      </w:pPr>
      <w:r>
        <w:t xml:space="preserve">: If you support Option 1 and would suggest different or additional criteria to determine whether a contract qualifies as a critical contract, please explain which ones.  </w:t>
      </w:r>
    </w:p>
    <w:p w14:paraId="598B7FFF" w14:textId="77777777" w:rsidR="00D5365A" w:rsidRDefault="00D5365A" w:rsidP="00D5365A">
      <w:pPr>
        <w:rPr>
          <w:rFonts w:ascii="Arial" w:hAnsi="Arial" w:cs="Arial"/>
        </w:rPr>
      </w:pPr>
      <w:r>
        <w:rPr>
          <w:rFonts w:ascii="Arial" w:hAnsi="Arial" w:cs="Arial"/>
        </w:rPr>
        <w:t>&lt;ESMA_QUESTION_WPR_5&gt;</w:t>
      </w:r>
    </w:p>
    <w:p w14:paraId="792BCD96" w14:textId="77777777" w:rsidR="00CC2240" w:rsidRPr="00366260" w:rsidRDefault="00CC2240" w:rsidP="00CC2240">
      <w:pPr>
        <w:jc w:val="both"/>
        <w:rPr>
          <w:rFonts w:ascii="EnBW DIN Pro" w:hAnsi="EnBW DIN Pro" w:cs="EnBW DIN Pro"/>
          <w:bCs/>
          <w:szCs w:val="22"/>
          <w:lang w:val="en-US"/>
        </w:rPr>
      </w:pPr>
      <w:permStart w:id="897407953" w:edGrp="everyone"/>
      <w:r w:rsidRPr="00366260">
        <w:rPr>
          <w:rFonts w:ascii="EnBW DIN Pro" w:hAnsi="EnBW DIN Pro" w:cs="EnBW DIN Pro"/>
          <w:bCs/>
          <w:szCs w:val="22"/>
          <w:lang w:val="en-US"/>
        </w:rPr>
        <w:t xml:space="preserve">We agree with the criteria listed by ESMA. A combination of quantitative (open interest, number of market participants) and qualitative (type of market participants, characteristics of underlying market) criteria is the preferable approach. </w:t>
      </w:r>
    </w:p>
    <w:p w14:paraId="57BA44B5" w14:textId="6EE83761" w:rsidR="00D5365A" w:rsidRDefault="00CC2240" w:rsidP="00CC2240">
      <w:pPr>
        <w:jc w:val="both"/>
        <w:rPr>
          <w:rFonts w:ascii="Arial" w:hAnsi="Arial" w:cs="Arial"/>
        </w:rPr>
      </w:pPr>
      <w:r w:rsidRPr="00366260">
        <w:rPr>
          <w:rFonts w:ascii="EnBW DIN Pro" w:hAnsi="EnBW DIN Pro" w:cs="EnBW DIN Pro"/>
          <w:bCs/>
          <w:szCs w:val="22"/>
          <w:lang w:val="en-US"/>
        </w:rPr>
        <w:t xml:space="preserve">In order to ensure stability in the position limit regime, we suggest that the relevant assessment is performed by NCAs and ESMA annually </w:t>
      </w:r>
      <w:proofErr w:type="gramStart"/>
      <w:r w:rsidRPr="00366260">
        <w:rPr>
          <w:rFonts w:ascii="EnBW DIN Pro" w:hAnsi="EnBW DIN Pro" w:cs="EnBW DIN Pro"/>
          <w:bCs/>
          <w:szCs w:val="22"/>
          <w:lang w:val="en-US"/>
        </w:rPr>
        <w:t>on the basis of</w:t>
      </w:r>
      <w:proofErr w:type="gramEnd"/>
      <w:r w:rsidRPr="00366260">
        <w:rPr>
          <w:rFonts w:ascii="EnBW DIN Pro" w:hAnsi="EnBW DIN Pro" w:cs="EnBW DIN Pro"/>
          <w:bCs/>
          <w:szCs w:val="22"/>
          <w:lang w:val="en-US"/>
        </w:rPr>
        <w:t xml:space="preserve"> a three-year rolling average of the relevant indicators.</w:t>
      </w:r>
    </w:p>
    <w:permEnd w:id="897407953"/>
    <w:p w14:paraId="1FEAC340" w14:textId="77777777" w:rsidR="00D5365A" w:rsidRDefault="00D5365A" w:rsidP="00D5365A">
      <w:pPr>
        <w:rPr>
          <w:rFonts w:ascii="Arial" w:hAnsi="Arial" w:cs="Arial"/>
        </w:rPr>
      </w:pPr>
      <w:r>
        <w:rPr>
          <w:rFonts w:ascii="Arial" w:hAnsi="Arial" w:cs="Arial"/>
        </w:rPr>
        <w:t>&lt;ESMA_QUESTION_WPR_5&gt;</w:t>
      </w:r>
    </w:p>
    <w:p w14:paraId="0C512C85" w14:textId="77777777" w:rsidR="00D5365A" w:rsidRDefault="00D5365A" w:rsidP="00D5365A">
      <w:pPr>
        <w:rPr>
          <w:rFonts w:ascii="Arial" w:hAnsi="Arial" w:cs="Arial"/>
        </w:rPr>
      </w:pPr>
    </w:p>
    <w:p w14:paraId="21259B9F" w14:textId="77777777" w:rsidR="00D5365A" w:rsidRDefault="00D5365A" w:rsidP="00D5365A">
      <w:pPr>
        <w:pStyle w:val="Questionstyle"/>
        <w:numPr>
          <w:ilvl w:val="0"/>
          <w:numId w:val="17"/>
        </w:numPr>
        <w:spacing w:after="250" w:line="276" w:lineRule="auto"/>
        <w:rPr>
          <w:rFonts w:ascii="Arial" w:hAnsi="Arial" w:cs="Arial"/>
        </w:rPr>
      </w:pPr>
      <w:r>
        <w:t>: Which open interest and participant threshold would you suggest for qualifying a commodity derivative as a critical one?</w:t>
      </w:r>
    </w:p>
    <w:p w14:paraId="3ACFEA2B" w14:textId="77777777" w:rsidR="00D5365A" w:rsidRDefault="00D5365A" w:rsidP="00D5365A">
      <w:pPr>
        <w:rPr>
          <w:rFonts w:ascii="Arial" w:hAnsi="Arial" w:cs="Arial"/>
        </w:rPr>
      </w:pPr>
      <w:r>
        <w:rPr>
          <w:rFonts w:ascii="Arial" w:hAnsi="Arial" w:cs="Arial"/>
        </w:rPr>
        <w:t>&lt;ESMA_QUESTION_WPR_6&gt;</w:t>
      </w:r>
    </w:p>
    <w:p w14:paraId="5557516E" w14:textId="77777777" w:rsidR="00D5365A" w:rsidRDefault="00D5365A" w:rsidP="00D5365A">
      <w:pPr>
        <w:rPr>
          <w:rFonts w:ascii="Arial" w:hAnsi="Arial" w:cs="Arial"/>
        </w:rPr>
      </w:pPr>
      <w:permStart w:id="1821780740" w:edGrp="everyone"/>
      <w:r>
        <w:rPr>
          <w:rFonts w:ascii="Arial" w:hAnsi="Arial" w:cs="Arial"/>
        </w:rPr>
        <w:t>TYPE YOUR TEXT HERE</w:t>
      </w:r>
    </w:p>
    <w:permEnd w:id="1821780740"/>
    <w:p w14:paraId="11DBD2B0" w14:textId="77777777" w:rsidR="00D5365A" w:rsidRDefault="00D5365A" w:rsidP="00D5365A">
      <w:pPr>
        <w:rPr>
          <w:rFonts w:ascii="Arial" w:hAnsi="Arial" w:cs="Arial"/>
        </w:rPr>
      </w:pPr>
      <w:r>
        <w:rPr>
          <w:rFonts w:ascii="Arial" w:hAnsi="Arial" w:cs="Arial"/>
        </w:rPr>
        <w:t>&lt;ESMA_QUESTION_WPR_6&gt;</w:t>
      </w:r>
    </w:p>
    <w:p w14:paraId="392E68BA" w14:textId="77777777" w:rsidR="00D5365A" w:rsidRDefault="00D5365A" w:rsidP="00D5365A">
      <w:pPr>
        <w:rPr>
          <w:rFonts w:ascii="Arial" w:hAnsi="Arial" w:cs="Arial"/>
        </w:rPr>
      </w:pPr>
    </w:p>
    <w:p w14:paraId="447489A7" w14:textId="77777777" w:rsidR="00D5365A" w:rsidRDefault="00D5365A" w:rsidP="00D5365A">
      <w:pPr>
        <w:pStyle w:val="Questionstyle"/>
        <w:numPr>
          <w:ilvl w:val="0"/>
          <w:numId w:val="17"/>
        </w:numPr>
        <w:spacing w:after="250" w:line="276" w:lineRule="auto"/>
        <w:rPr>
          <w:rFonts w:ascii="Arial" w:hAnsi="Arial" w:cs="Arial"/>
        </w:rPr>
      </w:pPr>
      <w:r>
        <w:t>: Would you support a position limit exemption for financial counterparties under mandatory liquidity provision obligations? If not, please explain why.</w:t>
      </w:r>
    </w:p>
    <w:p w14:paraId="45D19C97" w14:textId="77777777" w:rsidR="00D5365A" w:rsidRDefault="00D5365A" w:rsidP="00D5365A">
      <w:pPr>
        <w:rPr>
          <w:rFonts w:ascii="Arial" w:hAnsi="Arial" w:cs="Arial"/>
        </w:rPr>
      </w:pPr>
      <w:r>
        <w:rPr>
          <w:rFonts w:ascii="Arial" w:hAnsi="Arial" w:cs="Arial"/>
        </w:rPr>
        <w:t>&lt;ESMA_QUESTION_WPR_7&gt;</w:t>
      </w:r>
    </w:p>
    <w:p w14:paraId="15712D4B" w14:textId="77777777" w:rsidR="00D5365A" w:rsidRDefault="00D5365A" w:rsidP="00D5365A">
      <w:pPr>
        <w:rPr>
          <w:rFonts w:ascii="Arial" w:hAnsi="Arial" w:cs="Arial"/>
        </w:rPr>
      </w:pPr>
      <w:permStart w:id="602737691" w:edGrp="everyone"/>
      <w:r>
        <w:rPr>
          <w:rFonts w:ascii="Arial" w:hAnsi="Arial" w:cs="Arial"/>
        </w:rPr>
        <w:t>TYPE YOUR TEXT HERE</w:t>
      </w:r>
    </w:p>
    <w:permEnd w:id="602737691"/>
    <w:p w14:paraId="31E340F5" w14:textId="77777777" w:rsidR="00D5365A" w:rsidRDefault="00D5365A" w:rsidP="00D5365A">
      <w:pPr>
        <w:rPr>
          <w:rFonts w:ascii="Arial" w:hAnsi="Arial" w:cs="Arial"/>
        </w:rPr>
      </w:pPr>
      <w:r>
        <w:rPr>
          <w:rFonts w:ascii="Arial" w:hAnsi="Arial" w:cs="Arial"/>
        </w:rPr>
        <w:t>&lt;ESMA_QUESTION_WPR_7&gt;</w:t>
      </w:r>
    </w:p>
    <w:p w14:paraId="763FBF02" w14:textId="77777777" w:rsidR="00D5365A" w:rsidRDefault="00D5365A" w:rsidP="00D5365A">
      <w:pPr>
        <w:rPr>
          <w:rFonts w:ascii="Arial" w:hAnsi="Arial" w:cs="Arial"/>
        </w:rPr>
      </w:pPr>
    </w:p>
    <w:p w14:paraId="068F9EED" w14:textId="77777777" w:rsidR="00D5365A" w:rsidRDefault="00D5365A" w:rsidP="00D5365A">
      <w:pPr>
        <w:pStyle w:val="Questionstyle"/>
        <w:numPr>
          <w:ilvl w:val="0"/>
          <w:numId w:val="17"/>
        </w:numPr>
        <w:spacing w:after="250" w:line="276" w:lineRule="auto"/>
        <w:rPr>
          <w:rFonts w:ascii="Arial" w:hAnsi="Arial" w:cs="Arial"/>
        </w:rPr>
      </w:pPr>
      <w:r>
        <w:t>: Would you support introducing a hedging exemption for financial counterparties along the lines described above? If not, please explain why.</w:t>
      </w:r>
    </w:p>
    <w:p w14:paraId="4ED08C7D" w14:textId="77777777" w:rsidR="00D5365A" w:rsidRDefault="00D5365A" w:rsidP="00D5365A">
      <w:pPr>
        <w:rPr>
          <w:rFonts w:ascii="Arial" w:hAnsi="Arial" w:cs="Arial"/>
        </w:rPr>
      </w:pPr>
      <w:r>
        <w:rPr>
          <w:rFonts w:ascii="Arial" w:hAnsi="Arial" w:cs="Arial"/>
        </w:rPr>
        <w:lastRenderedPageBreak/>
        <w:t>&lt;ESMA_QUESTION_WPR_8&gt;</w:t>
      </w:r>
    </w:p>
    <w:p w14:paraId="31AA7F90" w14:textId="77777777" w:rsidR="00D5365A" w:rsidRDefault="00D5365A" w:rsidP="00D5365A">
      <w:pPr>
        <w:rPr>
          <w:rFonts w:ascii="Arial" w:hAnsi="Arial" w:cs="Arial"/>
        </w:rPr>
      </w:pPr>
      <w:permStart w:id="1586561396" w:edGrp="everyone"/>
      <w:r>
        <w:rPr>
          <w:rFonts w:ascii="Arial" w:hAnsi="Arial" w:cs="Arial"/>
        </w:rPr>
        <w:t>TYPE YOUR TEXT HERE</w:t>
      </w:r>
    </w:p>
    <w:permEnd w:id="1586561396"/>
    <w:p w14:paraId="74EC7D38" w14:textId="77777777" w:rsidR="00D5365A" w:rsidRDefault="00D5365A" w:rsidP="00D5365A">
      <w:pPr>
        <w:rPr>
          <w:rFonts w:ascii="Arial" w:hAnsi="Arial" w:cs="Arial"/>
        </w:rPr>
      </w:pPr>
      <w:r>
        <w:rPr>
          <w:rFonts w:ascii="Arial" w:hAnsi="Arial" w:cs="Arial"/>
        </w:rPr>
        <w:t>&lt;ESMA_QUESTION_WPR_8&gt;</w:t>
      </w:r>
    </w:p>
    <w:p w14:paraId="2F8CB93E" w14:textId="77777777" w:rsidR="00D5365A" w:rsidRDefault="00D5365A" w:rsidP="00D5365A">
      <w:pPr>
        <w:rPr>
          <w:rFonts w:ascii="Arial" w:hAnsi="Arial" w:cs="Arial"/>
        </w:rPr>
      </w:pPr>
    </w:p>
    <w:p w14:paraId="44AB489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ESMA’s proposals to amend Article 57(8)(b) of MiFID II and to introduce Level 2 measures on position management controls? If not, please explain why. </w:t>
      </w:r>
    </w:p>
    <w:p w14:paraId="7A0C336C" w14:textId="77777777" w:rsidR="00D5365A" w:rsidRDefault="00D5365A" w:rsidP="00D5365A">
      <w:pPr>
        <w:rPr>
          <w:rFonts w:ascii="Arial" w:hAnsi="Arial" w:cs="Arial"/>
        </w:rPr>
      </w:pPr>
      <w:r>
        <w:rPr>
          <w:rFonts w:ascii="Arial" w:hAnsi="Arial" w:cs="Arial"/>
        </w:rPr>
        <w:t>&lt;ESMA_QUESTION_WPR_9&gt;</w:t>
      </w:r>
    </w:p>
    <w:p w14:paraId="411DB863" w14:textId="77777777" w:rsidR="00D5365A" w:rsidRDefault="00D5365A" w:rsidP="00D5365A">
      <w:pPr>
        <w:rPr>
          <w:rFonts w:ascii="Arial" w:hAnsi="Arial" w:cs="Arial"/>
        </w:rPr>
      </w:pPr>
      <w:permStart w:id="1662860103" w:edGrp="everyone"/>
      <w:r>
        <w:rPr>
          <w:rFonts w:ascii="Arial" w:hAnsi="Arial" w:cs="Arial"/>
        </w:rPr>
        <w:t>TYPE YOUR TEXT HERE</w:t>
      </w:r>
    </w:p>
    <w:permEnd w:id="1662860103"/>
    <w:p w14:paraId="2C377513" w14:textId="77777777" w:rsidR="00D5365A" w:rsidRDefault="00D5365A" w:rsidP="00D5365A">
      <w:pPr>
        <w:rPr>
          <w:rFonts w:ascii="Arial" w:hAnsi="Arial" w:cs="Arial"/>
        </w:rPr>
      </w:pPr>
      <w:r>
        <w:rPr>
          <w:rFonts w:ascii="Arial" w:hAnsi="Arial" w:cs="Arial"/>
        </w:rPr>
        <w:t>&lt;ESMA_QUESTION_WPR_9&gt;</w:t>
      </w:r>
    </w:p>
    <w:p w14:paraId="66931BD6" w14:textId="77C0A432" w:rsidR="00D5365A" w:rsidRDefault="00D5365A" w:rsidP="00D5365A">
      <w:pPr>
        <w:rPr>
          <w:rFonts w:ascii="Arial" w:hAnsi="Arial" w:cs="Arial"/>
        </w:rPr>
      </w:pPr>
    </w:p>
    <w:p w14:paraId="3468173D" w14:textId="1850607F" w:rsidR="00D5365A" w:rsidRDefault="00D5365A" w:rsidP="00D5365A">
      <w:pPr>
        <w:rPr>
          <w:rFonts w:ascii="Arial" w:hAnsi="Arial" w:cs="Arial"/>
        </w:rPr>
      </w:pPr>
    </w:p>
    <w:p w14:paraId="3920CAF1" w14:textId="77777777" w:rsidR="00D5365A" w:rsidRPr="002847A4" w:rsidRDefault="00D5365A" w:rsidP="00D5365A">
      <w:pPr>
        <w:rPr>
          <w:b/>
        </w:rPr>
      </w:pPr>
      <w:r w:rsidRPr="002847A4">
        <w:rPr>
          <w:b/>
        </w:rPr>
        <w:t>Part II</w:t>
      </w:r>
    </w:p>
    <w:p w14:paraId="5E9299BD" w14:textId="77777777" w:rsidR="00D5365A" w:rsidRDefault="00D5365A" w:rsidP="00D5365A">
      <w:pPr>
        <w:rPr>
          <w:rFonts w:ascii="Arial" w:hAnsi="Arial" w:cs="Arial"/>
        </w:rPr>
      </w:pPr>
    </w:p>
    <w:p w14:paraId="349FDAF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the revised proposed minimum threshold level for the open interest criterion for the publication of weekly position reports? If not, please state your preferred alternative for the definition of this threshold and explain why. </w:t>
      </w:r>
    </w:p>
    <w:p w14:paraId="739F7FEE" w14:textId="77777777" w:rsidR="00D5365A" w:rsidRDefault="00D5365A" w:rsidP="00D5365A">
      <w:pPr>
        <w:rPr>
          <w:rFonts w:ascii="Arial" w:hAnsi="Arial" w:cs="Arial"/>
        </w:rPr>
      </w:pPr>
      <w:r>
        <w:rPr>
          <w:rFonts w:ascii="Arial" w:hAnsi="Arial" w:cs="Arial"/>
        </w:rPr>
        <w:t>&lt;ESMA_QUESTION_WPR_10&gt;</w:t>
      </w:r>
    </w:p>
    <w:p w14:paraId="48FBBDA1" w14:textId="7F5AD658" w:rsidR="00D5365A" w:rsidRPr="00CC2240" w:rsidRDefault="00CC2240" w:rsidP="00CC2240">
      <w:pPr>
        <w:pStyle w:val="Default"/>
        <w:rPr>
          <w:lang w:val="en-GB"/>
        </w:rPr>
      </w:pPr>
      <w:permStart w:id="68034811" w:edGrp="everyone"/>
      <w:r w:rsidRPr="00366260">
        <w:rPr>
          <w:rFonts w:ascii="EnBW DIN Pro" w:hAnsi="EnBW DIN Pro" w:cs="EnBW DIN Pro"/>
          <w:bCs/>
          <w:sz w:val="22"/>
          <w:szCs w:val="22"/>
          <w:lang w:val="en-GB"/>
        </w:rPr>
        <w:t>We agree with the revised minimum threshold level proposed by ESMA for the publication of weekly position reports. The publication of more weekly position reports is welcome</w:t>
      </w:r>
      <w:r>
        <w:rPr>
          <w:rFonts w:ascii="EnBW DIN Pro" w:hAnsi="EnBW DIN Pro" w:cs="EnBW DIN Pro"/>
          <w:bCs/>
          <w:sz w:val="22"/>
          <w:szCs w:val="22"/>
          <w:lang w:val="en-GB"/>
        </w:rPr>
        <w:t>d</w:t>
      </w:r>
      <w:r w:rsidRPr="00366260">
        <w:rPr>
          <w:rFonts w:ascii="EnBW DIN Pro" w:hAnsi="EnBW DIN Pro" w:cs="EnBW DIN Pro"/>
          <w:bCs/>
          <w:sz w:val="22"/>
          <w:szCs w:val="22"/>
          <w:lang w:val="en-GB"/>
        </w:rPr>
        <w:t xml:space="preserve"> </w:t>
      </w:r>
      <w:proofErr w:type="gramStart"/>
      <w:r w:rsidRPr="00366260">
        <w:rPr>
          <w:rFonts w:ascii="EnBW DIN Pro" w:hAnsi="EnBW DIN Pro" w:cs="EnBW DIN Pro"/>
          <w:bCs/>
          <w:sz w:val="22"/>
          <w:szCs w:val="22"/>
          <w:lang w:val="en-GB"/>
        </w:rPr>
        <w:t>as long as</w:t>
      </w:r>
      <w:proofErr w:type="gramEnd"/>
      <w:r w:rsidRPr="00366260">
        <w:rPr>
          <w:rFonts w:ascii="EnBW DIN Pro" w:hAnsi="EnBW DIN Pro" w:cs="EnBW DIN Pro"/>
          <w:bCs/>
          <w:sz w:val="22"/>
          <w:szCs w:val="22"/>
          <w:lang w:val="en-GB"/>
        </w:rPr>
        <w:t xml:space="preserve"> the confidentiality of trading strategies and other key business decisions continues to be preserved. This means that at least 4 different position holders must be trading in a specific contract to achieve that goal.</w:t>
      </w:r>
    </w:p>
    <w:permEnd w:id="68034811"/>
    <w:p w14:paraId="7CA6A02D" w14:textId="77777777" w:rsidR="00D5365A" w:rsidRDefault="00D5365A" w:rsidP="00D5365A">
      <w:pPr>
        <w:rPr>
          <w:rFonts w:ascii="Arial" w:hAnsi="Arial" w:cs="Arial"/>
        </w:rPr>
      </w:pPr>
      <w:r>
        <w:rPr>
          <w:rFonts w:ascii="Arial" w:hAnsi="Arial" w:cs="Arial"/>
        </w:rPr>
        <w:t>&lt;ESMA_QUESTION_WPR_10&gt;</w:t>
      </w:r>
    </w:p>
    <w:p w14:paraId="1F5BE49F" w14:textId="77777777" w:rsidR="00D5365A" w:rsidRDefault="00D5365A" w:rsidP="00D5365A">
      <w:pPr>
        <w:rPr>
          <w:rFonts w:ascii="Arial" w:hAnsi="Arial" w:cs="Arial"/>
        </w:rPr>
      </w:pPr>
    </w:p>
    <w:p w14:paraId="235E6E6C" w14:textId="77777777" w:rsidR="00D5365A" w:rsidRDefault="00D5365A" w:rsidP="00D5365A">
      <w:pPr>
        <w:pStyle w:val="Questionstyle"/>
        <w:numPr>
          <w:ilvl w:val="0"/>
          <w:numId w:val="17"/>
        </w:numPr>
        <w:spacing w:after="250" w:line="276" w:lineRule="auto"/>
        <w:rPr>
          <w:rFonts w:ascii="Arial" w:hAnsi="Arial" w:cs="Arial"/>
        </w:rPr>
      </w:pPr>
      <w:r>
        <w:t>: Do you have any comment on the current number of position holders required for the publication of weekly position reports?</w:t>
      </w:r>
    </w:p>
    <w:p w14:paraId="78BEE3B9" w14:textId="77777777" w:rsidR="00D5365A" w:rsidRDefault="00D5365A" w:rsidP="00D5365A">
      <w:pPr>
        <w:rPr>
          <w:rFonts w:ascii="Arial" w:hAnsi="Arial" w:cs="Arial"/>
        </w:rPr>
      </w:pPr>
      <w:r>
        <w:rPr>
          <w:rFonts w:ascii="Arial" w:hAnsi="Arial" w:cs="Arial"/>
        </w:rPr>
        <w:t>&lt;ESMA_QUESTION_WPR_11&gt;</w:t>
      </w:r>
    </w:p>
    <w:p w14:paraId="4E331CC7" w14:textId="77777777" w:rsidR="00D5365A" w:rsidRDefault="00D5365A" w:rsidP="00D5365A">
      <w:pPr>
        <w:rPr>
          <w:rFonts w:ascii="Arial" w:hAnsi="Arial" w:cs="Arial"/>
        </w:rPr>
      </w:pPr>
      <w:permStart w:id="281428305" w:edGrp="everyone"/>
      <w:r>
        <w:rPr>
          <w:rFonts w:ascii="Arial" w:hAnsi="Arial" w:cs="Arial"/>
        </w:rPr>
        <w:t>TYPE YOUR TEXT HERE</w:t>
      </w:r>
    </w:p>
    <w:permEnd w:id="281428305"/>
    <w:p w14:paraId="19E3DFC7" w14:textId="77777777" w:rsidR="00D5365A" w:rsidRDefault="00D5365A" w:rsidP="00D5365A">
      <w:pPr>
        <w:rPr>
          <w:rFonts w:ascii="Arial" w:hAnsi="Arial" w:cs="Arial"/>
        </w:rPr>
      </w:pPr>
      <w:r>
        <w:rPr>
          <w:rFonts w:ascii="Arial" w:hAnsi="Arial" w:cs="Arial"/>
        </w:rPr>
        <w:t>&lt;ESMA_QUESTION_WPR_11&gt;</w:t>
      </w:r>
    </w:p>
    <w:p w14:paraId="560C94D5" w14:textId="77777777" w:rsidR="00D5365A" w:rsidRDefault="00D5365A" w:rsidP="00D5365A">
      <w:pPr>
        <w:rPr>
          <w:rFonts w:ascii="Arial" w:hAnsi="Arial" w:cs="Arial"/>
        </w:rPr>
      </w:pPr>
    </w:p>
    <w:p w14:paraId="3BB68A6B" w14:textId="77777777" w:rsidR="00D5365A" w:rsidRDefault="00D5365A" w:rsidP="00D5365A">
      <w:pPr>
        <w:rPr>
          <w:rFonts w:ascii="Arial" w:hAnsi="Arial" w:cs="Arial"/>
        </w:rPr>
      </w:pPr>
    </w:p>
    <w:p w14:paraId="289A1E31" w14:textId="022DBCBF" w:rsidR="00AB6157" w:rsidRDefault="00AB6157" w:rsidP="00C1698A">
      <w:pPr>
        <w:spacing w:line="276" w:lineRule="auto"/>
        <w:rPr>
          <w:rFonts w:asciiTheme="minorHAnsi" w:hAnsiTheme="minorHAnsi" w:cstheme="minorHAnsi"/>
          <w:b/>
          <w:sz w:val="28"/>
          <w:szCs w:val="28"/>
        </w:rPr>
      </w:pPr>
    </w:p>
    <w:bookmarkEnd w:id="1"/>
    <w:sectPr w:rsidR="00AB6157" w:rsidSect="00C85C8B">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BD937" w14:textId="77777777" w:rsidR="002B1A78" w:rsidRDefault="002B1A78" w:rsidP="007E7997">
      <w:r>
        <w:separator/>
      </w:r>
    </w:p>
  </w:endnote>
  <w:endnote w:type="continuationSeparator" w:id="0">
    <w:p w14:paraId="0DCC92D7" w14:textId="77777777" w:rsidR="002B1A78" w:rsidRDefault="002B1A78" w:rsidP="007E7997">
      <w:r>
        <w:continuationSeparator/>
      </w:r>
    </w:p>
  </w:endnote>
  <w:endnote w:type="continuationNotice" w:id="1">
    <w:p w14:paraId="72433557" w14:textId="77777777" w:rsidR="002B1A78" w:rsidRDefault="002B1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EnBW DIN Pro">
    <w:panose1 w:val="020B0504020101020102"/>
    <w:charset w:val="00"/>
    <w:family w:val="swiss"/>
    <w:pitch w:val="variable"/>
    <w:sig w:usb0="A00002BF" w:usb1="4000207B" w:usb2="00000008"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1D422D72"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2C56FD">
      <w:rPr>
        <w:rFonts w:asciiTheme="majorHAnsi" w:hAnsiTheme="majorHAnsi"/>
        <w:color w:val="FFFFFF" w:themeColor="background1"/>
      </w:rPr>
      <w:t>5</w:t>
    </w:r>
    <w:r w:rsidR="00C81B36">
      <w:rPr>
        <w:rFonts w:asciiTheme="majorHAnsi" w:hAnsiTheme="majorHAnsi"/>
        <w:color w:val="FFFFFF" w:themeColor="background1"/>
      </w:rPr>
      <w:t xml:space="preserve"> November </w:t>
    </w:r>
    <w:r w:rsidR="00AB6157">
      <w:rPr>
        <w:rFonts w:asciiTheme="majorHAnsi" w:hAnsiTheme="majorHAnsi"/>
        <w:color w:val="FFFFFF" w:themeColor="background1"/>
      </w:rPr>
      <w:t>2019</w:t>
    </w:r>
    <w:r w:rsidR="00FF6930">
      <w:rPr>
        <w:rFonts w:asciiTheme="majorHAnsi" w:hAnsiTheme="majorHAnsi"/>
        <w:color w:val="FFFFFF" w:themeColor="background1"/>
      </w:rPr>
      <w:t xml:space="preserve"> </w:t>
    </w:r>
    <w:r w:rsidR="00961EE5">
      <w:rPr>
        <w:rFonts w:asciiTheme="majorHAnsi" w:hAnsiTheme="majorHAnsi"/>
        <w:color w:val="FFFFFF" w:themeColor="background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Fuzeil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8A265" w14:textId="77777777" w:rsidR="002B1A78" w:rsidRDefault="002B1A78" w:rsidP="007E7997">
      <w:r>
        <w:separator/>
      </w:r>
    </w:p>
  </w:footnote>
  <w:footnote w:type="continuationSeparator" w:id="0">
    <w:p w14:paraId="7D4B58B4" w14:textId="77777777" w:rsidR="002B1A78" w:rsidRDefault="002B1A78" w:rsidP="007E7997">
      <w:r>
        <w:continuationSeparator/>
      </w:r>
    </w:p>
  </w:footnote>
  <w:footnote w:type="continuationNotice" w:id="1">
    <w:p w14:paraId="119F3072" w14:textId="77777777" w:rsidR="002B1A78" w:rsidRDefault="002B1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Kopfzeile"/>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Kopfzeile"/>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82382"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Kopfzeil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3T4gHCw/36fZJqGjBpVdxSvdxJQQuQQ0Z20mR1FA0lQXwCE12LqF/2U4umVg3AevknaitzM/1I4cfr8FMyFGGw==" w:salt="5FaIoUXA3WEmdJfgWb4/lg=="/>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61A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4C4"/>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3F79"/>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0B7C"/>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1A78"/>
    <w:rsid w:val="002B53F3"/>
    <w:rsid w:val="002C03FD"/>
    <w:rsid w:val="002C044D"/>
    <w:rsid w:val="002C1AA5"/>
    <w:rsid w:val="002C2A46"/>
    <w:rsid w:val="002C3048"/>
    <w:rsid w:val="002C56FD"/>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1D9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0896"/>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070E"/>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4008E"/>
    <w:rsid w:val="00941C0C"/>
    <w:rsid w:val="009437F2"/>
    <w:rsid w:val="0094528B"/>
    <w:rsid w:val="00960A8B"/>
    <w:rsid w:val="00961EE5"/>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3F1A"/>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1B3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2240"/>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365A"/>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6BF"/>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E7B44"/>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Absatz-Standardschriftart"/>
    <w:link w:val="Questionstyle"/>
    <w:rsid w:val="00F77851"/>
    <w:rPr>
      <w:rFonts w:eastAsia="Times New Roman" w:cstheme="minorHAnsi"/>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2240"/>
    <w:pPr>
      <w:autoSpaceDE w:val="0"/>
      <w:autoSpaceDN w:val="0"/>
      <w:adjustRightInd w:val="0"/>
      <w:spacing w:after="0" w:line="240" w:lineRule="auto"/>
    </w:pPr>
    <w:rPr>
      <w:rFonts w:ascii="Arial" w:eastAsia="Times New Roman" w:hAnsi="Arial" w:cs="Arial"/>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50588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847287915">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ACD34FE742804B992B43602B7E5386" ma:contentTypeVersion="2" ma:contentTypeDescription="Create a new document." ma:contentTypeScope="" ma:versionID="3fb0a8629ee29280b41c943e13568299">
  <xsd:schema xmlns:xsd="http://www.w3.org/2001/XMLSchema" xmlns:xs="http://www.w3.org/2001/XMLSchema" xmlns:p="http://schemas.microsoft.com/office/2006/metadata/properties" xmlns:ns3="798c700a-2047-40cc-a498-9dd871b53f6a" targetNamespace="http://schemas.microsoft.com/office/2006/metadata/properties" ma:root="true" ma:fieldsID="f934e6115d4b8bb3d3e039fe43f0574c" ns3:_="">
    <xsd:import namespace="798c700a-2047-40cc-a498-9dd871b53f6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c700a-2047-40cc-a498-9dd871b53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purl.org/dc/elements/1.1/"/>
    <ds:schemaRef ds:uri="http://schemas.microsoft.com/office/2006/metadata/properties"/>
    <ds:schemaRef ds:uri="798c700a-2047-40cc-a498-9dd871b53f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73E5B61A-A904-46FB-B00D-112A99713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c700a-2047-40cc-a498-9dd871b53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D7F2C1-7381-4B27-8825-C216A9333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8</Pages>
  <Words>1755</Words>
  <Characters>11062</Characters>
  <Application>Microsoft Office Word</Application>
  <DocSecurity>8</DocSecurity>
  <Lines>92</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Walter Bernhard</cp:lastModifiedBy>
  <cp:revision>2</cp:revision>
  <cp:lastPrinted>2017-07-24T14:47:00Z</cp:lastPrinted>
  <dcterms:created xsi:type="dcterms:W3CDTF">2020-01-08T08:56:00Z</dcterms:created>
  <dcterms:modified xsi:type="dcterms:W3CDTF">2020-01-08T08:56:00Z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2;#Restricted|187aa7e6-627f-4951-b138-6ff841dc883d</vt:lpwstr>
  </property>
  <property fmtid="{D5CDD505-2E9C-101B-9397-08002B2CF9AE}" pid="4" name="ContentTypeId">
    <vt:lpwstr>0x0101002CACD34FE742804B992B43602B7E5386</vt:lpwstr>
  </property>
  <property fmtid="{D5CDD505-2E9C-101B-9397-08002B2CF9AE}" pid="5" name="_dlc_DocIdItemGuid">
    <vt:lpwstr>155ab378-0408-4a09-bf77-47f9e5213ee4</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474;#MiFID reports - MiFID II 90(1)(f) - Position limits|e81dbf1e-3064-4884-a3c8-df0a9f8119ae</vt:lpwstr>
  </property>
</Properties>
</file>