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cstheme="minorHAnsi"/>
        </w:rPr>
        <w:id w:val="-973058580"/>
        <w:docPartObj>
          <w:docPartGallery w:val="Cover Pages"/>
          <w:docPartUnique/>
        </w:docPartObj>
      </w:sdt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08848791" w:rsidR="00AF2EF7" w:rsidRPr="00B8572C" w:rsidRDefault="00C1698A" w:rsidP="00D13661">
                <w:pPr>
                  <w:pStyle w:val="Titre"/>
                  <w:spacing w:line="276" w:lineRule="auto"/>
                  <w:ind w:right="854"/>
                  <w:rPr>
                    <w:rFonts w:asciiTheme="minorHAnsi" w:hAnsiTheme="minorHAnsi" w:cstheme="minorHAnsi"/>
                    <w:sz w:val="48"/>
                    <w:szCs w:val="48"/>
                  </w:rPr>
                </w:pPr>
                <w:r>
                  <w:rPr>
                    <w:rFonts w:asciiTheme="minorHAnsi" w:hAnsiTheme="minorHAnsi" w:cstheme="minorHAnsi"/>
                    <w:sz w:val="48"/>
                    <w:szCs w:val="48"/>
                  </w:rPr>
                  <w:t>Re</w:t>
                </w:r>
                <w:r w:rsidR="00961EE5">
                  <w:rPr>
                    <w:rFonts w:asciiTheme="minorHAnsi" w:hAnsiTheme="minorHAnsi" w:cstheme="minorHAnsi"/>
                    <w:sz w:val="48"/>
                    <w:szCs w:val="48"/>
                  </w:rPr>
                  <w:t xml:space="preserve">ply </w:t>
                </w:r>
                <w:r>
                  <w:rPr>
                    <w:rFonts w:asciiTheme="minorHAnsi" w:hAnsiTheme="minorHAnsi" w:cstheme="minorHAnsi"/>
                    <w:sz w:val="48"/>
                    <w:szCs w:val="48"/>
                  </w:rPr>
                  <w:t xml:space="preserve">Form to the </w:t>
                </w:r>
                <w:r w:rsidR="008B2AF1">
                  <w:rPr>
                    <w:rFonts w:asciiTheme="minorHAnsi" w:hAnsiTheme="minorHAnsi" w:cstheme="minorHAnsi"/>
                    <w:sz w:val="48"/>
                    <w:szCs w:val="48"/>
                  </w:rPr>
                  <w:t>C</w:t>
                </w:r>
                <w:r w:rsidR="0063070E">
                  <w:rPr>
                    <w:rFonts w:asciiTheme="minorHAnsi" w:hAnsiTheme="minorHAnsi" w:cstheme="minorHAnsi"/>
                    <w:sz w:val="48"/>
                    <w:szCs w:val="48"/>
                  </w:rPr>
                  <w:t>onsultation Paper</w:t>
                </w:r>
                <w:r w:rsidR="000F74C4">
                  <w:rPr>
                    <w:rFonts w:asciiTheme="minorHAnsi" w:hAnsiTheme="minorHAnsi" w:cstheme="minorHAnsi"/>
                    <w:sz w:val="48"/>
                    <w:szCs w:val="48"/>
                  </w:rPr>
                  <w:t xml:space="preserve"> </w:t>
                </w:r>
              </w:p>
            </w:tc>
          </w:tr>
          <w:tr w:rsidR="00AB6157" w:rsidRPr="00B8572C" w14:paraId="76D253F5" w14:textId="77777777" w:rsidTr="00D13661">
            <w:trPr>
              <w:trHeight w:hRule="exact" w:val="747"/>
            </w:trPr>
            <w:tc>
              <w:tcPr>
                <w:tcW w:w="10490" w:type="dxa"/>
                <w:tcMar>
                  <w:top w:w="142" w:type="dxa"/>
                </w:tcMar>
              </w:tcPr>
              <w:p w14:paraId="1317ADC8" w14:textId="2C37C777" w:rsidR="0063070E" w:rsidRDefault="0063070E" w:rsidP="0063070E">
                <w:pPr>
                  <w:pStyle w:val="Sous-titre"/>
                  <w:rPr>
                    <w:rFonts w:cs="Arial"/>
                  </w:rPr>
                </w:pPr>
                <w:r>
                  <w:rPr>
                    <w:rFonts w:cs="Arial"/>
                  </w:rPr>
                  <w:t xml:space="preserve">MiFID II review report on position limits and position management </w:t>
                </w:r>
              </w:p>
              <w:p w14:paraId="2CBF8F9B" w14:textId="2B39453C" w:rsidR="0063070E" w:rsidRDefault="0063070E" w:rsidP="0063070E">
                <w:pPr>
                  <w:pStyle w:val="Sous-titre"/>
                  <w:rPr>
                    <w:rFonts w:cs="Arial"/>
                  </w:rPr>
                </w:pPr>
                <w:r>
                  <w:rPr>
                    <w:rFonts w:cs="Arial"/>
                  </w:rPr>
                  <w:t>Draft Technical Advice on weekly position reports</w:t>
                </w:r>
              </w:p>
              <w:p w14:paraId="72EBF426" w14:textId="641E1005" w:rsidR="0063070E" w:rsidRPr="0063070E" w:rsidRDefault="0063070E" w:rsidP="0063070E"/>
              <w:p w14:paraId="26CF3934" w14:textId="5F517F25" w:rsidR="00AB6157" w:rsidRPr="00B8572C" w:rsidRDefault="00AB6157" w:rsidP="00AB6157">
                <w:pPr>
                  <w:pStyle w:val="Titre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ESMA invites comments on all matters in this paper and in particular on the specific questions summarised in Annex 1.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490734"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w:t>
          </w:r>
          <w:r w:rsidRPr="002C56FD">
            <w:rPr>
              <w:rFonts w:asciiTheme="minorHAnsi" w:eastAsiaTheme="minorEastAsia" w:hAnsiTheme="minorHAnsi" w:cstheme="minorBidi"/>
              <w:sz w:val="22"/>
              <w:szCs w:val="20"/>
              <w:lang w:eastAsia="en-US"/>
            </w:rPr>
            <w:t>received by</w:t>
          </w:r>
          <w:r w:rsidRPr="002C56FD">
            <w:rPr>
              <w:rFonts w:asciiTheme="minorHAnsi" w:eastAsiaTheme="minorEastAsia" w:hAnsiTheme="minorHAnsi" w:cstheme="minorBidi"/>
              <w:b/>
              <w:sz w:val="22"/>
              <w:szCs w:val="20"/>
              <w:lang w:eastAsia="en-US"/>
            </w:rPr>
            <w:t xml:space="preserve"> </w:t>
          </w:r>
          <w:r w:rsidR="00223F79" w:rsidRPr="002C56FD">
            <w:rPr>
              <w:rFonts w:asciiTheme="minorHAnsi" w:eastAsiaTheme="minorEastAsia" w:hAnsiTheme="minorHAnsi" w:cstheme="minorBidi"/>
              <w:b/>
              <w:sz w:val="22"/>
              <w:szCs w:val="20"/>
              <w:lang w:eastAsia="en-US"/>
            </w:rPr>
            <w:t>8</w:t>
          </w:r>
          <w:r w:rsidR="009C3F1A" w:rsidRPr="002C56FD">
            <w:rPr>
              <w:rFonts w:asciiTheme="minorHAnsi" w:eastAsiaTheme="minorEastAsia" w:hAnsiTheme="minorHAnsi" w:cstheme="minorBidi"/>
              <w:b/>
              <w:sz w:val="22"/>
              <w:szCs w:val="20"/>
              <w:lang w:eastAsia="en-US"/>
            </w:rPr>
            <w:t xml:space="preserve"> January </w:t>
          </w:r>
          <w:r w:rsidRPr="002C56FD">
            <w:rPr>
              <w:rFonts w:asciiTheme="minorHAnsi" w:eastAsiaTheme="minorEastAsia" w:hAnsiTheme="minorHAnsi" w:cstheme="minorBidi"/>
              <w:b/>
              <w:sz w:val="22"/>
              <w:szCs w:val="20"/>
              <w:lang w:eastAsia="en-US"/>
            </w:rPr>
            <w:t>20</w:t>
          </w:r>
          <w:r w:rsidR="009C3F1A" w:rsidRPr="002C56FD">
            <w:rPr>
              <w:rFonts w:asciiTheme="minorHAnsi" w:eastAsiaTheme="minorEastAsia" w:hAnsiTheme="minorHAnsi" w:cstheme="minorBidi"/>
              <w:b/>
              <w:sz w:val="22"/>
              <w:szCs w:val="20"/>
              <w:lang w:eastAsia="en-US"/>
            </w:rPr>
            <w:t>20</w:t>
          </w:r>
          <w:r w:rsidRPr="002C56FD">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209BDB6C"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Please follow the instructions given in the document ‘Reply form for the </w:t>
          </w:r>
          <w:r w:rsidR="009C3F1A">
            <w:rPr>
              <w:rFonts w:asciiTheme="minorHAnsi" w:eastAsiaTheme="minorEastAsia" w:hAnsiTheme="minorHAnsi" w:cstheme="minorBidi"/>
              <w:sz w:val="22"/>
              <w:szCs w:val="20"/>
              <w:lang w:eastAsia="en-US"/>
            </w:rPr>
            <w:t>consultation paper o</w:t>
          </w:r>
          <w:r w:rsidRPr="00AB6157">
            <w:rPr>
              <w:rFonts w:asciiTheme="minorHAnsi" w:eastAsiaTheme="minorEastAsia" w:hAnsiTheme="minorHAnsi" w:cstheme="minorBidi"/>
              <w:sz w:val="22"/>
              <w:szCs w:val="20"/>
              <w:lang w:eastAsia="en-US"/>
            </w:rPr>
            <w:t xml:space="preserve">n </w:t>
          </w:r>
          <w:r w:rsidR="009C3F1A">
            <w:rPr>
              <w:rFonts w:asciiTheme="minorHAnsi" w:eastAsiaTheme="minorEastAsia" w:hAnsiTheme="minorHAnsi" w:cstheme="minorBidi"/>
              <w:sz w:val="22"/>
              <w:szCs w:val="20"/>
              <w:lang w:eastAsia="en-US"/>
            </w:rPr>
            <w:t>“</w:t>
          </w:r>
          <w:r w:rsidR="009C3F1A" w:rsidRPr="009C3F1A">
            <w:rPr>
              <w:rFonts w:asciiTheme="minorHAnsi" w:eastAsiaTheme="minorEastAsia" w:hAnsiTheme="minorHAnsi" w:cstheme="minorBidi"/>
              <w:color w:val="2F5496" w:themeColor="accent5" w:themeShade="BF"/>
              <w:sz w:val="22"/>
              <w:szCs w:val="20"/>
              <w:lang w:eastAsia="en-US"/>
            </w:rPr>
            <w:t>MiFID II review report</w:t>
          </w:r>
          <w:bookmarkStart w:id="0" w:name="_GoBack"/>
          <w:bookmarkEnd w:id="0"/>
          <w:r w:rsidR="009C3F1A" w:rsidRPr="009C3F1A">
            <w:rPr>
              <w:rFonts w:asciiTheme="minorHAnsi" w:eastAsiaTheme="minorEastAsia" w:hAnsiTheme="minorHAnsi" w:cstheme="minorBidi"/>
              <w:color w:val="2F5496" w:themeColor="accent5" w:themeShade="BF"/>
              <w:sz w:val="22"/>
              <w:szCs w:val="20"/>
              <w:lang w:eastAsia="en-US"/>
            </w:rPr>
            <w:t xml:space="preserve"> on position limits and position management and </w:t>
          </w:r>
          <w:r w:rsidR="009C3F1A">
            <w:rPr>
              <w:rFonts w:asciiTheme="minorHAnsi" w:eastAsiaTheme="minorEastAsia" w:hAnsiTheme="minorHAnsi" w:cstheme="minorBidi"/>
              <w:color w:val="2F5496" w:themeColor="accent5" w:themeShade="BF"/>
              <w:sz w:val="22"/>
              <w:szCs w:val="20"/>
              <w:lang w:eastAsia="en-US"/>
            </w:rPr>
            <w:t>draft technical advice on weekly position reports</w:t>
          </w:r>
          <w:r w:rsidRPr="00AB6157">
            <w:rPr>
              <w:rFonts w:asciiTheme="minorHAnsi" w:eastAsiaTheme="minorEastAsia" w:hAnsiTheme="minorHAnsi" w:cstheme="minorBidi"/>
              <w:sz w:val="22"/>
              <w:szCs w:val="20"/>
              <w:lang w:eastAsia="en-US"/>
            </w:rPr>
            <w:t>’ also published on the ESMA website.</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334CF29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w:t>
          </w:r>
          <w:r w:rsidR="009C3F1A">
            <w:rPr>
              <w:rFonts w:asciiTheme="minorHAnsi" w:eastAsiaTheme="minorEastAsia" w:hAnsiTheme="minorHAnsi" w:cstheme="minorBidi"/>
              <w:sz w:val="22"/>
              <w:szCs w:val="20"/>
              <w:lang w:eastAsia="en-US"/>
            </w:rPr>
            <w:t xml:space="preserve"> </w:t>
          </w:r>
          <w:r w:rsidR="00223F79">
            <w:rPr>
              <w:rFonts w:asciiTheme="minorHAnsi" w:eastAsiaTheme="minorEastAsia" w:hAnsiTheme="minorHAnsi" w:cstheme="minorBidi"/>
              <w:sz w:val="22"/>
              <w:szCs w:val="20"/>
              <w:lang w:eastAsia="en-US"/>
            </w:rPr>
            <w:t>C</w:t>
          </w:r>
          <w:r w:rsidR="009C3F1A">
            <w:rPr>
              <w:rFonts w:asciiTheme="minorHAnsi" w:eastAsiaTheme="minorEastAsia" w:hAnsiTheme="minorHAnsi" w:cstheme="minorBidi"/>
              <w:sz w:val="22"/>
              <w:szCs w:val="20"/>
              <w:lang w:eastAsia="en-US"/>
            </w:rPr>
            <w:t>onsultation paper</w:t>
          </w:r>
          <w:r w:rsidRPr="00C85C8B">
            <w:rPr>
              <w:rFonts w:asciiTheme="minorHAnsi" w:eastAsiaTheme="minorEastAsia" w:hAnsiTheme="minorHAnsi" w:cstheme="minorBidi"/>
              <w:sz w:val="22"/>
              <w:szCs w:val="20"/>
              <w:lang w:eastAsia="en-US"/>
            </w:rPr>
            <w:t>, respondents are requested to follow the below steps when preparing and submitting their response:</w:t>
          </w:r>
        </w:p>
        <w:p w14:paraId="1200930E" w14:textId="7324BCF9" w:rsidR="00C85C8B" w:rsidRPr="00C85C8B" w:rsidRDefault="00C85C8B" w:rsidP="00166206">
          <w:pPr>
            <w:pStyle w:val="Paragraphedeliste"/>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w:t>
          </w:r>
          <w:r w:rsidR="00223F79">
            <w:rPr>
              <w:rFonts w:eastAsiaTheme="minorEastAsia" w:cstheme="minorBidi"/>
              <w:szCs w:val="20"/>
              <w:lang w:eastAsia="en-US"/>
            </w:rPr>
            <w:t>C</w:t>
          </w:r>
          <w:r w:rsidR="009C3F1A">
            <w:rPr>
              <w:rFonts w:eastAsiaTheme="minorEastAsia" w:cstheme="minorBidi"/>
              <w:szCs w:val="20"/>
              <w:lang w:eastAsia="en-US"/>
            </w:rPr>
            <w:t xml:space="preserve">onsultation paper </w:t>
          </w:r>
          <w:r w:rsidRPr="00C85C8B">
            <w:rPr>
              <w:rFonts w:eastAsiaTheme="minorEastAsia" w:cstheme="minorBidi"/>
              <w:szCs w:val="20"/>
              <w:lang w:eastAsia="en-US"/>
            </w:rPr>
            <w:t xml:space="preserve">in the present response form. </w:t>
          </w:r>
        </w:p>
        <w:p w14:paraId="3B16398E" w14:textId="1D970CA3" w:rsidR="00C85C8B" w:rsidRPr="00C85C8B" w:rsidRDefault="00C85C8B" w:rsidP="00C85C8B">
          <w:pPr>
            <w:pStyle w:val="Paragraphedeliste"/>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5365A">
            <w:rPr>
              <w:rFonts w:eastAsiaTheme="minorEastAsia" w:cstheme="minorBidi"/>
              <w:szCs w:val="20"/>
              <w:lang w:eastAsia="en-US"/>
            </w:rPr>
            <w:t>WPR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Paragraphedeliste"/>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E8DA51F" w:rsidR="00C85C8B" w:rsidRPr="00C85C8B" w:rsidRDefault="00C85C8B" w:rsidP="00C85C8B">
          <w:pPr>
            <w:pStyle w:val="Paragraphedeliste"/>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5365A">
            <w:rPr>
              <w:rFonts w:eastAsiaTheme="minorEastAsia" w:cstheme="minorBidi"/>
              <w:szCs w:val="20"/>
              <w:lang w:eastAsia="en-US"/>
            </w:rPr>
            <w:t>WPR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D5365A">
            <w:rPr>
              <w:rFonts w:eastAsiaTheme="minorEastAsia" w:cstheme="minorBidi"/>
              <w:szCs w:val="20"/>
              <w:lang w:eastAsia="en-US"/>
            </w:rPr>
            <w:t>WPR</w:t>
          </w:r>
          <w:r w:rsidRPr="00C85C8B">
            <w:rPr>
              <w:rFonts w:eastAsiaTheme="minorEastAsia" w:cstheme="minorBidi"/>
              <w:szCs w:val="20"/>
              <w:lang w:eastAsia="en-US"/>
            </w:rPr>
            <w:t>_ABCD_RESPONSEFORM.</w:t>
          </w:r>
        </w:p>
        <w:p w14:paraId="1A9C59D6" w14:textId="013251ED" w:rsidR="00C85C8B" w:rsidRPr="00C85C8B" w:rsidRDefault="00C85C8B" w:rsidP="00C85C8B">
          <w:pPr>
            <w:pStyle w:val="Paragraphedeliste"/>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w:t>
          </w:r>
          <w:r w:rsidR="000F74C4">
            <w:rPr>
              <w:rFonts w:eastAsiaTheme="minorEastAsia" w:cstheme="minorBidi"/>
              <w:szCs w:val="20"/>
              <w:lang w:eastAsia="en-US"/>
            </w:rPr>
            <w:t xml:space="preserve">all for Evidence </w:t>
          </w:r>
          <w:r w:rsidRPr="00C85C8B">
            <w:rPr>
              <w:rFonts w:eastAsiaTheme="minorEastAsia" w:cstheme="minorBidi"/>
              <w:szCs w:val="20"/>
              <w:lang w:eastAsia="en-US"/>
            </w:rPr>
            <w:t xml:space="preserve">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5B44E0DB"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trading venues, investment firms and non-financial counterparties trading in commodity derivatives, but responses are also sought from any other market participant including trade associations, industry bodies and investors.</w:t>
          </w:r>
        </w:p>
        <w:p w14:paraId="14912E5E" w14:textId="1CE85474" w:rsidR="00AF2EF7" w:rsidRPr="00B8572C" w:rsidRDefault="00166206"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Titre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1"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166206">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Content>
            <w:tc>
              <w:tcPr>
                <w:tcW w:w="5595" w:type="dxa"/>
                <w:shd w:val="clear" w:color="auto" w:fill="auto"/>
              </w:tcPr>
              <w:p w14:paraId="1B67440D" w14:textId="643DEF4C" w:rsidR="00C85C8B" w:rsidRPr="00C85C8B" w:rsidRDefault="00166206" w:rsidP="00166206">
                <w:pPr>
                  <w:rPr>
                    <w:rFonts w:ascii="Arial" w:hAnsi="Arial" w:cs="Arial"/>
                    <w:color w:val="808080"/>
                    <w:sz w:val="20"/>
                    <w:lang w:eastAsia="de-DE"/>
                  </w:rPr>
                </w:pPr>
                <w:r>
                  <w:rPr>
                    <w:rFonts w:ascii="Arial" w:hAnsi="Arial" w:cs="Arial"/>
                    <w:color w:val="808080"/>
                    <w:sz w:val="20"/>
                    <w:lang w:eastAsia="de-DE"/>
                  </w:rPr>
                  <w:t>EDF</w:t>
                </w:r>
                <w:r w:rsidR="004801E5">
                  <w:rPr>
                    <w:rFonts w:ascii="Arial" w:hAnsi="Arial" w:cs="Arial"/>
                    <w:color w:val="808080"/>
                    <w:sz w:val="20"/>
                    <w:lang w:eastAsia="de-DE"/>
                  </w:rPr>
                  <w:t xml:space="preserve"> Group</w:t>
                </w:r>
              </w:p>
            </w:tc>
          </w:sdtContent>
        </w:sdt>
      </w:tr>
      <w:tr w:rsidR="00C85C8B" w:rsidRPr="00C85C8B" w14:paraId="216F3E57" w14:textId="77777777" w:rsidTr="00166206">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0AA3DA05" w:rsidR="00C85C8B" w:rsidRPr="00C85C8B" w:rsidRDefault="00166206"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Pr>
                    <w:rFonts w:ascii="Arial" w:hAnsi="Arial" w:cs="Arial"/>
                    <w:sz w:val="20"/>
                    <w:lang w:eastAsia="de-DE"/>
                  </w:rPr>
                  <w:t>Non-financial counterparty</w:t>
                </w:r>
              </w:sdtContent>
            </w:sdt>
          </w:p>
        </w:tc>
      </w:tr>
      <w:tr w:rsidR="00C85C8B" w:rsidRPr="00C85C8B" w14:paraId="0D216581" w14:textId="77777777" w:rsidTr="00166206">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166206">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3DB58E07" w:rsidR="00C85C8B" w:rsidRPr="00C85C8B" w:rsidRDefault="00166206"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21EEEC9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theme="minorBidi"/>
          <w:sz w:val="22"/>
          <w:szCs w:val="20"/>
          <w:lang w:eastAsia="en-US"/>
        </w:rPr>
        <w:t>WPR</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12BB696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Arial"/>
          <w:sz w:val="22"/>
          <w:szCs w:val="20"/>
          <w:lang w:eastAsia="en-US"/>
        </w:rPr>
        <w:t>WPR</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6708E7F3"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5BB748F7" w14:textId="18FE1F4F" w:rsidR="00D5365A" w:rsidRDefault="00D5365A" w:rsidP="00C1698A">
      <w:pPr>
        <w:spacing w:line="276" w:lineRule="auto"/>
        <w:rPr>
          <w:rFonts w:asciiTheme="minorHAnsi" w:hAnsiTheme="minorHAnsi" w:cstheme="minorHAnsi"/>
          <w:b/>
          <w:sz w:val="28"/>
          <w:szCs w:val="28"/>
        </w:rPr>
      </w:pPr>
    </w:p>
    <w:p w14:paraId="78C87C24" w14:textId="77777777" w:rsidR="00D5365A" w:rsidRPr="002847A4" w:rsidRDefault="00D5365A" w:rsidP="00D5365A">
      <w:pPr>
        <w:rPr>
          <w:b/>
        </w:rPr>
      </w:pPr>
      <w:r w:rsidRPr="002847A4">
        <w:rPr>
          <w:b/>
        </w:rPr>
        <w:t>Part I</w:t>
      </w:r>
    </w:p>
    <w:p w14:paraId="6803E72C" w14:textId="77777777" w:rsidR="00D5365A" w:rsidRDefault="00D5365A" w:rsidP="00C1698A">
      <w:pPr>
        <w:spacing w:line="276" w:lineRule="auto"/>
        <w:rPr>
          <w:rFonts w:asciiTheme="minorHAnsi" w:hAnsiTheme="minorHAnsi" w:cstheme="minorHAnsi"/>
          <w:b/>
          <w:sz w:val="28"/>
          <w:szCs w:val="28"/>
        </w:rPr>
      </w:pPr>
    </w:p>
    <w:p w14:paraId="31CCCD1B" w14:textId="77777777" w:rsidR="00D5365A" w:rsidRDefault="00D5365A" w:rsidP="00D5365A">
      <w:pPr>
        <w:pStyle w:val="Questionstyle"/>
        <w:numPr>
          <w:ilvl w:val="0"/>
          <w:numId w:val="17"/>
        </w:numPr>
        <w:spacing w:after="250" w:line="276" w:lineRule="auto"/>
      </w:pPr>
      <w:r>
        <w:t>: Which option (Option 1 or Option 2) do you support for dealing with competing contracts? Please explain why. If you support Option 1, do you have any suggestions for amending the definition of “same contract” in Article 5(1) of RTS 21?  If you support another alternative, please explain which one and why.</w:t>
      </w:r>
    </w:p>
    <w:p w14:paraId="18E545B3" w14:textId="77777777" w:rsidR="00D5365A" w:rsidRDefault="00D5365A" w:rsidP="00D5365A">
      <w:pPr>
        <w:rPr>
          <w:rFonts w:ascii="Arial" w:hAnsi="Arial" w:cs="Arial"/>
        </w:rPr>
      </w:pPr>
      <w:r>
        <w:rPr>
          <w:rFonts w:ascii="Arial" w:hAnsi="Arial" w:cs="Arial"/>
        </w:rPr>
        <w:t>&lt;ESMA_QUESTION_WPR_1&gt;</w:t>
      </w:r>
    </w:p>
    <w:p w14:paraId="2EAFA30B" w14:textId="229F480A" w:rsidR="00D5365A" w:rsidRDefault="00166206" w:rsidP="00D5365A">
      <w:pPr>
        <w:rPr>
          <w:rFonts w:ascii="Arial" w:hAnsi="Arial" w:cs="Arial"/>
        </w:rPr>
      </w:pPr>
      <w:permStart w:id="1245597596" w:edGrp="everyone"/>
      <w:r w:rsidRPr="00166206">
        <w:rPr>
          <w:rFonts w:asciiTheme="majorHAnsi" w:hAnsiTheme="majorHAnsi" w:cstheme="majorHAnsi"/>
          <w:sz w:val="22"/>
          <w:szCs w:val="22"/>
        </w:rPr>
        <w:t>EDF supports Option 2 as it appears less complex to implement</w:t>
      </w:r>
      <w:r w:rsidRPr="00895941">
        <w:t>.</w:t>
      </w:r>
    </w:p>
    <w:permEnd w:id="1245597596"/>
    <w:p w14:paraId="230EAD9F" w14:textId="77777777" w:rsidR="00D5365A" w:rsidRDefault="00D5365A" w:rsidP="00D5365A">
      <w:pPr>
        <w:rPr>
          <w:rFonts w:ascii="Arial" w:hAnsi="Arial" w:cs="Arial"/>
        </w:rPr>
      </w:pPr>
      <w:r>
        <w:rPr>
          <w:rFonts w:ascii="Arial" w:hAnsi="Arial" w:cs="Arial"/>
        </w:rPr>
        <w:t>&lt;ESMA_QUESTION_WPR_1&gt;</w:t>
      </w:r>
    </w:p>
    <w:p w14:paraId="05277153" w14:textId="77777777" w:rsidR="00D5365A" w:rsidRDefault="00D5365A" w:rsidP="00D5365A">
      <w:pPr>
        <w:rPr>
          <w:rFonts w:ascii="Arial" w:hAnsi="Arial" w:cs="Arial"/>
        </w:rPr>
      </w:pPr>
    </w:p>
    <w:p w14:paraId="55333858" w14:textId="77777777" w:rsidR="00D5365A" w:rsidRDefault="00D5365A" w:rsidP="00D5365A">
      <w:pPr>
        <w:pStyle w:val="Questionstyle"/>
        <w:numPr>
          <w:ilvl w:val="0"/>
          <w:numId w:val="17"/>
        </w:numPr>
        <w:spacing w:after="250" w:line="276" w:lineRule="auto"/>
        <w:rPr>
          <w:rFonts w:ascii="Arial" w:hAnsi="Arial" w:cs="Arial"/>
        </w:rPr>
      </w:pPr>
      <w:r>
        <w:t>: Do you agree that the C(6) carve-out creates an unlevel playing field across trading venues and should be reconsidered? If not, please explain why.</w:t>
      </w:r>
    </w:p>
    <w:p w14:paraId="290574D7" w14:textId="77777777" w:rsidR="00D5365A" w:rsidRDefault="00D5365A" w:rsidP="00D5365A">
      <w:pPr>
        <w:rPr>
          <w:rFonts w:ascii="Arial" w:hAnsi="Arial" w:cs="Arial"/>
        </w:rPr>
      </w:pPr>
      <w:r>
        <w:rPr>
          <w:rFonts w:ascii="Arial" w:hAnsi="Arial" w:cs="Arial"/>
        </w:rPr>
        <w:t>&lt;ESMA_QUESTION_WPR_2&gt;</w:t>
      </w:r>
    </w:p>
    <w:p w14:paraId="2D89C5BE" w14:textId="77777777" w:rsidR="00166206" w:rsidRPr="00166206" w:rsidRDefault="00166206" w:rsidP="00166206">
      <w:pPr>
        <w:jc w:val="both"/>
        <w:rPr>
          <w:rFonts w:asciiTheme="majorHAnsi" w:hAnsiTheme="majorHAnsi" w:cstheme="majorHAnsi"/>
          <w:bCs/>
          <w:sz w:val="22"/>
          <w:szCs w:val="22"/>
        </w:rPr>
      </w:pPr>
      <w:permStart w:id="311558394" w:edGrp="everyone"/>
      <w:r w:rsidRPr="00166206">
        <w:rPr>
          <w:rFonts w:asciiTheme="majorHAnsi" w:hAnsiTheme="majorHAnsi" w:cstheme="majorHAnsi"/>
          <w:bCs/>
          <w:sz w:val="22"/>
          <w:szCs w:val="22"/>
        </w:rPr>
        <w:t xml:space="preserve">EDF disagrees with ESMA’s position on the impact of the </w:t>
      </w:r>
      <w:proofErr w:type="gramStart"/>
      <w:r w:rsidRPr="00166206">
        <w:rPr>
          <w:rFonts w:asciiTheme="majorHAnsi" w:hAnsiTheme="majorHAnsi" w:cstheme="majorHAnsi"/>
          <w:bCs/>
          <w:sz w:val="22"/>
          <w:szCs w:val="22"/>
        </w:rPr>
        <w:t>C(</w:t>
      </w:r>
      <w:proofErr w:type="gramEnd"/>
      <w:r w:rsidRPr="00166206">
        <w:rPr>
          <w:rFonts w:asciiTheme="majorHAnsi" w:hAnsiTheme="majorHAnsi" w:cstheme="majorHAnsi"/>
          <w:bCs/>
          <w:sz w:val="22"/>
          <w:szCs w:val="22"/>
        </w:rPr>
        <w:t>6) carve-out and it is against a review of its scope in a restrictive manner. The reason why we do not agree with ESMA’s reasoning are threefold:</w:t>
      </w:r>
    </w:p>
    <w:p w14:paraId="1973E31E" w14:textId="77777777" w:rsidR="00166206" w:rsidRPr="00166206" w:rsidRDefault="00166206" w:rsidP="00166206">
      <w:pPr>
        <w:pStyle w:val="Paragraphedeliste"/>
        <w:numPr>
          <w:ilvl w:val="0"/>
          <w:numId w:val="18"/>
        </w:numPr>
        <w:tabs>
          <w:tab w:val="clear" w:pos="0"/>
          <w:tab w:val="clear" w:pos="142"/>
          <w:tab w:val="clear" w:pos="284"/>
          <w:tab w:val="clear" w:pos="567"/>
        </w:tabs>
        <w:autoSpaceDE/>
        <w:autoSpaceDN/>
        <w:adjustRightInd/>
        <w:spacing w:after="160" w:line="259" w:lineRule="auto"/>
        <w:contextualSpacing/>
        <w:rPr>
          <w:rFonts w:asciiTheme="majorHAnsi" w:hAnsiTheme="majorHAnsi" w:cstheme="majorHAnsi"/>
          <w:bCs/>
        </w:rPr>
      </w:pPr>
      <w:r w:rsidRPr="00166206">
        <w:rPr>
          <w:rFonts w:asciiTheme="majorHAnsi" w:hAnsiTheme="majorHAnsi" w:cstheme="majorHAnsi"/>
          <w:bCs/>
        </w:rPr>
        <w:t>It is based on an unsubstantiated claim about the shift of trading activities from other venues to OTFs. Available data on the evolution of traded volumes on different venues do not support this claim.</w:t>
      </w:r>
    </w:p>
    <w:p w14:paraId="0DDCA841" w14:textId="77777777" w:rsidR="00166206" w:rsidRPr="00166206" w:rsidRDefault="00166206" w:rsidP="00166206">
      <w:pPr>
        <w:pStyle w:val="Paragraphedeliste"/>
        <w:numPr>
          <w:ilvl w:val="0"/>
          <w:numId w:val="18"/>
        </w:numPr>
        <w:tabs>
          <w:tab w:val="clear" w:pos="0"/>
          <w:tab w:val="clear" w:pos="142"/>
          <w:tab w:val="clear" w:pos="284"/>
          <w:tab w:val="clear" w:pos="567"/>
        </w:tabs>
        <w:autoSpaceDE/>
        <w:autoSpaceDN/>
        <w:adjustRightInd/>
        <w:spacing w:after="160" w:line="259" w:lineRule="auto"/>
        <w:contextualSpacing/>
        <w:rPr>
          <w:rFonts w:asciiTheme="majorHAnsi" w:hAnsiTheme="majorHAnsi" w:cstheme="majorHAnsi"/>
          <w:bCs/>
        </w:rPr>
      </w:pPr>
      <w:r w:rsidRPr="00166206">
        <w:rPr>
          <w:rFonts w:asciiTheme="majorHAnsi" w:hAnsiTheme="majorHAnsi" w:cstheme="majorHAnsi"/>
          <w:bCs/>
        </w:rPr>
        <w:t>It ignores key differences between physical commodity and financial derivatives markets especially for power and gas markets where dedicated sectoral regulators are in place.</w:t>
      </w:r>
    </w:p>
    <w:p w14:paraId="652F7B7C" w14:textId="586FEF0A" w:rsidR="00166206" w:rsidRPr="00166206" w:rsidRDefault="00166206" w:rsidP="00166206">
      <w:pPr>
        <w:pStyle w:val="Paragraphedeliste"/>
        <w:numPr>
          <w:ilvl w:val="0"/>
          <w:numId w:val="18"/>
        </w:numPr>
        <w:tabs>
          <w:tab w:val="clear" w:pos="0"/>
          <w:tab w:val="clear" w:pos="142"/>
          <w:tab w:val="clear" w:pos="284"/>
          <w:tab w:val="clear" w:pos="567"/>
        </w:tabs>
        <w:autoSpaceDE/>
        <w:autoSpaceDN/>
        <w:adjustRightInd/>
        <w:spacing w:after="160" w:line="259" w:lineRule="auto"/>
        <w:contextualSpacing/>
        <w:rPr>
          <w:rFonts w:asciiTheme="majorHAnsi" w:hAnsiTheme="majorHAnsi" w:cstheme="majorHAnsi"/>
          <w:bCs/>
        </w:rPr>
      </w:pPr>
      <w:r w:rsidRPr="00166206">
        <w:rPr>
          <w:rFonts w:asciiTheme="majorHAnsi" w:hAnsiTheme="majorHAnsi" w:cstheme="majorHAnsi"/>
          <w:bCs/>
        </w:rPr>
        <w:t xml:space="preserve">It fails to appreciate the significant knock-on effects it would have </w:t>
      </w:r>
      <w:r>
        <w:rPr>
          <w:rFonts w:asciiTheme="majorHAnsi" w:hAnsiTheme="majorHAnsi" w:cstheme="majorHAnsi"/>
          <w:bCs/>
        </w:rPr>
        <w:t>on energy market participants.</w:t>
      </w:r>
    </w:p>
    <w:p w14:paraId="660F7624" w14:textId="77777777" w:rsidR="00166206" w:rsidRDefault="00166206" w:rsidP="00166206">
      <w:pPr>
        <w:jc w:val="both"/>
        <w:rPr>
          <w:bCs/>
        </w:rPr>
      </w:pPr>
      <w:r w:rsidRPr="00166206">
        <w:rPr>
          <w:rFonts w:asciiTheme="majorHAnsi" w:hAnsiTheme="majorHAnsi" w:cstheme="majorHAnsi"/>
          <w:bCs/>
          <w:sz w:val="22"/>
          <w:szCs w:val="22"/>
        </w:rPr>
        <w:t>The introduction of the C(6) carve-out in MiFID II is the outcome of a lengthy discussion which resulted in a balanced compromise between the needs to guarantee a robust supervisory framework for commodity derivatives and the ability of energy market participants to hedge the risks related to their physical activities (energy production, supply, consumption, etc.). The repeal of the carve-out or its reconfiguration in a more restrictive manner would result in higher costs of hedging for energy market participants, which will inevitably be passed on as higher energy costs for end users across the EU</w:t>
      </w:r>
      <w:r>
        <w:rPr>
          <w:bCs/>
        </w:rPr>
        <w:t>.</w:t>
      </w:r>
    </w:p>
    <w:permEnd w:id="311558394"/>
    <w:p w14:paraId="72923BA0" w14:textId="7A3428E7" w:rsidR="00D5365A" w:rsidRDefault="00D5365A" w:rsidP="00D5365A">
      <w:pPr>
        <w:rPr>
          <w:rFonts w:ascii="Arial" w:hAnsi="Arial" w:cs="Arial"/>
        </w:rPr>
      </w:pPr>
      <w:r>
        <w:rPr>
          <w:rFonts w:ascii="Arial" w:hAnsi="Arial" w:cs="Arial"/>
        </w:rPr>
        <w:t>&lt;ESMA_QUESTION_WPR_2&gt;</w:t>
      </w:r>
    </w:p>
    <w:p w14:paraId="6F067025" w14:textId="77777777" w:rsidR="00D5365A" w:rsidRDefault="00D5365A" w:rsidP="00D5365A">
      <w:pPr>
        <w:rPr>
          <w:rFonts w:ascii="Arial" w:hAnsi="Arial" w:cs="Arial"/>
        </w:rPr>
      </w:pPr>
    </w:p>
    <w:p w14:paraId="65092191" w14:textId="77777777" w:rsidR="00D5365A" w:rsidRDefault="00D5365A" w:rsidP="00D5365A">
      <w:pPr>
        <w:pStyle w:val="Questionstyle"/>
        <w:numPr>
          <w:ilvl w:val="0"/>
          <w:numId w:val="17"/>
        </w:numPr>
        <w:spacing w:after="250" w:line="276" w:lineRule="auto"/>
        <w:rPr>
          <w:rFonts w:ascii="Arial" w:hAnsi="Arial" w:cs="Arial"/>
        </w:rPr>
      </w:pPr>
      <w:r>
        <w:t>: Do you agree that the position limit framework should not apply to securitised derivatives? If not, please explain why.</w:t>
      </w:r>
    </w:p>
    <w:p w14:paraId="2A59A7B2" w14:textId="77777777" w:rsidR="00D5365A" w:rsidRDefault="00D5365A" w:rsidP="00D5365A">
      <w:pPr>
        <w:rPr>
          <w:rFonts w:ascii="Arial" w:hAnsi="Arial" w:cs="Arial"/>
        </w:rPr>
      </w:pPr>
      <w:r>
        <w:rPr>
          <w:rFonts w:ascii="Arial" w:hAnsi="Arial" w:cs="Arial"/>
        </w:rPr>
        <w:t>&lt;ESMA_QUESTION_WPR_3&gt;</w:t>
      </w:r>
    </w:p>
    <w:p w14:paraId="4C832058" w14:textId="77777777" w:rsidR="00D5365A" w:rsidRDefault="00D5365A" w:rsidP="00D5365A">
      <w:pPr>
        <w:rPr>
          <w:rFonts w:ascii="Arial" w:hAnsi="Arial" w:cs="Arial"/>
        </w:rPr>
      </w:pPr>
      <w:permStart w:id="1945511407" w:edGrp="everyone"/>
      <w:r>
        <w:rPr>
          <w:rFonts w:ascii="Arial" w:hAnsi="Arial" w:cs="Arial"/>
        </w:rPr>
        <w:t>TYPE YOUR TEXT HERE</w:t>
      </w:r>
    </w:p>
    <w:permEnd w:id="1945511407"/>
    <w:p w14:paraId="5D7CB126" w14:textId="77777777" w:rsidR="00D5365A" w:rsidRDefault="00D5365A" w:rsidP="00D5365A">
      <w:pPr>
        <w:rPr>
          <w:rFonts w:ascii="Arial" w:hAnsi="Arial" w:cs="Arial"/>
        </w:rPr>
      </w:pPr>
      <w:r>
        <w:rPr>
          <w:rFonts w:ascii="Arial" w:hAnsi="Arial" w:cs="Arial"/>
        </w:rPr>
        <w:t>&lt;ESMA_QUESTION_WPR_3&gt;</w:t>
      </w:r>
    </w:p>
    <w:p w14:paraId="13A4EF33" w14:textId="77777777" w:rsidR="00D5365A" w:rsidRDefault="00D5365A" w:rsidP="00D5365A">
      <w:pPr>
        <w:rPr>
          <w:rFonts w:ascii="Arial" w:hAnsi="Arial" w:cs="Arial"/>
        </w:rPr>
      </w:pPr>
    </w:p>
    <w:p w14:paraId="39793CB0" w14:textId="77777777" w:rsidR="00D5365A" w:rsidRDefault="00D5365A" w:rsidP="00D5365A">
      <w:pPr>
        <w:pStyle w:val="Questionstyle"/>
        <w:numPr>
          <w:ilvl w:val="0"/>
          <w:numId w:val="17"/>
        </w:numPr>
        <w:spacing w:after="250" w:line="276" w:lineRule="auto"/>
        <w:rPr>
          <w:rFonts w:ascii="Arial" w:hAnsi="Arial" w:cs="Arial"/>
        </w:rPr>
      </w:pPr>
      <w:r>
        <w:t xml:space="preserve">: Which option do you support to address the negative impact of position limits on new and illiquid commodity derivatives: Option 1 or Option 2? Please explain why. If you support another alternative, please explain which one and why. </w:t>
      </w:r>
    </w:p>
    <w:p w14:paraId="7B19F883" w14:textId="77777777" w:rsidR="00D5365A" w:rsidRDefault="00D5365A" w:rsidP="00D5365A">
      <w:pPr>
        <w:rPr>
          <w:rFonts w:ascii="Arial" w:hAnsi="Arial" w:cs="Arial"/>
        </w:rPr>
      </w:pPr>
      <w:r>
        <w:rPr>
          <w:rFonts w:ascii="Arial" w:hAnsi="Arial" w:cs="Arial"/>
        </w:rPr>
        <w:lastRenderedPageBreak/>
        <w:t>&lt;ESMA_QUESTION_WPR_4&gt;</w:t>
      </w:r>
    </w:p>
    <w:p w14:paraId="19AFE7FF" w14:textId="77777777" w:rsidR="00166206" w:rsidRPr="00AE7AA3" w:rsidRDefault="00166206" w:rsidP="00166206">
      <w:pPr>
        <w:jc w:val="both"/>
        <w:rPr>
          <w:rFonts w:ascii="Arial" w:hAnsi="Arial" w:cs="Arial"/>
          <w:bCs/>
          <w:sz w:val="22"/>
          <w:szCs w:val="22"/>
        </w:rPr>
      </w:pPr>
      <w:permStart w:id="342492330" w:edGrp="everyone"/>
      <w:r w:rsidRPr="00AE7AA3">
        <w:rPr>
          <w:rFonts w:ascii="Arial" w:hAnsi="Arial" w:cs="Arial"/>
          <w:bCs/>
          <w:sz w:val="22"/>
          <w:szCs w:val="22"/>
        </w:rPr>
        <w:t xml:space="preserve">EDF supports Option 1 as it would effectively address the negative impact of position limits on new and illiquid contracts and at the same time provide a significant simplification of the regime without negatively impacting its effectiveness. </w:t>
      </w:r>
    </w:p>
    <w:permEnd w:id="342492330"/>
    <w:p w14:paraId="2750CA8D" w14:textId="77777777" w:rsidR="00D5365A" w:rsidRDefault="00D5365A" w:rsidP="00D5365A">
      <w:pPr>
        <w:rPr>
          <w:rFonts w:ascii="Arial" w:hAnsi="Arial" w:cs="Arial"/>
        </w:rPr>
      </w:pPr>
      <w:r>
        <w:rPr>
          <w:rFonts w:ascii="Arial" w:hAnsi="Arial" w:cs="Arial"/>
        </w:rPr>
        <w:t>&lt;ESMA_QUESTION_WPR_4&gt;</w:t>
      </w:r>
    </w:p>
    <w:p w14:paraId="61773C77" w14:textId="77777777" w:rsidR="00D5365A" w:rsidRDefault="00D5365A" w:rsidP="00D5365A">
      <w:pPr>
        <w:rPr>
          <w:rFonts w:ascii="Arial" w:hAnsi="Arial" w:cs="Arial"/>
        </w:rPr>
      </w:pPr>
    </w:p>
    <w:p w14:paraId="365798BE" w14:textId="77777777" w:rsidR="00D5365A" w:rsidRDefault="00D5365A" w:rsidP="00D5365A">
      <w:pPr>
        <w:pStyle w:val="Questionstyle"/>
        <w:numPr>
          <w:ilvl w:val="0"/>
          <w:numId w:val="17"/>
        </w:numPr>
        <w:spacing w:after="250" w:line="276" w:lineRule="auto"/>
        <w:rPr>
          <w:rFonts w:ascii="Arial" w:hAnsi="Arial" w:cs="Arial"/>
        </w:rPr>
      </w:pPr>
      <w:r>
        <w:t xml:space="preserve">: If you support Option 1 and would suggest different or additional criteria to determine whether a contract qualifies as a critical contract, please explain which ones.  </w:t>
      </w:r>
    </w:p>
    <w:p w14:paraId="598B7FFF" w14:textId="77777777" w:rsidR="00D5365A" w:rsidRDefault="00D5365A" w:rsidP="00D5365A">
      <w:pPr>
        <w:rPr>
          <w:rFonts w:ascii="Arial" w:hAnsi="Arial" w:cs="Arial"/>
        </w:rPr>
      </w:pPr>
      <w:r>
        <w:rPr>
          <w:rFonts w:ascii="Arial" w:hAnsi="Arial" w:cs="Arial"/>
        </w:rPr>
        <w:t>&lt;ESMA_QUESTION_WPR_5&gt;</w:t>
      </w:r>
    </w:p>
    <w:p w14:paraId="69736C7E" w14:textId="77777777" w:rsidR="00166206" w:rsidRDefault="00166206" w:rsidP="00166206">
      <w:pPr>
        <w:jc w:val="both"/>
        <w:rPr>
          <w:rFonts w:ascii="Arial" w:hAnsi="Arial" w:cs="Arial"/>
          <w:bCs/>
          <w:sz w:val="22"/>
          <w:szCs w:val="22"/>
        </w:rPr>
      </w:pPr>
      <w:permStart w:id="897407953" w:edGrp="everyone"/>
      <w:r w:rsidRPr="00AE7AA3">
        <w:rPr>
          <w:rFonts w:ascii="Arial" w:hAnsi="Arial" w:cs="Arial"/>
          <w:bCs/>
          <w:sz w:val="22"/>
          <w:szCs w:val="22"/>
        </w:rPr>
        <w:t>EDF believes a mix of criteria including the number and type of participants, open interest and a liquidity metrics should be used.</w:t>
      </w:r>
    </w:p>
    <w:permEnd w:id="897407953"/>
    <w:p w14:paraId="1FEAC340" w14:textId="0C161BE2" w:rsidR="00D5365A" w:rsidRDefault="00D5365A" w:rsidP="00D5365A">
      <w:pPr>
        <w:rPr>
          <w:rFonts w:ascii="Arial" w:hAnsi="Arial" w:cs="Arial"/>
        </w:rPr>
      </w:pPr>
      <w:proofErr w:type="gramStart"/>
      <w:r>
        <w:rPr>
          <w:rFonts w:ascii="Arial" w:hAnsi="Arial" w:cs="Arial"/>
        </w:rPr>
        <w:t>&lt;</w:t>
      </w:r>
      <w:proofErr w:type="gramEnd"/>
      <w:r>
        <w:rPr>
          <w:rFonts w:ascii="Arial" w:hAnsi="Arial" w:cs="Arial"/>
        </w:rPr>
        <w:t>ESMA_QUESTION_WPR_5&gt;</w:t>
      </w:r>
    </w:p>
    <w:p w14:paraId="0C512C85" w14:textId="77777777" w:rsidR="00D5365A" w:rsidRDefault="00D5365A" w:rsidP="00D5365A">
      <w:pPr>
        <w:rPr>
          <w:rFonts w:ascii="Arial" w:hAnsi="Arial" w:cs="Arial"/>
        </w:rPr>
      </w:pPr>
    </w:p>
    <w:p w14:paraId="21259B9F" w14:textId="77777777" w:rsidR="00D5365A" w:rsidRDefault="00D5365A" w:rsidP="00D5365A">
      <w:pPr>
        <w:pStyle w:val="Questionstyle"/>
        <w:numPr>
          <w:ilvl w:val="0"/>
          <w:numId w:val="17"/>
        </w:numPr>
        <w:spacing w:after="250" w:line="276" w:lineRule="auto"/>
        <w:rPr>
          <w:rFonts w:ascii="Arial" w:hAnsi="Arial" w:cs="Arial"/>
        </w:rPr>
      </w:pPr>
      <w:r>
        <w:t>: Which open interest and participant threshold would you suggest for qualifying a commodity derivative as a critical one?</w:t>
      </w:r>
    </w:p>
    <w:p w14:paraId="3ACFEA2B" w14:textId="77777777" w:rsidR="00D5365A" w:rsidRDefault="00D5365A" w:rsidP="00D5365A">
      <w:pPr>
        <w:rPr>
          <w:rFonts w:ascii="Arial" w:hAnsi="Arial" w:cs="Arial"/>
        </w:rPr>
      </w:pPr>
      <w:r>
        <w:rPr>
          <w:rFonts w:ascii="Arial" w:hAnsi="Arial" w:cs="Arial"/>
        </w:rPr>
        <w:t>&lt;ESMA_QUESTION_WPR_6&gt;</w:t>
      </w:r>
    </w:p>
    <w:p w14:paraId="6ABC5BCE" w14:textId="77777777" w:rsidR="00166206" w:rsidRPr="00AE7AA3" w:rsidRDefault="00166206" w:rsidP="00166206">
      <w:pPr>
        <w:jc w:val="both"/>
        <w:rPr>
          <w:rFonts w:ascii="Arial" w:hAnsi="Arial" w:cs="Arial"/>
          <w:bCs/>
          <w:sz w:val="22"/>
          <w:szCs w:val="22"/>
        </w:rPr>
      </w:pPr>
      <w:permStart w:id="1821780740" w:edGrp="everyone"/>
      <w:r w:rsidRPr="00AE7AA3">
        <w:rPr>
          <w:rFonts w:ascii="Arial" w:hAnsi="Arial" w:cs="Arial"/>
          <w:bCs/>
          <w:sz w:val="22"/>
          <w:szCs w:val="22"/>
        </w:rPr>
        <w:t xml:space="preserve">EDF has no specific view on this topic. In general, we believe trading venues are best placed to suggest the most adequate thresholds. </w:t>
      </w:r>
    </w:p>
    <w:permEnd w:id="1821780740"/>
    <w:p w14:paraId="11DBD2B0" w14:textId="77777777" w:rsidR="00D5365A" w:rsidRDefault="00D5365A" w:rsidP="00D5365A">
      <w:pPr>
        <w:rPr>
          <w:rFonts w:ascii="Arial" w:hAnsi="Arial" w:cs="Arial"/>
        </w:rPr>
      </w:pPr>
      <w:r>
        <w:rPr>
          <w:rFonts w:ascii="Arial" w:hAnsi="Arial" w:cs="Arial"/>
        </w:rPr>
        <w:t>&lt;ESMA_QUESTION_WPR_6&gt;</w:t>
      </w:r>
    </w:p>
    <w:p w14:paraId="392E68BA" w14:textId="77777777" w:rsidR="00D5365A" w:rsidRDefault="00D5365A" w:rsidP="00D5365A">
      <w:pPr>
        <w:rPr>
          <w:rFonts w:ascii="Arial" w:hAnsi="Arial" w:cs="Arial"/>
        </w:rPr>
      </w:pPr>
    </w:p>
    <w:p w14:paraId="447489A7" w14:textId="77777777" w:rsidR="00D5365A" w:rsidRDefault="00D5365A" w:rsidP="00D5365A">
      <w:pPr>
        <w:pStyle w:val="Questionstyle"/>
        <w:numPr>
          <w:ilvl w:val="0"/>
          <w:numId w:val="17"/>
        </w:numPr>
        <w:spacing w:after="250" w:line="276" w:lineRule="auto"/>
        <w:rPr>
          <w:rFonts w:ascii="Arial" w:hAnsi="Arial" w:cs="Arial"/>
        </w:rPr>
      </w:pPr>
      <w:r>
        <w:t>: Would you support a position limit exemption for financial counterparties under mandatory liquidity provision obligations? If not, please explain why.</w:t>
      </w:r>
    </w:p>
    <w:p w14:paraId="45D19C97" w14:textId="77777777" w:rsidR="00D5365A" w:rsidRDefault="00D5365A" w:rsidP="00D5365A">
      <w:pPr>
        <w:rPr>
          <w:rFonts w:ascii="Arial" w:hAnsi="Arial" w:cs="Arial"/>
        </w:rPr>
      </w:pPr>
      <w:r>
        <w:rPr>
          <w:rFonts w:ascii="Arial" w:hAnsi="Arial" w:cs="Arial"/>
        </w:rPr>
        <w:t>&lt;ESMA_QUESTION_WPR_7&gt;</w:t>
      </w:r>
    </w:p>
    <w:p w14:paraId="3A95FC12" w14:textId="77777777" w:rsidR="00166206" w:rsidRPr="00AE7AA3" w:rsidRDefault="00166206" w:rsidP="00166206">
      <w:pPr>
        <w:jc w:val="both"/>
        <w:rPr>
          <w:rFonts w:ascii="Arial" w:hAnsi="Arial" w:cs="Arial"/>
          <w:bCs/>
          <w:sz w:val="22"/>
          <w:szCs w:val="22"/>
        </w:rPr>
      </w:pPr>
      <w:permStart w:id="602737691" w:edGrp="everyone"/>
      <w:r w:rsidRPr="00AE7AA3">
        <w:rPr>
          <w:rFonts w:ascii="Arial" w:hAnsi="Arial" w:cs="Arial"/>
          <w:bCs/>
          <w:sz w:val="22"/>
          <w:szCs w:val="22"/>
        </w:rPr>
        <w:t xml:space="preserve">EDF supports the introduction of an exemption for transactions concluded under a liquidity provision obligation provided it is available to both financial and non-financial counterparties. </w:t>
      </w:r>
    </w:p>
    <w:permEnd w:id="602737691"/>
    <w:p w14:paraId="31E340F5" w14:textId="77777777" w:rsidR="00D5365A" w:rsidRDefault="00D5365A" w:rsidP="00D5365A">
      <w:pPr>
        <w:rPr>
          <w:rFonts w:ascii="Arial" w:hAnsi="Arial" w:cs="Arial"/>
        </w:rPr>
      </w:pPr>
      <w:r>
        <w:rPr>
          <w:rFonts w:ascii="Arial" w:hAnsi="Arial" w:cs="Arial"/>
        </w:rPr>
        <w:t>&lt;ESMA_QUESTION_WPR_7&gt;</w:t>
      </w:r>
    </w:p>
    <w:p w14:paraId="763FBF02" w14:textId="77777777" w:rsidR="00D5365A" w:rsidRDefault="00D5365A" w:rsidP="00D5365A">
      <w:pPr>
        <w:rPr>
          <w:rFonts w:ascii="Arial" w:hAnsi="Arial" w:cs="Arial"/>
        </w:rPr>
      </w:pPr>
    </w:p>
    <w:p w14:paraId="068F9EED" w14:textId="77777777" w:rsidR="00D5365A" w:rsidRDefault="00D5365A" w:rsidP="00D5365A">
      <w:pPr>
        <w:pStyle w:val="Questionstyle"/>
        <w:numPr>
          <w:ilvl w:val="0"/>
          <w:numId w:val="17"/>
        </w:numPr>
        <w:spacing w:after="250" w:line="276" w:lineRule="auto"/>
        <w:rPr>
          <w:rFonts w:ascii="Arial" w:hAnsi="Arial" w:cs="Arial"/>
        </w:rPr>
      </w:pPr>
      <w:r>
        <w:t>: Would you support introducing a hedging exemption for financial counterparties along the lines described above? If not, please explain why.</w:t>
      </w:r>
    </w:p>
    <w:p w14:paraId="4ED08C7D" w14:textId="77777777" w:rsidR="00D5365A" w:rsidRDefault="00D5365A" w:rsidP="00D5365A">
      <w:pPr>
        <w:rPr>
          <w:rFonts w:ascii="Arial" w:hAnsi="Arial" w:cs="Arial"/>
        </w:rPr>
      </w:pPr>
      <w:r>
        <w:rPr>
          <w:rFonts w:ascii="Arial" w:hAnsi="Arial" w:cs="Arial"/>
        </w:rPr>
        <w:t>&lt;ESMA_QUESTION_WPR_8&gt;</w:t>
      </w:r>
    </w:p>
    <w:p w14:paraId="7C49DF10" w14:textId="77777777" w:rsidR="00166206" w:rsidRPr="00AE7AA3" w:rsidRDefault="00166206" w:rsidP="00166206">
      <w:pPr>
        <w:jc w:val="both"/>
        <w:rPr>
          <w:rFonts w:ascii="Arial" w:hAnsi="Arial" w:cs="Arial"/>
          <w:bCs/>
          <w:sz w:val="22"/>
          <w:szCs w:val="22"/>
        </w:rPr>
      </w:pPr>
      <w:permStart w:id="1586561396" w:edGrp="everyone"/>
      <w:r w:rsidRPr="00AE7AA3">
        <w:rPr>
          <w:rFonts w:ascii="Arial" w:hAnsi="Arial" w:cs="Arial"/>
          <w:bCs/>
          <w:sz w:val="22"/>
          <w:szCs w:val="22"/>
        </w:rPr>
        <w:t xml:space="preserve">EDF supports the introduction of a hedging exemption only for financial counterparties that belong to a group of companies whose main business is not financial. </w:t>
      </w:r>
    </w:p>
    <w:permEnd w:id="1586561396"/>
    <w:p w14:paraId="74EC7D38" w14:textId="77777777" w:rsidR="00D5365A" w:rsidRDefault="00D5365A" w:rsidP="00D5365A">
      <w:pPr>
        <w:rPr>
          <w:rFonts w:ascii="Arial" w:hAnsi="Arial" w:cs="Arial"/>
        </w:rPr>
      </w:pPr>
      <w:r>
        <w:rPr>
          <w:rFonts w:ascii="Arial" w:hAnsi="Arial" w:cs="Arial"/>
        </w:rPr>
        <w:t>&lt;ESMA_QUESTION_WPR_8&gt;</w:t>
      </w:r>
    </w:p>
    <w:p w14:paraId="2F8CB93E" w14:textId="77777777" w:rsidR="00D5365A" w:rsidRDefault="00D5365A" w:rsidP="00D5365A">
      <w:pPr>
        <w:rPr>
          <w:rFonts w:ascii="Arial" w:hAnsi="Arial" w:cs="Arial"/>
        </w:rPr>
      </w:pPr>
    </w:p>
    <w:p w14:paraId="44AB489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ESMA’s proposals to amend Article 57(8)(b) of MiFID II and to introduce Level 2 measures on position management controls? If not, please explain why. </w:t>
      </w:r>
    </w:p>
    <w:p w14:paraId="7A0C336C" w14:textId="77777777" w:rsidR="00D5365A" w:rsidRDefault="00D5365A" w:rsidP="00D5365A">
      <w:pPr>
        <w:rPr>
          <w:rFonts w:ascii="Arial" w:hAnsi="Arial" w:cs="Arial"/>
        </w:rPr>
      </w:pPr>
      <w:r>
        <w:rPr>
          <w:rFonts w:ascii="Arial" w:hAnsi="Arial" w:cs="Arial"/>
        </w:rPr>
        <w:t>&lt;ESMA_QUESTION_WPR_9&gt;</w:t>
      </w:r>
    </w:p>
    <w:p w14:paraId="39EB0A83" w14:textId="77777777" w:rsidR="00166206" w:rsidRPr="00AE7AA3" w:rsidRDefault="00166206" w:rsidP="00166206">
      <w:pPr>
        <w:jc w:val="both"/>
        <w:rPr>
          <w:rFonts w:ascii="Arial" w:hAnsi="Arial" w:cs="Arial"/>
          <w:bCs/>
          <w:sz w:val="22"/>
          <w:szCs w:val="22"/>
        </w:rPr>
      </w:pPr>
      <w:permStart w:id="1662860103" w:edGrp="everyone"/>
      <w:r w:rsidRPr="00AE7AA3">
        <w:rPr>
          <w:rFonts w:ascii="Arial" w:hAnsi="Arial" w:cs="Arial"/>
          <w:bCs/>
          <w:sz w:val="22"/>
          <w:szCs w:val="22"/>
        </w:rPr>
        <w:t xml:space="preserve">While we believe the existing position management controls managed by exchanges are generally adequate, EDF agrees in principle with the introduction of Level 2 measures on position management controls. However, ESMA should avoid being overly prescriptive – Level 2 measures should only a set of minimum standards and take into account the specificities of each market. </w:t>
      </w:r>
    </w:p>
    <w:permEnd w:id="1662860103"/>
    <w:p w14:paraId="2C377513" w14:textId="77777777" w:rsidR="00D5365A" w:rsidRDefault="00D5365A" w:rsidP="00D5365A">
      <w:pPr>
        <w:rPr>
          <w:rFonts w:ascii="Arial" w:hAnsi="Arial" w:cs="Arial"/>
        </w:rPr>
      </w:pPr>
      <w:r>
        <w:rPr>
          <w:rFonts w:ascii="Arial" w:hAnsi="Arial" w:cs="Arial"/>
        </w:rPr>
        <w:t>&lt;ESMA_QUESTION_WPR_9&gt;</w:t>
      </w:r>
    </w:p>
    <w:p w14:paraId="66931BD6" w14:textId="77C0A432" w:rsidR="00D5365A" w:rsidRDefault="00D5365A" w:rsidP="00D5365A">
      <w:pPr>
        <w:rPr>
          <w:rFonts w:ascii="Arial" w:hAnsi="Arial" w:cs="Arial"/>
        </w:rPr>
      </w:pPr>
    </w:p>
    <w:p w14:paraId="3468173D" w14:textId="1850607F" w:rsidR="00D5365A" w:rsidRDefault="00D5365A" w:rsidP="00D5365A">
      <w:pPr>
        <w:rPr>
          <w:rFonts w:ascii="Arial" w:hAnsi="Arial" w:cs="Arial"/>
        </w:rPr>
      </w:pPr>
    </w:p>
    <w:p w14:paraId="3920CAF1" w14:textId="77777777" w:rsidR="00D5365A" w:rsidRPr="002847A4" w:rsidRDefault="00D5365A" w:rsidP="00D5365A">
      <w:pPr>
        <w:rPr>
          <w:b/>
        </w:rPr>
      </w:pPr>
      <w:r w:rsidRPr="002847A4">
        <w:rPr>
          <w:b/>
        </w:rPr>
        <w:t>Part II</w:t>
      </w:r>
    </w:p>
    <w:p w14:paraId="5E9299BD" w14:textId="77777777" w:rsidR="00D5365A" w:rsidRDefault="00D5365A" w:rsidP="00D5365A">
      <w:pPr>
        <w:rPr>
          <w:rFonts w:ascii="Arial" w:hAnsi="Arial" w:cs="Arial"/>
        </w:rPr>
      </w:pPr>
    </w:p>
    <w:p w14:paraId="349FDAF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the revised proposed minimum threshold level for the open interest criterion for the publication of weekly position reports? If not, please state your preferred alternative for the definition of this threshold and explain why. </w:t>
      </w:r>
    </w:p>
    <w:p w14:paraId="739F7FEE" w14:textId="77777777" w:rsidR="00D5365A" w:rsidRDefault="00D5365A" w:rsidP="00D5365A">
      <w:pPr>
        <w:rPr>
          <w:rFonts w:ascii="Arial" w:hAnsi="Arial" w:cs="Arial"/>
        </w:rPr>
      </w:pPr>
      <w:r>
        <w:rPr>
          <w:rFonts w:ascii="Arial" w:hAnsi="Arial" w:cs="Arial"/>
        </w:rPr>
        <w:t>&lt;ESMA_QUESTION_WPR_10&gt;</w:t>
      </w:r>
    </w:p>
    <w:p w14:paraId="3AE59B7E" w14:textId="0FDB74F7" w:rsidR="00166206" w:rsidRPr="00AE7AA3" w:rsidRDefault="00166206" w:rsidP="00166206">
      <w:pPr>
        <w:jc w:val="both"/>
        <w:rPr>
          <w:rFonts w:ascii="Arial" w:hAnsi="Arial" w:cs="Arial"/>
          <w:bCs/>
          <w:sz w:val="22"/>
          <w:szCs w:val="22"/>
        </w:rPr>
      </w:pPr>
      <w:permStart w:id="68034811" w:edGrp="everyone"/>
      <w:r w:rsidRPr="00AE7AA3">
        <w:rPr>
          <w:rFonts w:ascii="Arial" w:hAnsi="Arial" w:cs="Arial"/>
          <w:bCs/>
          <w:sz w:val="22"/>
          <w:szCs w:val="22"/>
        </w:rPr>
        <w:t>E</w:t>
      </w:r>
      <w:r>
        <w:rPr>
          <w:rFonts w:ascii="Arial" w:hAnsi="Arial" w:cs="Arial"/>
          <w:bCs/>
          <w:sz w:val="22"/>
          <w:szCs w:val="22"/>
        </w:rPr>
        <w:t>DF agrees with ESMA’s proposal.</w:t>
      </w:r>
    </w:p>
    <w:permEnd w:id="68034811"/>
    <w:p w14:paraId="7CA6A02D" w14:textId="77777777" w:rsidR="00D5365A" w:rsidRDefault="00D5365A" w:rsidP="00D5365A">
      <w:pPr>
        <w:rPr>
          <w:rFonts w:ascii="Arial" w:hAnsi="Arial" w:cs="Arial"/>
        </w:rPr>
      </w:pPr>
      <w:r>
        <w:rPr>
          <w:rFonts w:ascii="Arial" w:hAnsi="Arial" w:cs="Arial"/>
        </w:rPr>
        <w:t>&lt;ESMA_QUESTION_WPR_10&gt;</w:t>
      </w:r>
    </w:p>
    <w:p w14:paraId="1F5BE49F" w14:textId="77777777" w:rsidR="00D5365A" w:rsidRDefault="00D5365A" w:rsidP="00D5365A">
      <w:pPr>
        <w:rPr>
          <w:rFonts w:ascii="Arial" w:hAnsi="Arial" w:cs="Arial"/>
        </w:rPr>
      </w:pPr>
    </w:p>
    <w:p w14:paraId="235E6E6C" w14:textId="77777777" w:rsidR="00D5365A" w:rsidRDefault="00D5365A" w:rsidP="00D5365A">
      <w:pPr>
        <w:pStyle w:val="Questionstyle"/>
        <w:numPr>
          <w:ilvl w:val="0"/>
          <w:numId w:val="17"/>
        </w:numPr>
        <w:spacing w:after="250" w:line="276" w:lineRule="auto"/>
        <w:rPr>
          <w:rFonts w:ascii="Arial" w:hAnsi="Arial" w:cs="Arial"/>
        </w:rPr>
      </w:pPr>
      <w:r>
        <w:t>: Do you have any comment on the current number of position holders required for the publication of weekly position reports?</w:t>
      </w:r>
    </w:p>
    <w:p w14:paraId="78BEE3B9" w14:textId="77777777" w:rsidR="00D5365A" w:rsidRDefault="00D5365A" w:rsidP="00D5365A">
      <w:pPr>
        <w:rPr>
          <w:rFonts w:ascii="Arial" w:hAnsi="Arial" w:cs="Arial"/>
        </w:rPr>
      </w:pPr>
      <w:r>
        <w:rPr>
          <w:rFonts w:ascii="Arial" w:hAnsi="Arial" w:cs="Arial"/>
        </w:rPr>
        <w:t>&lt;ESMA_QUESTION_WPR_11&gt;</w:t>
      </w:r>
    </w:p>
    <w:p w14:paraId="33FC8793" w14:textId="77777777" w:rsidR="00166206" w:rsidRPr="00AE7AA3" w:rsidRDefault="00166206" w:rsidP="00166206">
      <w:pPr>
        <w:jc w:val="both"/>
        <w:rPr>
          <w:rFonts w:ascii="Arial" w:hAnsi="Arial" w:cs="Arial"/>
          <w:bCs/>
          <w:sz w:val="22"/>
          <w:szCs w:val="22"/>
        </w:rPr>
      </w:pPr>
      <w:permStart w:id="281428305" w:edGrp="everyone"/>
      <w:r w:rsidRPr="00AE7AA3">
        <w:rPr>
          <w:rFonts w:ascii="Arial" w:hAnsi="Arial" w:cs="Arial"/>
          <w:bCs/>
          <w:sz w:val="22"/>
          <w:szCs w:val="22"/>
        </w:rPr>
        <w:t xml:space="preserve">EDF believes the minimum number of position holders triggering the publication of the weekly position reports could be halved to 10. However, any specific modification should be subject to consultation with trading venues and market participants to avoid any unintended impacts on confidentiality of positions and orderly settlements. </w:t>
      </w:r>
    </w:p>
    <w:permEnd w:id="281428305"/>
    <w:p w14:paraId="19E3DFC7" w14:textId="77777777" w:rsidR="00D5365A" w:rsidRDefault="00D5365A" w:rsidP="00D5365A">
      <w:pPr>
        <w:rPr>
          <w:rFonts w:ascii="Arial" w:hAnsi="Arial" w:cs="Arial"/>
        </w:rPr>
      </w:pPr>
      <w:r>
        <w:rPr>
          <w:rFonts w:ascii="Arial" w:hAnsi="Arial" w:cs="Arial"/>
        </w:rPr>
        <w:t>&lt;ESMA_QUESTION_WPR_11&gt;</w:t>
      </w:r>
    </w:p>
    <w:p w14:paraId="560C94D5" w14:textId="77777777" w:rsidR="00D5365A" w:rsidRDefault="00D5365A" w:rsidP="00D5365A">
      <w:pPr>
        <w:rPr>
          <w:rFonts w:ascii="Arial" w:hAnsi="Arial" w:cs="Arial"/>
        </w:rPr>
      </w:pPr>
    </w:p>
    <w:p w14:paraId="3BB68A6B" w14:textId="77777777" w:rsidR="00D5365A" w:rsidRDefault="00D5365A" w:rsidP="00D5365A">
      <w:pPr>
        <w:rPr>
          <w:rFonts w:ascii="Arial" w:hAnsi="Arial" w:cs="Arial"/>
        </w:rPr>
      </w:pPr>
    </w:p>
    <w:bookmarkEnd w:id="1"/>
    <w:p w14:paraId="289A1E31" w14:textId="022DBCBF" w:rsidR="00AB6157" w:rsidRDefault="00AB6157" w:rsidP="00C1698A">
      <w:pPr>
        <w:spacing w:line="276" w:lineRule="auto"/>
        <w:rPr>
          <w:rFonts w:asciiTheme="minorHAnsi" w:hAnsiTheme="minorHAnsi" w:cstheme="minorHAnsi"/>
          <w:b/>
          <w:sz w:val="28"/>
          <w:szCs w:val="28"/>
        </w:rPr>
      </w:pPr>
    </w:p>
    <w:sectPr w:rsidR="00AB6157"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BD937" w14:textId="77777777" w:rsidR="004801E5" w:rsidRDefault="004801E5" w:rsidP="007E7997">
      <w:r>
        <w:separator/>
      </w:r>
    </w:p>
  </w:endnote>
  <w:endnote w:type="continuationSeparator" w:id="0">
    <w:p w14:paraId="0DCC92D7" w14:textId="77777777" w:rsidR="004801E5" w:rsidRDefault="004801E5" w:rsidP="007E7997">
      <w:r>
        <w:continuationSeparator/>
      </w:r>
    </w:p>
  </w:endnote>
  <w:endnote w:type="continuationNotice" w:id="1">
    <w:p w14:paraId="72433557" w14:textId="77777777" w:rsidR="004801E5" w:rsidRDefault="00480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752671"/>
      <w:docPartObj>
        <w:docPartGallery w:val="Page Numbers (Bottom of Page)"/>
        <w:docPartUnique/>
      </w:docPartObj>
    </w:sdtPr>
    <w:sdtEndPr>
      <w:rPr>
        <w:noProof/>
      </w:rPr>
    </w:sdtEndPr>
    <w:sdtContent>
      <w:p w14:paraId="0CF5505D" w14:textId="212D7D4F" w:rsidR="004801E5" w:rsidRDefault="004801E5">
        <w:pPr>
          <w:pStyle w:val="Pieddepage"/>
          <w:jc w:val="center"/>
        </w:pPr>
        <w:r>
          <w:fldChar w:fldCharType="begin"/>
        </w:r>
        <w:r>
          <w:instrText xml:space="preserve"> PAGE   \* MERGEFORMAT </w:instrText>
        </w:r>
        <w:r>
          <w:fldChar w:fldCharType="separate"/>
        </w:r>
        <w:r>
          <w:rPr>
            <w:noProof/>
          </w:rPr>
          <w:t>3</w:t>
        </w:r>
        <w:r>
          <w:rPr>
            <w:noProof/>
          </w:rPr>
          <w:fldChar w:fldCharType="end"/>
        </w:r>
      </w:p>
    </w:sdtContent>
  </w:sdt>
  <w:p w14:paraId="3A18C8B1" w14:textId="77777777" w:rsidR="004801E5" w:rsidRDefault="004801E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F3915" w14:textId="1D422D72" w:rsidR="004801E5" w:rsidRDefault="004801E5" w:rsidP="007A160F">
    <w:pPr>
      <w:pStyle w:val="Pieddepage"/>
    </w:pPr>
    <w:r>
      <w:rPr>
        <w:rFonts w:asciiTheme="majorHAnsi" w:hAnsiTheme="majorHAnsi"/>
        <w:color w:val="FFFFFF" w:themeColor="background1"/>
      </w:rPr>
      <w:tab/>
    </w:r>
    <w:r>
      <w:rPr>
        <w:rFonts w:asciiTheme="majorHAnsi" w:hAnsiTheme="majorHAnsi"/>
        <w:color w:val="FFFFFF" w:themeColor="background1"/>
      </w:rPr>
      <w:tab/>
      <w:t xml:space="preserve">5 November 2019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752247"/>
      <w:docPartObj>
        <w:docPartGallery w:val="Page Numbers (Bottom of Page)"/>
        <w:docPartUnique/>
      </w:docPartObj>
    </w:sdtPr>
    <w:sdtEndPr>
      <w:rPr>
        <w:noProof/>
      </w:rPr>
    </w:sdtEndPr>
    <w:sdtContent>
      <w:p w14:paraId="4C9B3DBF" w14:textId="6ECC1B82" w:rsidR="004801E5" w:rsidRDefault="004801E5">
        <w:pPr>
          <w:pStyle w:val="Pieddepage"/>
          <w:jc w:val="center"/>
        </w:pPr>
        <w:r>
          <w:fldChar w:fldCharType="begin"/>
        </w:r>
        <w:r>
          <w:instrText xml:space="preserve"> PAGE   \* MERGEFORMAT </w:instrText>
        </w:r>
        <w:r>
          <w:fldChar w:fldCharType="separate"/>
        </w:r>
        <w:r w:rsidR="00244FC6">
          <w:rPr>
            <w:noProof/>
          </w:rPr>
          <w:t>5</w:t>
        </w:r>
        <w:r>
          <w:rPr>
            <w:noProof/>
          </w:rPr>
          <w:fldChar w:fldCharType="end"/>
        </w:r>
      </w:p>
    </w:sdtContent>
  </w:sdt>
  <w:p w14:paraId="5EAB6EC7" w14:textId="1F85019A" w:rsidR="004801E5" w:rsidRDefault="004801E5" w:rsidP="00FB24ED">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8A265" w14:textId="77777777" w:rsidR="004801E5" w:rsidRDefault="004801E5" w:rsidP="007E7997">
      <w:r>
        <w:separator/>
      </w:r>
    </w:p>
  </w:footnote>
  <w:footnote w:type="continuationSeparator" w:id="0">
    <w:p w14:paraId="7D4B58B4" w14:textId="77777777" w:rsidR="004801E5" w:rsidRDefault="004801E5" w:rsidP="007E7997">
      <w:r>
        <w:continuationSeparator/>
      </w:r>
    </w:p>
  </w:footnote>
  <w:footnote w:type="continuationNotice" w:id="1">
    <w:p w14:paraId="119F3072" w14:textId="77777777" w:rsidR="004801E5" w:rsidRDefault="004801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956F7" w14:textId="77777777" w:rsidR="004801E5" w:rsidRDefault="004801E5">
    <w:pPr>
      <w:pStyle w:val="En-tte"/>
    </w:pPr>
  </w:p>
  <w:p w14:paraId="59FA3C9D" w14:textId="77777777" w:rsidR="004801E5" w:rsidRDefault="004801E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1035" w14:textId="77777777" w:rsidR="004801E5" w:rsidRDefault="004801E5">
    <w:pPr>
      <w:pStyle w:val="En-tte"/>
    </w:pPr>
    <w:r>
      <w:rPr>
        <w:noProof/>
        <w:lang w:val="fr-FR" w:eastAsia="fr-FR"/>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B6EC4" w14:textId="5E62980F" w:rsidR="004801E5" w:rsidRDefault="004801E5" w:rsidP="00B50534">
    <w:pPr>
      <w:pStyle w:val="En-tte"/>
      <w:jc w:val="right"/>
      <w:rPr>
        <w:b/>
        <w:color w:val="FF0000"/>
      </w:rPr>
    </w:pPr>
    <w:r w:rsidRPr="008D5F86">
      <w:rPr>
        <w:rFonts w:ascii="Arial" w:hAnsi="Arial" w:cs="Arial"/>
        <w:noProof/>
        <w:lang w:val="fr-FR" w:eastAsia="fr-FR"/>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78238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4801E5" w:rsidRPr="00D13661" w:rsidRDefault="004801E5" w:rsidP="00B50534">
    <w:pPr>
      <w:pStyle w:val="En-tt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fr-FR" w:eastAsia="fr-FR"/>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4801E5" w:rsidRPr="00C3170E" w:rsidRDefault="004801E5" w:rsidP="00B50534">
    <w:pPr>
      <w:pStyle w:val="En-tte"/>
      <w:jc w:val="right"/>
      <w:rPr>
        <w:color w:val="2F5496" w:themeColor="accent5" w:themeShade="BF"/>
        <w:sz w:val="20"/>
      </w:rPr>
    </w:pPr>
  </w:p>
  <w:p w14:paraId="5EAB6EC6" w14:textId="77777777" w:rsidR="004801E5" w:rsidRPr="00B50534" w:rsidRDefault="004801E5" w:rsidP="00B50534">
    <w:pPr>
      <w:pStyle w:val="En-tte"/>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A15D7"/>
    <w:multiLevelType w:val="hybridMultilevel"/>
    <w:tmpl w:val="129A0B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pStyle w:val="Paragraphedeliste"/>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AD1101"/>
    <w:multiLevelType w:val="multilevel"/>
    <w:tmpl w:val="766C753E"/>
    <w:lvl w:ilvl="0">
      <w:start w:val="1"/>
      <w:numFmt w:val="upperRoman"/>
      <w:pStyle w:val="Titre1"/>
      <w:lvlText w:val="%1."/>
      <w:lvlJc w:val="righ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0"/>
  </w:num>
  <w:num w:numId="4">
    <w:abstractNumId w:val="2"/>
  </w:num>
  <w:num w:numId="5">
    <w:abstractNumId w:val="8"/>
  </w:num>
  <w:num w:numId="6">
    <w:abstractNumId w:val="12"/>
  </w:num>
  <w:num w:numId="7">
    <w:abstractNumId w:val="7"/>
  </w:num>
  <w:num w:numId="8">
    <w:abstractNumId w:val="3"/>
  </w:num>
  <w:num w:numId="9">
    <w:abstractNumId w:val="6"/>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attachedTemplate r:id="rId1"/>
  <w:documentProtection w:edit="readOnly" w:enforcement="1" w:cryptProviderType="rsaAES" w:cryptAlgorithmClass="hash" w:cryptAlgorithmType="typeAny" w:cryptAlgorithmSid="14" w:cryptSpinCount="100000" w:hash="3T4gHCw/36fZJqGjBpVdxSvdxJQQuQQ0Z20mR1FA0lQXwCE12LqF/2U4umVg3AevknaitzM/1I4cfr8FMyFGGw==" w:salt="5FaIoUXA3WEmdJfgWb4/lg=="/>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61A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4C4"/>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206"/>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3F79"/>
    <w:rsid w:val="00224806"/>
    <w:rsid w:val="00232F8E"/>
    <w:rsid w:val="00233071"/>
    <w:rsid w:val="00235E99"/>
    <w:rsid w:val="0024299F"/>
    <w:rsid w:val="002449D8"/>
    <w:rsid w:val="00244B86"/>
    <w:rsid w:val="00244C97"/>
    <w:rsid w:val="00244FC6"/>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0B7C"/>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1A78"/>
    <w:rsid w:val="002B53F3"/>
    <w:rsid w:val="002C03FD"/>
    <w:rsid w:val="002C044D"/>
    <w:rsid w:val="002C1AA5"/>
    <w:rsid w:val="002C2A46"/>
    <w:rsid w:val="002C3048"/>
    <w:rsid w:val="002C56FD"/>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1D9E"/>
    <w:rsid w:val="00455577"/>
    <w:rsid w:val="00456795"/>
    <w:rsid w:val="00461CC8"/>
    <w:rsid w:val="00462B2F"/>
    <w:rsid w:val="00465EAA"/>
    <w:rsid w:val="004708CA"/>
    <w:rsid w:val="004709E7"/>
    <w:rsid w:val="00470ADE"/>
    <w:rsid w:val="004712C7"/>
    <w:rsid w:val="004759EB"/>
    <w:rsid w:val="00477919"/>
    <w:rsid w:val="004801E5"/>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0896"/>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070E"/>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4008E"/>
    <w:rsid w:val="00941C0C"/>
    <w:rsid w:val="009437F2"/>
    <w:rsid w:val="0094528B"/>
    <w:rsid w:val="00960A8B"/>
    <w:rsid w:val="00961EE5"/>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3F1A"/>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1B3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365A"/>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1B55"/>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6BF"/>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7B4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Titre1">
    <w:name w:val="heading 1"/>
    <w:basedOn w:val="Normal"/>
    <w:next w:val="Normal"/>
    <w:link w:val="Titre1C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re3">
    <w:name w:val="heading 3"/>
    <w:basedOn w:val="Normal"/>
    <w:next w:val="Normal"/>
    <w:link w:val="Titre3C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re4">
    <w:name w:val="heading 4"/>
    <w:basedOn w:val="Normal"/>
    <w:next w:val="Normal"/>
    <w:link w:val="Titre4C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re6">
    <w:name w:val="heading 6"/>
    <w:basedOn w:val="Normal"/>
    <w:next w:val="Normal"/>
    <w:link w:val="Titre6C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rsid w:val="00020300"/>
    <w:rPr>
      <w:rFonts w:asciiTheme="majorHAnsi" w:eastAsiaTheme="majorEastAsia" w:hAnsiTheme="majorHAnsi" w:cstheme="majorBidi"/>
      <w:sz w:val="24"/>
      <w:szCs w:val="22"/>
      <w:lang w:val="en-GB" w:eastAsia="en-GB"/>
    </w:rPr>
  </w:style>
  <w:style w:type="character" w:customStyle="1" w:styleId="Titre3Car">
    <w:name w:val="Titre 3 Car"/>
    <w:basedOn w:val="Policepardfaut"/>
    <w:link w:val="Titre3"/>
    <w:rsid w:val="00020300"/>
    <w:rPr>
      <w:rFonts w:asciiTheme="majorHAnsi" w:eastAsiaTheme="majorEastAsia" w:hAnsiTheme="majorHAnsi" w:cstheme="majorBidi"/>
      <w:sz w:val="24"/>
      <w:szCs w:val="24"/>
      <w:lang w:val="en-GB" w:eastAsia="en-GB"/>
    </w:rPr>
  </w:style>
  <w:style w:type="character" w:customStyle="1" w:styleId="Titre1Car">
    <w:name w:val="Titre 1 Car"/>
    <w:basedOn w:val="Policepardfaut"/>
    <w:link w:val="Titre1"/>
    <w:rsid w:val="00FE0BD8"/>
    <w:rPr>
      <w:rFonts w:asciiTheme="majorHAnsi" w:eastAsiaTheme="majorEastAsia" w:hAnsiTheme="majorHAnsi" w:cstheme="majorBidi"/>
      <w:b/>
      <w:sz w:val="32"/>
      <w:szCs w:val="32"/>
      <w:lang w:val="en-GB" w:eastAsia="en-GB"/>
    </w:rPr>
  </w:style>
  <w:style w:type="character" w:customStyle="1" w:styleId="Titre2Car">
    <w:name w:val="Titre 2 Car"/>
    <w:basedOn w:val="Policepardfaut"/>
    <w:link w:val="Titre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autoRedefine/>
    <w:rsid w:val="002574D1"/>
    <w:pPr>
      <w:numPr>
        <w:numId w:val="2"/>
      </w:numPr>
    </w:pPr>
    <w:rPr>
      <w:b/>
      <w:sz w:val="28"/>
    </w:rPr>
  </w:style>
  <w:style w:type="character" w:customStyle="1" w:styleId="Title1Char">
    <w:name w:val="Title 1 Char"/>
    <w:basedOn w:val="Policepardfaut"/>
    <w:link w:val="Title1"/>
    <w:rsid w:val="003C4EB5"/>
    <w:rPr>
      <w:rFonts w:eastAsiaTheme="majorEastAsia" w:cstheme="minorHAnsi"/>
      <w:b/>
      <w:sz w:val="28"/>
      <w:szCs w:val="22"/>
      <w:lang w:val="en-GB" w:eastAsia="en-GB"/>
    </w:rPr>
  </w:style>
  <w:style w:type="paragraph" w:styleId="Paragraphedeliste">
    <w:name w:val="List Paragraph"/>
    <w:aliases w:val="Paragraphe EI,Paragraphe de liste1,EC,Normal Nivel 1,List Paragraph Main,List first level,List Paragraph_Sections"/>
    <w:basedOn w:val="Normal"/>
    <w:link w:val="ParagraphedelisteC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phedeliste"/>
    <w:link w:val="Title3Char"/>
    <w:autoRedefine/>
    <w:rsid w:val="002574D1"/>
    <w:pPr>
      <w:numPr>
        <w:ilvl w:val="3"/>
        <w:numId w:val="2"/>
      </w:numPr>
    </w:pPr>
  </w:style>
  <w:style w:type="character" w:customStyle="1" w:styleId="Title3Char">
    <w:name w:val="Title 3 Char"/>
    <w:basedOn w:val="Policepardfau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Policepardfau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sz w:val="24"/>
      <w:szCs w:val="22"/>
      <w:lang w:val="en-GB" w:eastAsia="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rsid w:val="00AA054E"/>
    <w:rPr>
      <w:rFonts w:asciiTheme="majorHAnsi" w:eastAsiaTheme="majorEastAsia" w:hAnsiTheme="majorHAnsi" w:cstheme="majorBidi"/>
      <w:i/>
      <w:iCs/>
      <w:color w:val="44546A" w:themeColor="text2"/>
      <w:sz w:val="21"/>
      <w:szCs w:val="21"/>
      <w:lang w:val="en-GB" w:eastAsia="en-GB"/>
    </w:rPr>
  </w:style>
  <w:style w:type="paragraph" w:styleId="Titre">
    <w:name w:val="Title"/>
    <w:basedOn w:val="Normal"/>
    <w:next w:val="Normal"/>
    <w:link w:val="TitreC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reCar">
    <w:name w:val="Titre Car"/>
    <w:basedOn w:val="Policepardfaut"/>
    <w:link w:val="Titr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us-titre">
    <w:name w:val="Subtitle"/>
    <w:basedOn w:val="Normal"/>
    <w:next w:val="Normal"/>
    <w:link w:val="Sous-titreCar"/>
    <w:uiPriority w:val="11"/>
    <w:qFormat/>
    <w:rsid w:val="00366D42"/>
    <w:pPr>
      <w:numPr>
        <w:ilvl w:val="1"/>
      </w:numPr>
    </w:pPr>
    <w:rPr>
      <w:rFonts w:asciiTheme="majorHAnsi" w:eastAsiaTheme="majorEastAsia" w:hAnsiTheme="majorHAnsi" w:cstheme="majorBidi"/>
      <w:b/>
      <w:sz w:val="28"/>
    </w:rPr>
  </w:style>
  <w:style w:type="character" w:customStyle="1" w:styleId="Sous-titreCar">
    <w:name w:val="Sous-titre Car"/>
    <w:basedOn w:val="Policepardfaut"/>
    <w:link w:val="Sous-titre"/>
    <w:uiPriority w:val="11"/>
    <w:rsid w:val="00366D42"/>
    <w:rPr>
      <w:rFonts w:asciiTheme="majorHAnsi" w:eastAsiaTheme="majorEastAsia" w:hAnsiTheme="majorHAnsi" w:cstheme="majorBidi"/>
      <w:b/>
      <w:sz w:val="28"/>
      <w:szCs w:val="24"/>
      <w:lang w:val="en-GB"/>
    </w:rPr>
  </w:style>
  <w:style w:type="character" w:customStyle="1" w:styleId="Titre7Car">
    <w:name w:val="Titre 7 Car"/>
    <w:basedOn w:val="Policepardfaut"/>
    <w:link w:val="Titre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re8Car">
    <w:name w:val="Titre 8 Car"/>
    <w:basedOn w:val="Policepardfaut"/>
    <w:link w:val="Titre8"/>
    <w:rsid w:val="00AA054E"/>
    <w:rPr>
      <w:rFonts w:asciiTheme="majorHAnsi" w:eastAsiaTheme="majorEastAsia" w:hAnsiTheme="majorHAnsi" w:cstheme="majorBidi"/>
      <w:b/>
      <w:bCs/>
      <w:color w:val="44546A" w:themeColor="text2"/>
      <w:sz w:val="24"/>
      <w:szCs w:val="24"/>
      <w:lang w:val="en-GB" w:eastAsia="en-GB"/>
    </w:rPr>
  </w:style>
  <w:style w:type="character" w:customStyle="1" w:styleId="Titre9Car">
    <w:name w:val="Titre 9 Car"/>
    <w:basedOn w:val="Policepardfaut"/>
    <w:link w:val="Titre9"/>
    <w:rsid w:val="00AA054E"/>
    <w:rPr>
      <w:rFonts w:asciiTheme="majorHAnsi" w:eastAsiaTheme="majorEastAsia" w:hAnsiTheme="majorHAnsi" w:cstheme="majorBidi"/>
      <w:b/>
      <w:bCs/>
      <w:i/>
      <w:iCs/>
      <w:color w:val="44546A" w:themeColor="text2"/>
      <w:sz w:val="24"/>
      <w:szCs w:val="24"/>
      <w:lang w:val="en-GB" w:eastAsia="en-GB"/>
    </w:rPr>
  </w:style>
  <w:style w:type="paragraph" w:styleId="Lgende">
    <w:name w:val="caption"/>
    <w:basedOn w:val="Normal"/>
    <w:next w:val="Normal"/>
    <w:uiPriority w:val="35"/>
    <w:semiHidden/>
    <w:unhideWhenUsed/>
    <w:qFormat/>
    <w:rsid w:val="00AA054E"/>
    <w:rPr>
      <w:b/>
      <w:bCs/>
      <w:smallCaps/>
      <w:color w:val="595959"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AA054E"/>
    <w:rPr>
      <w:i/>
      <w:iCs/>
      <w:color w:val="404040" w:themeColor="text1" w:themeTint="BF"/>
    </w:rPr>
  </w:style>
  <w:style w:type="paragraph" w:styleId="Citationintense">
    <w:name w:val="Intense Quote"/>
    <w:basedOn w:val="Normal"/>
    <w:next w:val="Normal"/>
    <w:link w:val="Citationintense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5B9BD5" w:themeColor="accent1"/>
      <w:sz w:val="28"/>
      <w:szCs w:val="28"/>
    </w:rPr>
  </w:style>
  <w:style w:type="character" w:styleId="Emphaseple">
    <w:name w:val="Subtle Emphasis"/>
    <w:basedOn w:val="Policepardfaut"/>
    <w:uiPriority w:val="19"/>
    <w:qFormat/>
    <w:rsid w:val="00287C8F"/>
    <w:rPr>
      <w:rFonts w:asciiTheme="majorHAnsi" w:hAnsiTheme="majorHAnsi"/>
      <w:i/>
      <w:iCs/>
      <w:color w:val="auto"/>
      <w:sz w:val="22"/>
    </w:rPr>
  </w:style>
  <w:style w:type="character" w:styleId="Emphaseintense">
    <w:name w:val="Intense Emphasis"/>
    <w:basedOn w:val="Policepardfaut"/>
    <w:uiPriority w:val="21"/>
    <w:qFormat/>
    <w:rsid w:val="00AA054E"/>
    <w:rPr>
      <w:b/>
      <w:bCs/>
      <w:i/>
      <w:iCs/>
    </w:rPr>
  </w:style>
  <w:style w:type="character" w:styleId="Rfrenceple">
    <w:name w:val="Subtle Reference"/>
    <w:basedOn w:val="Policepardfaut"/>
    <w:uiPriority w:val="31"/>
    <w:qFormat/>
    <w:rsid w:val="00AA054E"/>
    <w:rPr>
      <w:smallCaps/>
      <w:color w:val="404040" w:themeColor="text1" w:themeTint="BF"/>
      <w:u w:val="single" w:color="7F7F7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AA054E"/>
    <w:p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rsid w:val="007E7997"/>
    <w:pPr>
      <w:tabs>
        <w:tab w:val="center" w:pos="4536"/>
        <w:tab w:val="right" w:pos="9072"/>
      </w:tabs>
    </w:pPr>
  </w:style>
  <w:style w:type="character" w:customStyle="1" w:styleId="En-tteCar">
    <w:name w:val="En-tête Car"/>
    <w:basedOn w:val="Policepardfaut"/>
    <w:link w:val="En-tte"/>
    <w:uiPriority w:val="99"/>
    <w:rsid w:val="007E7997"/>
    <w:rPr>
      <w:sz w:val="22"/>
    </w:rPr>
  </w:style>
  <w:style w:type="paragraph" w:styleId="Pieddepage">
    <w:name w:val="footer"/>
    <w:basedOn w:val="Normal"/>
    <w:link w:val="PieddepageCar"/>
    <w:uiPriority w:val="99"/>
    <w:unhideWhenUsed/>
    <w:rsid w:val="007E7997"/>
    <w:pPr>
      <w:tabs>
        <w:tab w:val="center" w:pos="4536"/>
        <w:tab w:val="right" w:pos="9072"/>
      </w:tabs>
    </w:pPr>
  </w:style>
  <w:style w:type="character" w:customStyle="1" w:styleId="PieddepageCar">
    <w:name w:val="Pied de page Car"/>
    <w:basedOn w:val="Policepardfaut"/>
    <w:link w:val="Pieddepage"/>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M1">
    <w:name w:val="toc 1"/>
    <w:basedOn w:val="Normal"/>
    <w:next w:val="Normal"/>
    <w:autoRedefine/>
    <w:uiPriority w:val="39"/>
    <w:unhideWhenUsed/>
    <w:rsid w:val="00B81A44"/>
    <w:pPr>
      <w:tabs>
        <w:tab w:val="left" w:pos="440"/>
        <w:tab w:val="right" w:leader="dot" w:pos="9062"/>
      </w:tabs>
      <w:spacing w:after="100"/>
    </w:pPr>
  </w:style>
  <w:style w:type="paragraph" w:styleId="TM2">
    <w:name w:val="toc 2"/>
    <w:basedOn w:val="Normal"/>
    <w:next w:val="Normal"/>
    <w:autoRedefine/>
    <w:uiPriority w:val="39"/>
    <w:unhideWhenUsed/>
    <w:rsid w:val="00BC422A"/>
    <w:pPr>
      <w:spacing w:after="100"/>
      <w:ind w:left="220"/>
    </w:pPr>
  </w:style>
  <w:style w:type="paragraph" w:styleId="TM3">
    <w:name w:val="toc 3"/>
    <w:basedOn w:val="Normal"/>
    <w:next w:val="Normal"/>
    <w:autoRedefine/>
    <w:uiPriority w:val="39"/>
    <w:unhideWhenUsed/>
    <w:rsid w:val="00BC422A"/>
    <w:pPr>
      <w:spacing w:after="100"/>
      <w:ind w:left="440"/>
    </w:pPr>
  </w:style>
  <w:style w:type="character" w:styleId="Lienhypertexte">
    <w:name w:val="Hyperlink"/>
    <w:basedOn w:val="Policepardfau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Policepardfau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semiHidden/>
    <w:unhideWhenUsed/>
    <w:qFormat/>
    <w:rsid w:val="006F53E8"/>
    <w:rPr>
      <w:sz w:val="16"/>
    </w:rPr>
  </w:style>
  <w:style w:type="character" w:customStyle="1" w:styleId="NotedebasdepageCar">
    <w:name w:val="Note de bas de page Car"/>
    <w:basedOn w:val="Policepardfaut"/>
    <w:link w:val="Notedebasdepage"/>
    <w:uiPriority w:val="99"/>
    <w:semiHidden/>
    <w:rsid w:val="006F53E8"/>
    <w:rPr>
      <w:sz w:val="16"/>
      <w:lang w:val="en-GB"/>
    </w:rPr>
  </w:style>
  <w:style w:type="character" w:styleId="Appelnotedebasdep">
    <w:name w:val="footnote reference"/>
    <w:aliases w:val="SUPERS,Footnote reference number,Footnote symbol,note TESI,-E Fußnotenzeichen,number,BVI fnr,Footnote Reference Superscript,(Footnote Reference),EN Footnote Reference,Voetnootverwijzing,Times 10 Point,Exposant 3 Poi,16 Point"/>
    <w:basedOn w:val="Policepardfaut"/>
    <w:uiPriority w:val="99"/>
    <w:unhideWhenUsed/>
    <w:qFormat/>
    <w:rsid w:val="00A91D91"/>
    <w:rPr>
      <w:rFonts w:asciiTheme="majorHAnsi" w:hAnsiTheme="majorHAnsi"/>
      <w:sz w:val="16"/>
      <w:vertAlign w:val="superscript"/>
    </w:rPr>
  </w:style>
  <w:style w:type="paragraph" w:customStyle="1" w:styleId="Footnote">
    <w:name w:val="Footnote"/>
    <w:basedOn w:val="Notedebasdepage"/>
    <w:link w:val="FootnoteChar"/>
    <w:rsid w:val="00B50534"/>
    <w:rPr>
      <w:lang w:val="nl-BE"/>
    </w:rPr>
  </w:style>
  <w:style w:type="character" w:customStyle="1" w:styleId="FootnoteChar">
    <w:name w:val="Footnote Char"/>
    <w:basedOn w:val="NotedebasdepageCar"/>
    <w:link w:val="Footnote"/>
    <w:rsid w:val="00B50534"/>
    <w:rPr>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Textedebulles">
    <w:name w:val="Balloon Text"/>
    <w:basedOn w:val="Normal"/>
    <w:link w:val="TextedebullesCar"/>
    <w:uiPriority w:val="99"/>
    <w:semiHidden/>
    <w:unhideWhenUsed/>
    <w:rsid w:val="003C167E"/>
    <w:rPr>
      <w:rFonts w:ascii="Tahoma" w:hAnsi="Tahoma" w:cs="Tahoma"/>
      <w:sz w:val="16"/>
      <w:szCs w:val="16"/>
    </w:rPr>
  </w:style>
  <w:style w:type="character" w:customStyle="1" w:styleId="TextedebullesCar">
    <w:name w:val="Texte de bulles Car"/>
    <w:basedOn w:val="Policepardfaut"/>
    <w:link w:val="Textedebulles"/>
    <w:uiPriority w:val="99"/>
    <w:semiHidden/>
    <w:rsid w:val="003C167E"/>
    <w:rPr>
      <w:rFonts w:ascii="Tahoma" w:hAnsi="Tahoma" w:cs="Tahoma"/>
      <w:sz w:val="16"/>
      <w:szCs w:val="16"/>
      <w:lang w:val="en-GB"/>
    </w:rPr>
  </w:style>
  <w:style w:type="character" w:styleId="Marquedecommentaire">
    <w:name w:val="annotation reference"/>
    <w:basedOn w:val="Policepardfaut"/>
    <w:uiPriority w:val="99"/>
    <w:semiHidden/>
    <w:unhideWhenUsed/>
    <w:rsid w:val="00FA2400"/>
    <w:rPr>
      <w:sz w:val="16"/>
      <w:szCs w:val="16"/>
    </w:rPr>
  </w:style>
  <w:style w:type="paragraph" w:styleId="Commentaire">
    <w:name w:val="annotation text"/>
    <w:basedOn w:val="Normal"/>
    <w:link w:val="CommentaireCar"/>
    <w:uiPriority w:val="99"/>
    <w:unhideWhenUsed/>
    <w:rsid w:val="00FA2400"/>
    <w:rPr>
      <w:sz w:val="20"/>
    </w:rPr>
  </w:style>
  <w:style w:type="character" w:customStyle="1" w:styleId="CommentaireCar">
    <w:name w:val="Commentaire Car"/>
    <w:basedOn w:val="Policepardfaut"/>
    <w:link w:val="Commentaire"/>
    <w:uiPriority w:val="99"/>
    <w:rsid w:val="00FA2400"/>
    <w:rPr>
      <w:lang w:val="en-GB"/>
    </w:rPr>
  </w:style>
  <w:style w:type="paragraph" w:styleId="Objetducommentaire">
    <w:name w:val="annotation subject"/>
    <w:basedOn w:val="Commentaire"/>
    <w:next w:val="Commentaire"/>
    <w:link w:val="ObjetducommentaireCar"/>
    <w:uiPriority w:val="99"/>
    <w:semiHidden/>
    <w:unhideWhenUsed/>
    <w:rsid w:val="00FA2400"/>
    <w:rPr>
      <w:b/>
      <w:bCs/>
    </w:rPr>
  </w:style>
  <w:style w:type="character" w:customStyle="1" w:styleId="ObjetducommentaireCar">
    <w:name w:val="Objet du commentaire Car"/>
    <w:basedOn w:val="CommentaireCar"/>
    <w:link w:val="Objetducommentaire"/>
    <w:uiPriority w:val="99"/>
    <w:semiHidden/>
    <w:rsid w:val="00FA2400"/>
    <w:rPr>
      <w:b/>
      <w:bCs/>
      <w:lang w:val="en-GB"/>
    </w:rPr>
  </w:style>
  <w:style w:type="paragraph" w:styleId="R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Lienhypertextesuivivisit">
    <w:name w:val="FollowedHyperlink"/>
    <w:basedOn w:val="Policepardfau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Policepardfau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EI Car,Paragraphe de liste1 Car,EC Car,Normal Nivel 1 Car,List Paragraph Main Car,List first level Car,List Paragraph_Sections Car"/>
    <w:basedOn w:val="Policepardfaut"/>
    <w:link w:val="Paragraphedeliste"/>
    <w:uiPriority w:val="34"/>
    <w:rsid w:val="00695AF2"/>
    <w:rPr>
      <w:rFonts w:eastAsiaTheme="majorEastAsia" w:cstheme="minorHAnsi"/>
      <w:sz w:val="22"/>
      <w:szCs w:val="22"/>
      <w:lang w:val="en-GB" w:eastAsia="en-GB"/>
    </w:rPr>
  </w:style>
  <w:style w:type="table" w:customStyle="1" w:styleId="TableGrid3">
    <w:name w:val="Table Grid3"/>
    <w:basedOn w:val="Tableau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50588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847287915">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ESMA70-156-1933</_dlc_DocId>
    <TaxCatchAll xmlns="20fbe147-bbda-4e53-b6b1-7e8bbff3fe19">
      <Value>474</Value>
      <Value>5</Value>
      <Value>91</Value>
      <Value>2</Value>
      <Value>434</Value>
    </TaxCatchAll>
    <_dlc_DocIdUrl xmlns="20fbe147-bbda-4e53-b6b1-7e8bbff3fe19">
      <Url>https://sherpa.esma.europa.eu/sites/MKT/SMK/_layouts/15/DocIdRedir.aspx?ID=ESMA70-156-1933</Url>
      <Description>ESMA70-156-1933</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90(1)(f) - Position limits</TermName>
          <TermId xmlns="http://schemas.microsoft.com/office/infopath/2007/PartnerControls">e81dbf1e-3064-4884-a3c8-df0a9f8119ae</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87B1C-94F7-4601-8DD2-296DC1F5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purl.org/dc/elements/1.1/"/>
    <ds:schemaRef ds:uri="http://schemas.microsoft.com/sharepoint/v3"/>
    <ds:schemaRef ds:uri="http://schemas.microsoft.com/sharepoint/v4"/>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0fbe147-bbda-4e53-b6b1-7e8bbff3fe19"/>
    <ds:schemaRef ds:uri="http://www.w3.org/XML/1998/namespace"/>
    <ds:schemaRef ds:uri="http://purl.org/dc/dcmitype/"/>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C8E00E66-582E-4AFB-80DF-6DE2C0DA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11</TotalTime>
  <Pages>7</Pages>
  <Words>1446</Words>
  <Characters>7679</Characters>
  <Application>Microsoft Office Word</Application>
  <DocSecurity>8</DocSecurity>
  <Lines>123</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GREZE Frederic</cp:lastModifiedBy>
  <cp:revision>3</cp:revision>
  <cp:lastPrinted>2017-07-24T14:47:00Z</cp:lastPrinted>
  <dcterms:created xsi:type="dcterms:W3CDTF">2020-01-07T14:45:00Z</dcterms:created>
  <dcterms:modified xsi:type="dcterms:W3CDTF">2020-01-07T14:56:00Z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0x01010001BD15C3986B91498E0AE644B715B9EE010D00757D222C6B0DA241B5F74437644107D4</vt:lpwstr>
  </property>
  <property fmtid="{D5CDD505-2E9C-101B-9397-08002B2CF9AE}" pid="5" name="_dlc_DocIdItemGuid">
    <vt:lpwstr>155ab378-0408-4a09-bf77-47f9e5213ee4</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474;#MiFID reports - MiFID II 90(1)(f) - Position limits|e81dbf1e-3064-4884-a3c8-df0a9f8119ae</vt:lpwstr>
  </property>
</Properties>
</file>