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08848791"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63070E">
                  <w:rPr>
                    <w:rFonts w:asciiTheme="minorHAnsi" w:hAnsiTheme="minorHAnsi" w:cstheme="minorHAnsi"/>
                    <w:sz w:val="48"/>
                    <w:szCs w:val="48"/>
                  </w:rPr>
                  <w:t>onsultation Paper</w:t>
                </w:r>
                <w:r w:rsidR="000F74C4">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1317ADC8" w14:textId="2C37C777" w:rsidR="0063070E" w:rsidRDefault="0063070E" w:rsidP="0063070E">
                <w:pPr>
                  <w:pStyle w:val="Subtitle"/>
                  <w:rPr>
                    <w:rFonts w:cs="Arial"/>
                  </w:rPr>
                </w:pPr>
                <w:r>
                  <w:rPr>
                    <w:rFonts w:cs="Arial"/>
                  </w:rPr>
                  <w:t xml:space="preserve">MiFID II review report on position limits and position management </w:t>
                </w:r>
              </w:p>
              <w:p w14:paraId="2CBF8F9B" w14:textId="2B39453C" w:rsidR="0063070E" w:rsidRDefault="0063070E" w:rsidP="0063070E">
                <w:pPr>
                  <w:pStyle w:val="Subtitle"/>
                  <w:rPr>
                    <w:rFonts w:cs="Arial"/>
                  </w:rPr>
                </w:pPr>
                <w:r>
                  <w:rPr>
                    <w:rFonts w:cs="Arial"/>
                  </w:rPr>
                  <w:t>Draft Technical Advice on weekly position reports</w:t>
                </w:r>
              </w:p>
              <w:p w14:paraId="72EBF426" w14:textId="641E1005" w:rsidR="0063070E" w:rsidRPr="0063070E" w:rsidRDefault="0063070E" w:rsidP="0063070E"/>
              <w:p w14:paraId="26CF3934" w14:textId="5F517F2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490734"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2C56FD">
            <w:rPr>
              <w:rFonts w:asciiTheme="minorHAnsi" w:eastAsiaTheme="minorEastAsia" w:hAnsiTheme="minorHAnsi" w:cstheme="minorBidi"/>
              <w:sz w:val="22"/>
              <w:szCs w:val="20"/>
              <w:lang w:eastAsia="en-US"/>
            </w:rPr>
            <w:t>received by</w:t>
          </w:r>
          <w:r w:rsidRPr="002C56FD">
            <w:rPr>
              <w:rFonts w:asciiTheme="minorHAnsi" w:eastAsiaTheme="minorEastAsia" w:hAnsiTheme="minorHAnsi" w:cstheme="minorBidi"/>
              <w:b/>
              <w:sz w:val="22"/>
              <w:szCs w:val="20"/>
              <w:lang w:eastAsia="en-US"/>
            </w:rPr>
            <w:t xml:space="preserve"> </w:t>
          </w:r>
          <w:r w:rsidR="00223F79" w:rsidRPr="002C56FD">
            <w:rPr>
              <w:rFonts w:asciiTheme="minorHAnsi" w:eastAsiaTheme="minorEastAsia" w:hAnsiTheme="minorHAnsi" w:cstheme="minorBidi"/>
              <w:b/>
              <w:sz w:val="22"/>
              <w:szCs w:val="20"/>
              <w:lang w:eastAsia="en-US"/>
            </w:rPr>
            <w:t>8</w:t>
          </w:r>
          <w:r w:rsidR="009C3F1A" w:rsidRPr="002C56FD">
            <w:rPr>
              <w:rFonts w:asciiTheme="minorHAnsi" w:eastAsiaTheme="minorEastAsia" w:hAnsiTheme="minorHAnsi" w:cstheme="minorBidi"/>
              <w:b/>
              <w:sz w:val="22"/>
              <w:szCs w:val="20"/>
              <w:lang w:eastAsia="en-US"/>
            </w:rPr>
            <w:t xml:space="preserve"> January </w:t>
          </w:r>
          <w:r w:rsidRPr="002C56FD">
            <w:rPr>
              <w:rFonts w:asciiTheme="minorHAnsi" w:eastAsiaTheme="minorEastAsia" w:hAnsiTheme="minorHAnsi" w:cstheme="minorBidi"/>
              <w:b/>
              <w:sz w:val="22"/>
              <w:szCs w:val="20"/>
              <w:lang w:eastAsia="en-US"/>
            </w:rPr>
            <w:t>20</w:t>
          </w:r>
          <w:r w:rsidR="009C3F1A" w:rsidRPr="002C56FD">
            <w:rPr>
              <w:rFonts w:asciiTheme="minorHAnsi" w:eastAsiaTheme="minorEastAsia" w:hAnsiTheme="minorHAnsi" w:cstheme="minorBidi"/>
              <w:b/>
              <w:sz w:val="22"/>
              <w:szCs w:val="20"/>
              <w:lang w:eastAsia="en-US"/>
            </w:rPr>
            <w:t>20</w:t>
          </w:r>
          <w:r w:rsidRPr="002C56F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209BDB6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w:t>
          </w:r>
          <w:r w:rsidR="009C3F1A">
            <w:rPr>
              <w:rFonts w:asciiTheme="minorHAnsi" w:eastAsiaTheme="minorEastAsia" w:hAnsiTheme="minorHAnsi" w:cstheme="minorBidi"/>
              <w:sz w:val="22"/>
              <w:szCs w:val="20"/>
              <w:lang w:eastAsia="en-US"/>
            </w:rPr>
            <w:t>consultation paper o</w:t>
          </w:r>
          <w:r w:rsidRPr="00AB6157">
            <w:rPr>
              <w:rFonts w:asciiTheme="minorHAnsi" w:eastAsiaTheme="minorEastAsia" w:hAnsiTheme="minorHAnsi" w:cstheme="minorBidi"/>
              <w:sz w:val="22"/>
              <w:szCs w:val="20"/>
              <w:lang w:eastAsia="en-US"/>
            </w:rPr>
            <w:t xml:space="preserve">n </w:t>
          </w:r>
          <w:r w:rsidR="009C3F1A">
            <w:rPr>
              <w:rFonts w:asciiTheme="minorHAnsi" w:eastAsiaTheme="minorEastAsia" w:hAnsiTheme="minorHAnsi" w:cstheme="minorBidi"/>
              <w:sz w:val="22"/>
              <w:szCs w:val="20"/>
              <w:lang w:eastAsia="en-US"/>
            </w:rPr>
            <w:t>“</w:t>
          </w:r>
          <w:r w:rsidR="009C3F1A" w:rsidRPr="009C3F1A">
            <w:rPr>
              <w:rFonts w:asciiTheme="minorHAnsi" w:eastAsiaTheme="minorEastAsia" w:hAnsiTheme="minorHAnsi" w:cstheme="minorBidi"/>
              <w:color w:val="2F5496" w:themeColor="accent5" w:themeShade="BF"/>
              <w:sz w:val="22"/>
              <w:szCs w:val="20"/>
              <w:lang w:eastAsia="en-US"/>
            </w:rPr>
            <w:t xml:space="preserve">MiFID II review report on position limits and position management and </w:t>
          </w:r>
          <w:r w:rsidR="009C3F1A">
            <w:rPr>
              <w:rFonts w:asciiTheme="minorHAnsi" w:eastAsiaTheme="minorEastAsia" w:hAnsiTheme="minorHAnsi" w:cstheme="minorBidi"/>
              <w:color w:val="2F5496" w:themeColor="accent5" w:themeShade="BF"/>
              <w:sz w:val="22"/>
              <w:szCs w:val="20"/>
              <w:lang w:eastAsia="en-US"/>
            </w:rPr>
            <w:t>draft technical advice on weekly position reports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334CF29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w:t>
          </w:r>
          <w:r w:rsidR="009C3F1A">
            <w:rPr>
              <w:rFonts w:asciiTheme="minorHAnsi" w:eastAsiaTheme="minorEastAsia" w:hAnsiTheme="minorHAnsi" w:cstheme="minorBidi"/>
              <w:sz w:val="22"/>
              <w:szCs w:val="20"/>
              <w:lang w:eastAsia="en-US"/>
            </w:rPr>
            <w:t xml:space="preserve"> </w:t>
          </w:r>
          <w:r w:rsidR="00223F79">
            <w:rPr>
              <w:rFonts w:asciiTheme="minorHAnsi" w:eastAsiaTheme="minorEastAsia" w:hAnsiTheme="minorHAnsi" w:cstheme="minorBidi"/>
              <w:sz w:val="22"/>
              <w:szCs w:val="20"/>
              <w:lang w:eastAsia="en-US"/>
            </w:rPr>
            <w:t>C</w:t>
          </w:r>
          <w:r w:rsidR="009C3F1A">
            <w:rPr>
              <w:rFonts w:asciiTheme="minorHAnsi" w:eastAsiaTheme="minorEastAsia" w:hAnsiTheme="minorHAnsi" w:cstheme="minorBidi"/>
              <w:sz w:val="22"/>
              <w:szCs w:val="20"/>
              <w:lang w:eastAsia="en-US"/>
            </w:rPr>
            <w:t>onsultation paper</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7324BCF9"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w:t>
          </w:r>
          <w:r w:rsidR="00223F79">
            <w:rPr>
              <w:rFonts w:eastAsiaTheme="minorEastAsia" w:cstheme="minorBidi"/>
              <w:szCs w:val="20"/>
              <w:lang w:eastAsia="en-US"/>
            </w:rPr>
            <w:t>C</w:t>
          </w:r>
          <w:r w:rsidR="009C3F1A">
            <w:rPr>
              <w:rFonts w:eastAsiaTheme="minorEastAsia" w:cstheme="minorBidi"/>
              <w:szCs w:val="20"/>
              <w:lang w:eastAsia="en-US"/>
            </w:rPr>
            <w:t xml:space="preserve">onsultation paper </w:t>
          </w:r>
          <w:r w:rsidRPr="00C85C8B">
            <w:rPr>
              <w:rFonts w:eastAsiaTheme="minorEastAsia" w:cstheme="minorBidi"/>
              <w:szCs w:val="20"/>
              <w:lang w:eastAsia="en-US"/>
            </w:rPr>
            <w:t xml:space="preserve">in the present response form. </w:t>
          </w:r>
        </w:p>
        <w:p w14:paraId="3B16398E" w14:textId="1D970CA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5365A">
            <w:rPr>
              <w:rFonts w:eastAsiaTheme="minorEastAsia" w:cstheme="minorBidi"/>
              <w:szCs w:val="20"/>
              <w:lang w:eastAsia="en-US"/>
            </w:rPr>
            <w:t>WPR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E8DA51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5365A">
            <w:rPr>
              <w:rFonts w:eastAsiaTheme="minorEastAsia" w:cstheme="minorBidi"/>
              <w:szCs w:val="20"/>
              <w:lang w:eastAsia="en-US"/>
            </w:rPr>
            <w:t>WPR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5365A">
            <w:rPr>
              <w:rFonts w:eastAsiaTheme="minorEastAsia" w:cstheme="minorBidi"/>
              <w:szCs w:val="20"/>
              <w:lang w:eastAsia="en-US"/>
            </w:rPr>
            <w:t>WPR</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A74A32"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D242CEB" w:rsidR="00C85C8B" w:rsidRPr="00C85C8B" w:rsidRDefault="00A74A32" w:rsidP="00C85C8B">
                <w:pPr>
                  <w:rPr>
                    <w:rFonts w:ascii="Arial" w:hAnsi="Arial" w:cs="Arial"/>
                    <w:color w:val="808080"/>
                    <w:sz w:val="20"/>
                    <w:lang w:eastAsia="de-DE"/>
                  </w:rPr>
                </w:pPr>
                <w:r>
                  <w:rPr>
                    <w:rFonts w:ascii="Arial" w:hAnsi="Arial" w:cs="Arial"/>
                    <w:color w:val="808080"/>
                    <w:sz w:val="20"/>
                    <w:lang w:eastAsia="de-DE"/>
                  </w:rPr>
                  <w:t>AIMA and MFA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02EAC2A" w:rsidR="00C85C8B" w:rsidRPr="00C85C8B" w:rsidRDefault="00A74A3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ECF150F" w:rsidR="00C85C8B" w:rsidRPr="00C85C8B" w:rsidRDefault="00A74A32"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00F3193" w:rsidR="00C85C8B" w:rsidRPr="00C85C8B" w:rsidRDefault="00A74A32"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1EEEC9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theme="minorBidi"/>
          <w:sz w:val="22"/>
          <w:szCs w:val="20"/>
          <w:lang w:eastAsia="en-US"/>
        </w:rPr>
        <w:t>WPR</w:t>
      </w:r>
      <w:r w:rsidRPr="00C85C8B">
        <w:rPr>
          <w:rFonts w:asciiTheme="minorHAnsi" w:eastAsiaTheme="minorEastAsia" w:hAnsiTheme="minorHAnsi" w:cstheme="minorBidi"/>
          <w:sz w:val="22"/>
          <w:szCs w:val="20"/>
          <w:lang w:eastAsia="en-US"/>
        </w:rPr>
        <w:t>_1&gt;</w:t>
      </w:r>
    </w:p>
    <w:p w14:paraId="1663B777" w14:textId="77777777" w:rsidR="00A74A32" w:rsidRPr="00B56E66" w:rsidRDefault="00A74A32" w:rsidP="00A74A32">
      <w:pPr>
        <w:jc w:val="both"/>
        <w:rPr>
          <w:rFonts w:ascii="Open Sans" w:hAnsi="Open Sans" w:cs="Open Sans"/>
          <w:sz w:val="20"/>
          <w:szCs w:val="20"/>
        </w:rPr>
      </w:pPr>
      <w:permStart w:id="885457707" w:edGrp="everyone"/>
      <w:r w:rsidRPr="00B56E66">
        <w:rPr>
          <w:rFonts w:ascii="Open Sans" w:hAnsi="Open Sans" w:cs="Open Sans"/>
          <w:sz w:val="20"/>
          <w:szCs w:val="20"/>
        </w:rPr>
        <w:t>The Alternative Investment Management Association</w:t>
      </w:r>
      <w:r w:rsidRPr="00B56E66">
        <w:rPr>
          <w:rStyle w:val="FootnoteReference"/>
          <w:rFonts w:ascii="Open Sans" w:hAnsi="Open Sans" w:cs="Open Sans"/>
          <w:sz w:val="20"/>
          <w:szCs w:val="20"/>
        </w:rPr>
        <w:footnoteReference w:id="2"/>
      </w:r>
      <w:r w:rsidRPr="00B56E66">
        <w:rPr>
          <w:rFonts w:ascii="Open Sans" w:hAnsi="Open Sans" w:cs="Open Sans"/>
          <w:sz w:val="20"/>
          <w:szCs w:val="20"/>
        </w:rPr>
        <w:t xml:space="preserve"> (“AIMA”) and Managed Funds Association</w:t>
      </w:r>
      <w:r w:rsidRPr="00B56E66">
        <w:rPr>
          <w:rStyle w:val="FootnoteReference"/>
          <w:rFonts w:ascii="Open Sans" w:hAnsi="Open Sans" w:cs="Open Sans"/>
          <w:sz w:val="20"/>
          <w:szCs w:val="20"/>
        </w:rPr>
        <w:footnoteReference w:id="3"/>
      </w:r>
      <w:r w:rsidRPr="00B56E66">
        <w:rPr>
          <w:rFonts w:ascii="Open Sans" w:hAnsi="Open Sans" w:cs="Open Sans"/>
          <w:sz w:val="20"/>
          <w:szCs w:val="20"/>
        </w:rPr>
        <w:t xml:space="preserve"> (“MFA”; collectively, the “Associations”) welcome the opportunity to respond to the European Securities and Markets Authority (“ESMA”) regarding its  “Consultation Paper: MiFID II review report on position limits and position management”</w:t>
      </w:r>
      <w:r w:rsidRPr="00B56E66">
        <w:rPr>
          <w:rStyle w:val="FootnoteReference"/>
          <w:rFonts w:ascii="Open Sans" w:hAnsi="Open Sans" w:cs="Open Sans"/>
          <w:sz w:val="20"/>
          <w:szCs w:val="20"/>
        </w:rPr>
        <w:footnoteReference w:id="4"/>
      </w:r>
      <w:r w:rsidRPr="00B56E66">
        <w:rPr>
          <w:rFonts w:ascii="Open Sans" w:hAnsi="Open Sans" w:cs="Open Sans"/>
          <w:sz w:val="20"/>
          <w:szCs w:val="20"/>
        </w:rPr>
        <w:t xml:space="preserve"> (“the CP”). </w:t>
      </w:r>
    </w:p>
    <w:p w14:paraId="0A81FDDE" w14:textId="77777777" w:rsidR="00A74A32" w:rsidRPr="00B56E66" w:rsidRDefault="00A74A32" w:rsidP="00A74A32">
      <w:pPr>
        <w:jc w:val="both"/>
        <w:rPr>
          <w:rFonts w:ascii="Open Sans" w:hAnsi="Open Sans" w:cs="Open Sans"/>
          <w:sz w:val="20"/>
          <w:szCs w:val="20"/>
        </w:rPr>
      </w:pPr>
    </w:p>
    <w:p w14:paraId="37F4D284" w14:textId="77777777" w:rsidR="00A74A32" w:rsidRPr="00B56E66" w:rsidRDefault="00A74A32" w:rsidP="00A74A32">
      <w:pPr>
        <w:jc w:val="both"/>
        <w:rPr>
          <w:rFonts w:ascii="Open Sans" w:hAnsi="Open Sans" w:cs="Open Sans"/>
          <w:sz w:val="20"/>
          <w:szCs w:val="20"/>
        </w:rPr>
      </w:pPr>
      <w:r w:rsidRPr="00B56E66">
        <w:rPr>
          <w:rFonts w:ascii="Open Sans" w:hAnsi="Open Sans" w:cs="Open Sans"/>
          <w:sz w:val="20"/>
          <w:szCs w:val="20"/>
        </w:rPr>
        <w:t xml:space="preserve">We have in recent years highlighted our fundamental concern that position limits in commodities markets have the potential to distort price formation, dampen liquidity and undermine firms’ hedging activities, while being unlikely to deliver clear benefits in terms of limiting the potential for disorderly trading or market abuse. We therefore welcome ESMA’s work to consider whether the MiFID II position limits framework should be modified and believe that ESMA makes </w:t>
      </w:r>
      <w:proofErr w:type="gramStart"/>
      <w:r w:rsidRPr="00B56E66">
        <w:rPr>
          <w:rFonts w:ascii="Open Sans" w:hAnsi="Open Sans" w:cs="Open Sans"/>
          <w:sz w:val="20"/>
          <w:szCs w:val="20"/>
        </w:rPr>
        <w:t>a number of</w:t>
      </w:r>
      <w:proofErr w:type="gramEnd"/>
      <w:r w:rsidRPr="00B56E66">
        <w:rPr>
          <w:rFonts w:ascii="Open Sans" w:hAnsi="Open Sans" w:cs="Open Sans"/>
          <w:sz w:val="20"/>
          <w:szCs w:val="20"/>
        </w:rPr>
        <w:t xml:space="preserve"> helpful suggestions in the CP.</w:t>
      </w:r>
    </w:p>
    <w:p w14:paraId="463CD384" w14:textId="77777777" w:rsidR="00A74A32" w:rsidRPr="00B56E66" w:rsidRDefault="00A74A32" w:rsidP="00A74A32">
      <w:pPr>
        <w:jc w:val="both"/>
        <w:rPr>
          <w:rFonts w:ascii="Open Sans" w:hAnsi="Open Sans" w:cs="Open Sans"/>
          <w:sz w:val="20"/>
          <w:szCs w:val="20"/>
        </w:rPr>
      </w:pPr>
    </w:p>
    <w:p w14:paraId="268B4652" w14:textId="77777777" w:rsidR="00A74A32" w:rsidRPr="00B56E66" w:rsidRDefault="00A74A32" w:rsidP="00A74A32">
      <w:pPr>
        <w:jc w:val="both"/>
        <w:rPr>
          <w:rFonts w:ascii="Open Sans" w:hAnsi="Open Sans" w:cs="Open Sans"/>
          <w:sz w:val="20"/>
          <w:szCs w:val="20"/>
        </w:rPr>
      </w:pPr>
      <w:r w:rsidRPr="00B56E66">
        <w:rPr>
          <w:rFonts w:ascii="Open Sans" w:hAnsi="Open Sans" w:cs="Open Sans"/>
          <w:sz w:val="20"/>
          <w:szCs w:val="20"/>
        </w:rPr>
        <w:t>In our detailed response, we make the following points</w:t>
      </w:r>
      <w:r>
        <w:rPr>
          <w:rFonts w:ascii="Open Sans" w:hAnsi="Open Sans" w:cs="Open Sans"/>
          <w:sz w:val="20"/>
          <w:szCs w:val="20"/>
        </w:rPr>
        <w:t>:</w:t>
      </w:r>
    </w:p>
    <w:p w14:paraId="481589AF" w14:textId="77777777" w:rsidR="00A74A32" w:rsidRPr="00B56E66" w:rsidRDefault="00A74A32" w:rsidP="00A74A32">
      <w:pPr>
        <w:jc w:val="both"/>
        <w:rPr>
          <w:rFonts w:ascii="Open Sans" w:hAnsi="Open Sans" w:cs="Open Sans"/>
          <w:sz w:val="20"/>
          <w:szCs w:val="20"/>
        </w:rPr>
      </w:pPr>
    </w:p>
    <w:p w14:paraId="7D4FECDE" w14:textId="77777777" w:rsidR="00A74A32" w:rsidRDefault="00A74A32" w:rsidP="00A74A32">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B56E66">
        <w:rPr>
          <w:rFonts w:ascii="Open Sans" w:hAnsi="Open Sans" w:cs="Open Sans"/>
          <w:sz w:val="20"/>
          <w:szCs w:val="20"/>
        </w:rPr>
        <w:t xml:space="preserve">We welcome the potential change to the “Same Contract” provision to introduce a new approach to calculating limits that references the most liquid market </w:t>
      </w:r>
      <w:r>
        <w:rPr>
          <w:rFonts w:ascii="Open Sans" w:hAnsi="Open Sans" w:cs="Open Sans"/>
          <w:sz w:val="20"/>
          <w:szCs w:val="20"/>
        </w:rPr>
        <w:t>where</w:t>
      </w:r>
      <w:r w:rsidRPr="00B56E66">
        <w:rPr>
          <w:rFonts w:ascii="Open Sans" w:hAnsi="Open Sans" w:cs="Open Sans"/>
          <w:sz w:val="20"/>
          <w:szCs w:val="20"/>
        </w:rPr>
        <w:t xml:space="preserve"> contracts </w:t>
      </w:r>
      <w:r>
        <w:rPr>
          <w:rFonts w:ascii="Open Sans" w:hAnsi="Open Sans" w:cs="Open Sans"/>
          <w:sz w:val="20"/>
          <w:szCs w:val="20"/>
        </w:rPr>
        <w:t xml:space="preserve">that </w:t>
      </w:r>
      <w:r w:rsidRPr="00B56E66">
        <w:rPr>
          <w:rFonts w:ascii="Open Sans" w:hAnsi="Open Sans" w:cs="Open Sans"/>
          <w:sz w:val="20"/>
          <w:szCs w:val="20"/>
        </w:rPr>
        <w:t>share the same characteristics trade.</w:t>
      </w:r>
    </w:p>
    <w:p w14:paraId="7E3EE8DF" w14:textId="77777777" w:rsidR="00A74A32" w:rsidRPr="00A74A32" w:rsidRDefault="00A74A32" w:rsidP="00A74A32">
      <w:pPr>
        <w:ind w:left="1068" w:hanging="360"/>
        <w:rPr>
          <w:rFonts w:ascii="Open Sans" w:hAnsi="Open Sans" w:cs="Open Sans"/>
          <w:sz w:val="20"/>
          <w:szCs w:val="20"/>
        </w:rPr>
      </w:pPr>
    </w:p>
    <w:p w14:paraId="4E78A653" w14:textId="77777777" w:rsidR="00A74A32" w:rsidRPr="003F0A4D" w:rsidRDefault="00A74A32" w:rsidP="00A74A32">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3F0A4D">
        <w:rPr>
          <w:rFonts w:ascii="Open Sans" w:hAnsi="Open Sans" w:cs="Open Sans"/>
          <w:sz w:val="20"/>
          <w:szCs w:val="20"/>
        </w:rPr>
        <w:t xml:space="preserve">We support ESMA’s conclusion that the position limit framework should not apply to securitized derivatives on the basis that this would be consistent with the treatment of commodity </w:t>
      </w:r>
      <w:r>
        <w:rPr>
          <w:rFonts w:ascii="Open Sans" w:hAnsi="Open Sans" w:cs="Open Sans"/>
          <w:sz w:val="20"/>
          <w:szCs w:val="20"/>
        </w:rPr>
        <w:t>contract for differences (“</w:t>
      </w:r>
      <w:r w:rsidRPr="003F0A4D">
        <w:rPr>
          <w:rFonts w:ascii="Open Sans" w:hAnsi="Open Sans" w:cs="Open Sans"/>
          <w:sz w:val="20"/>
          <w:szCs w:val="20"/>
        </w:rPr>
        <w:t>CFDs</w:t>
      </w:r>
      <w:r>
        <w:rPr>
          <w:rFonts w:ascii="Open Sans" w:hAnsi="Open Sans" w:cs="Open Sans"/>
          <w:sz w:val="20"/>
          <w:szCs w:val="20"/>
        </w:rPr>
        <w:t>”)</w:t>
      </w:r>
      <w:r w:rsidRPr="003F0A4D">
        <w:rPr>
          <w:rFonts w:ascii="Open Sans" w:hAnsi="Open Sans" w:cs="Open Sans"/>
          <w:sz w:val="20"/>
          <w:szCs w:val="20"/>
        </w:rPr>
        <w:t xml:space="preserve"> and Exchange Traded Commodities. </w:t>
      </w:r>
    </w:p>
    <w:p w14:paraId="0591ACFA" w14:textId="77777777" w:rsidR="00A74A32" w:rsidRPr="00B56E66" w:rsidRDefault="00A74A32" w:rsidP="00A74A32">
      <w:pPr>
        <w:jc w:val="both"/>
        <w:rPr>
          <w:rFonts w:ascii="Open Sans" w:hAnsi="Open Sans" w:cs="Open Sans"/>
          <w:sz w:val="20"/>
          <w:szCs w:val="20"/>
        </w:rPr>
      </w:pPr>
    </w:p>
    <w:p w14:paraId="40A598BC" w14:textId="77777777" w:rsidR="00A74A32" w:rsidRPr="00B56E66" w:rsidRDefault="00A74A32" w:rsidP="00A74A32">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B56E66">
        <w:rPr>
          <w:rFonts w:ascii="Open Sans" w:hAnsi="Open Sans" w:cs="Open Sans"/>
          <w:sz w:val="20"/>
          <w:szCs w:val="20"/>
        </w:rPr>
        <w:t xml:space="preserve">We strongly support </w:t>
      </w:r>
      <w:r>
        <w:rPr>
          <w:rFonts w:ascii="Open Sans" w:hAnsi="Open Sans" w:cs="Open Sans"/>
          <w:sz w:val="20"/>
          <w:szCs w:val="20"/>
        </w:rPr>
        <w:t>implementing</w:t>
      </w:r>
      <w:r w:rsidRPr="00B56E66">
        <w:rPr>
          <w:rFonts w:ascii="Open Sans" w:hAnsi="Open Sans" w:cs="Open Sans"/>
          <w:sz w:val="20"/>
          <w:szCs w:val="20"/>
        </w:rPr>
        <w:t xml:space="preserve"> limits on a narrower range of contracts</w:t>
      </w:r>
      <w:r>
        <w:rPr>
          <w:rFonts w:ascii="Open Sans" w:hAnsi="Open Sans" w:cs="Open Sans"/>
          <w:sz w:val="20"/>
          <w:szCs w:val="20"/>
        </w:rPr>
        <w:t>. W</w:t>
      </w:r>
      <w:r w:rsidRPr="00B56E66">
        <w:rPr>
          <w:rFonts w:ascii="Open Sans" w:hAnsi="Open Sans" w:cs="Open Sans"/>
          <w:sz w:val="20"/>
          <w:szCs w:val="20"/>
        </w:rPr>
        <w:t xml:space="preserve">e believe </w:t>
      </w:r>
      <w:r>
        <w:rPr>
          <w:rFonts w:ascii="Open Sans" w:hAnsi="Open Sans" w:cs="Open Sans"/>
          <w:sz w:val="20"/>
          <w:szCs w:val="20"/>
        </w:rPr>
        <w:t xml:space="preserve">this </w:t>
      </w:r>
      <w:r w:rsidRPr="00B56E66">
        <w:rPr>
          <w:rFonts w:ascii="Open Sans" w:hAnsi="Open Sans" w:cs="Open Sans"/>
          <w:sz w:val="20"/>
          <w:szCs w:val="20"/>
        </w:rPr>
        <w:t xml:space="preserve">will greatly reduce the compliance burden associated with the rules, while improving the position for new contracts. </w:t>
      </w:r>
    </w:p>
    <w:p w14:paraId="2BE13AB1" w14:textId="77777777" w:rsidR="00A74A32" w:rsidRPr="00B56E66" w:rsidRDefault="00A74A32" w:rsidP="00A74A32">
      <w:pPr>
        <w:jc w:val="both"/>
        <w:rPr>
          <w:rFonts w:ascii="Open Sans" w:hAnsi="Open Sans" w:cs="Open Sans"/>
          <w:sz w:val="20"/>
          <w:szCs w:val="20"/>
        </w:rPr>
      </w:pPr>
    </w:p>
    <w:p w14:paraId="7A955C55" w14:textId="464726CB" w:rsidR="00A74A32" w:rsidRPr="00B56E66" w:rsidRDefault="00A74A32" w:rsidP="00A74A32">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B56E66">
        <w:rPr>
          <w:rFonts w:ascii="Open Sans" w:hAnsi="Open Sans" w:cs="Open Sans"/>
          <w:sz w:val="20"/>
          <w:szCs w:val="20"/>
        </w:rPr>
        <w:t xml:space="preserve">In determining critical contracts for which limits will be set, we believe the framework should </w:t>
      </w:r>
      <w:r>
        <w:rPr>
          <w:rFonts w:ascii="Open Sans" w:hAnsi="Open Sans" w:cs="Open Sans"/>
          <w:sz w:val="20"/>
          <w:szCs w:val="20"/>
        </w:rPr>
        <w:t>consider whether</w:t>
      </w:r>
      <w:r w:rsidRPr="00B56E66">
        <w:rPr>
          <w:rFonts w:ascii="Open Sans" w:hAnsi="Open Sans" w:cs="Open Sans"/>
          <w:sz w:val="20"/>
          <w:szCs w:val="20"/>
        </w:rPr>
        <w:t xml:space="preserve"> those contracts</w:t>
      </w:r>
      <w:r>
        <w:rPr>
          <w:rFonts w:ascii="Open Sans" w:hAnsi="Open Sans" w:cs="Open Sans"/>
          <w:sz w:val="20"/>
          <w:szCs w:val="20"/>
        </w:rPr>
        <w:t xml:space="preserve"> have limits</w:t>
      </w:r>
      <w:r w:rsidRPr="00B56E66">
        <w:rPr>
          <w:rFonts w:ascii="Open Sans" w:hAnsi="Open Sans" w:cs="Open Sans"/>
          <w:sz w:val="20"/>
          <w:szCs w:val="20"/>
        </w:rPr>
        <w:t xml:space="preserve"> under other regimes.</w:t>
      </w:r>
    </w:p>
    <w:permEnd w:id="885457707"/>
    <w:p w14:paraId="15D00E65" w14:textId="12BB696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Arial"/>
          <w:sz w:val="22"/>
          <w:szCs w:val="20"/>
          <w:lang w:eastAsia="en-US"/>
        </w:rPr>
        <w:t>WPR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708E7F3"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5BB748F7" w14:textId="18FE1F4F" w:rsidR="00D5365A" w:rsidRDefault="00D5365A" w:rsidP="00C1698A">
      <w:pPr>
        <w:spacing w:line="276" w:lineRule="auto"/>
        <w:rPr>
          <w:rFonts w:asciiTheme="minorHAnsi" w:hAnsiTheme="minorHAnsi" w:cstheme="minorHAnsi"/>
          <w:b/>
          <w:sz w:val="28"/>
          <w:szCs w:val="28"/>
        </w:rPr>
      </w:pPr>
    </w:p>
    <w:p w14:paraId="78C87C24" w14:textId="77777777" w:rsidR="00D5365A" w:rsidRPr="002847A4" w:rsidRDefault="00D5365A" w:rsidP="00D5365A">
      <w:pPr>
        <w:rPr>
          <w:b/>
        </w:rPr>
      </w:pPr>
      <w:r w:rsidRPr="002847A4">
        <w:rPr>
          <w:b/>
        </w:rPr>
        <w:t>Part I</w:t>
      </w:r>
    </w:p>
    <w:p w14:paraId="6803E72C" w14:textId="77777777" w:rsidR="00D5365A" w:rsidRDefault="00D5365A" w:rsidP="00C1698A">
      <w:pPr>
        <w:spacing w:line="276" w:lineRule="auto"/>
        <w:rPr>
          <w:rFonts w:asciiTheme="minorHAnsi" w:hAnsiTheme="minorHAnsi" w:cstheme="minorHAnsi"/>
          <w:b/>
          <w:sz w:val="28"/>
          <w:szCs w:val="28"/>
        </w:rPr>
      </w:pPr>
    </w:p>
    <w:p w14:paraId="31CCCD1B" w14:textId="77777777" w:rsidR="00D5365A" w:rsidRDefault="00D5365A" w:rsidP="00D5365A">
      <w:pPr>
        <w:pStyle w:val="Questionstyle"/>
        <w:numPr>
          <w:ilvl w:val="0"/>
          <w:numId w:val="17"/>
        </w:numPr>
        <w:spacing w:after="250" w:line="276" w:lineRule="auto"/>
      </w:pPr>
      <w: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18E545B3" w14:textId="77777777" w:rsidR="00D5365A" w:rsidRDefault="00D5365A" w:rsidP="00D5365A">
      <w:pPr>
        <w:rPr>
          <w:rFonts w:ascii="Arial" w:hAnsi="Arial" w:cs="Arial"/>
        </w:rPr>
      </w:pPr>
      <w:r>
        <w:rPr>
          <w:rFonts w:ascii="Arial" w:hAnsi="Arial" w:cs="Arial"/>
        </w:rPr>
        <w:t>&lt;ESMA_QUESTION_WPR_1&gt;</w:t>
      </w:r>
    </w:p>
    <w:p w14:paraId="005EB976" w14:textId="77777777" w:rsidR="00A74A32" w:rsidRPr="00B56E66" w:rsidRDefault="00A74A32" w:rsidP="00A74A32">
      <w:pPr>
        <w:jc w:val="both"/>
        <w:rPr>
          <w:rFonts w:ascii="Open Sans" w:hAnsi="Open Sans" w:cs="Open Sans"/>
          <w:sz w:val="20"/>
          <w:szCs w:val="20"/>
        </w:rPr>
      </w:pPr>
      <w:permStart w:id="1245597596" w:edGrp="everyone"/>
      <w:r w:rsidRPr="00B56E66">
        <w:rPr>
          <w:rFonts w:ascii="Open Sans" w:hAnsi="Open Sans" w:cs="Open Sans"/>
          <w:sz w:val="20"/>
          <w:szCs w:val="20"/>
        </w:rPr>
        <w:t xml:space="preserve">We acknowledge ESMA’s finding that “Same Contract” provisions are too rigid, leading to a misalignment in the level of limits set for similar contracts on competing venues and potentially disadvantaging venues with a lower level of open interest </w:t>
      </w:r>
      <w:proofErr w:type="gramStart"/>
      <w:r w:rsidRPr="00B56E66">
        <w:rPr>
          <w:rFonts w:ascii="Open Sans" w:hAnsi="Open Sans" w:cs="Open Sans"/>
          <w:sz w:val="20"/>
          <w:szCs w:val="20"/>
        </w:rPr>
        <w:t>in a given</w:t>
      </w:r>
      <w:proofErr w:type="gramEnd"/>
      <w:r w:rsidRPr="00B56E66">
        <w:rPr>
          <w:rFonts w:ascii="Open Sans" w:hAnsi="Open Sans" w:cs="Open Sans"/>
          <w:sz w:val="20"/>
          <w:szCs w:val="20"/>
        </w:rPr>
        <w:t xml:space="preserve"> contract.</w:t>
      </w:r>
    </w:p>
    <w:p w14:paraId="4CFDA02F" w14:textId="77777777" w:rsidR="00A74A32" w:rsidRPr="00B56E66" w:rsidRDefault="00A74A32" w:rsidP="00A74A32">
      <w:pPr>
        <w:jc w:val="both"/>
        <w:rPr>
          <w:rFonts w:ascii="Open Sans" w:hAnsi="Open Sans" w:cs="Open Sans"/>
          <w:sz w:val="20"/>
          <w:szCs w:val="20"/>
        </w:rPr>
      </w:pPr>
    </w:p>
    <w:p w14:paraId="38F70D62" w14:textId="77777777" w:rsidR="00A74A32" w:rsidRPr="00B56E66" w:rsidRDefault="00A74A32" w:rsidP="00A74A32">
      <w:pPr>
        <w:jc w:val="both"/>
        <w:rPr>
          <w:rFonts w:ascii="Open Sans" w:hAnsi="Open Sans" w:cs="Open Sans"/>
          <w:sz w:val="20"/>
          <w:szCs w:val="20"/>
        </w:rPr>
      </w:pPr>
      <w:r w:rsidRPr="00B56E66">
        <w:rPr>
          <w:rFonts w:ascii="Open Sans" w:hAnsi="Open Sans" w:cs="Open Sans"/>
          <w:sz w:val="20"/>
          <w:szCs w:val="20"/>
        </w:rPr>
        <w:t xml:space="preserve">Of the options put forward by ESMA – change the definition of “same contract” to make it broader (Option 1) or remove the same contract procedure and instead introduce a new approach to calculating limits that references the most liquid market on which contracts which share the same characteristics trade (Option 2) – our preference is for Option 2. We would caution against Option 1 on the basis that it could necessitate consequential changes to the concept of “economically equivalent OTC” (“EEOTC”) contracts, which could lead to unintended consequences and additional compliance uncertainty for our member firms. </w:t>
      </w:r>
    </w:p>
    <w:p w14:paraId="78C93673" w14:textId="77777777" w:rsidR="00A74A32" w:rsidRPr="00B56E66" w:rsidRDefault="00A74A32" w:rsidP="00A74A32">
      <w:pPr>
        <w:jc w:val="both"/>
        <w:rPr>
          <w:rFonts w:ascii="Open Sans" w:hAnsi="Open Sans" w:cs="Open Sans"/>
          <w:sz w:val="20"/>
          <w:szCs w:val="20"/>
        </w:rPr>
      </w:pPr>
    </w:p>
    <w:p w14:paraId="5A3ACF6A" w14:textId="77777777" w:rsidR="00A74A32" w:rsidRPr="00B56E66" w:rsidRDefault="00A74A32" w:rsidP="00A74A32">
      <w:pPr>
        <w:jc w:val="both"/>
        <w:rPr>
          <w:rFonts w:ascii="Open Sans" w:hAnsi="Open Sans" w:cs="Open Sans"/>
          <w:sz w:val="20"/>
          <w:szCs w:val="20"/>
        </w:rPr>
      </w:pPr>
      <w:r w:rsidRPr="00B56E66">
        <w:rPr>
          <w:rFonts w:ascii="Open Sans" w:hAnsi="Open Sans" w:cs="Open Sans"/>
          <w:sz w:val="20"/>
          <w:szCs w:val="20"/>
        </w:rPr>
        <w:t xml:space="preserve">We would also note that this shortcoming in the framework could also be tackled by a significant reduction in the set of contracts to which position limits apply, in line with our response to Question 4.  </w:t>
      </w:r>
    </w:p>
    <w:permEnd w:id="1245597596"/>
    <w:p w14:paraId="230EAD9F" w14:textId="77777777" w:rsidR="00D5365A" w:rsidRDefault="00D5365A" w:rsidP="00D5365A">
      <w:pPr>
        <w:rPr>
          <w:rFonts w:ascii="Arial" w:hAnsi="Arial" w:cs="Arial"/>
        </w:rPr>
      </w:pPr>
      <w:r>
        <w:rPr>
          <w:rFonts w:ascii="Arial" w:hAnsi="Arial" w:cs="Arial"/>
        </w:rPr>
        <w:t>&lt;ESMA_QUESTION_WPR_1&gt;</w:t>
      </w:r>
    </w:p>
    <w:p w14:paraId="05277153" w14:textId="77777777" w:rsidR="00D5365A" w:rsidRDefault="00D5365A" w:rsidP="00D5365A">
      <w:pPr>
        <w:rPr>
          <w:rFonts w:ascii="Arial" w:hAnsi="Arial" w:cs="Arial"/>
        </w:rPr>
      </w:pPr>
    </w:p>
    <w:p w14:paraId="55333858" w14:textId="77777777" w:rsidR="00D5365A" w:rsidRDefault="00D5365A" w:rsidP="00D5365A">
      <w:pPr>
        <w:pStyle w:val="Questionstyle"/>
        <w:numPr>
          <w:ilvl w:val="0"/>
          <w:numId w:val="17"/>
        </w:numPr>
        <w:spacing w:after="250" w:line="276" w:lineRule="auto"/>
        <w:rPr>
          <w:rFonts w:ascii="Arial" w:hAnsi="Arial" w:cs="Arial"/>
        </w:rPr>
      </w:pPr>
      <w:r>
        <w:t>: Do you agree that the C(6) carve-out creates an unlevel playing field across trading venues and should be reconsidered? If not, please explain why.</w:t>
      </w:r>
    </w:p>
    <w:p w14:paraId="290574D7" w14:textId="77777777" w:rsidR="00D5365A" w:rsidRDefault="00D5365A" w:rsidP="00D5365A">
      <w:pPr>
        <w:rPr>
          <w:rFonts w:ascii="Arial" w:hAnsi="Arial" w:cs="Arial"/>
        </w:rPr>
      </w:pPr>
      <w:r>
        <w:rPr>
          <w:rFonts w:ascii="Arial" w:hAnsi="Arial" w:cs="Arial"/>
        </w:rPr>
        <w:t>&lt;ESMA_QUESTION_WPR_2&gt;</w:t>
      </w:r>
    </w:p>
    <w:p w14:paraId="51603306" w14:textId="77777777" w:rsidR="00D5365A" w:rsidRDefault="00D5365A" w:rsidP="00D5365A">
      <w:pPr>
        <w:rPr>
          <w:rFonts w:ascii="Arial" w:hAnsi="Arial" w:cs="Arial"/>
        </w:rPr>
      </w:pPr>
      <w:permStart w:id="311558394" w:edGrp="everyone"/>
      <w:r>
        <w:rPr>
          <w:rFonts w:ascii="Arial" w:hAnsi="Arial" w:cs="Arial"/>
        </w:rPr>
        <w:t>TYPE YOUR TEXT HERE</w:t>
      </w:r>
    </w:p>
    <w:permEnd w:id="311558394"/>
    <w:p w14:paraId="72923BA0" w14:textId="77777777" w:rsidR="00D5365A" w:rsidRDefault="00D5365A" w:rsidP="00D5365A">
      <w:pPr>
        <w:rPr>
          <w:rFonts w:ascii="Arial" w:hAnsi="Arial" w:cs="Arial"/>
        </w:rPr>
      </w:pPr>
      <w:r>
        <w:rPr>
          <w:rFonts w:ascii="Arial" w:hAnsi="Arial" w:cs="Arial"/>
        </w:rPr>
        <w:t>&lt;ESMA_QUESTION_WPR_2&gt;</w:t>
      </w:r>
    </w:p>
    <w:p w14:paraId="6F067025" w14:textId="77777777" w:rsidR="00D5365A" w:rsidRDefault="00D5365A" w:rsidP="00D5365A">
      <w:pPr>
        <w:rPr>
          <w:rFonts w:ascii="Arial" w:hAnsi="Arial" w:cs="Arial"/>
        </w:rPr>
      </w:pPr>
    </w:p>
    <w:p w14:paraId="65092191" w14:textId="77777777" w:rsidR="00D5365A" w:rsidRDefault="00D5365A" w:rsidP="00D5365A">
      <w:pPr>
        <w:pStyle w:val="Questionstyle"/>
        <w:numPr>
          <w:ilvl w:val="0"/>
          <w:numId w:val="17"/>
        </w:numPr>
        <w:spacing w:after="250" w:line="276" w:lineRule="auto"/>
        <w:rPr>
          <w:rFonts w:ascii="Arial" w:hAnsi="Arial" w:cs="Arial"/>
        </w:rPr>
      </w:pPr>
      <w:r>
        <w:t>: Do you agree that the position limit framework should not apply to securitised derivatives? If not, please explain why.</w:t>
      </w:r>
    </w:p>
    <w:p w14:paraId="2A59A7B2" w14:textId="77777777" w:rsidR="00D5365A" w:rsidRDefault="00D5365A" w:rsidP="00D5365A">
      <w:pPr>
        <w:rPr>
          <w:rFonts w:ascii="Arial" w:hAnsi="Arial" w:cs="Arial"/>
        </w:rPr>
      </w:pPr>
      <w:r>
        <w:rPr>
          <w:rFonts w:ascii="Arial" w:hAnsi="Arial" w:cs="Arial"/>
        </w:rPr>
        <w:t>&lt;ESMA_QUESTION_WPR_3&gt;</w:t>
      </w:r>
    </w:p>
    <w:p w14:paraId="1CF64312" w14:textId="77777777" w:rsidR="00A74A32" w:rsidRPr="00B56E66" w:rsidRDefault="00A74A32" w:rsidP="00A74A32">
      <w:pPr>
        <w:jc w:val="both"/>
        <w:rPr>
          <w:rFonts w:ascii="Open Sans" w:hAnsi="Open Sans" w:cs="Open Sans"/>
          <w:sz w:val="20"/>
          <w:szCs w:val="20"/>
        </w:rPr>
      </w:pPr>
      <w:permStart w:id="1945511407" w:edGrp="everyone"/>
      <w:r w:rsidRPr="00B56E66">
        <w:rPr>
          <w:rFonts w:ascii="Open Sans" w:hAnsi="Open Sans" w:cs="Open Sans"/>
          <w:sz w:val="20"/>
          <w:szCs w:val="20"/>
        </w:rPr>
        <w:t xml:space="preserve">We support ESMA’s conclusion that the position limit framework should not apply to securitized derivatives on the basis that this would be consistent with the treatment of commodity CFDs and Exchange Traded Commodities. </w:t>
      </w:r>
    </w:p>
    <w:permEnd w:id="1945511407"/>
    <w:p w14:paraId="5D7CB126" w14:textId="77777777" w:rsidR="00D5365A" w:rsidRDefault="00D5365A" w:rsidP="00D5365A">
      <w:pPr>
        <w:rPr>
          <w:rFonts w:ascii="Arial" w:hAnsi="Arial" w:cs="Arial"/>
        </w:rPr>
      </w:pPr>
      <w:r>
        <w:rPr>
          <w:rFonts w:ascii="Arial" w:hAnsi="Arial" w:cs="Arial"/>
        </w:rPr>
        <w:t>&lt;ESMA_QUESTION_WPR_3&gt;</w:t>
      </w:r>
    </w:p>
    <w:p w14:paraId="13A4EF33" w14:textId="77777777" w:rsidR="00D5365A" w:rsidRDefault="00D5365A" w:rsidP="00D5365A">
      <w:pPr>
        <w:rPr>
          <w:rFonts w:ascii="Arial" w:hAnsi="Arial" w:cs="Arial"/>
        </w:rPr>
      </w:pPr>
    </w:p>
    <w:p w14:paraId="39793CB0" w14:textId="77777777" w:rsidR="00D5365A" w:rsidRDefault="00D5365A" w:rsidP="00D5365A">
      <w:pPr>
        <w:pStyle w:val="Questionstyle"/>
        <w:numPr>
          <w:ilvl w:val="0"/>
          <w:numId w:val="17"/>
        </w:numPr>
        <w:spacing w:after="250" w:line="276" w:lineRule="auto"/>
        <w:rPr>
          <w:rFonts w:ascii="Arial" w:hAnsi="Arial" w:cs="Arial"/>
        </w:rPr>
      </w:pPr>
      <w:r>
        <w:t xml:space="preserve">: Which option do you support to address the negative impact of position limits on new and illiquid commodity derivatives: Option 1 or Option 2? Please explain why. If you support another alternative, please explain which one and why. </w:t>
      </w:r>
    </w:p>
    <w:p w14:paraId="7B19F883" w14:textId="77777777" w:rsidR="00D5365A" w:rsidRDefault="00D5365A" w:rsidP="00D5365A">
      <w:pPr>
        <w:rPr>
          <w:rFonts w:ascii="Arial" w:hAnsi="Arial" w:cs="Arial"/>
        </w:rPr>
      </w:pPr>
      <w:r>
        <w:rPr>
          <w:rFonts w:ascii="Arial" w:hAnsi="Arial" w:cs="Arial"/>
        </w:rPr>
        <w:t>&lt;ESMA_QUESTION_WPR_4&gt;</w:t>
      </w:r>
    </w:p>
    <w:p w14:paraId="5DCDABBA" w14:textId="77777777" w:rsidR="00A74A32" w:rsidRPr="00B56E66" w:rsidRDefault="00A74A32" w:rsidP="00A74A32">
      <w:pPr>
        <w:jc w:val="both"/>
        <w:rPr>
          <w:rFonts w:ascii="Open Sans" w:hAnsi="Open Sans" w:cs="Open Sans"/>
          <w:sz w:val="20"/>
          <w:szCs w:val="20"/>
        </w:rPr>
      </w:pPr>
      <w:permStart w:id="342492330" w:edGrp="everyone"/>
      <w:r w:rsidRPr="00B56E66">
        <w:rPr>
          <w:rFonts w:ascii="Open Sans" w:hAnsi="Open Sans" w:cs="Open Sans"/>
          <w:sz w:val="20"/>
          <w:szCs w:val="20"/>
        </w:rPr>
        <w:t>We fully agree with ESMA’s assessment that position limits can have a negative impact on the viability of new and illiquid contracts, which has broader consequences for innovation and competition in commodities markets. This reflects the fact that the number of participants entering into new commodity derivative contracts tends to be low in the period soon after their launch, such that limits are more likely to restrict participants in their trading activities, thereby leading to a reduction in open interest.</w:t>
      </w:r>
    </w:p>
    <w:p w14:paraId="3641F57C" w14:textId="77777777" w:rsidR="00A74A32" w:rsidRPr="00B56E66" w:rsidRDefault="00A74A32" w:rsidP="00A74A32">
      <w:pPr>
        <w:jc w:val="both"/>
        <w:rPr>
          <w:rFonts w:ascii="Open Sans" w:hAnsi="Open Sans" w:cs="Open Sans"/>
          <w:sz w:val="20"/>
          <w:szCs w:val="20"/>
        </w:rPr>
      </w:pPr>
    </w:p>
    <w:p w14:paraId="1B7353A4" w14:textId="77777777" w:rsidR="00A74A32" w:rsidRPr="00B56E66" w:rsidRDefault="00A74A32" w:rsidP="00A74A32">
      <w:pPr>
        <w:jc w:val="both"/>
        <w:rPr>
          <w:rFonts w:ascii="Open Sans" w:hAnsi="Open Sans" w:cs="Open Sans"/>
          <w:sz w:val="20"/>
          <w:szCs w:val="20"/>
        </w:rPr>
      </w:pPr>
      <w:r w:rsidRPr="00B56E66">
        <w:rPr>
          <w:rFonts w:ascii="Open Sans" w:hAnsi="Open Sans" w:cs="Open Sans"/>
          <w:sz w:val="20"/>
          <w:szCs w:val="20"/>
        </w:rPr>
        <w:t xml:space="preserve">In terms of the potential options that ESMA outlines to deal with this problem – either placing limits only on a narrower range of contracts (Option 1) or creating an additional carve-out for the first year of trading in a contract (Option 2) – our strong preference is for Option 1. </w:t>
      </w:r>
    </w:p>
    <w:p w14:paraId="325C79E5" w14:textId="77777777" w:rsidR="00A74A32" w:rsidRPr="00B56E66" w:rsidRDefault="00A74A32" w:rsidP="00A74A32">
      <w:pPr>
        <w:jc w:val="both"/>
        <w:rPr>
          <w:rFonts w:ascii="Open Sans" w:hAnsi="Open Sans" w:cs="Open Sans"/>
          <w:sz w:val="20"/>
          <w:szCs w:val="20"/>
        </w:rPr>
      </w:pPr>
    </w:p>
    <w:p w14:paraId="20BD0C54" w14:textId="77777777" w:rsidR="00A74A32" w:rsidRPr="00B56E66" w:rsidRDefault="00A74A32" w:rsidP="00A74A32">
      <w:pPr>
        <w:jc w:val="both"/>
        <w:rPr>
          <w:rFonts w:ascii="Open Sans" w:hAnsi="Open Sans" w:cs="Open Sans"/>
          <w:sz w:val="20"/>
          <w:szCs w:val="20"/>
        </w:rPr>
      </w:pPr>
      <w:r w:rsidRPr="00B56E66">
        <w:rPr>
          <w:rFonts w:ascii="Open Sans" w:hAnsi="Open Sans" w:cs="Open Sans"/>
          <w:sz w:val="20"/>
          <w:szCs w:val="20"/>
        </w:rPr>
        <w:t xml:space="preserve">This option has the benefit of being more straightforward from both a supervisory and compliance standpoint </w:t>
      </w:r>
      <w:proofErr w:type="gramStart"/>
      <w:r w:rsidRPr="00B56E66">
        <w:rPr>
          <w:rFonts w:ascii="Open Sans" w:hAnsi="Open Sans" w:cs="Open Sans"/>
          <w:sz w:val="20"/>
          <w:szCs w:val="20"/>
        </w:rPr>
        <w:t>and also</w:t>
      </w:r>
      <w:proofErr w:type="gramEnd"/>
      <w:r w:rsidRPr="00B56E66">
        <w:rPr>
          <w:rFonts w:ascii="Open Sans" w:hAnsi="Open Sans" w:cs="Open Sans"/>
          <w:sz w:val="20"/>
          <w:szCs w:val="20"/>
        </w:rPr>
        <w:t xml:space="preserve"> recognizes th</w:t>
      </w:r>
      <w:r>
        <w:rPr>
          <w:rFonts w:ascii="Open Sans" w:hAnsi="Open Sans" w:cs="Open Sans"/>
          <w:sz w:val="20"/>
          <w:szCs w:val="20"/>
        </w:rPr>
        <w:t>at in practice</w:t>
      </w:r>
      <w:r w:rsidRPr="00B56E66">
        <w:rPr>
          <w:rFonts w:ascii="Open Sans" w:hAnsi="Open Sans" w:cs="Open Sans"/>
          <w:sz w:val="20"/>
          <w:szCs w:val="20"/>
        </w:rPr>
        <w:t xml:space="preserve"> position limits are not effective in mitigating the potential for market disorder or abusive behaviour.  We believe that this approach would also best advance the goal of </w:t>
      </w:r>
      <w:r>
        <w:rPr>
          <w:rFonts w:ascii="Open Sans" w:hAnsi="Open Sans" w:cs="Open Sans"/>
          <w:sz w:val="20"/>
          <w:szCs w:val="20"/>
        </w:rPr>
        <w:t xml:space="preserve">regulatory </w:t>
      </w:r>
      <w:r w:rsidRPr="00B56E66">
        <w:rPr>
          <w:rFonts w:ascii="Open Sans" w:hAnsi="Open Sans" w:cs="Open Sans"/>
          <w:sz w:val="20"/>
          <w:szCs w:val="20"/>
        </w:rPr>
        <w:t xml:space="preserve">consistency when it comes to the imposition of position limits, notably by bringing the European position limits framework closer to that of the U.S. Commodity Futures Trading Commission CFTC). </w:t>
      </w:r>
    </w:p>
    <w:p w14:paraId="0F8EA698" w14:textId="77777777" w:rsidR="00A74A32" w:rsidRPr="00B56E66" w:rsidRDefault="00A74A32" w:rsidP="00A74A32">
      <w:pPr>
        <w:jc w:val="both"/>
        <w:rPr>
          <w:rFonts w:ascii="Open Sans" w:hAnsi="Open Sans" w:cs="Open Sans"/>
          <w:sz w:val="20"/>
          <w:szCs w:val="20"/>
        </w:rPr>
      </w:pPr>
    </w:p>
    <w:permEnd w:id="342492330"/>
    <w:p w14:paraId="2750CA8D" w14:textId="77777777" w:rsidR="00D5365A" w:rsidRDefault="00D5365A" w:rsidP="00D5365A">
      <w:pPr>
        <w:rPr>
          <w:rFonts w:ascii="Arial" w:hAnsi="Arial" w:cs="Arial"/>
        </w:rPr>
      </w:pPr>
      <w:r>
        <w:rPr>
          <w:rFonts w:ascii="Arial" w:hAnsi="Arial" w:cs="Arial"/>
        </w:rPr>
        <w:t>&lt;ESMA_QUESTION_WPR_4&gt;</w:t>
      </w:r>
    </w:p>
    <w:p w14:paraId="61773C77" w14:textId="77777777" w:rsidR="00D5365A" w:rsidRDefault="00D5365A" w:rsidP="00D5365A">
      <w:pPr>
        <w:rPr>
          <w:rFonts w:ascii="Arial" w:hAnsi="Arial" w:cs="Arial"/>
        </w:rPr>
      </w:pPr>
    </w:p>
    <w:p w14:paraId="365798BE" w14:textId="77777777" w:rsidR="00D5365A" w:rsidRDefault="00D5365A" w:rsidP="00D5365A">
      <w:pPr>
        <w:pStyle w:val="Questionstyle"/>
        <w:numPr>
          <w:ilvl w:val="0"/>
          <w:numId w:val="17"/>
        </w:numPr>
        <w:spacing w:after="250" w:line="276" w:lineRule="auto"/>
        <w:rPr>
          <w:rFonts w:ascii="Arial" w:hAnsi="Arial" w:cs="Arial"/>
        </w:rPr>
      </w:pPr>
      <w:r>
        <w:t xml:space="preserve">: If you support Option 1 and would suggest different or additional criteria to determine whether a contract qualifies as a critical contract, please explain which ones.  </w:t>
      </w:r>
    </w:p>
    <w:p w14:paraId="598B7FFF" w14:textId="77777777" w:rsidR="00D5365A" w:rsidRDefault="00D5365A" w:rsidP="00D5365A">
      <w:pPr>
        <w:rPr>
          <w:rFonts w:ascii="Arial" w:hAnsi="Arial" w:cs="Arial"/>
        </w:rPr>
      </w:pPr>
      <w:r>
        <w:rPr>
          <w:rFonts w:ascii="Arial" w:hAnsi="Arial" w:cs="Arial"/>
        </w:rPr>
        <w:t>&lt;ESMA_QUESTION_WPR_5&gt;</w:t>
      </w:r>
    </w:p>
    <w:p w14:paraId="7C5C9FE2" w14:textId="77777777" w:rsidR="00A74A32" w:rsidRPr="00B56E66" w:rsidRDefault="00A74A32" w:rsidP="00A74A32">
      <w:pPr>
        <w:jc w:val="both"/>
        <w:rPr>
          <w:rFonts w:ascii="Open Sans" w:hAnsi="Open Sans" w:cs="Open Sans"/>
          <w:sz w:val="20"/>
          <w:szCs w:val="20"/>
        </w:rPr>
      </w:pPr>
      <w:permStart w:id="897407953" w:edGrp="everyone"/>
      <w:r w:rsidRPr="00B56E66">
        <w:rPr>
          <w:rFonts w:ascii="Open Sans" w:hAnsi="Open Sans" w:cs="Open Sans"/>
          <w:sz w:val="20"/>
          <w:szCs w:val="20"/>
        </w:rPr>
        <w:t>We believe that it would also be appropriate to consider whether position limits for the contract are in place in other key jurisdictions in which similar contracts are traded, including the US and, following Brexit, the UK.</w:t>
      </w:r>
    </w:p>
    <w:p w14:paraId="1FEAC340" w14:textId="77777777" w:rsidR="00D5365A" w:rsidRDefault="00D5365A" w:rsidP="00D5365A">
      <w:pPr>
        <w:rPr>
          <w:rFonts w:ascii="Arial" w:hAnsi="Arial" w:cs="Arial"/>
        </w:rPr>
      </w:pPr>
      <w:bookmarkStart w:id="1" w:name="_GoBack"/>
      <w:bookmarkEnd w:id="1"/>
      <w:permEnd w:id="897407953"/>
      <w:r>
        <w:rPr>
          <w:rFonts w:ascii="Arial" w:hAnsi="Arial" w:cs="Arial"/>
        </w:rPr>
        <w:t>&lt;ESMA_QUESTION_WPR_5&gt;</w:t>
      </w:r>
    </w:p>
    <w:p w14:paraId="0C512C85" w14:textId="77777777" w:rsidR="00D5365A" w:rsidRDefault="00D5365A" w:rsidP="00D5365A">
      <w:pPr>
        <w:rPr>
          <w:rFonts w:ascii="Arial" w:hAnsi="Arial" w:cs="Arial"/>
        </w:rPr>
      </w:pPr>
    </w:p>
    <w:p w14:paraId="21259B9F" w14:textId="77777777" w:rsidR="00D5365A" w:rsidRDefault="00D5365A" w:rsidP="00D5365A">
      <w:pPr>
        <w:pStyle w:val="Questionstyle"/>
        <w:numPr>
          <w:ilvl w:val="0"/>
          <w:numId w:val="17"/>
        </w:numPr>
        <w:spacing w:after="250" w:line="276" w:lineRule="auto"/>
        <w:rPr>
          <w:rFonts w:ascii="Arial" w:hAnsi="Arial" w:cs="Arial"/>
        </w:rPr>
      </w:pPr>
      <w:r>
        <w:t>: Which open interest and participant threshold would you suggest for qualifying a commodity derivative as a critical one?</w:t>
      </w:r>
    </w:p>
    <w:p w14:paraId="3ACFEA2B" w14:textId="77777777" w:rsidR="00D5365A" w:rsidRDefault="00D5365A" w:rsidP="00D5365A">
      <w:pPr>
        <w:rPr>
          <w:rFonts w:ascii="Arial" w:hAnsi="Arial" w:cs="Arial"/>
        </w:rPr>
      </w:pPr>
      <w:r>
        <w:rPr>
          <w:rFonts w:ascii="Arial" w:hAnsi="Arial" w:cs="Arial"/>
        </w:rPr>
        <w:t>&lt;ESMA_QUESTION_WPR_6&gt;</w:t>
      </w:r>
    </w:p>
    <w:p w14:paraId="5557516E" w14:textId="77777777" w:rsidR="00D5365A" w:rsidRDefault="00D5365A" w:rsidP="00D5365A">
      <w:pPr>
        <w:rPr>
          <w:rFonts w:ascii="Arial" w:hAnsi="Arial" w:cs="Arial"/>
        </w:rPr>
      </w:pPr>
      <w:permStart w:id="1821780740" w:edGrp="everyone"/>
      <w:r>
        <w:rPr>
          <w:rFonts w:ascii="Arial" w:hAnsi="Arial" w:cs="Arial"/>
        </w:rPr>
        <w:t>TYPE YOUR TEXT HERE</w:t>
      </w:r>
    </w:p>
    <w:permEnd w:id="1821780740"/>
    <w:p w14:paraId="11DBD2B0" w14:textId="77777777" w:rsidR="00D5365A" w:rsidRDefault="00D5365A" w:rsidP="00D5365A">
      <w:pPr>
        <w:rPr>
          <w:rFonts w:ascii="Arial" w:hAnsi="Arial" w:cs="Arial"/>
        </w:rPr>
      </w:pPr>
      <w:r>
        <w:rPr>
          <w:rFonts w:ascii="Arial" w:hAnsi="Arial" w:cs="Arial"/>
        </w:rPr>
        <w:t>&lt;ESMA_QUESTION_WPR_6&gt;</w:t>
      </w:r>
    </w:p>
    <w:p w14:paraId="392E68BA" w14:textId="77777777" w:rsidR="00D5365A" w:rsidRDefault="00D5365A" w:rsidP="00D5365A">
      <w:pPr>
        <w:rPr>
          <w:rFonts w:ascii="Arial" w:hAnsi="Arial" w:cs="Arial"/>
        </w:rPr>
      </w:pPr>
    </w:p>
    <w:p w14:paraId="447489A7" w14:textId="77777777" w:rsidR="00D5365A" w:rsidRDefault="00D5365A" w:rsidP="00D5365A">
      <w:pPr>
        <w:pStyle w:val="Questionstyle"/>
        <w:numPr>
          <w:ilvl w:val="0"/>
          <w:numId w:val="17"/>
        </w:numPr>
        <w:spacing w:after="250" w:line="276" w:lineRule="auto"/>
        <w:rPr>
          <w:rFonts w:ascii="Arial" w:hAnsi="Arial" w:cs="Arial"/>
        </w:rPr>
      </w:pPr>
      <w:r>
        <w:t>: Would you support a position limit exemption for financial counterparties under mandatory liquidity provision obligations? If not, please explain why.</w:t>
      </w:r>
    </w:p>
    <w:p w14:paraId="45D19C97" w14:textId="77777777" w:rsidR="00D5365A" w:rsidRDefault="00D5365A" w:rsidP="00D5365A">
      <w:pPr>
        <w:rPr>
          <w:rFonts w:ascii="Arial" w:hAnsi="Arial" w:cs="Arial"/>
        </w:rPr>
      </w:pPr>
      <w:r>
        <w:rPr>
          <w:rFonts w:ascii="Arial" w:hAnsi="Arial" w:cs="Arial"/>
        </w:rPr>
        <w:t>&lt;ESMA_QUESTION_WPR_7&gt;</w:t>
      </w:r>
    </w:p>
    <w:p w14:paraId="15712D4B" w14:textId="77777777" w:rsidR="00D5365A" w:rsidRDefault="00D5365A" w:rsidP="00D5365A">
      <w:pPr>
        <w:rPr>
          <w:rFonts w:ascii="Arial" w:hAnsi="Arial" w:cs="Arial"/>
        </w:rPr>
      </w:pPr>
      <w:permStart w:id="602737691" w:edGrp="everyone"/>
      <w:r>
        <w:rPr>
          <w:rFonts w:ascii="Arial" w:hAnsi="Arial" w:cs="Arial"/>
        </w:rPr>
        <w:t>TYPE YOUR TEXT HERE</w:t>
      </w:r>
    </w:p>
    <w:permEnd w:id="602737691"/>
    <w:p w14:paraId="31E340F5" w14:textId="77777777" w:rsidR="00D5365A" w:rsidRDefault="00D5365A" w:rsidP="00D5365A">
      <w:pPr>
        <w:rPr>
          <w:rFonts w:ascii="Arial" w:hAnsi="Arial" w:cs="Arial"/>
        </w:rPr>
      </w:pPr>
      <w:r>
        <w:rPr>
          <w:rFonts w:ascii="Arial" w:hAnsi="Arial" w:cs="Arial"/>
        </w:rPr>
        <w:t>&lt;ESMA_QUESTION_WPR_7&gt;</w:t>
      </w:r>
    </w:p>
    <w:p w14:paraId="763FBF02" w14:textId="77777777" w:rsidR="00D5365A" w:rsidRDefault="00D5365A" w:rsidP="00D5365A">
      <w:pPr>
        <w:rPr>
          <w:rFonts w:ascii="Arial" w:hAnsi="Arial" w:cs="Arial"/>
        </w:rPr>
      </w:pPr>
    </w:p>
    <w:p w14:paraId="068F9EED" w14:textId="77777777" w:rsidR="00D5365A" w:rsidRDefault="00D5365A" w:rsidP="00D5365A">
      <w:pPr>
        <w:pStyle w:val="Questionstyle"/>
        <w:numPr>
          <w:ilvl w:val="0"/>
          <w:numId w:val="17"/>
        </w:numPr>
        <w:spacing w:after="250" w:line="276" w:lineRule="auto"/>
        <w:rPr>
          <w:rFonts w:ascii="Arial" w:hAnsi="Arial" w:cs="Arial"/>
        </w:rPr>
      </w:pPr>
      <w:r>
        <w:t>: Would you support introducing a hedging exemption for financial counterparties along the lines described above? If not, please explain why.</w:t>
      </w:r>
    </w:p>
    <w:p w14:paraId="4ED08C7D" w14:textId="77777777" w:rsidR="00D5365A" w:rsidRDefault="00D5365A" w:rsidP="00D5365A">
      <w:pPr>
        <w:rPr>
          <w:rFonts w:ascii="Arial" w:hAnsi="Arial" w:cs="Arial"/>
        </w:rPr>
      </w:pPr>
      <w:r>
        <w:rPr>
          <w:rFonts w:ascii="Arial" w:hAnsi="Arial" w:cs="Arial"/>
        </w:rPr>
        <w:t>&lt;ESMA_QUESTION_WPR_8&gt;</w:t>
      </w:r>
    </w:p>
    <w:p w14:paraId="31AA7F90" w14:textId="77777777" w:rsidR="00D5365A" w:rsidRDefault="00D5365A" w:rsidP="00D5365A">
      <w:pPr>
        <w:rPr>
          <w:rFonts w:ascii="Arial" w:hAnsi="Arial" w:cs="Arial"/>
        </w:rPr>
      </w:pPr>
      <w:permStart w:id="1586561396" w:edGrp="everyone"/>
      <w:r>
        <w:rPr>
          <w:rFonts w:ascii="Arial" w:hAnsi="Arial" w:cs="Arial"/>
        </w:rPr>
        <w:t>TYPE YOUR TEXT HERE</w:t>
      </w:r>
    </w:p>
    <w:permEnd w:id="1586561396"/>
    <w:p w14:paraId="74EC7D38" w14:textId="77777777" w:rsidR="00D5365A" w:rsidRDefault="00D5365A" w:rsidP="00D5365A">
      <w:pPr>
        <w:rPr>
          <w:rFonts w:ascii="Arial" w:hAnsi="Arial" w:cs="Arial"/>
        </w:rPr>
      </w:pPr>
      <w:r>
        <w:rPr>
          <w:rFonts w:ascii="Arial" w:hAnsi="Arial" w:cs="Arial"/>
        </w:rPr>
        <w:t>&lt;ESMA_QUESTION_WPR_8&gt;</w:t>
      </w:r>
    </w:p>
    <w:p w14:paraId="2F8CB93E" w14:textId="77777777" w:rsidR="00D5365A" w:rsidRDefault="00D5365A" w:rsidP="00D5365A">
      <w:pPr>
        <w:rPr>
          <w:rFonts w:ascii="Arial" w:hAnsi="Arial" w:cs="Arial"/>
        </w:rPr>
      </w:pPr>
    </w:p>
    <w:p w14:paraId="44AB489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ESMA’s proposals to amend Article 57(8)(b) of MiFID II and to introduce Level 2 measures on position management controls? If not, please explain why. </w:t>
      </w:r>
    </w:p>
    <w:p w14:paraId="7A0C336C" w14:textId="77777777" w:rsidR="00D5365A" w:rsidRDefault="00D5365A" w:rsidP="00D5365A">
      <w:pPr>
        <w:rPr>
          <w:rFonts w:ascii="Arial" w:hAnsi="Arial" w:cs="Arial"/>
        </w:rPr>
      </w:pPr>
      <w:r>
        <w:rPr>
          <w:rFonts w:ascii="Arial" w:hAnsi="Arial" w:cs="Arial"/>
        </w:rPr>
        <w:t>&lt;ESMA_QUESTION_WPR_9&gt;</w:t>
      </w:r>
    </w:p>
    <w:p w14:paraId="411DB863" w14:textId="77777777" w:rsidR="00D5365A" w:rsidRDefault="00D5365A" w:rsidP="00D5365A">
      <w:pPr>
        <w:rPr>
          <w:rFonts w:ascii="Arial" w:hAnsi="Arial" w:cs="Arial"/>
        </w:rPr>
      </w:pPr>
      <w:permStart w:id="1662860103" w:edGrp="everyone"/>
      <w:r>
        <w:rPr>
          <w:rFonts w:ascii="Arial" w:hAnsi="Arial" w:cs="Arial"/>
        </w:rPr>
        <w:t>TYPE YOUR TEXT HERE</w:t>
      </w:r>
    </w:p>
    <w:permEnd w:id="1662860103"/>
    <w:p w14:paraId="2C377513" w14:textId="77777777" w:rsidR="00D5365A" w:rsidRDefault="00D5365A" w:rsidP="00D5365A">
      <w:pPr>
        <w:rPr>
          <w:rFonts w:ascii="Arial" w:hAnsi="Arial" w:cs="Arial"/>
        </w:rPr>
      </w:pPr>
      <w:r>
        <w:rPr>
          <w:rFonts w:ascii="Arial" w:hAnsi="Arial" w:cs="Arial"/>
        </w:rPr>
        <w:t>&lt;ESMA_QUESTION_WPR_9&gt;</w:t>
      </w:r>
    </w:p>
    <w:p w14:paraId="66931BD6" w14:textId="77C0A432" w:rsidR="00D5365A" w:rsidRDefault="00D5365A" w:rsidP="00D5365A">
      <w:pPr>
        <w:rPr>
          <w:rFonts w:ascii="Arial" w:hAnsi="Arial" w:cs="Arial"/>
        </w:rPr>
      </w:pPr>
    </w:p>
    <w:p w14:paraId="3468173D" w14:textId="1850607F" w:rsidR="00D5365A" w:rsidRDefault="00D5365A" w:rsidP="00D5365A">
      <w:pPr>
        <w:rPr>
          <w:rFonts w:ascii="Arial" w:hAnsi="Arial" w:cs="Arial"/>
        </w:rPr>
      </w:pPr>
    </w:p>
    <w:p w14:paraId="3920CAF1" w14:textId="77777777" w:rsidR="00D5365A" w:rsidRPr="002847A4" w:rsidRDefault="00D5365A" w:rsidP="00D5365A">
      <w:pPr>
        <w:rPr>
          <w:b/>
        </w:rPr>
      </w:pPr>
      <w:r w:rsidRPr="002847A4">
        <w:rPr>
          <w:b/>
        </w:rPr>
        <w:t>Part II</w:t>
      </w:r>
    </w:p>
    <w:p w14:paraId="5E9299BD" w14:textId="77777777" w:rsidR="00D5365A" w:rsidRDefault="00D5365A" w:rsidP="00D5365A">
      <w:pPr>
        <w:rPr>
          <w:rFonts w:ascii="Arial" w:hAnsi="Arial" w:cs="Arial"/>
        </w:rPr>
      </w:pPr>
    </w:p>
    <w:p w14:paraId="349FDAF4"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739F7FEE" w14:textId="77777777" w:rsidR="00D5365A" w:rsidRDefault="00D5365A" w:rsidP="00D5365A">
      <w:pPr>
        <w:rPr>
          <w:rFonts w:ascii="Arial" w:hAnsi="Arial" w:cs="Arial"/>
        </w:rPr>
      </w:pPr>
      <w:r>
        <w:rPr>
          <w:rFonts w:ascii="Arial" w:hAnsi="Arial" w:cs="Arial"/>
        </w:rPr>
        <w:t>&lt;ESMA_QUESTION_WPR_10&gt;</w:t>
      </w:r>
    </w:p>
    <w:p w14:paraId="48FBBDA1" w14:textId="77777777" w:rsidR="00D5365A" w:rsidRDefault="00D5365A" w:rsidP="00D5365A">
      <w:pPr>
        <w:rPr>
          <w:rFonts w:ascii="Arial" w:hAnsi="Arial" w:cs="Arial"/>
        </w:rPr>
      </w:pPr>
      <w:permStart w:id="68034811" w:edGrp="everyone"/>
      <w:r>
        <w:rPr>
          <w:rFonts w:ascii="Arial" w:hAnsi="Arial" w:cs="Arial"/>
        </w:rPr>
        <w:t>TYPE YOUR TEXT HERE</w:t>
      </w:r>
    </w:p>
    <w:permEnd w:id="68034811"/>
    <w:p w14:paraId="7CA6A02D" w14:textId="77777777" w:rsidR="00D5365A" w:rsidRDefault="00D5365A" w:rsidP="00D5365A">
      <w:pPr>
        <w:rPr>
          <w:rFonts w:ascii="Arial" w:hAnsi="Arial" w:cs="Arial"/>
        </w:rPr>
      </w:pPr>
      <w:r>
        <w:rPr>
          <w:rFonts w:ascii="Arial" w:hAnsi="Arial" w:cs="Arial"/>
        </w:rPr>
        <w:t>&lt;ESMA_QUESTION_WPR_10&gt;</w:t>
      </w:r>
    </w:p>
    <w:p w14:paraId="1F5BE49F" w14:textId="77777777" w:rsidR="00D5365A" w:rsidRDefault="00D5365A" w:rsidP="00D5365A">
      <w:pPr>
        <w:rPr>
          <w:rFonts w:ascii="Arial" w:hAnsi="Arial" w:cs="Arial"/>
        </w:rPr>
      </w:pPr>
    </w:p>
    <w:p w14:paraId="235E6E6C" w14:textId="77777777" w:rsidR="00D5365A" w:rsidRDefault="00D5365A" w:rsidP="00D5365A">
      <w:pPr>
        <w:pStyle w:val="Questionstyle"/>
        <w:numPr>
          <w:ilvl w:val="0"/>
          <w:numId w:val="17"/>
        </w:numPr>
        <w:spacing w:after="250" w:line="276" w:lineRule="auto"/>
        <w:rPr>
          <w:rFonts w:ascii="Arial" w:hAnsi="Arial" w:cs="Arial"/>
        </w:rPr>
      </w:pPr>
      <w:r>
        <w:t>: Do you have any comment on the current number of position holders required for the publication of weekly position reports?</w:t>
      </w:r>
    </w:p>
    <w:p w14:paraId="78BEE3B9" w14:textId="77777777" w:rsidR="00D5365A" w:rsidRDefault="00D5365A" w:rsidP="00D5365A">
      <w:pPr>
        <w:rPr>
          <w:rFonts w:ascii="Arial" w:hAnsi="Arial" w:cs="Arial"/>
        </w:rPr>
      </w:pPr>
      <w:r>
        <w:rPr>
          <w:rFonts w:ascii="Arial" w:hAnsi="Arial" w:cs="Arial"/>
        </w:rPr>
        <w:t>&lt;ESMA_QUESTION_WPR_11&gt;</w:t>
      </w:r>
    </w:p>
    <w:p w14:paraId="4E331CC7" w14:textId="77777777" w:rsidR="00D5365A" w:rsidRDefault="00D5365A" w:rsidP="00D5365A">
      <w:pPr>
        <w:rPr>
          <w:rFonts w:ascii="Arial" w:hAnsi="Arial" w:cs="Arial"/>
        </w:rPr>
      </w:pPr>
      <w:permStart w:id="281428305" w:edGrp="everyone"/>
      <w:r>
        <w:rPr>
          <w:rFonts w:ascii="Arial" w:hAnsi="Arial" w:cs="Arial"/>
        </w:rPr>
        <w:t>TYPE YOUR TEXT HERE</w:t>
      </w:r>
    </w:p>
    <w:permEnd w:id="281428305"/>
    <w:p w14:paraId="19E3DFC7" w14:textId="77777777" w:rsidR="00D5365A" w:rsidRDefault="00D5365A" w:rsidP="00D5365A">
      <w:pPr>
        <w:rPr>
          <w:rFonts w:ascii="Arial" w:hAnsi="Arial" w:cs="Arial"/>
        </w:rPr>
      </w:pPr>
      <w:r>
        <w:rPr>
          <w:rFonts w:ascii="Arial" w:hAnsi="Arial" w:cs="Arial"/>
        </w:rPr>
        <w:t>&lt;ESMA_QUESTION_WPR_11&gt;</w:t>
      </w:r>
    </w:p>
    <w:p w14:paraId="560C94D5" w14:textId="77777777" w:rsidR="00D5365A" w:rsidRDefault="00D5365A" w:rsidP="00D5365A">
      <w:pPr>
        <w:rPr>
          <w:rFonts w:ascii="Arial" w:hAnsi="Arial" w:cs="Arial"/>
        </w:rPr>
      </w:pPr>
    </w:p>
    <w:p w14:paraId="3BB68A6B" w14:textId="77777777" w:rsidR="00D5365A" w:rsidRDefault="00D5365A" w:rsidP="00D5365A">
      <w:pPr>
        <w:rPr>
          <w:rFonts w:ascii="Arial" w:hAnsi="Arial" w:cs="Arial"/>
        </w:rPr>
      </w:pPr>
    </w:p>
    <w:p w14:paraId="289A1E31" w14:textId="022DBCBF" w:rsidR="00AB6157" w:rsidRDefault="00AB6157" w:rsidP="00C1698A">
      <w:pPr>
        <w:spacing w:line="276" w:lineRule="auto"/>
        <w:rPr>
          <w:rFonts w:asciiTheme="minorHAnsi" w:hAnsiTheme="minorHAnsi" w:cstheme="minorHAnsi"/>
          <w:b/>
          <w:sz w:val="28"/>
          <w:szCs w:val="28"/>
        </w:rPr>
      </w:pPr>
    </w:p>
    <w:bookmarkEnd w:id="0"/>
    <w:sectPr w:rsidR="00AB6157"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BD937" w14:textId="77777777" w:rsidR="002B1A78" w:rsidRDefault="002B1A78" w:rsidP="007E7997">
      <w:r>
        <w:separator/>
      </w:r>
    </w:p>
  </w:endnote>
  <w:endnote w:type="continuationSeparator" w:id="0">
    <w:p w14:paraId="0DCC92D7" w14:textId="77777777" w:rsidR="002B1A78" w:rsidRDefault="002B1A78" w:rsidP="007E7997">
      <w:r>
        <w:continuationSeparator/>
      </w:r>
    </w:p>
  </w:endnote>
  <w:endnote w:type="continuationNotice" w:id="1">
    <w:p w14:paraId="72433557" w14:textId="77777777" w:rsidR="002B1A78" w:rsidRDefault="002B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auto"/>
    <w:pitch w:val="variable"/>
    <w:sig w:usb0="20000A87" w:usb1="4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D422D7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56FD">
      <w:rPr>
        <w:rFonts w:asciiTheme="majorHAnsi" w:hAnsiTheme="majorHAnsi"/>
        <w:color w:val="FFFFFF" w:themeColor="background1"/>
      </w:rPr>
      <w:t>5</w:t>
    </w:r>
    <w:r w:rsidR="00C81B36">
      <w:rPr>
        <w:rFonts w:asciiTheme="majorHAnsi" w:hAnsiTheme="majorHAnsi"/>
        <w:color w:val="FFFFFF" w:themeColor="background1"/>
      </w:rPr>
      <w:t xml:space="preserve"> November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A265" w14:textId="77777777" w:rsidR="002B1A78" w:rsidRDefault="002B1A78" w:rsidP="007E7997">
      <w:r>
        <w:separator/>
      </w:r>
    </w:p>
  </w:footnote>
  <w:footnote w:type="continuationSeparator" w:id="0">
    <w:p w14:paraId="7D4B58B4" w14:textId="77777777" w:rsidR="002B1A78" w:rsidRDefault="002B1A78" w:rsidP="007E7997">
      <w:r>
        <w:continuationSeparator/>
      </w:r>
    </w:p>
  </w:footnote>
  <w:footnote w:type="continuationNotice" w:id="1">
    <w:p w14:paraId="119F3072" w14:textId="77777777" w:rsidR="002B1A78" w:rsidRDefault="002B1A78"/>
  </w:footnote>
  <w:footnote w:id="2">
    <w:p w14:paraId="4F042662" w14:textId="77777777" w:rsidR="00A74A32" w:rsidRPr="00743F36" w:rsidRDefault="00A74A32" w:rsidP="00A74A32">
      <w:pPr>
        <w:pStyle w:val="FootnoteText"/>
        <w:rPr>
          <w:rFonts w:ascii="Open Sans" w:hAnsi="Open Sans" w:cs="Open Sans"/>
          <w:szCs w:val="16"/>
        </w:rPr>
      </w:pPr>
      <w:r w:rsidRPr="00743F36">
        <w:rPr>
          <w:rStyle w:val="FootnoteReference"/>
          <w:rFonts w:ascii="Open Sans" w:hAnsi="Open Sans" w:cs="Open Sans"/>
          <w:szCs w:val="16"/>
        </w:rPr>
        <w:footnoteRef/>
      </w:r>
      <w:r w:rsidRPr="00743F36">
        <w:rPr>
          <w:rFonts w:ascii="Open Sans" w:hAnsi="Open Sans" w:cs="Open Sans"/>
          <w:szCs w:val="16"/>
        </w:rPr>
        <w:t xml:space="preserve"> AIMA is the global representative of the alternative investment industry, with more than 1,900 corporate members in over 60 countries. AIMA’s fund manager members collectively manage more than $2 trillion in assets. AIMA draws upon the expertise and diversity of its membership to provide leadership in industry initiatives such as advocacy, policy and regulatory engagement, educational programs and sound practice guides. AIMA works to raise media and public awareness of the value of the industry. AIMA set up the Alternative Credit Council (“ACC”) to help firms focused in the private credit and direct lending space. The ACC currently represents over 100 members that manage $350 billion of private credit assets globally. AIMA is committed to developing skills and education standards and is a co-founder of the Chartered Alternative Investment Analyst designation (CAIA) – the first and only specialized educational standard for alternative investment specialists. AIMA is governed by its Council (Board of Directors).</w:t>
      </w:r>
    </w:p>
  </w:footnote>
  <w:footnote w:id="3">
    <w:p w14:paraId="6D416107" w14:textId="77777777" w:rsidR="00A74A32" w:rsidRPr="00743F36" w:rsidRDefault="00A74A32" w:rsidP="00A74A32">
      <w:pPr>
        <w:pStyle w:val="FootnoteText"/>
        <w:rPr>
          <w:rFonts w:ascii="Open Sans" w:hAnsi="Open Sans" w:cs="Open Sans"/>
          <w:szCs w:val="16"/>
        </w:rPr>
      </w:pPr>
      <w:r w:rsidRPr="00743F36">
        <w:rPr>
          <w:rFonts w:ascii="Open Sans" w:hAnsi="Open Sans" w:cs="Open Sans"/>
          <w:szCs w:val="16"/>
          <w:vertAlign w:val="superscript"/>
        </w:rPr>
        <w:footnoteRef/>
      </w:r>
      <w:r w:rsidRPr="00743F36">
        <w:rPr>
          <w:rFonts w:ascii="Open Sans" w:hAnsi="Open Sans" w:cs="Open Sans"/>
          <w:szCs w:val="16"/>
          <w:vertAlign w:val="superscript"/>
        </w:rPr>
        <w:t xml:space="preserve">  </w:t>
      </w:r>
      <w:r w:rsidRPr="00743F36">
        <w:rPr>
          <w:rFonts w:ascii="Open Sans" w:hAnsi="Open Sans" w:cs="Open Sans"/>
          <w:szCs w:val="16"/>
        </w:rPr>
        <w:t xml:space="preserve">Managed Funds Association (MFA) represents the global alternative investment industry and its investors by advocating for sound industry practices and public policies that foster efficient, transparent, and fair capital markets. MFA, based in Washington, DC, is an advocacy, education, and communications organization established to enable hedge fund and managed futures firms in the alternative investment industry to participate in public policy discourse, share best practices and learn from peers, and communicate the industry’s contributions to the global economy. MFA members help pension plans, university endowments, charitable organizations, qualified individuals and other institutional investors to diversify their investments, manage risk, and generate attractive returns over time. MFA has cultivated a global membership and actively engages with regulators and policymakers in Asia, Europe, the Americas, Australia and </w:t>
      </w:r>
      <w:r>
        <w:rPr>
          <w:rFonts w:ascii="Open Sans" w:hAnsi="Open Sans" w:cs="Open Sans"/>
          <w:szCs w:val="16"/>
        </w:rPr>
        <w:t>many</w:t>
      </w:r>
      <w:r w:rsidRPr="00743F36">
        <w:rPr>
          <w:rFonts w:ascii="Open Sans" w:hAnsi="Open Sans" w:cs="Open Sans"/>
          <w:szCs w:val="16"/>
        </w:rPr>
        <w:t xml:space="preserve"> other regions where MFA members are market participants.</w:t>
      </w:r>
    </w:p>
  </w:footnote>
  <w:footnote w:id="4">
    <w:p w14:paraId="00344B2C" w14:textId="77777777" w:rsidR="00A74A32" w:rsidRPr="00743F36" w:rsidRDefault="00A74A32" w:rsidP="00A74A32">
      <w:pPr>
        <w:rPr>
          <w:rFonts w:ascii="Open Sans" w:hAnsi="Open Sans" w:cs="Open Sans"/>
          <w:sz w:val="16"/>
          <w:szCs w:val="16"/>
        </w:rPr>
      </w:pPr>
      <w:r w:rsidRPr="00743F36">
        <w:rPr>
          <w:rStyle w:val="FootnoteReference"/>
          <w:rFonts w:ascii="Open Sans" w:hAnsi="Open Sans" w:cs="Open Sans"/>
          <w:szCs w:val="16"/>
        </w:rPr>
        <w:footnoteRef/>
      </w:r>
      <w:r w:rsidRPr="00743F36">
        <w:rPr>
          <w:rFonts w:ascii="Open Sans" w:hAnsi="Open Sans" w:cs="Open Sans"/>
          <w:sz w:val="16"/>
          <w:szCs w:val="16"/>
        </w:rPr>
        <w:t xml:space="preserve"> ESMA70-156-1484. Online at: </w:t>
      </w:r>
      <w:hyperlink r:id="rId1" w:history="1">
        <w:r w:rsidRPr="00743F36">
          <w:rPr>
            <w:rStyle w:val="Hyperlink"/>
            <w:rFonts w:ascii="Open Sans" w:hAnsi="Open Sans" w:cs="Open Sans"/>
            <w:sz w:val="16"/>
            <w:szCs w:val="16"/>
          </w:rPr>
          <w:t>https://www.esma.europa.eu/sites/default/files/library/esma70-156-1484_cp_position_limits.pdf</w:t>
        </w:r>
      </w:hyperlink>
      <w:r w:rsidRPr="00743F36">
        <w:rPr>
          <w:rFonts w:ascii="Open Sans" w:hAnsi="Open Sans" w:cs="Open Sans"/>
          <w:sz w:val="16"/>
          <w:szCs w:val="16"/>
        </w:rPr>
        <w:t>.</w:t>
      </w:r>
    </w:p>
    <w:p w14:paraId="713493C0" w14:textId="77777777" w:rsidR="00A74A32" w:rsidRPr="00743F36" w:rsidRDefault="00A74A32" w:rsidP="00A74A32">
      <w:pPr>
        <w:pStyle w:val="FootnoteText"/>
        <w:rPr>
          <w:rFonts w:ascii="Open Sans" w:hAnsi="Open Sans" w:cs="Open Sans"/>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238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D5513"/>
    <w:multiLevelType w:val="hybridMultilevel"/>
    <w:tmpl w:val="F02E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3T4gHCw/36fZJqGjBpVdxSvdxJQQuQQ0Z20mR1FA0lQXwCE12LqF/2U4umVg3AevknaitzM/1I4cfr8FMyFGGw==" w:salt="5FaIoUXA3WEmdJfgWb4/l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61A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3F79"/>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A78"/>
    <w:rsid w:val="002B53F3"/>
    <w:rsid w:val="002C03FD"/>
    <w:rsid w:val="002C044D"/>
    <w:rsid w:val="002C1AA5"/>
    <w:rsid w:val="002C2A46"/>
    <w:rsid w:val="002C3048"/>
    <w:rsid w:val="002C56FD"/>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480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896"/>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070E"/>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3F1A"/>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4A32"/>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1B3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365A"/>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6BF"/>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50588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4728791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70-156-1484_cp_position_limit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ESMA70-156-1933</_dlc_DocId>
    <TaxCatchAll xmlns="20fbe147-bbda-4e53-b6b1-7e8bbff3fe19">
      <Value>474</Value>
      <Value>5</Value>
      <Value>91</Value>
      <Value>2</Value>
      <Value>434</Value>
    </TaxCatchAll>
    <_dlc_DocIdUrl xmlns="20fbe147-bbda-4e53-b6b1-7e8bbff3fe19">
      <Url>https://sherpa.esma.europa.eu/sites/MKT/SMK/_layouts/15/DocIdRedir.aspx?ID=ESMA70-156-1933</Url>
      <Description>ESMA70-156-1933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E23E6B48-77D6-408C-B58A-4E9CC493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8</Pages>
  <Words>1625</Words>
  <Characters>9264</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Adam Jacobs-Dean</cp:lastModifiedBy>
  <cp:revision>3</cp:revision>
  <cp:lastPrinted>2017-07-24T14:47:00Z</cp:lastPrinted>
  <dcterms:created xsi:type="dcterms:W3CDTF">2020-01-08T11:51:00Z</dcterms:created>
  <dcterms:modified xsi:type="dcterms:W3CDTF">2020-01-08T11:54:00Z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155ab378-0408-4a09-bf77-47f9e5213ee4</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