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Regulation”).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197794">
        <w:rPr>
          <w:rStyle w:val="SchwacheHervorhebung"/>
          <w:b w:val="0"/>
          <w:sz w:val="22"/>
        </w:rPr>
        <w:t>PKID</w:t>
      </w:r>
      <w:r w:rsidRPr="00E40A5C">
        <w:rPr>
          <w:rStyle w:val="SchwacheHervorhebung"/>
          <w:b w:val="0"/>
          <w:sz w:val="22"/>
        </w:rPr>
        <w:t>_nameofrespondent_RESPONSEFORM. For example, for a respondent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bookmarkStart w:id="1" w:name="_GoBack"/>
      <w:bookmarkEnd w:id="1"/>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AE2593">
        <w:tc>
          <w:tcPr>
            <w:tcW w:w="3929" w:type="dxa"/>
            <w:shd w:val="clear" w:color="auto" w:fill="auto"/>
          </w:tcPr>
          <w:p w14:paraId="6A3CB050" w14:textId="77777777" w:rsidR="00B327E9" w:rsidRPr="00E40A5C" w:rsidRDefault="00B327E9" w:rsidP="00AE2593">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07F44A4C" w:rsidR="00B327E9" w:rsidRPr="00AB6D88" w:rsidRDefault="008838C3" w:rsidP="008838C3">
                <w:pPr>
                  <w:rPr>
                    <w:rStyle w:val="Platzhaltertext"/>
                    <w:rFonts w:cs="Arial"/>
                  </w:rPr>
                </w:pPr>
                <w:r>
                  <w:rPr>
                    <w:rStyle w:val="Platzhaltertext"/>
                    <w:rFonts w:cs="Arial"/>
                  </w:rPr>
                  <w:t>Bund der Versicherten (BdV – German Association of Insured)</w:t>
                </w:r>
              </w:p>
            </w:tc>
          </w:sdtContent>
        </w:sdt>
      </w:tr>
      <w:tr w:rsidR="00B327E9" w:rsidRPr="00AB6D88" w14:paraId="6A3CB055" w14:textId="77777777" w:rsidTr="00AE2593">
        <w:tc>
          <w:tcPr>
            <w:tcW w:w="3929" w:type="dxa"/>
            <w:shd w:val="clear" w:color="auto" w:fill="auto"/>
          </w:tcPr>
          <w:p w14:paraId="6A3CB053" w14:textId="77777777" w:rsidR="00B327E9" w:rsidRPr="00E40A5C" w:rsidRDefault="00B327E9" w:rsidP="00AE2593">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631445E" w:rsidR="00B327E9" w:rsidRPr="00AB6D88" w:rsidRDefault="00EE276E" w:rsidP="00AE259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838C3">
                  <w:rPr>
                    <w:rFonts w:cs="Arial"/>
                  </w:rPr>
                  <w:t>Audit/Legal/Individual</w:t>
                </w:r>
              </w:sdtContent>
            </w:sdt>
          </w:p>
        </w:tc>
      </w:tr>
      <w:tr w:rsidR="00B327E9" w:rsidRPr="00AB6D88" w14:paraId="6A3CB058" w14:textId="77777777" w:rsidTr="00AE2593">
        <w:tc>
          <w:tcPr>
            <w:tcW w:w="3929" w:type="dxa"/>
            <w:shd w:val="clear" w:color="auto" w:fill="auto"/>
          </w:tcPr>
          <w:p w14:paraId="6A3CB056" w14:textId="77777777" w:rsidR="00B327E9" w:rsidRPr="00E40A5C" w:rsidRDefault="00B327E9" w:rsidP="00AE2593">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D99E4AC" w:rsidR="00B327E9" w:rsidRPr="00AB6D88" w:rsidRDefault="008838C3" w:rsidP="00AE2593">
                <w:pPr>
                  <w:rPr>
                    <w:rFonts w:cs="Arial"/>
                  </w:rPr>
                </w:pPr>
                <w:r>
                  <w:rPr>
                    <w:rFonts w:ascii="MS Gothic" w:eastAsia="MS Gothic" w:hAnsi="MS Gothic" w:cs="Arial" w:hint="eastAsia"/>
                  </w:rPr>
                  <w:t>☒</w:t>
                </w:r>
              </w:p>
            </w:tc>
          </w:sdtContent>
        </w:sdt>
      </w:tr>
      <w:tr w:rsidR="00B327E9" w:rsidRPr="00AB6D88" w14:paraId="6A3CB05B" w14:textId="77777777" w:rsidTr="00AE2593">
        <w:tc>
          <w:tcPr>
            <w:tcW w:w="3929" w:type="dxa"/>
            <w:shd w:val="clear" w:color="auto" w:fill="auto"/>
          </w:tcPr>
          <w:p w14:paraId="6A3CB059" w14:textId="77777777" w:rsidR="00B327E9" w:rsidRPr="00E40A5C" w:rsidRDefault="00B327E9" w:rsidP="00AE2593">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8DD95FE" w:rsidR="00B327E9" w:rsidRPr="00AB6D88" w:rsidRDefault="008838C3" w:rsidP="00AE2593">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46011B55" w14:textId="5A41AFE8" w:rsidR="004E2ADB" w:rsidRPr="004E2ADB" w:rsidRDefault="004E2ADB" w:rsidP="004E2ADB">
      <w:pPr>
        <w:autoSpaceDE w:val="0"/>
        <w:autoSpaceDN w:val="0"/>
        <w:adjustRightInd w:val="0"/>
        <w:rPr>
          <w:rFonts w:ascii="Verdana" w:hAnsi="Verdana" w:cs="Verdana"/>
          <w:szCs w:val="20"/>
          <w:lang w:val="en-US" w:eastAsia="en-GB"/>
        </w:rPr>
      </w:pPr>
      <w:permStart w:id="411981036" w:edGrp="everyone"/>
      <w:r w:rsidRPr="004E2ADB">
        <w:rPr>
          <w:rFonts w:ascii="Verdana" w:hAnsi="Verdana" w:cs="Verdana"/>
          <w:szCs w:val="20"/>
          <w:lang w:val="en-US" w:eastAsia="en-GB"/>
        </w:rPr>
        <w:t xml:space="preserve">As Germany’s most important NGO of consumer protection related to private insurances (with </w:t>
      </w:r>
      <w:r>
        <w:rPr>
          <w:rFonts w:ascii="Verdana" w:hAnsi="Verdana" w:cs="Verdana"/>
          <w:szCs w:val="20"/>
          <w:lang w:val="en-US" w:eastAsia="en-GB"/>
        </w:rPr>
        <w:t>about 45</w:t>
      </w:r>
      <w:r w:rsidRPr="004E2ADB">
        <w:rPr>
          <w:rFonts w:ascii="Verdana" w:hAnsi="Verdana" w:cs="Verdana"/>
          <w:szCs w:val="20"/>
          <w:lang w:val="en-US" w:eastAsia="en-GB"/>
        </w:rPr>
        <w:t>.000 members) we would like to thank EIOPA for the opportunity to publish</w:t>
      </w:r>
    </w:p>
    <w:p w14:paraId="145DD762" w14:textId="739DBD58" w:rsidR="006E030F" w:rsidRDefault="004E2ADB" w:rsidP="004E2ADB">
      <w:pPr>
        <w:autoSpaceDE w:val="0"/>
        <w:autoSpaceDN w:val="0"/>
        <w:adjustRightInd w:val="0"/>
        <w:rPr>
          <w:rFonts w:ascii="Verdana" w:hAnsi="Verdana" w:cs="Verdana"/>
          <w:szCs w:val="20"/>
          <w:lang w:val="en-US" w:eastAsia="en-GB"/>
        </w:rPr>
      </w:pPr>
      <w:r w:rsidRPr="004E2ADB">
        <w:rPr>
          <w:rFonts w:ascii="Verdana" w:hAnsi="Verdana" w:cs="Verdana"/>
          <w:szCs w:val="20"/>
          <w:lang w:val="en-US" w:eastAsia="en-GB"/>
        </w:rPr>
        <w:t xml:space="preserve">comments on this consultation. </w:t>
      </w:r>
      <w:r w:rsidR="00A71323">
        <w:rPr>
          <w:rFonts w:ascii="Verdana" w:hAnsi="Verdana" w:cs="Verdana"/>
          <w:szCs w:val="20"/>
          <w:lang w:val="en-US" w:eastAsia="en-GB"/>
        </w:rPr>
        <w:t xml:space="preserve">Our organization – by its statutes – is focused on private insurances and on private pension products. Therefore we primarily comment on questions linked to insurance-based investment products. </w:t>
      </w:r>
      <w:r w:rsidRPr="004E2ADB">
        <w:rPr>
          <w:rFonts w:ascii="Verdana" w:hAnsi="Verdana" w:cs="Verdana"/>
          <w:szCs w:val="20"/>
          <w:lang w:val="en-US" w:eastAsia="en-GB"/>
        </w:rPr>
        <w:t xml:space="preserve">In the same way we already contributed </w:t>
      </w:r>
      <w:r w:rsidR="00DE01E5">
        <w:rPr>
          <w:rFonts w:ascii="Verdana" w:hAnsi="Verdana" w:cs="Verdana"/>
          <w:szCs w:val="20"/>
          <w:lang w:val="en-US" w:eastAsia="en-GB"/>
        </w:rPr>
        <w:t xml:space="preserve">to </w:t>
      </w:r>
      <w:r w:rsidRPr="004E2ADB">
        <w:rPr>
          <w:rFonts w:ascii="Verdana" w:hAnsi="Verdana" w:cs="Verdana"/>
          <w:szCs w:val="20"/>
          <w:lang w:val="en-US" w:eastAsia="en-GB"/>
        </w:rPr>
        <w:t xml:space="preserve">the </w:t>
      </w:r>
      <w:r>
        <w:rPr>
          <w:rFonts w:ascii="Verdana" w:hAnsi="Verdana" w:cs="Verdana"/>
          <w:szCs w:val="20"/>
          <w:lang w:val="en-US" w:eastAsia="en-GB"/>
        </w:rPr>
        <w:t>former</w:t>
      </w:r>
      <w:r w:rsidR="003C28A3">
        <w:rPr>
          <w:rFonts w:ascii="Verdana" w:hAnsi="Verdana" w:cs="Verdana"/>
          <w:szCs w:val="20"/>
          <w:lang w:val="en-US" w:eastAsia="en-GB"/>
        </w:rPr>
        <w:t xml:space="preserve"> </w:t>
      </w:r>
      <w:r>
        <w:rPr>
          <w:rFonts w:ascii="Verdana" w:hAnsi="Verdana" w:cs="Verdana"/>
          <w:szCs w:val="20"/>
          <w:lang w:val="en-US" w:eastAsia="en-GB"/>
        </w:rPr>
        <w:t>ESAs</w:t>
      </w:r>
      <w:r w:rsidR="003C28A3">
        <w:rPr>
          <w:rFonts w:ascii="Verdana" w:hAnsi="Verdana" w:cs="Verdana"/>
          <w:szCs w:val="20"/>
          <w:lang w:val="en-US" w:eastAsia="en-GB"/>
        </w:rPr>
        <w:t xml:space="preserve"> / EIOPA</w:t>
      </w:r>
      <w:r>
        <w:rPr>
          <w:rFonts w:ascii="Verdana" w:hAnsi="Verdana" w:cs="Verdana"/>
          <w:szCs w:val="20"/>
          <w:lang w:val="en-US" w:eastAsia="en-GB"/>
        </w:rPr>
        <w:t xml:space="preserve"> </w:t>
      </w:r>
      <w:r w:rsidRPr="004E2ADB">
        <w:rPr>
          <w:rFonts w:ascii="Verdana" w:hAnsi="Verdana" w:cs="Verdana"/>
          <w:szCs w:val="20"/>
          <w:lang w:val="en-US" w:eastAsia="en-GB"/>
        </w:rPr>
        <w:t xml:space="preserve">consultations on </w:t>
      </w:r>
      <w:r>
        <w:rPr>
          <w:rFonts w:ascii="Verdana" w:hAnsi="Verdana" w:cs="Verdana"/>
          <w:szCs w:val="20"/>
          <w:lang w:val="en-US" w:eastAsia="en-GB"/>
        </w:rPr>
        <w:t>the PRIIPs KID in February and August 2015, January 2016 and December 2018.</w:t>
      </w:r>
      <w:r w:rsidR="006E030F">
        <w:rPr>
          <w:rFonts w:ascii="Verdana" w:hAnsi="Verdana" w:cs="Verdana"/>
          <w:szCs w:val="20"/>
          <w:lang w:val="en-US" w:eastAsia="en-GB"/>
        </w:rPr>
        <w:t xml:space="preserve"> </w:t>
      </w:r>
    </w:p>
    <w:p w14:paraId="6A3CB061" w14:textId="0575BF53" w:rsidR="00B327E9" w:rsidRPr="00B25BDE" w:rsidRDefault="006E030F" w:rsidP="004E2ADB">
      <w:pPr>
        <w:autoSpaceDE w:val="0"/>
        <w:autoSpaceDN w:val="0"/>
        <w:adjustRightInd w:val="0"/>
        <w:rPr>
          <w:rFonts w:ascii="Verdana" w:hAnsi="Verdana" w:cs="Verdana"/>
          <w:szCs w:val="20"/>
          <w:lang w:val="en-US" w:eastAsia="en-GB"/>
        </w:rPr>
      </w:pPr>
      <w:r>
        <w:rPr>
          <w:rFonts w:ascii="Verdana" w:hAnsi="Verdana" w:cs="Verdana"/>
          <w:szCs w:val="20"/>
          <w:lang w:val="en-US" w:eastAsia="en-GB"/>
        </w:rPr>
        <w:t xml:space="preserve">Additionally we attended EIOPA’s Public Hearing on 29 November 2019 and EIOPA’s Round Table on 11 December 2019 in which we clearly stressed our criticism of the Reduction in Yield as aggregrate cost indicator being mathematically correct, but not understandable for customers. We propose to replace it by the Reduction in Wealth (cf. the article already published in the German </w:t>
      </w:r>
      <w:r w:rsidR="00BF7374">
        <w:rPr>
          <w:rFonts w:ascii="Verdana" w:hAnsi="Verdana" w:cs="Verdana"/>
          <w:szCs w:val="20"/>
          <w:lang w:val="en-US" w:eastAsia="en-GB"/>
        </w:rPr>
        <w:t>insurance j</w:t>
      </w:r>
      <w:r>
        <w:rPr>
          <w:rFonts w:ascii="Verdana" w:hAnsi="Verdana" w:cs="Verdana"/>
          <w:szCs w:val="20"/>
          <w:lang w:val="en-US" w:eastAsia="en-GB"/>
        </w:rPr>
        <w:t>ournal VERSICHERUNGSWIRTSCHAFT and sent to EIOPA</w:t>
      </w:r>
      <w:r w:rsidR="003C28A3">
        <w:rPr>
          <w:rFonts w:ascii="Verdana" w:hAnsi="Verdana" w:cs="Verdana"/>
          <w:szCs w:val="20"/>
          <w:lang w:val="en-US" w:eastAsia="en-GB"/>
        </w:rPr>
        <w:t xml:space="preserve"> with English translation</w:t>
      </w:r>
      <w:r>
        <w:rPr>
          <w:rFonts w:ascii="Verdana" w:hAnsi="Verdana" w:cs="Verdana"/>
          <w:szCs w:val="20"/>
          <w:lang w:val="en-US" w:eastAsia="en-GB"/>
        </w:rPr>
        <w:t>).</w:t>
      </w:r>
    </w:p>
    <w:permEnd w:id="411981036"/>
    <w:p w14:paraId="6A3CB062" w14:textId="1DA6EC94" w:rsidR="00B327E9" w:rsidRPr="00BF28DA" w:rsidRDefault="00B327E9" w:rsidP="00B327E9">
      <w:r w:rsidRPr="00BF28DA">
        <w:t>&lt;ESA_COMMENT_</w:t>
      </w:r>
      <w:r w:rsidR="00197794">
        <w:rPr>
          <w:rStyle w:val="SchwacheHervorhebu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03DE4592" w:rsidR="003E573C" w:rsidRDefault="00E87201" w:rsidP="003E573C">
      <w:pPr>
        <w:rPr>
          <w:rFonts w:cs="Arial"/>
        </w:rPr>
      </w:pPr>
      <w:permStart w:id="1221819945" w:edGrp="everyone"/>
      <w:r>
        <w:rPr>
          <w:rFonts w:cs="Arial"/>
        </w:rPr>
        <w:t>No, we do not see any provisions that hinder the use of digital solutions for the KID.</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6DC45140" w14:textId="57DC2846" w:rsidR="00E87201" w:rsidRDefault="00E87201" w:rsidP="003E573C">
      <w:pPr>
        <w:rPr>
          <w:rFonts w:cs="Arial"/>
        </w:rPr>
      </w:pPr>
      <w:permStart w:id="729947415" w:edGrp="everyone"/>
      <w:r>
        <w:rPr>
          <w:rFonts w:cs="Arial"/>
        </w:rPr>
        <w:t>Yes, we agree.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3855900B" w:rsidR="003E573C" w:rsidRDefault="00E87201" w:rsidP="003E573C">
      <w:pPr>
        <w:rPr>
          <w:rFonts w:cs="Arial"/>
        </w:rPr>
      </w:pPr>
      <w:permStart w:id="677205538" w:edGrp="everyone"/>
      <w:r>
        <w:rPr>
          <w:rFonts w:cs="Arial"/>
        </w:rPr>
        <w:t>Yes, we agree. The replacement of the Reduction in Yield by the Reduction in Wealth which we propose instead of it should be implemented as soon as possible</w:t>
      </w:r>
      <w:r w:rsidR="00F56275">
        <w:rPr>
          <w:rFonts w:cs="Arial"/>
        </w:rPr>
        <w:t xml:space="preserve"> (cf. our comments on Introduction and Q 42)</w:t>
      </w:r>
      <w:r>
        <w:rPr>
          <w:rFonts w:cs="Arial"/>
        </w:rPr>
        <w:t>.</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03EEFB90" w:rsidR="003E573C" w:rsidRDefault="001620C6" w:rsidP="003E573C">
      <w:pPr>
        <w:rPr>
          <w:rFonts w:cs="Arial"/>
        </w:rPr>
      </w:pPr>
      <w:permStart w:id="1220688604" w:edGrp="everyone"/>
      <w:r>
        <w:rPr>
          <w:rFonts w:cs="Arial"/>
        </w:rPr>
        <w:t>No, we urgently advocate</w:t>
      </w:r>
      <w:r w:rsidR="00E87201">
        <w:rPr>
          <w:rFonts w:cs="Arial"/>
        </w:rPr>
        <w:t xml:space="preserve"> that any changes proposed by this consultation should be implemented as soon as possible.</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0AEFF6ED" w14:textId="0D74B12E" w:rsidR="00B8070E" w:rsidRDefault="006F0269" w:rsidP="003E573C">
      <w:pPr>
        <w:rPr>
          <w:rFonts w:cs="Arial"/>
        </w:rPr>
      </w:pPr>
      <w:permStart w:id="209390932" w:edGrp="everyone"/>
      <w:r>
        <w:rPr>
          <w:rFonts w:cs="Arial"/>
        </w:rPr>
        <w:t xml:space="preserve">A material issue which is not addressed in this consultation paper are the percentage figures of insurance risk costs which </w:t>
      </w:r>
      <w:r w:rsidR="00066A22">
        <w:rPr>
          <w:rFonts w:cs="Arial"/>
        </w:rPr>
        <w:t xml:space="preserve">are </w:t>
      </w:r>
      <w:r>
        <w:rPr>
          <w:rFonts w:cs="Arial"/>
        </w:rPr>
        <w:t xml:space="preserve">outlined in the second section of </w:t>
      </w:r>
      <w:r w:rsidR="00284E76">
        <w:rPr>
          <w:rFonts w:cs="Arial"/>
        </w:rPr>
        <w:t xml:space="preserve">the </w:t>
      </w:r>
      <w:r>
        <w:rPr>
          <w:rFonts w:cs="Arial"/>
        </w:rPr>
        <w:t>KID “What is this product?”, paragraph “</w:t>
      </w:r>
      <w:r w:rsidR="00F26164">
        <w:rPr>
          <w:rFonts w:cs="Arial"/>
        </w:rPr>
        <w:t>Insurance benefi</w:t>
      </w:r>
      <w:r>
        <w:rPr>
          <w:rFonts w:cs="Arial"/>
        </w:rPr>
        <w:t>ts and costs”.</w:t>
      </w:r>
      <w:r w:rsidR="00066A22">
        <w:rPr>
          <w:rFonts w:cs="Arial"/>
        </w:rPr>
        <w:t xml:space="preserve"> We have found </w:t>
      </w:r>
      <w:r w:rsidR="00F56275">
        <w:rPr>
          <w:rFonts w:cs="Arial"/>
        </w:rPr>
        <w:t>a lot</w:t>
      </w:r>
      <w:r w:rsidR="00066A22">
        <w:rPr>
          <w:rFonts w:cs="Arial"/>
        </w:rPr>
        <w:t xml:space="preserve"> of examples that, besides the absolut</w:t>
      </w:r>
      <w:r w:rsidR="00F26164">
        <w:rPr>
          <w:rFonts w:cs="Arial"/>
        </w:rPr>
        <w:t xml:space="preserve">e figures of the costs of death </w:t>
      </w:r>
      <w:r w:rsidR="00066A22">
        <w:rPr>
          <w:rFonts w:cs="Arial"/>
        </w:rPr>
        <w:t>risk coverage</w:t>
      </w:r>
      <w:r w:rsidR="00F26164">
        <w:rPr>
          <w:rFonts w:cs="Arial"/>
        </w:rPr>
        <w:t xml:space="preserve"> </w:t>
      </w:r>
      <w:r w:rsidR="00066A22">
        <w:rPr>
          <w:rFonts w:cs="Arial"/>
        </w:rPr>
        <w:t>(if included), the impact of these costs on the total return of the contract (until maturity) is outline</w:t>
      </w:r>
      <w:r w:rsidR="00394E8F">
        <w:rPr>
          <w:rFonts w:cs="Arial"/>
        </w:rPr>
        <w:t xml:space="preserve">d in percentage figures which </w:t>
      </w:r>
      <w:r w:rsidR="00F56275">
        <w:rPr>
          <w:rFonts w:cs="Arial"/>
        </w:rPr>
        <w:t>- again -</w:t>
      </w:r>
      <w:r w:rsidR="00066A22">
        <w:rPr>
          <w:rFonts w:cs="Arial"/>
        </w:rPr>
        <w:t xml:space="preserve"> are not understandable at all for </w:t>
      </w:r>
      <w:r w:rsidR="00394E8F">
        <w:rPr>
          <w:rFonts w:cs="Arial"/>
        </w:rPr>
        <w:t xml:space="preserve">average </w:t>
      </w:r>
      <w:r w:rsidR="00066A22">
        <w:rPr>
          <w:rFonts w:cs="Arial"/>
        </w:rPr>
        <w:t xml:space="preserve">customers. </w:t>
      </w:r>
      <w:r w:rsidR="00394E8F">
        <w:rPr>
          <w:rFonts w:cs="Arial"/>
        </w:rPr>
        <w:t>These percentage figures often indicate figures</w:t>
      </w:r>
      <w:r w:rsidR="00F26164">
        <w:rPr>
          <w:rFonts w:cs="Arial"/>
        </w:rPr>
        <w:t xml:space="preserve"> of 0,0</w:t>
      </w:r>
      <w:r w:rsidR="00394E8F">
        <w:rPr>
          <w:rFonts w:cs="Arial"/>
        </w:rPr>
        <w:t xml:space="preserve">X% </w:t>
      </w:r>
      <w:r w:rsidR="00066A22">
        <w:rPr>
          <w:rFonts w:cs="Arial"/>
        </w:rPr>
        <w:t xml:space="preserve"> </w:t>
      </w:r>
      <w:r w:rsidR="00394E8F">
        <w:rPr>
          <w:rFonts w:cs="Arial"/>
        </w:rPr>
        <w:t>or even less</w:t>
      </w:r>
      <w:r w:rsidR="00284E76">
        <w:rPr>
          <w:rFonts w:cs="Arial"/>
        </w:rPr>
        <w:t>.</w:t>
      </w:r>
    </w:p>
    <w:p w14:paraId="4EE27C0A" w14:textId="6A91F941" w:rsidR="003E573C" w:rsidRDefault="00394E8F" w:rsidP="003E573C">
      <w:pPr>
        <w:rPr>
          <w:rFonts w:cs="Arial"/>
        </w:rPr>
      </w:pPr>
      <w:r>
        <w:rPr>
          <w:rFonts w:cs="Arial"/>
        </w:rPr>
        <w:t xml:space="preserve">Sometimes these costs even turn out to have a positive impact on the total return. </w:t>
      </w:r>
      <w:r w:rsidR="00E90F0F">
        <w:rPr>
          <w:rFonts w:cs="Arial"/>
        </w:rPr>
        <w:t>Without any additional</w:t>
      </w:r>
      <w:r>
        <w:rPr>
          <w:rFonts w:cs="Arial"/>
        </w:rPr>
        <w:t xml:space="preserve"> mathematical explanations</w:t>
      </w:r>
      <w:r w:rsidR="00B83474">
        <w:rPr>
          <w:rFonts w:cs="Arial"/>
        </w:rPr>
        <w:t>,</w:t>
      </w:r>
      <w:r>
        <w:rPr>
          <w:rFonts w:cs="Arial"/>
        </w:rPr>
        <w:t xml:space="preserve"> which </w:t>
      </w:r>
      <w:r w:rsidR="00E90F0F">
        <w:rPr>
          <w:rFonts w:cs="Arial"/>
        </w:rPr>
        <w:t xml:space="preserve">of course </w:t>
      </w:r>
      <w:r>
        <w:rPr>
          <w:rFonts w:cs="Arial"/>
        </w:rPr>
        <w:t>cannot be outlined in the KID (for reasons of space and information overload)</w:t>
      </w:r>
      <w:r w:rsidR="00B83474">
        <w:rPr>
          <w:rFonts w:cs="Arial"/>
        </w:rPr>
        <w:t>,</w:t>
      </w:r>
      <w:r>
        <w:rPr>
          <w:rFonts w:cs="Arial"/>
        </w:rPr>
        <w:t xml:space="preserve"> these percentage figures are strongly mis</w:t>
      </w:r>
      <w:r w:rsidR="00284E76">
        <w:rPr>
          <w:rFonts w:cs="Arial"/>
        </w:rPr>
        <w:t>-leading and should be omitted</w:t>
      </w:r>
      <w:r>
        <w:rPr>
          <w:rFonts w:cs="Arial"/>
        </w:rPr>
        <w:t>.</w:t>
      </w:r>
      <w:r w:rsidR="00E90F0F">
        <w:rPr>
          <w:rFonts w:cs="Arial"/>
        </w:rPr>
        <w:t xml:space="preserve"> They enhance the wrong impression for the customers that </w:t>
      </w:r>
      <w:r w:rsidR="00CB6B2C">
        <w:rPr>
          <w:rFonts w:cs="Arial"/>
        </w:rPr>
        <w:t xml:space="preserve">the </w:t>
      </w:r>
      <w:r w:rsidR="00E90F0F">
        <w:rPr>
          <w:rFonts w:cs="Arial"/>
        </w:rPr>
        <w:t>costs of the contract are neglectable (like</w:t>
      </w:r>
      <w:r w:rsidR="00F56275">
        <w:rPr>
          <w:rFonts w:cs="Arial"/>
        </w:rPr>
        <w:t xml:space="preserve"> currently</w:t>
      </w:r>
      <w:r w:rsidR="00E90F0F">
        <w:rPr>
          <w:rFonts w:cs="Arial"/>
        </w:rPr>
        <w:t xml:space="preserve"> in the tables of the section “What are the costs?”</w:t>
      </w:r>
      <w:r w:rsidR="00F56275">
        <w:rPr>
          <w:rFonts w:cs="Arial"/>
        </w:rPr>
        <w:t>)</w:t>
      </w:r>
      <w:r w:rsidR="00E90F0F">
        <w:rPr>
          <w:rFonts w:cs="Arial"/>
        </w:rPr>
        <w:t>.</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lastRenderedPageBreak/>
        <w:t>&lt;ESA_QUESTION_PKID_6&gt;</w:t>
      </w:r>
    </w:p>
    <w:p w14:paraId="49487519" w14:textId="77777777" w:rsidR="000C6465" w:rsidRPr="00B8070E" w:rsidRDefault="00075569" w:rsidP="00B8070E">
      <w:pPr>
        <w:pStyle w:val="Listenabsatz"/>
        <w:numPr>
          <w:ilvl w:val="0"/>
          <w:numId w:val="48"/>
        </w:numPr>
        <w:rPr>
          <w:rFonts w:cs="Arial"/>
        </w:rPr>
      </w:pPr>
      <w:permStart w:id="418122716" w:edGrp="everyone"/>
      <w:r w:rsidRPr="00B8070E">
        <w:rPr>
          <w:rFonts w:cs="Arial"/>
        </w:rPr>
        <w:t>Intermediate scenarios:</w:t>
      </w:r>
      <w:r w:rsidR="000C6465" w:rsidRPr="00B8070E">
        <w:rPr>
          <w:rFonts w:cs="Arial"/>
        </w:rPr>
        <w:t xml:space="preserve"> for</w:t>
      </w:r>
      <w:r w:rsidRPr="00B8070E">
        <w:rPr>
          <w:rFonts w:cs="Arial"/>
        </w:rPr>
        <w:t xml:space="preserve"> the insurance-based investment products and any kind of pension they must be maintained</w:t>
      </w:r>
      <w:r w:rsidR="000C6465" w:rsidRPr="00B8070E">
        <w:rPr>
          <w:rFonts w:cs="Arial"/>
        </w:rPr>
        <w:t xml:space="preserve">. They should outline the performance scenario at half time of the recommended holding period at maturity. </w:t>
      </w:r>
    </w:p>
    <w:p w14:paraId="46FB187E" w14:textId="7F4D50E6" w:rsidR="003E573C" w:rsidRPr="00B8070E" w:rsidRDefault="000C6465" w:rsidP="00B8070E">
      <w:pPr>
        <w:pStyle w:val="Listenabsatz"/>
        <w:numPr>
          <w:ilvl w:val="0"/>
          <w:numId w:val="48"/>
        </w:numPr>
        <w:rPr>
          <w:rFonts w:cs="Arial"/>
        </w:rPr>
      </w:pPr>
      <w:r w:rsidRPr="00B8070E">
        <w:rPr>
          <w:rFonts w:cs="Arial"/>
        </w:rPr>
        <w:t>Probability indicators: Performance scenarios should always be based on probabilistic modeling. The probabilistic approach is supported by Professor Ralf Korn (University of Kaiserslautern</w:t>
      </w:r>
      <w:r w:rsidR="00F26D85">
        <w:rPr>
          <w:rFonts w:cs="Arial"/>
        </w:rPr>
        <w:t xml:space="preserve"> / DE</w:t>
      </w:r>
      <w:r w:rsidRPr="00B8070E">
        <w:rPr>
          <w:rFonts w:cs="Arial"/>
        </w:rPr>
        <w:t xml:space="preserve">) and by Professor Sascha Füllbrunn (University </w:t>
      </w:r>
      <w:r w:rsidR="00F26D85">
        <w:rPr>
          <w:rFonts w:cs="Arial"/>
        </w:rPr>
        <w:t xml:space="preserve">of </w:t>
      </w:r>
      <w:r w:rsidRPr="00B8070E">
        <w:rPr>
          <w:rFonts w:cs="Arial"/>
        </w:rPr>
        <w:t xml:space="preserve">Radboud / NL), both present at EIOPA's Round Table on PRIIPs KID on 11 December 2019. </w:t>
      </w:r>
    </w:p>
    <w:p w14:paraId="76AFD43C" w14:textId="63B4FDAE" w:rsidR="0027742F" w:rsidRPr="00B8070E" w:rsidRDefault="0027742F" w:rsidP="00B8070E">
      <w:pPr>
        <w:pStyle w:val="Listenabsatz"/>
        <w:numPr>
          <w:ilvl w:val="0"/>
          <w:numId w:val="48"/>
        </w:numPr>
        <w:rPr>
          <w:rFonts w:cs="Arial"/>
        </w:rPr>
      </w:pPr>
      <w:r w:rsidRPr="00B8070E">
        <w:rPr>
          <w:rFonts w:cs="Arial"/>
        </w:rPr>
        <w:t>Stress scenario: the stress scenario should be included for all those products which do not include a guaranteed minimum investment return.</w:t>
      </w:r>
    </w:p>
    <w:p w14:paraId="157279BD" w14:textId="5D5CF59B" w:rsidR="0027742F" w:rsidRPr="00B8070E" w:rsidRDefault="0027742F" w:rsidP="00B8070E">
      <w:pPr>
        <w:pStyle w:val="Listenabsatz"/>
        <w:numPr>
          <w:ilvl w:val="0"/>
          <w:numId w:val="48"/>
        </w:numPr>
        <w:rPr>
          <w:rFonts w:cs="Arial"/>
        </w:rPr>
      </w:pPr>
      <w:r w:rsidRPr="00B8070E">
        <w:rPr>
          <w:rFonts w:cs="Arial"/>
        </w:rPr>
        <w:t>Pa</w:t>
      </w:r>
      <w:r w:rsidR="0059167B">
        <w:rPr>
          <w:rFonts w:cs="Arial"/>
        </w:rPr>
        <w:t>st performance: it</w:t>
      </w:r>
      <w:r w:rsidRPr="00B8070E">
        <w:rPr>
          <w:rFonts w:cs="Arial"/>
        </w:rPr>
        <w:t xml:space="preserve"> should be included as far as this is possible (especially </w:t>
      </w:r>
      <w:r w:rsidR="0059167B">
        <w:rPr>
          <w:rFonts w:cs="Arial"/>
        </w:rPr>
        <w:t xml:space="preserve">for </w:t>
      </w:r>
      <w:r w:rsidRPr="00B8070E">
        <w:rPr>
          <w:rFonts w:cs="Arial"/>
        </w:rPr>
        <w:t>mutual funds and unit-linked IBIPs, consistent with MIFID II provisions).</w:t>
      </w:r>
    </w:p>
    <w:p w14:paraId="0C7BEBD0" w14:textId="0750B73F" w:rsidR="0027742F" w:rsidRDefault="0027742F" w:rsidP="00B8070E">
      <w:pPr>
        <w:pStyle w:val="Listenabsatz"/>
        <w:numPr>
          <w:ilvl w:val="0"/>
          <w:numId w:val="48"/>
        </w:numPr>
        <w:rPr>
          <w:rFonts w:cs="Arial"/>
        </w:rPr>
      </w:pPr>
      <w:r w:rsidRPr="00B8070E">
        <w:rPr>
          <w:rFonts w:cs="Arial"/>
        </w:rPr>
        <w:t>Illustrative approach: it should only be used if the probabilistic approach cannot be implemented. It should be based on empirical evidence</w:t>
      </w:r>
      <w:r w:rsidR="00B8070E" w:rsidRPr="00B8070E">
        <w:rPr>
          <w:rFonts w:cs="Arial"/>
        </w:rPr>
        <w:t xml:space="preserve"> (based </w:t>
      </w:r>
      <w:r w:rsidR="00F56275">
        <w:rPr>
          <w:rFonts w:cs="Arial"/>
        </w:rPr>
        <w:t xml:space="preserve">on </w:t>
      </w:r>
      <w:r w:rsidR="00B8070E" w:rsidRPr="00B8070E">
        <w:rPr>
          <w:rFonts w:cs="Arial"/>
        </w:rPr>
        <w:t>the results of Product Oversight and Governance requirements)</w:t>
      </w:r>
      <w:r w:rsidRPr="00B8070E">
        <w:rPr>
          <w:rFonts w:cs="Arial"/>
        </w:rPr>
        <w:t xml:space="preserve"> in order to avoid</w:t>
      </w:r>
      <w:r w:rsidR="00B8070E" w:rsidRPr="00B8070E">
        <w:rPr>
          <w:rFonts w:cs="Arial"/>
        </w:rPr>
        <w:t xml:space="preserve"> arbitrary</w:t>
      </w:r>
      <w:r w:rsidRPr="00B8070E">
        <w:rPr>
          <w:rFonts w:cs="Arial"/>
        </w:rPr>
        <w:t xml:space="preserve"> discretion by the product providers.</w:t>
      </w:r>
      <w:r w:rsidR="004C580E">
        <w:rPr>
          <w:rFonts w:cs="Arial"/>
        </w:rPr>
        <w:t xml:space="preserve"> No matter which approach is used, probabilistic or illustrative, figures on future performance are inevitably uncertain.</w:t>
      </w:r>
      <w:r w:rsidR="00B83474">
        <w:rPr>
          <w:rFonts w:cs="Arial"/>
        </w:rPr>
        <w:t xml:space="preserve"> Therefore an alert in the KID is necessary.</w:t>
      </w:r>
    </w:p>
    <w:p w14:paraId="72544BB5" w14:textId="08CE549F" w:rsidR="00743444" w:rsidRPr="00DE01E5" w:rsidRDefault="00B83474" w:rsidP="00273A39">
      <w:pPr>
        <w:pStyle w:val="Listenabsatz"/>
        <w:numPr>
          <w:ilvl w:val="0"/>
          <w:numId w:val="48"/>
        </w:numPr>
        <w:rPr>
          <w:rFonts w:cs="Arial"/>
        </w:rPr>
      </w:pPr>
      <w:r>
        <w:rPr>
          <w:rFonts w:cs="Arial"/>
        </w:rPr>
        <w:t>Additional g</w:t>
      </w:r>
      <w:r w:rsidR="00DE01E5" w:rsidRPr="00DE01E5">
        <w:rPr>
          <w:rFonts w:cs="Arial"/>
        </w:rPr>
        <w:t xml:space="preserve">eneral comment: </w:t>
      </w:r>
      <w:r w:rsidR="00743444" w:rsidRPr="00DE01E5">
        <w:rPr>
          <w:rFonts w:cs="Arial"/>
        </w:rPr>
        <w:t>Following to article 6 of the PRIIPs Regulation (1286/2014) the pre-contractual information given by the KID must be “accurate, fair, clear and not-misleading”. In order to fulfill this requirement, we stress again that any assumptions on future profit participations must “not be based on unreasonably optimistic assumptions that will overstate the likely potential of the PRIIP”. These assumptions shall be “consistent with the assumption on the annual rates of return of the underlying assets”, and they shall be “realistic and in line with the current business practice and business strategy of the manufacturer”. “Historical product performance” is one essential element for the realistic analysis of market conditions, which undoubtedly are available for insurance-based investment products.</w:t>
      </w:r>
    </w:p>
    <w:p w14:paraId="3E0F05C8" w14:textId="3B5D057C" w:rsidR="00743444" w:rsidRPr="00743444" w:rsidRDefault="00743444" w:rsidP="00743444">
      <w:pPr>
        <w:pStyle w:val="Listenabsatz"/>
        <w:rPr>
          <w:rFonts w:cs="Arial"/>
        </w:rPr>
      </w:pPr>
      <w:r w:rsidRPr="00743444">
        <w:rPr>
          <w:rFonts w:cs="Arial"/>
        </w:rPr>
        <w:t>Related to specific requirements for insurance-based investment products, especially to their profit participation via cost bonuses, we agree upon the requirement that they have to declared separately from other parts of participation bonus (in Germany this is already fixed by law). But besides the fact that they may considered as cost rebate (for consumers), we stress again that these costs may be a source of additional benefits for the life insurers as well. This “double” effect of prudential assumptions on future costs and on future profits must clearly be disclosed, if not in the KID at least in additional documents to which the KID should refer to.</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679DEDE3" w:rsidR="003E573C" w:rsidRDefault="003E573C" w:rsidP="003E573C">
      <w:pPr>
        <w:rPr>
          <w:rFonts w:cs="Arial"/>
        </w:rPr>
      </w:pPr>
      <w:r>
        <w:rPr>
          <w:rFonts w:cs="Arial"/>
        </w:rPr>
        <w:lastRenderedPageBreak/>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lastRenderedPageBreak/>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5F0B19E1" w:rsidR="003E573C" w:rsidRPr="00112B6A" w:rsidRDefault="00ED4801" w:rsidP="003E573C">
      <w:pPr>
        <w:rPr>
          <w:rFonts w:cs="Arial"/>
          <w:szCs w:val="20"/>
        </w:rPr>
      </w:pPr>
      <w:permStart w:id="806708611" w:edGrp="everyone"/>
      <w:r w:rsidRPr="00112B6A">
        <w:rPr>
          <w:rFonts w:cs="Arial"/>
          <w:color w:val="000000"/>
          <w:szCs w:val="20"/>
          <w:lang w:eastAsia="fr-FR"/>
        </w:rPr>
        <w:t>With regard to insurance-based investment products it will always be possible to present past performances. If any guarantees are given, e.g. German life insurers publish each year a fixed amount of additional surplus. In case of un</w:t>
      </w:r>
      <w:r w:rsidR="006C5C80">
        <w:rPr>
          <w:rFonts w:cs="Arial"/>
          <w:color w:val="000000"/>
          <w:szCs w:val="20"/>
          <w:lang w:eastAsia="fr-FR"/>
        </w:rPr>
        <w:t>it-linked products, e.g. other</w:t>
      </w:r>
      <w:r w:rsidRPr="00112B6A">
        <w:rPr>
          <w:rFonts w:cs="Arial"/>
          <w:color w:val="000000"/>
          <w:szCs w:val="20"/>
          <w:lang w:eastAsia="fr-FR"/>
        </w:rPr>
        <w:t xml:space="preserve"> life insurers should be obliged to disclose the average surplus paid out for each year based on the "smoothing" method. No matter if guarantees are given or not, life insurers are always able to calculate the total interest rate ("Gesamtverzinsung") they had paid out to their customers each year, and this can be shown by a linear graph.</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297621F8" w:rsidR="003E573C" w:rsidRPr="00112B6A" w:rsidRDefault="003267B6" w:rsidP="003E573C">
      <w:pPr>
        <w:rPr>
          <w:rFonts w:cs="Arial"/>
          <w:szCs w:val="20"/>
        </w:rPr>
      </w:pPr>
      <w:permStart w:id="624894902" w:edGrp="everyone"/>
      <w:r w:rsidRPr="00112B6A">
        <w:rPr>
          <w:rFonts w:cs="Arial"/>
          <w:color w:val="000000"/>
          <w:szCs w:val="20"/>
          <w:lang w:eastAsia="fr-FR"/>
        </w:rPr>
        <w:t>With regard to insurance-based investment products it will always be possible to present past performances. If any guarantees are given, e.g. German life insurers publish each year a fixed amount of additional surplus. In case of unit-linked products, e.g.</w:t>
      </w:r>
      <w:r w:rsidR="006C5C80">
        <w:rPr>
          <w:rFonts w:cs="Arial"/>
          <w:color w:val="000000"/>
          <w:szCs w:val="20"/>
          <w:lang w:eastAsia="fr-FR"/>
        </w:rPr>
        <w:t xml:space="preserve"> other</w:t>
      </w:r>
      <w:r w:rsidRPr="00112B6A">
        <w:rPr>
          <w:rFonts w:cs="Arial"/>
          <w:color w:val="000000"/>
          <w:szCs w:val="20"/>
          <w:lang w:eastAsia="fr-FR"/>
        </w:rPr>
        <w:t xml:space="preserve"> life insurers should be obliged to disclose the average surplus paid out for each year based on the "smoothing" method. No matter if guarantees are given or not, life insurers are always able to calculate the total interest rate ("Gesamtverzinsung") they had paid out to their customers each year, and this can be shown by a linear graph (cf. our comment on Q 20).</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240D164E" w:rsidR="003E573C" w:rsidRDefault="003267B6" w:rsidP="003E573C">
      <w:pPr>
        <w:rPr>
          <w:rFonts w:cs="Arial"/>
        </w:rPr>
      </w:pPr>
      <w:permStart w:id="1007688109" w:edGrp="everyone"/>
      <w:r>
        <w:rPr>
          <w:rFonts w:cs="Arial"/>
        </w:rPr>
        <w:t>No, our answer would not be different. The l</w:t>
      </w:r>
      <w:r w:rsidR="000455EB">
        <w:rPr>
          <w:rFonts w:cs="Arial"/>
        </w:rPr>
        <w:t>imit of three</w:t>
      </w:r>
      <w:r>
        <w:rPr>
          <w:rFonts w:cs="Arial"/>
        </w:rPr>
        <w:t xml:space="preserve"> pages for the PRIIPs KID should strictly be maintained.</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2A884FF2" w:rsidR="003E573C" w:rsidRDefault="004C580E" w:rsidP="003E573C">
      <w:pPr>
        <w:rPr>
          <w:rFonts w:cs="Arial"/>
        </w:rPr>
      </w:pPr>
      <w:permStart w:id="1152679739" w:edGrp="everyone"/>
      <w:r>
        <w:rPr>
          <w:rFonts w:cs="Arial"/>
        </w:rPr>
        <w:t>No, information on past performance should always be as precise as possible. T</w:t>
      </w:r>
      <w:r w:rsidR="000455EB">
        <w:rPr>
          <w:rFonts w:cs="Arial"/>
        </w:rPr>
        <w:t>his is particularly im</w:t>
      </w:r>
      <w:r>
        <w:rPr>
          <w:rFonts w:cs="Arial"/>
        </w:rPr>
        <w:t>portant with regard to the ongoing low interes</w:t>
      </w:r>
      <w:r w:rsidR="00112B6A">
        <w:rPr>
          <w:rFonts w:cs="Arial"/>
        </w:rPr>
        <w:t>t rate phase. The severe impact</w:t>
      </w:r>
      <w:r>
        <w:rPr>
          <w:rFonts w:cs="Arial"/>
        </w:rPr>
        <w:t xml:space="preserve"> of the ongoing decreasing interest rate must clearly be shown in order to underline the necessary alerts that future outcomes are different from those of the past.</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668E9469" w:rsidR="003E573C" w:rsidRPr="00112B6A" w:rsidRDefault="006E796F" w:rsidP="003E573C">
      <w:pPr>
        <w:rPr>
          <w:rFonts w:cs="Arial"/>
          <w:szCs w:val="20"/>
        </w:rPr>
      </w:pPr>
      <w:permStart w:id="503522783" w:edGrp="everyone"/>
      <w:r>
        <w:rPr>
          <w:rFonts w:cs="Arial"/>
          <w:color w:val="000000"/>
          <w:szCs w:val="20"/>
          <w:lang w:eastAsia="fr-FR"/>
        </w:rPr>
        <w:t xml:space="preserve">We </w:t>
      </w:r>
      <w:r w:rsidR="00952232" w:rsidRPr="00112B6A">
        <w:rPr>
          <w:rFonts w:cs="Arial"/>
          <w:color w:val="000000"/>
          <w:szCs w:val="20"/>
          <w:lang w:eastAsia="fr-FR"/>
        </w:rPr>
        <w:t>recommend simplifying the language and propose a very simple and short warning, preferably in a substantial size and red colour of the font, such as “Future performance scenarios are NOT reliable indicators of actual future performance. Also, they are themselves based on past performances</w:t>
      </w:r>
      <w:r w:rsidR="003D34D5">
        <w:rPr>
          <w:rFonts w:cs="Arial"/>
          <w:color w:val="000000"/>
          <w:szCs w:val="20"/>
          <w:lang w:eastAsia="fr-FR"/>
        </w:rPr>
        <w:t>, if possible</w:t>
      </w:r>
      <w:r w:rsidR="00952232" w:rsidRPr="00112B6A">
        <w:rPr>
          <w:rFonts w:cs="Arial"/>
          <w:color w:val="000000"/>
          <w:szCs w:val="20"/>
          <w:lang w:eastAsia="fr-FR"/>
        </w:rPr>
        <w:t>”.</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3A2D6163" w:rsidR="003E573C" w:rsidRDefault="00BE1006" w:rsidP="003E573C">
      <w:pPr>
        <w:rPr>
          <w:rFonts w:cs="Arial"/>
        </w:rPr>
      </w:pPr>
      <w:permStart w:id="320603426" w:edGrp="everyone"/>
      <w:r w:rsidRPr="00BE1006">
        <w:rPr>
          <w:rFonts w:cs="Arial"/>
        </w:rPr>
        <w:t>KIDs for insurance products should always include absolute figures (especially guaranteed amounts and performance scenarios of surplus / benefits.) Related to life insurances and annuities, the guaranteed amounts are more important than the performance scenarios of more or less probable benefits</w:t>
      </w:r>
      <w:r w:rsidR="00112B6A">
        <w:rPr>
          <w:rFonts w:cs="Arial"/>
        </w:rPr>
        <w:t xml:space="preserve"> and </w:t>
      </w:r>
      <w:r>
        <w:rPr>
          <w:rFonts w:cs="Arial"/>
        </w:rPr>
        <w:t>should therefore be highlighted.</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62B4A858" w:rsidR="003E573C" w:rsidRDefault="00BE1006" w:rsidP="003E573C">
      <w:pPr>
        <w:rPr>
          <w:rFonts w:cs="Arial"/>
        </w:rPr>
      </w:pPr>
      <w:permStart w:id="1802452064" w:edGrp="everyone"/>
      <w:r>
        <w:rPr>
          <w:rFonts w:cs="Arial"/>
        </w:rPr>
        <w:t>No, we do not agree. As the contract duration of IBIPs and pension products can be very different, the inevitable impacts</w:t>
      </w:r>
      <w:r w:rsidR="00112B6A">
        <w:rPr>
          <w:rFonts w:cs="Arial"/>
        </w:rPr>
        <w:t xml:space="preserve"> of distribution costs, </w:t>
      </w:r>
      <w:r>
        <w:rPr>
          <w:rFonts w:cs="Arial"/>
        </w:rPr>
        <w:t xml:space="preserve">exit fees and different performance scenarios on the real returns should be disclose after </w:t>
      </w:r>
      <w:r w:rsidR="00112B6A">
        <w:rPr>
          <w:rFonts w:cs="Arial"/>
        </w:rPr>
        <w:t>one</w:t>
      </w:r>
      <w:r>
        <w:rPr>
          <w:rFonts w:cs="Arial"/>
        </w:rPr>
        <w:t xml:space="preserve"> year, half of the duration and at maturity. If ESAs decide for fixed intermediate time</w:t>
      </w:r>
      <w:r w:rsidR="00F53A26">
        <w:rPr>
          <w:rFonts w:cs="Arial"/>
        </w:rPr>
        <w:t>, for IBIDs a five-years-period</w:t>
      </w:r>
      <w:r>
        <w:rPr>
          <w:rFonts w:cs="Arial"/>
        </w:rPr>
        <w:t xml:space="preserve"> should </w:t>
      </w:r>
      <w:r w:rsidR="003D34D5">
        <w:rPr>
          <w:rFonts w:cs="Arial"/>
        </w:rPr>
        <w:t>be taken in order to disclos</w:t>
      </w:r>
      <w:r w:rsidR="00F53A26">
        <w:rPr>
          <w:rFonts w:cs="Arial"/>
        </w:rPr>
        <w:t xml:space="preserve">e the </w:t>
      </w:r>
      <w:r w:rsidR="00112B6A">
        <w:rPr>
          <w:rFonts w:cs="Arial"/>
        </w:rPr>
        <w:t xml:space="preserve">severe </w:t>
      </w:r>
      <w:r w:rsidR="00F53A26">
        <w:rPr>
          <w:rFonts w:cs="Arial"/>
        </w:rPr>
        <w:t xml:space="preserve">impact of </w:t>
      </w:r>
      <w:r w:rsidR="003D34D5">
        <w:rPr>
          <w:rFonts w:cs="Arial"/>
        </w:rPr>
        <w:t xml:space="preserve">entry / distribution </w:t>
      </w:r>
      <w:r w:rsidR="00F53A26">
        <w:rPr>
          <w:rFonts w:cs="Arial"/>
        </w:rPr>
        <w:t>costs in case of early withdrawal.</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C719337" w:rsidR="003E573C" w:rsidRDefault="000455EB" w:rsidP="003E573C">
      <w:pPr>
        <w:rPr>
          <w:rFonts w:cs="Arial"/>
        </w:rPr>
      </w:pPr>
      <w:permStart w:id="1498437863" w:edGrp="everyone"/>
      <w:r>
        <w:rPr>
          <w:rFonts w:cs="Arial"/>
        </w:rPr>
        <w:t>The proposal may be appropriate for PRIPs, but not for IBIPs. If ESAs decide for fixed intermediate time, for IBIDs a five-years-period should alway</w:t>
      </w:r>
      <w:r w:rsidR="003D34D5">
        <w:rPr>
          <w:rFonts w:cs="Arial"/>
        </w:rPr>
        <w:t>s be taken in order to disclos</w:t>
      </w:r>
      <w:r>
        <w:rPr>
          <w:rFonts w:cs="Arial"/>
        </w:rPr>
        <w:t>e the</w:t>
      </w:r>
      <w:r w:rsidR="00112B6A">
        <w:rPr>
          <w:rFonts w:cs="Arial"/>
        </w:rPr>
        <w:t xml:space="preserve"> severe</w:t>
      </w:r>
      <w:r>
        <w:rPr>
          <w:rFonts w:cs="Arial"/>
        </w:rPr>
        <w:t xml:space="preserve"> impact of </w:t>
      </w:r>
      <w:r w:rsidR="003D34D5">
        <w:rPr>
          <w:rFonts w:cs="Arial"/>
        </w:rPr>
        <w:t xml:space="preserve">entry / distribution </w:t>
      </w:r>
      <w:r>
        <w:rPr>
          <w:rFonts w:cs="Arial"/>
        </w:rPr>
        <w:t>costs in case of early withdrawal no matter what is the contract dura</w:t>
      </w:r>
      <w:r w:rsidR="00112B6A">
        <w:rPr>
          <w:rFonts w:cs="Arial"/>
        </w:rPr>
        <w:t>tion (cf. our comment on Q 33).</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2F5379B0" w:rsidR="003E573C" w:rsidRDefault="00A76F76" w:rsidP="003E573C">
      <w:pPr>
        <w:rPr>
          <w:rFonts w:cs="Arial"/>
        </w:rPr>
      </w:pPr>
      <w:permStart w:id="621350576" w:edGrp="everyone"/>
      <w:r>
        <w:rPr>
          <w:rFonts w:cs="Arial"/>
        </w:rPr>
        <w:t>In case of IBIPs usually entry and distribution costs have their main impacts on the real return during the first (five) years of the contract duration. That is why they should be disclosed separately (particularly for the cases of early withdrawal)</w:t>
      </w:r>
      <w:r w:rsidR="00D67E76">
        <w:rPr>
          <w:rFonts w:cs="Arial"/>
        </w:rPr>
        <w:t>,</w:t>
      </w:r>
      <w:r>
        <w:rPr>
          <w:rFonts w:cs="Arial"/>
        </w:rPr>
        <w:t xml:space="preserve"> and </w:t>
      </w:r>
      <w:r w:rsidR="003D34D5">
        <w:rPr>
          <w:rFonts w:cs="Arial"/>
        </w:rPr>
        <w:t>therefore proposal (ii)</w:t>
      </w:r>
      <w:r>
        <w:rPr>
          <w:rFonts w:cs="Arial"/>
        </w:rPr>
        <w:t xml:space="preserve"> is pre</w:t>
      </w:r>
      <w:r w:rsidR="003D34D5">
        <w:rPr>
          <w:rFonts w:cs="Arial"/>
        </w:rPr>
        <w:t>ferable. Only if distribution costs are</w:t>
      </w:r>
      <w:r>
        <w:rPr>
          <w:rFonts w:cs="Arial"/>
        </w:rPr>
        <w:t xml:space="preserve"> calculated and deducted from the investment part of the premium equally during the total dura</w:t>
      </w:r>
      <w:r w:rsidR="003D34D5">
        <w:rPr>
          <w:rFonts w:cs="Arial"/>
        </w:rPr>
        <w:t>tion of the contract, proposal (i)</w:t>
      </w:r>
      <w:r w:rsidR="00D67E76">
        <w:rPr>
          <w:rFonts w:cs="Arial"/>
        </w:rPr>
        <w:t xml:space="preserve"> may be</w:t>
      </w:r>
      <w:r>
        <w:rPr>
          <w:rFonts w:cs="Arial"/>
        </w:rPr>
        <w:t xml:space="preserve"> appropriate.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58358000" w:rsidR="003E573C" w:rsidRDefault="00115FEB" w:rsidP="003E573C">
      <w:pPr>
        <w:rPr>
          <w:rFonts w:cs="Arial"/>
        </w:rPr>
      </w:pPr>
      <w:permStart w:id="354879508" w:edGrp="everyone"/>
      <w:r>
        <w:rPr>
          <w:rFonts w:cs="Arial"/>
        </w:rPr>
        <w:t>Yes, we agree. In Germany, this is already realized and fixed by law for the product information sheets of the state subsidized private pensions (“Produktinformationsblätter für Riester/Rürup-Verträge: Abschluss-und Vertriebskosten in der Ansparphase”).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538D1CBD" w:rsidR="003E573C" w:rsidRDefault="00F02252" w:rsidP="003E573C">
      <w:pPr>
        <w:rPr>
          <w:rFonts w:cs="Arial"/>
        </w:rPr>
      </w:pPr>
      <w:permStart w:id="80752736" w:edGrp="everyone"/>
      <w:r>
        <w:rPr>
          <w:rFonts w:cs="Arial"/>
        </w:rPr>
        <w:t>In the cas</w:t>
      </w:r>
      <w:r w:rsidR="00D67E76">
        <w:rPr>
          <w:rFonts w:cs="Arial"/>
        </w:rPr>
        <w:t>e of IBIPs this could especially</w:t>
      </w:r>
      <w:r>
        <w:rPr>
          <w:rFonts w:cs="Arial"/>
        </w:rPr>
        <w:t xml:space="preserve"> be possible for unit-linked products.</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08D346C9" w:rsidR="003E573C" w:rsidRDefault="00A87E53" w:rsidP="003E573C">
      <w:pPr>
        <w:rPr>
          <w:rFonts w:cs="Arial"/>
        </w:rPr>
      </w:pPr>
      <w:permStart w:id="777852593" w:edGrp="everyone"/>
      <w:r>
        <w:rPr>
          <w:rFonts w:cs="Arial"/>
        </w:rPr>
        <w:t>We acknowledge that it is very difficult to find a reliable compromise between necessary information on basic figures and any kind of information overload.</w:t>
      </w:r>
      <w:r w:rsidR="00AC6C19">
        <w:rPr>
          <w:rFonts w:cs="Arial"/>
        </w:rPr>
        <w:t xml:space="preserve"> The proposed option 3 is not bad, but option 4 (as presented for EIOPA’s Round Table on 11 December 2019) is better, because there is less narrative text and the link between the total amounts of the costs and the particular cost categories is more obvious.</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05C3DDB3" w:rsidR="003E573C" w:rsidRDefault="00AC6C19" w:rsidP="003E573C">
      <w:pPr>
        <w:rPr>
          <w:rFonts w:cs="Arial"/>
        </w:rPr>
      </w:pPr>
      <w:permStart w:id="1928422042" w:edGrp="everyone"/>
      <w:r>
        <w:rPr>
          <w:rFonts w:cs="Arial"/>
        </w:rPr>
        <w:t>Cf, our comment 39.</w:t>
      </w:r>
      <w:r w:rsidRPr="00AC6C19">
        <w:rPr>
          <w:rFonts w:cs="Arial"/>
        </w:rPr>
        <w:t xml:space="preserve"> </w:t>
      </w:r>
      <w:r>
        <w:rPr>
          <w:rFonts w:cs="Arial"/>
        </w:rPr>
        <w:t>Having this in mind, we prefer option 4 as presented for EIOPA’s Round Table on 11 December 2019: only one table, disclosing absolute costs figures in the first rows, adding percentage figures downwards in the following rows. We stress again that these additional percentage figures should be calculated following to the Reduction in Wealth method</w:t>
      </w:r>
      <w:r w:rsidR="006C5C80">
        <w:rPr>
          <w:rFonts w:cs="Arial"/>
        </w:rPr>
        <w:t xml:space="preserve"> (cf. our comments on Introduction and Q 42)</w:t>
      </w:r>
      <w:r>
        <w:rPr>
          <w:rFonts w:cs="Arial"/>
        </w:rPr>
        <w:t>.</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61BEF388" w:rsidR="003E573C" w:rsidRPr="002D1EFF" w:rsidRDefault="00AE2593" w:rsidP="003E573C">
      <w:pPr>
        <w:rPr>
          <w:rFonts w:cs="Arial"/>
          <w:szCs w:val="20"/>
          <w:lang w:val="en-US"/>
        </w:rPr>
      </w:pPr>
      <w:permStart w:id="855140723" w:edGrp="everyone"/>
      <w:r>
        <w:rPr>
          <w:rFonts w:cs="Arial"/>
        </w:rPr>
        <w:t>Yes, we stro</w:t>
      </w:r>
      <w:r w:rsidR="002D1EFF">
        <w:rPr>
          <w:rFonts w:cs="Arial"/>
        </w:rPr>
        <w:t>ngly agree (cf. our comments on Q 40 and Q 42).</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33B6DBB8" w14:textId="56DDF0CA" w:rsidR="002D1EFF" w:rsidRDefault="002D1EFF" w:rsidP="002D1EFF">
      <w:pPr>
        <w:rPr>
          <w:rFonts w:cs="Arial"/>
          <w:szCs w:val="20"/>
          <w:lang w:val="en-US"/>
        </w:rPr>
      </w:pPr>
      <w:permStart w:id="1223957116" w:edGrp="everyone"/>
      <w:r w:rsidRPr="002D1EFF">
        <w:rPr>
          <w:rFonts w:cs="Arial"/>
          <w:szCs w:val="20"/>
          <w:lang w:val="en-US"/>
        </w:rPr>
        <w:t xml:space="preserve">Besides the unequivocal description of the objectives and target markets of each product, the customers primarily need </w:t>
      </w:r>
      <w:r w:rsidRPr="002D1EFF">
        <w:rPr>
          <w:rFonts w:cs="Arial"/>
          <w:i/>
          <w:szCs w:val="20"/>
          <w:lang w:val="en-US"/>
        </w:rPr>
        <w:t>transparent</w:t>
      </w:r>
      <w:r w:rsidRPr="002D1EFF">
        <w:rPr>
          <w:rFonts w:cs="Arial"/>
          <w:szCs w:val="20"/>
          <w:lang w:val="en-US"/>
        </w:rPr>
        <w:t xml:space="preserve"> information on </w:t>
      </w:r>
      <w:r w:rsidRPr="002D1EFF">
        <w:rPr>
          <w:rFonts w:cs="Arial"/>
          <w:i/>
          <w:szCs w:val="20"/>
          <w:lang w:val="en-US"/>
        </w:rPr>
        <w:t>risks, returns and costs</w:t>
      </w:r>
      <w:r w:rsidRPr="002D1EFF">
        <w:rPr>
          <w:rFonts w:cs="Arial"/>
          <w:szCs w:val="20"/>
          <w:lang w:val="en-US"/>
        </w:rPr>
        <w:t xml:space="preserve">. That is exactly </w:t>
      </w:r>
      <w:r>
        <w:rPr>
          <w:rFonts w:cs="Arial"/>
          <w:szCs w:val="20"/>
          <w:lang w:val="en-US"/>
        </w:rPr>
        <w:t>why we reject</w:t>
      </w:r>
      <w:r w:rsidRPr="002D1EFF">
        <w:rPr>
          <w:rFonts w:cs="Arial"/>
          <w:szCs w:val="20"/>
          <w:lang w:val="en-US"/>
        </w:rPr>
        <w:t xml:space="preserve"> the “Reduction in Yield” as a summary cost indicator. Very shortly </w:t>
      </w:r>
      <w:r>
        <w:rPr>
          <w:rFonts w:cs="Arial"/>
          <w:szCs w:val="20"/>
          <w:lang w:val="en-US"/>
        </w:rPr>
        <w:t>resumed,</w:t>
      </w:r>
      <w:r w:rsidRPr="002D1EFF">
        <w:rPr>
          <w:rFonts w:cs="Arial"/>
          <w:szCs w:val="20"/>
          <w:lang w:val="en-US"/>
        </w:rPr>
        <w:t xml:space="preserve"> the Reduction in Yield is a percentage based on another percentage, the future return, which is just assumed and not even disclosed.</w:t>
      </w:r>
    </w:p>
    <w:p w14:paraId="1B6B47A8" w14:textId="77777777" w:rsidR="002D1EFF" w:rsidRPr="002D1EFF" w:rsidRDefault="002D1EFF" w:rsidP="002D1EFF">
      <w:pPr>
        <w:rPr>
          <w:rFonts w:cs="Arial"/>
          <w:szCs w:val="20"/>
          <w:lang w:val="en-US"/>
        </w:rPr>
      </w:pPr>
    </w:p>
    <w:p w14:paraId="434AE302" w14:textId="461CD400" w:rsidR="002D1EFF" w:rsidRPr="002D1EFF" w:rsidRDefault="002D1EFF" w:rsidP="002D1EFF">
      <w:pPr>
        <w:rPr>
          <w:rFonts w:cs="Arial"/>
          <w:szCs w:val="20"/>
          <w:lang w:val="en-US"/>
        </w:rPr>
      </w:pPr>
      <w:r>
        <w:rPr>
          <w:rFonts w:cs="Arial"/>
          <w:szCs w:val="20"/>
          <w:lang w:val="en-US"/>
        </w:rPr>
        <w:t>T</w:t>
      </w:r>
      <w:r w:rsidRPr="002D1EFF">
        <w:rPr>
          <w:rFonts w:cs="Arial"/>
          <w:szCs w:val="20"/>
          <w:lang w:val="en-US"/>
        </w:rPr>
        <w:t xml:space="preserve">hough </w:t>
      </w:r>
      <w:r w:rsidRPr="002D1EFF">
        <w:rPr>
          <w:rFonts w:cs="Arial"/>
          <w:i/>
          <w:szCs w:val="20"/>
          <w:lang w:val="en-US"/>
        </w:rPr>
        <w:t>mathematically</w:t>
      </w:r>
      <w:r w:rsidRPr="002D1EFF">
        <w:rPr>
          <w:rFonts w:cs="Arial"/>
          <w:szCs w:val="20"/>
          <w:lang w:val="en-US"/>
        </w:rPr>
        <w:t xml:space="preserve"> correct, the RiY is not </w:t>
      </w:r>
      <w:r w:rsidRPr="002D1EFF">
        <w:rPr>
          <w:rFonts w:cs="Arial"/>
          <w:i/>
          <w:szCs w:val="20"/>
          <w:lang w:val="en-US"/>
        </w:rPr>
        <w:t>understandable</w:t>
      </w:r>
      <w:r w:rsidRPr="002D1EFF">
        <w:rPr>
          <w:rFonts w:cs="Arial"/>
          <w:szCs w:val="20"/>
          <w:lang w:val="en-US"/>
        </w:rPr>
        <w:t xml:space="preserve"> for the customers. </w:t>
      </w:r>
      <w:r>
        <w:rPr>
          <w:rFonts w:cs="Arial"/>
        </w:rPr>
        <w:t>T</w:t>
      </w:r>
      <w:r w:rsidRPr="002D1EFF">
        <w:rPr>
          <w:rFonts w:cs="Arial"/>
          <w:szCs w:val="20"/>
          <w:lang w:val="en-US"/>
        </w:rPr>
        <w:t xml:space="preserve">he </w:t>
      </w:r>
      <w:r w:rsidRPr="002D1EFF">
        <w:rPr>
          <w:rFonts w:cs="Arial"/>
          <w:i/>
          <w:szCs w:val="20"/>
          <w:lang w:val="en-US"/>
        </w:rPr>
        <w:t>only</w:t>
      </w:r>
      <w:r w:rsidRPr="002D1EFF">
        <w:rPr>
          <w:rFonts w:cs="Arial"/>
          <w:szCs w:val="20"/>
          <w:lang w:val="en-US"/>
        </w:rPr>
        <w:t xml:space="preserve"> reference parameter which is immediately understandable for the customers is</w:t>
      </w:r>
      <w:r>
        <w:rPr>
          <w:rFonts w:cs="Arial"/>
          <w:szCs w:val="20"/>
          <w:lang w:val="en-US"/>
        </w:rPr>
        <w:t xml:space="preserve"> – from our point of view -</w:t>
      </w:r>
      <w:r w:rsidRPr="002D1EFF">
        <w:rPr>
          <w:rFonts w:cs="Arial"/>
          <w:szCs w:val="20"/>
          <w:lang w:val="en-US"/>
        </w:rPr>
        <w:t xml:space="preserve"> the </w:t>
      </w:r>
      <w:r w:rsidRPr="002D1EFF">
        <w:rPr>
          <w:rFonts w:cs="Arial"/>
          <w:i/>
          <w:szCs w:val="20"/>
          <w:lang w:val="en-US"/>
        </w:rPr>
        <w:t>total amount of contributions or premiums</w:t>
      </w:r>
      <w:r w:rsidRPr="002D1EFF">
        <w:rPr>
          <w:rFonts w:cs="Arial"/>
          <w:szCs w:val="20"/>
          <w:lang w:val="en-US"/>
        </w:rPr>
        <w:t xml:space="preserve"> paid by the customer. A customer should know, what is the expected outcome at the end of the savings period, based on a given contri</w:t>
      </w:r>
      <w:r w:rsidRPr="002D1EFF">
        <w:rPr>
          <w:rFonts w:cs="Arial"/>
          <w:szCs w:val="20"/>
          <w:lang w:val="en-US"/>
        </w:rPr>
        <w:softHyphen/>
        <w:t xml:space="preserve">bution or premium flow and on an assumed return on assets. This </w:t>
      </w:r>
      <w:r w:rsidRPr="002D1EFF">
        <w:rPr>
          <w:rFonts w:cs="Arial"/>
          <w:i/>
          <w:szCs w:val="20"/>
          <w:lang w:val="en-US"/>
        </w:rPr>
        <w:t>return on assets</w:t>
      </w:r>
      <w:r w:rsidRPr="002D1EFF">
        <w:rPr>
          <w:rFonts w:cs="Arial"/>
          <w:szCs w:val="20"/>
          <w:lang w:val="en-US"/>
        </w:rPr>
        <w:t xml:space="preserve"> should be the return </w:t>
      </w:r>
      <w:r w:rsidRPr="002D1EFF">
        <w:rPr>
          <w:rFonts w:cs="Arial"/>
          <w:i/>
          <w:szCs w:val="20"/>
          <w:lang w:val="en-US"/>
        </w:rPr>
        <w:t>before</w:t>
      </w:r>
      <w:r w:rsidRPr="002D1EFF">
        <w:rPr>
          <w:rFonts w:cs="Arial"/>
          <w:szCs w:val="20"/>
          <w:lang w:val="en-US"/>
        </w:rPr>
        <w:t xml:space="preserve"> any costs are deducted, and the </w:t>
      </w:r>
      <w:r w:rsidRPr="002D1EFF">
        <w:rPr>
          <w:rFonts w:cs="Arial"/>
          <w:i/>
          <w:szCs w:val="20"/>
          <w:lang w:val="en-US"/>
        </w:rPr>
        <w:t>expected outcome</w:t>
      </w:r>
      <w:r w:rsidRPr="002D1EFF">
        <w:rPr>
          <w:rFonts w:cs="Arial"/>
          <w:szCs w:val="20"/>
          <w:lang w:val="en-US"/>
        </w:rPr>
        <w:t xml:space="preserve"> is clarified </w:t>
      </w:r>
      <w:r w:rsidRPr="002D1EFF">
        <w:rPr>
          <w:rFonts w:cs="Arial"/>
          <w:i/>
          <w:szCs w:val="20"/>
          <w:lang w:val="en-US"/>
        </w:rPr>
        <w:t>after</w:t>
      </w:r>
      <w:r w:rsidRPr="002D1EFF">
        <w:rPr>
          <w:rFonts w:cs="Arial"/>
          <w:szCs w:val="20"/>
          <w:lang w:val="en-US"/>
        </w:rPr>
        <w:t xml:space="preserve"> costs are deducted. Then the customer has two absolute figures which he is able to compare, and the difference between the two figures may additionally be elucidated by a percentage as a summary cost indicator</w:t>
      </w:r>
      <w:r w:rsidR="00A3045A">
        <w:rPr>
          <w:rFonts w:cs="Arial"/>
          <w:szCs w:val="20"/>
          <w:lang w:val="en-US"/>
        </w:rPr>
        <w:t xml:space="preserve"> (cf. article of Professor Andreas Oehler – University of Bamberg / DE, for EIOPA’s Round Table on PRIIPs KID on 11 December 2019).</w:t>
      </w:r>
      <w:r w:rsidRPr="002D1EFF">
        <w:rPr>
          <w:rFonts w:cs="Arial"/>
          <w:szCs w:val="20"/>
          <w:lang w:val="en-US"/>
        </w:rPr>
        <w:t xml:space="preserve"> </w:t>
      </w:r>
    </w:p>
    <w:p w14:paraId="2AF38D4F" w14:textId="77777777" w:rsidR="002D1EFF" w:rsidRPr="002D1EFF" w:rsidRDefault="002D1EFF" w:rsidP="002D1EFF">
      <w:pPr>
        <w:rPr>
          <w:rFonts w:cs="Arial"/>
          <w:szCs w:val="20"/>
          <w:lang w:val="en-US"/>
        </w:rPr>
      </w:pPr>
    </w:p>
    <w:p w14:paraId="5C80D169" w14:textId="1CA9F1C7" w:rsidR="002D1EFF" w:rsidRPr="002D1EFF" w:rsidRDefault="002D1EFF" w:rsidP="002D1EFF">
      <w:pPr>
        <w:rPr>
          <w:rFonts w:cs="Arial"/>
          <w:szCs w:val="20"/>
          <w:lang w:val="en-US"/>
        </w:rPr>
      </w:pPr>
      <w:r w:rsidRPr="002D1EFF">
        <w:rPr>
          <w:rFonts w:cs="Arial"/>
          <w:szCs w:val="20"/>
          <w:lang w:val="en-US"/>
        </w:rPr>
        <w:t>This is – partly - already realized in the product information sheets for the Riester and Rürup pensions</w:t>
      </w:r>
      <w:r w:rsidR="0090191B">
        <w:rPr>
          <w:rFonts w:cs="Arial"/>
          <w:szCs w:val="20"/>
          <w:lang w:val="en-US"/>
        </w:rPr>
        <w:t xml:space="preserve"> in Germany</w:t>
      </w:r>
      <w:r w:rsidRPr="002D1EFF">
        <w:rPr>
          <w:rFonts w:cs="Arial"/>
          <w:szCs w:val="20"/>
          <w:lang w:val="en-US"/>
        </w:rPr>
        <w:t>. These product information sheets disclose the total return of the accumulated savings and the probable monthly annuity, both in absolute figures and net of costs. There are four assumed returns on assets based on different interest rates which are disclos</w:t>
      </w:r>
      <w:r w:rsidR="0090191B">
        <w:rPr>
          <w:rFonts w:cs="Arial"/>
          <w:szCs w:val="20"/>
          <w:lang w:val="en-US"/>
        </w:rPr>
        <w:t>ed.</w:t>
      </w:r>
    </w:p>
    <w:p w14:paraId="54EE8E72" w14:textId="77777777" w:rsidR="002D1EFF" w:rsidRPr="002D1EFF" w:rsidRDefault="002D1EFF" w:rsidP="002D1EFF">
      <w:pPr>
        <w:rPr>
          <w:rFonts w:cs="Arial"/>
          <w:szCs w:val="20"/>
          <w:lang w:val="en-US"/>
        </w:rPr>
      </w:pPr>
    </w:p>
    <w:p w14:paraId="137A998C" w14:textId="2CB55FAD" w:rsidR="002D1EFF" w:rsidRPr="002D1EFF" w:rsidRDefault="002D1EFF" w:rsidP="002D1EFF">
      <w:pPr>
        <w:rPr>
          <w:rFonts w:cs="Arial"/>
          <w:szCs w:val="20"/>
          <w:lang w:val="en-US"/>
        </w:rPr>
      </w:pPr>
      <w:r w:rsidRPr="002D1EFF">
        <w:rPr>
          <w:rFonts w:cs="Arial"/>
          <w:szCs w:val="20"/>
          <w:lang w:val="en-US"/>
        </w:rPr>
        <w:t>Following to our analysis of the KIDs for IBIPs currently published, the use of the RiY is highly mis-leading for consumers. In the Table “Costs over time”, whatever the absolute figures of total costs are, at maturity the percentages calculated on the base of the RiY are nearly always 1 or 2% or even less. That is the same for the Table “Composition of costs” including entry and exit costs, transaction costs, perfor</w:t>
      </w:r>
      <w:r w:rsidRPr="002D1EFF">
        <w:rPr>
          <w:rFonts w:cs="Arial"/>
          <w:szCs w:val="20"/>
          <w:lang w:val="en-US"/>
        </w:rPr>
        <w:softHyphen/>
        <w:t xml:space="preserve">mance fees etc. </w:t>
      </w:r>
      <w:r w:rsidR="0090191B">
        <w:rPr>
          <w:rFonts w:cs="Arial"/>
          <w:szCs w:val="20"/>
          <w:lang w:val="en-US"/>
        </w:rPr>
        <w:t>We stress</w:t>
      </w:r>
      <w:r w:rsidRPr="002D1EFF">
        <w:rPr>
          <w:rFonts w:cs="Arial"/>
          <w:szCs w:val="20"/>
          <w:lang w:val="en-US"/>
        </w:rPr>
        <w:t xml:space="preserve"> that at least 40% of life insurances and annuities are cancelled </w:t>
      </w:r>
      <w:r w:rsidRPr="002D1EFF">
        <w:rPr>
          <w:rFonts w:cs="Arial"/>
          <w:i/>
          <w:szCs w:val="20"/>
          <w:lang w:val="en-US"/>
        </w:rPr>
        <w:t>before</w:t>
      </w:r>
      <w:r w:rsidRPr="002D1EFF">
        <w:rPr>
          <w:rFonts w:cs="Arial"/>
          <w:szCs w:val="20"/>
          <w:lang w:val="en-US"/>
        </w:rPr>
        <w:t xml:space="preserve"> reaching maturity.</w:t>
      </w:r>
    </w:p>
    <w:p w14:paraId="616159E3" w14:textId="77777777" w:rsidR="002D1EFF" w:rsidRPr="002D1EFF" w:rsidRDefault="002D1EFF" w:rsidP="002D1EFF">
      <w:pPr>
        <w:rPr>
          <w:rFonts w:cs="Arial"/>
          <w:szCs w:val="20"/>
          <w:lang w:val="en-US"/>
        </w:rPr>
      </w:pPr>
    </w:p>
    <w:p w14:paraId="11A56DCE" w14:textId="5E4DC0B6" w:rsidR="003E573C" w:rsidRDefault="002D1EFF" w:rsidP="002D1EFF">
      <w:pPr>
        <w:rPr>
          <w:rFonts w:cs="Arial"/>
        </w:rPr>
      </w:pPr>
      <w:r w:rsidRPr="002D1EFF">
        <w:rPr>
          <w:rFonts w:cs="Arial"/>
          <w:szCs w:val="20"/>
          <w:lang w:val="en-US"/>
        </w:rPr>
        <w:t xml:space="preserve">Article 8 paragraph (3) (f) of the PRIIPs Regulation (EU) 1286/2014 only stipulates “summary indicators of these costs” or “total aggregate costs expressed in monetary and percentage terms” in order to ensure comparability. Obviously it does </w:t>
      </w:r>
      <w:r w:rsidRPr="002D1EFF">
        <w:rPr>
          <w:rFonts w:cs="Arial"/>
          <w:i/>
          <w:szCs w:val="20"/>
          <w:lang w:val="en-US"/>
        </w:rPr>
        <w:t>not</w:t>
      </w:r>
      <w:r w:rsidRPr="002D1EFF">
        <w:rPr>
          <w:rFonts w:cs="Arial"/>
          <w:szCs w:val="20"/>
          <w:lang w:val="en-US"/>
        </w:rPr>
        <w:t xml:space="preserve"> stipulate the RiY.</w:t>
      </w:r>
      <w:r>
        <w:rPr>
          <w:rFonts w:cs="Arial"/>
          <w:szCs w:val="20"/>
          <w:lang w:val="en-US"/>
        </w:rPr>
        <w:t xml:space="preserve"> Instead of this we propose the Reduction in Wealth as alternative calculation method for presenting percentage figures of costs</w:t>
      </w:r>
      <w:r w:rsidR="00BF7374">
        <w:rPr>
          <w:rFonts w:cs="Arial"/>
          <w:szCs w:val="20"/>
          <w:lang w:val="en-US"/>
        </w:rPr>
        <w:t xml:space="preserve"> in the PRIIPs KID</w:t>
      </w:r>
      <w:r w:rsidR="00743444">
        <w:rPr>
          <w:rFonts w:cs="Arial"/>
          <w:szCs w:val="20"/>
          <w:lang w:val="en-US"/>
        </w:rPr>
        <w:t xml:space="preserve"> (cf. our introductory comment)</w:t>
      </w:r>
      <w:r>
        <w:rPr>
          <w:rFonts w:cs="Arial"/>
          <w:szCs w:val="20"/>
          <w:lang w:val="en-US"/>
        </w:rPr>
        <w:t>.</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A7E2C6D" w14:textId="77777777" w:rsidR="005005DA" w:rsidRPr="005005DA" w:rsidRDefault="005005DA" w:rsidP="005005DA">
      <w:pPr>
        <w:rPr>
          <w:rFonts w:cs="Arial"/>
        </w:rPr>
      </w:pPr>
      <w:permStart w:id="1857164361" w:edGrp="everyone"/>
      <w:r w:rsidRPr="005005DA">
        <w:rPr>
          <w:rFonts w:cs="Arial"/>
        </w:rPr>
        <w:t>First we stress that we fully agree with ESAs analysis of current issues on MOPs (cf. CP, page 51): "Where a generic KID is used (in accordance with Article 10(b) of the PRIIPs Delegated Regulation) it is difficult for the investor to identify the total costs related to a particular investment option. This arises because the generic KID shows a range of costs, but does not always identify which costs are specific to an investment option and which costs relate to the insurance contract... Information on the combination of options is not explicitly required by the PRIIPs Delegated Regulation and is often not provided within the KID documentation... In particular, where very wide cost ranges are shown, it can be argued that the usefulness of this information is quite limited. This provides the retail investor with only a general idea of what the costs will be depending on their choices. They can only know that costs may fluctuate a lot and what the extremes of their fluctuations are." Therefore we support ESA's general conclusion: "If PRIIP manufacturers were required to include in the option-specific information the total costs of investing in that option, this can be seen to provide more complete information to the investors."</w:t>
      </w:r>
    </w:p>
    <w:p w14:paraId="085E90ED" w14:textId="452FCE9A" w:rsidR="003E573C" w:rsidRDefault="005005DA" w:rsidP="005005DA">
      <w:pPr>
        <w:rPr>
          <w:rFonts w:cs="Arial"/>
        </w:rPr>
      </w:pPr>
      <w:r w:rsidRPr="005005DA">
        <w:rPr>
          <w:rFonts w:cs="Arial"/>
        </w:rPr>
        <w:t>But with regard to the practical proposal outlined in the CP on page 52 ("approach to a minimum of four options or combination of options") we share t</w:t>
      </w:r>
      <w:r w:rsidR="00686BAA">
        <w:rPr>
          <w:rFonts w:cs="Arial"/>
        </w:rPr>
        <w:t>he concerns expressed by</w:t>
      </w:r>
      <w:r w:rsidRPr="005005DA">
        <w:rPr>
          <w:rFonts w:cs="Arial"/>
        </w:rPr>
        <w:t xml:space="preserve"> participants of EIOPA's Public Hearing on 29 November</w:t>
      </w:r>
      <w:r w:rsidR="00EA31AD">
        <w:rPr>
          <w:rFonts w:cs="Arial"/>
        </w:rPr>
        <w:t xml:space="preserve"> 2019</w:t>
      </w:r>
      <w:r w:rsidRPr="005005DA">
        <w:rPr>
          <w:rFonts w:cs="Arial"/>
        </w:rPr>
        <w:t>. These four options chosen by the product provider may be mis-understood by the customers as a recommendation. It is quite obvious that eg. mutual funds which are sold the most are not necessarily the best</w:t>
      </w:r>
      <w:r w:rsidR="00EA31AD">
        <w:rPr>
          <w:rFonts w:cs="Arial"/>
        </w:rPr>
        <w:t xml:space="preserve"> with regard to the real return</w:t>
      </w:r>
      <w:r w:rsidRPr="005005DA">
        <w:rPr>
          <w:rFonts w:cs="Arial"/>
        </w:rPr>
        <w:t>. The minimum re</w:t>
      </w:r>
      <w:r w:rsidR="004629D8">
        <w:rPr>
          <w:rFonts w:cs="Arial"/>
        </w:rPr>
        <w:t>quirement for this proposal sho</w:t>
      </w:r>
      <w:r w:rsidR="00B94264">
        <w:rPr>
          <w:rFonts w:cs="Arial"/>
        </w:rPr>
        <w:t>uld therefore</w:t>
      </w:r>
      <w:r w:rsidRPr="005005DA">
        <w:rPr>
          <w:rFonts w:cs="Arial"/>
        </w:rPr>
        <w:t xml:space="preserve"> be that an strong alert is added stressing that the chosen options are only a proposal, not a recommendation and that other combination of investment options are also possible. In our comment to Q 54 we propose a different approach.</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1681B992" w:rsidR="003E573C" w:rsidRDefault="005005DA" w:rsidP="003E573C">
      <w:pPr>
        <w:rPr>
          <w:rFonts w:cs="Arial"/>
        </w:rPr>
      </w:pPr>
      <w:permStart w:id="1989770724" w:edGrp="everyone"/>
      <w:r>
        <w:rPr>
          <w:rFonts w:cs="Arial"/>
        </w:rPr>
        <w:t>No, we do not envisage any significant practical challenges.</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18E693C" w14:textId="5615D5B1" w:rsidR="00B53C54" w:rsidRDefault="005005DA" w:rsidP="003E573C">
      <w:pPr>
        <w:rPr>
          <w:rFonts w:cs="Arial"/>
        </w:rPr>
      </w:pPr>
      <w:permStart w:id="1417153881" w:edGrp="everyone"/>
      <w:r>
        <w:rPr>
          <w:rFonts w:cs="Arial"/>
        </w:rPr>
        <w:t>W</w:t>
      </w:r>
      <w:r w:rsidRPr="005005DA">
        <w:rPr>
          <w:rFonts w:cs="Arial"/>
        </w:rPr>
        <w:t>ith regard to the practical proposal outlined in the CP on page 52 ("approach to a minimum of four options or combination of options") we share the concerns expressed by participants of EIOPA's Public Hearing on 29 November. These four options chosen by the product provider may be mis-understood by the customers as a recommendation. It is quite obvious that eg. mutual funds which are sold the most are not necessarily the best</w:t>
      </w:r>
      <w:r w:rsidR="00B53C54">
        <w:rPr>
          <w:rFonts w:cs="Arial"/>
        </w:rPr>
        <w:t xml:space="preserve"> regarding real return</w:t>
      </w:r>
      <w:r w:rsidRPr="005005DA">
        <w:rPr>
          <w:rFonts w:cs="Arial"/>
        </w:rPr>
        <w:t xml:space="preserve">. </w:t>
      </w:r>
    </w:p>
    <w:p w14:paraId="4B435AAE" w14:textId="180557F1" w:rsidR="003E573C" w:rsidRDefault="005005DA" w:rsidP="003E573C">
      <w:pPr>
        <w:rPr>
          <w:rFonts w:cs="Arial"/>
        </w:rPr>
      </w:pPr>
      <w:r w:rsidRPr="005005DA">
        <w:rPr>
          <w:rFonts w:cs="Arial"/>
        </w:rPr>
        <w:t>The</w:t>
      </w:r>
      <w:r w:rsidR="00B53C54">
        <w:rPr>
          <w:rFonts w:cs="Arial"/>
        </w:rPr>
        <w:t>refore the</w:t>
      </w:r>
      <w:r w:rsidRPr="005005DA">
        <w:rPr>
          <w:rFonts w:cs="Arial"/>
        </w:rPr>
        <w:t xml:space="preserve"> minimum re</w:t>
      </w:r>
      <w:r w:rsidR="00B94264">
        <w:rPr>
          <w:rFonts w:cs="Arial"/>
        </w:rPr>
        <w:t>quirement for this proposal should therefore</w:t>
      </w:r>
      <w:r w:rsidRPr="005005DA">
        <w:rPr>
          <w:rFonts w:cs="Arial"/>
        </w:rPr>
        <w:t xml:space="preserve"> be that an strong alert is added stressing that the chosen options are only a proposal, not a recommendation and that other combination of investment options are also possible. In our comment to Q 54 </w:t>
      </w:r>
      <w:r>
        <w:rPr>
          <w:rFonts w:cs="Arial"/>
        </w:rPr>
        <w:t>we propose a different approach (cf. our comment on Q 50)</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4D728F25" w:rsidR="003E573C" w:rsidRDefault="000E3307" w:rsidP="003E573C">
      <w:pPr>
        <w:rPr>
          <w:rFonts w:cs="Arial"/>
        </w:rPr>
      </w:pPr>
      <w:permStart w:id="481841044" w:edGrp="everyone"/>
      <w:r>
        <w:rPr>
          <w:rFonts w:cs="Arial"/>
        </w:rPr>
        <w:t>If cost ranges are applied, we agree with this proposal.</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54E06B4C" w14:textId="722A868E" w:rsidR="00047A59" w:rsidRDefault="003C7AA7" w:rsidP="003E573C">
      <w:pPr>
        <w:rPr>
          <w:rFonts w:cs="Arial"/>
        </w:rPr>
      </w:pPr>
      <w:permStart w:id="1862034741" w:edGrp="everyone"/>
      <w:r>
        <w:rPr>
          <w:rFonts w:cs="Arial"/>
        </w:rPr>
        <w:t>We propose a different approach for MOPs: The product provider shall calculate an average return of all investment options which he currently offers in the particular PRIIP. For example</w:t>
      </w:r>
      <w:r w:rsidR="0074439A">
        <w:rPr>
          <w:rFonts w:cs="Arial"/>
        </w:rPr>
        <w:t>,</w:t>
      </w:r>
      <w:r>
        <w:rPr>
          <w:rFonts w:cs="Arial"/>
        </w:rPr>
        <w:t xml:space="preserve"> if within an IBIP several mutual funds are offered as investment options, the product provider shall calculate the average return of these mutual funds as if there were all put together in a “fund of funds”. This average return must</w:t>
      </w:r>
      <w:r w:rsidR="00686BAA">
        <w:rPr>
          <w:rFonts w:cs="Arial"/>
        </w:rPr>
        <w:t xml:space="preserve"> be updated every year</w:t>
      </w:r>
      <w:r>
        <w:rPr>
          <w:rFonts w:cs="Arial"/>
        </w:rPr>
        <w:t xml:space="preserve">. The same should be done for the cost indicators. </w:t>
      </w:r>
      <w:r w:rsidR="00047A59">
        <w:rPr>
          <w:rFonts w:cs="Arial"/>
        </w:rPr>
        <w:t>We clearly think that this average approach is much less prone to information overload than ranges</w:t>
      </w:r>
      <w:r>
        <w:rPr>
          <w:rFonts w:cs="Arial"/>
        </w:rPr>
        <w:t xml:space="preserve"> </w:t>
      </w:r>
      <w:r w:rsidR="00047A59">
        <w:rPr>
          <w:rFonts w:cs="Arial"/>
        </w:rPr>
        <w:t xml:space="preserve">of returns and costs which are not more </w:t>
      </w:r>
      <w:r w:rsidR="00B94264">
        <w:rPr>
          <w:rFonts w:cs="Arial"/>
        </w:rPr>
        <w:t>precise than an average but expounded by</w:t>
      </w:r>
      <w:r w:rsidR="00047A59">
        <w:rPr>
          <w:rFonts w:cs="Arial"/>
        </w:rPr>
        <w:t xml:space="preserve"> many more figures in KID.</w:t>
      </w:r>
    </w:p>
    <w:p w14:paraId="1A8FE557" w14:textId="0D189474" w:rsidR="003E573C" w:rsidRDefault="00047A59" w:rsidP="003E573C">
      <w:pPr>
        <w:rPr>
          <w:rFonts w:cs="Arial"/>
        </w:rPr>
      </w:pPr>
      <w:r>
        <w:rPr>
          <w:rFonts w:cs="Arial"/>
        </w:rPr>
        <w:t>We stress that this approach of average figures is strongly put forward in Germany for the</w:t>
      </w:r>
      <w:r w:rsidR="0074439A">
        <w:rPr>
          <w:rFonts w:cs="Arial"/>
        </w:rPr>
        <w:t xml:space="preserve"> ongoing</w:t>
      </w:r>
      <w:r>
        <w:rPr>
          <w:rFonts w:cs="Arial"/>
        </w:rPr>
        <w:t xml:space="preserve"> renewal of the production information sheets of the state subsidized private retirement pension products.</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0568" w14:textId="77777777" w:rsidR="00AE2593" w:rsidRDefault="00AE2593">
      <w:r>
        <w:separator/>
      </w:r>
    </w:p>
    <w:p w14:paraId="0B84493E" w14:textId="77777777" w:rsidR="00AE2593" w:rsidRDefault="00AE2593"/>
  </w:endnote>
  <w:endnote w:type="continuationSeparator" w:id="0">
    <w:p w14:paraId="5FA33E23" w14:textId="77777777" w:rsidR="00AE2593" w:rsidRDefault="00AE2593">
      <w:r>
        <w:continuationSeparator/>
      </w:r>
    </w:p>
    <w:p w14:paraId="1493BE07" w14:textId="77777777" w:rsidR="00AE2593" w:rsidRDefault="00AE2593"/>
  </w:endnote>
  <w:endnote w:type="continuationNotice" w:id="1">
    <w:p w14:paraId="77429A71" w14:textId="77777777" w:rsidR="00AE2593" w:rsidRDefault="00AE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AE2593" w:rsidRDefault="00AE259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E2593" w:rsidRPr="00616B9B" w14:paraId="6A3CB0EF" w14:textId="77777777" w:rsidTr="00315E96">
      <w:trPr>
        <w:trHeight w:val="284"/>
      </w:trPr>
      <w:tc>
        <w:tcPr>
          <w:tcW w:w="8460" w:type="dxa"/>
        </w:tcPr>
        <w:p w14:paraId="6A3CB0ED" w14:textId="77777777" w:rsidR="00AE2593" w:rsidRPr="00315E96" w:rsidRDefault="00AE2593" w:rsidP="00315E96">
          <w:pPr>
            <w:pStyle w:val="00Footer"/>
            <w:rPr>
              <w:lang w:val="fr-FR"/>
            </w:rPr>
          </w:pPr>
        </w:p>
      </w:tc>
      <w:tc>
        <w:tcPr>
          <w:tcW w:w="952" w:type="dxa"/>
        </w:tcPr>
        <w:p w14:paraId="6A3CB0EE" w14:textId="23180CB7" w:rsidR="00AE2593" w:rsidRPr="00616B9B" w:rsidRDefault="00AE25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E276E">
            <w:rPr>
              <w:rFonts w:cs="Arial"/>
              <w:noProof/>
              <w:sz w:val="22"/>
              <w:szCs w:val="22"/>
            </w:rPr>
            <w:t>6</w:t>
          </w:r>
          <w:r w:rsidRPr="00616B9B">
            <w:rPr>
              <w:rFonts w:cs="Arial"/>
              <w:noProof/>
              <w:sz w:val="22"/>
              <w:szCs w:val="22"/>
            </w:rPr>
            <w:fldChar w:fldCharType="end"/>
          </w:r>
        </w:p>
      </w:tc>
    </w:tr>
  </w:tbl>
  <w:p w14:paraId="6A3CB0F0" w14:textId="77777777" w:rsidR="00AE2593" w:rsidRDefault="00AE259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AE2593" w:rsidRDefault="00AE259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AE2593" w:rsidRDefault="00AE25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7627" w14:textId="77777777" w:rsidR="00AE2593" w:rsidRDefault="00AE2593">
      <w:r>
        <w:separator/>
      </w:r>
    </w:p>
    <w:p w14:paraId="54B9A30A" w14:textId="77777777" w:rsidR="00AE2593" w:rsidRDefault="00AE2593"/>
  </w:footnote>
  <w:footnote w:type="continuationSeparator" w:id="0">
    <w:p w14:paraId="403328AC" w14:textId="77777777" w:rsidR="00AE2593" w:rsidRDefault="00AE2593">
      <w:r>
        <w:continuationSeparator/>
      </w:r>
    </w:p>
    <w:p w14:paraId="05AC2F38" w14:textId="77777777" w:rsidR="00AE2593" w:rsidRDefault="00AE2593"/>
  </w:footnote>
  <w:footnote w:type="continuationNotice" w:id="1">
    <w:p w14:paraId="3A008AFC" w14:textId="77777777" w:rsidR="00AE2593" w:rsidRDefault="00AE2593"/>
  </w:footnote>
  <w:footnote w:id="2">
    <w:p w14:paraId="3ADCE2CB" w14:textId="77777777" w:rsidR="00AE2593" w:rsidRPr="009E1A8D" w:rsidRDefault="00AE2593"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AE2593" w:rsidRDefault="00AE2593"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AE2593" w:rsidRDefault="00AE2593"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AE2593" w:rsidRPr="00653F3B" w:rsidRDefault="00AE2593"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AE2593" w:rsidRDefault="00AE259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AE2593" w:rsidRDefault="00AE2593">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AE2593" w:rsidRDefault="00AE2593"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AE2593" w:rsidRDefault="00AE25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E2593" w:rsidRPr="002F4496" w14:paraId="6A3CB0F5" w14:textId="77777777" w:rsidTr="000C06C9">
      <w:trPr>
        <w:trHeight w:val="284"/>
      </w:trPr>
      <w:tc>
        <w:tcPr>
          <w:tcW w:w="8460" w:type="dxa"/>
        </w:tcPr>
        <w:p w14:paraId="6A3CB0F3" w14:textId="77777777" w:rsidR="00AE2593" w:rsidRPr="000C3B6D" w:rsidRDefault="00AE2593" w:rsidP="000C06C9">
          <w:pPr>
            <w:pStyle w:val="00Footer"/>
            <w:rPr>
              <w:lang w:val="fr-FR"/>
            </w:rPr>
          </w:pPr>
        </w:p>
      </w:tc>
      <w:tc>
        <w:tcPr>
          <w:tcW w:w="952" w:type="dxa"/>
        </w:tcPr>
        <w:p w14:paraId="6A3CB0F4" w14:textId="77777777" w:rsidR="00AE2593" w:rsidRPr="00146B34" w:rsidRDefault="00AE2593" w:rsidP="000C06C9">
          <w:pPr>
            <w:pStyle w:val="00aPagenumber"/>
            <w:rPr>
              <w:lang w:val="fr-FR"/>
            </w:rPr>
          </w:pPr>
        </w:p>
      </w:tc>
    </w:tr>
  </w:tbl>
  <w:p w14:paraId="6A3CB0F6" w14:textId="77777777" w:rsidR="00AE2593" w:rsidRPr="00DB46C3" w:rsidRDefault="00AE2593">
    <w:pPr>
      <w:rPr>
        <w:lang w:val="fr-FR"/>
      </w:rPr>
    </w:pPr>
  </w:p>
  <w:p w14:paraId="6A3CB0F7" w14:textId="77777777" w:rsidR="00AE2593" w:rsidRPr="002F4496" w:rsidRDefault="00AE2593">
    <w:pPr>
      <w:pStyle w:val="Kopfzeile"/>
      <w:rPr>
        <w:lang w:val="fr-FR"/>
      </w:rPr>
    </w:pPr>
  </w:p>
  <w:p w14:paraId="6A3CB0F8" w14:textId="77777777" w:rsidR="00AE2593" w:rsidRPr="002F4496" w:rsidRDefault="00AE2593" w:rsidP="000C06C9">
    <w:pPr>
      <w:pStyle w:val="Kopfzeile"/>
      <w:tabs>
        <w:tab w:val="clear" w:pos="4536"/>
        <w:tab w:val="clear" w:pos="9072"/>
        <w:tab w:val="left" w:pos="8227"/>
      </w:tabs>
      <w:rPr>
        <w:lang w:val="fr-FR"/>
      </w:rPr>
    </w:pPr>
  </w:p>
  <w:p w14:paraId="6A3CB0F9" w14:textId="77777777" w:rsidR="00AE2593" w:rsidRPr="002F4496" w:rsidRDefault="00AE2593" w:rsidP="000C06C9">
    <w:pPr>
      <w:pStyle w:val="Kopfzeile"/>
      <w:tabs>
        <w:tab w:val="clear" w:pos="4536"/>
        <w:tab w:val="clear" w:pos="9072"/>
        <w:tab w:val="left" w:pos="8227"/>
      </w:tabs>
      <w:rPr>
        <w:lang w:val="fr-FR"/>
      </w:rPr>
    </w:pPr>
  </w:p>
  <w:p w14:paraId="6A3CB0FA" w14:textId="77777777" w:rsidR="00AE2593" w:rsidRPr="002F4496" w:rsidRDefault="00AE2593">
    <w:pPr>
      <w:pStyle w:val="Kopfzeile"/>
      <w:rPr>
        <w:lang w:val="fr-FR"/>
      </w:rPr>
    </w:pPr>
  </w:p>
  <w:p w14:paraId="6A3CB0FB" w14:textId="77777777" w:rsidR="00AE2593" w:rsidRPr="002F4496" w:rsidRDefault="00AE2593">
    <w:pPr>
      <w:pStyle w:val="Kopfzeile"/>
      <w:rPr>
        <w:lang w:val="fr-FR"/>
      </w:rPr>
    </w:pPr>
  </w:p>
  <w:p w14:paraId="6A3CB0FC" w14:textId="77777777" w:rsidR="00AE2593" w:rsidRPr="002F4496" w:rsidRDefault="00AE2593">
    <w:pPr>
      <w:pStyle w:val="Kopfzeile"/>
      <w:rPr>
        <w:lang w:val="fr-FR"/>
      </w:rPr>
    </w:pPr>
  </w:p>
  <w:p w14:paraId="6A3CB0FD" w14:textId="77777777" w:rsidR="00AE2593" w:rsidRPr="002F4496" w:rsidRDefault="00AE2593">
    <w:pPr>
      <w:pStyle w:val="Kopfzeile"/>
      <w:rPr>
        <w:lang w:val="fr-FR"/>
      </w:rPr>
    </w:pPr>
  </w:p>
  <w:p w14:paraId="6A3CB0FE" w14:textId="77777777" w:rsidR="00AE2593" w:rsidRPr="002F4496" w:rsidRDefault="00AE2593">
    <w:pPr>
      <w:pStyle w:val="Kopfzeile"/>
      <w:rPr>
        <w:highlight w:val="yellow"/>
        <w:lang w:val="fr-FR"/>
      </w:rPr>
    </w:pPr>
  </w:p>
  <w:p w14:paraId="6A3CB0FF" w14:textId="05D5FF53" w:rsidR="00AE2593" w:rsidRDefault="00AE2593">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C1012"/>
    <w:multiLevelType w:val="hybridMultilevel"/>
    <w:tmpl w:val="48EAC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0"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9"/>
  </w:num>
  <w:num w:numId="5">
    <w:abstractNumId w:val="3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6"/>
  </w:num>
  <w:num w:numId="15">
    <w:abstractNumId w:val="9"/>
  </w:num>
  <w:num w:numId="16">
    <w:abstractNumId w:val="1"/>
  </w:num>
  <w:num w:numId="17">
    <w:abstractNumId w:val="17"/>
  </w:num>
  <w:num w:numId="18">
    <w:abstractNumId w:val="18"/>
  </w:num>
  <w:num w:numId="19">
    <w:abstractNumId w:val="20"/>
  </w:num>
  <w:num w:numId="20">
    <w:abstractNumId w:val="33"/>
  </w:num>
  <w:num w:numId="21">
    <w:abstractNumId w:val="44"/>
  </w:num>
  <w:num w:numId="22">
    <w:abstractNumId w:val="31"/>
  </w:num>
  <w:num w:numId="23">
    <w:abstractNumId w:val="8"/>
  </w:num>
  <w:num w:numId="24">
    <w:abstractNumId w:val="37"/>
  </w:num>
  <w:num w:numId="25">
    <w:abstractNumId w:val="36"/>
  </w:num>
  <w:num w:numId="26">
    <w:abstractNumId w:val="23"/>
  </w:num>
  <w:num w:numId="27">
    <w:abstractNumId w:val="41"/>
  </w:num>
  <w:num w:numId="28">
    <w:abstractNumId w:val="46"/>
  </w:num>
  <w:num w:numId="29">
    <w:abstractNumId w:val="5"/>
  </w:num>
  <w:num w:numId="30">
    <w:abstractNumId w:val="2"/>
  </w:num>
  <w:num w:numId="31">
    <w:abstractNumId w:val="25"/>
  </w:num>
  <w:num w:numId="32">
    <w:abstractNumId w:val="24"/>
  </w:num>
  <w:num w:numId="33">
    <w:abstractNumId w:val="43"/>
  </w:num>
  <w:num w:numId="34">
    <w:abstractNumId w:val="42"/>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40"/>
  </w:num>
  <w:num w:numId="43">
    <w:abstractNumId w:val="30"/>
  </w:num>
  <w:num w:numId="44">
    <w:abstractNumId w:val="30"/>
    <w:lvlOverride w:ilvl="0">
      <w:startOverride w:val="1"/>
    </w:lvlOverride>
  </w:num>
  <w:num w:numId="45">
    <w:abstractNumId w:val="28"/>
  </w:num>
  <w:num w:numId="46">
    <w:abstractNumId w:val="7"/>
  </w:num>
  <w:num w:numId="47">
    <w:abstractNumId w:val="34"/>
  </w:num>
  <w:num w:numId="4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55EB"/>
    <w:rsid w:val="000463A6"/>
    <w:rsid w:val="00046CC9"/>
    <w:rsid w:val="00046E91"/>
    <w:rsid w:val="00047A59"/>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A22"/>
    <w:rsid w:val="00066F6B"/>
    <w:rsid w:val="0006723C"/>
    <w:rsid w:val="00070376"/>
    <w:rsid w:val="00070974"/>
    <w:rsid w:val="00071EAD"/>
    <w:rsid w:val="00071F4E"/>
    <w:rsid w:val="00072271"/>
    <w:rsid w:val="00072B54"/>
    <w:rsid w:val="000744C3"/>
    <w:rsid w:val="0007463D"/>
    <w:rsid w:val="000749F0"/>
    <w:rsid w:val="00075569"/>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6465"/>
    <w:rsid w:val="000C701D"/>
    <w:rsid w:val="000C7B5E"/>
    <w:rsid w:val="000C7C4A"/>
    <w:rsid w:val="000D17AA"/>
    <w:rsid w:val="000D2D0B"/>
    <w:rsid w:val="000D340A"/>
    <w:rsid w:val="000D4660"/>
    <w:rsid w:val="000D5D1A"/>
    <w:rsid w:val="000D705D"/>
    <w:rsid w:val="000D7EB9"/>
    <w:rsid w:val="000E0223"/>
    <w:rsid w:val="000E0CF3"/>
    <w:rsid w:val="000E18A8"/>
    <w:rsid w:val="000E1AEC"/>
    <w:rsid w:val="000E3307"/>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B6A"/>
    <w:rsid w:val="00112E48"/>
    <w:rsid w:val="001130EA"/>
    <w:rsid w:val="00114259"/>
    <w:rsid w:val="001148DD"/>
    <w:rsid w:val="00115FEB"/>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20C6"/>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42F"/>
    <w:rsid w:val="00280613"/>
    <w:rsid w:val="0028274D"/>
    <w:rsid w:val="00282B96"/>
    <w:rsid w:val="00282DFB"/>
    <w:rsid w:val="002833D6"/>
    <w:rsid w:val="00283F51"/>
    <w:rsid w:val="00284E76"/>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1EFF"/>
    <w:rsid w:val="002D2FEF"/>
    <w:rsid w:val="002D36C2"/>
    <w:rsid w:val="002D3FCB"/>
    <w:rsid w:val="002D4FEF"/>
    <w:rsid w:val="002D502D"/>
    <w:rsid w:val="002D63F5"/>
    <w:rsid w:val="002D6E1A"/>
    <w:rsid w:val="002E036D"/>
    <w:rsid w:val="002E1517"/>
    <w:rsid w:val="002E1B22"/>
    <w:rsid w:val="002E30BB"/>
    <w:rsid w:val="002E387F"/>
    <w:rsid w:val="002E4E9D"/>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67B6"/>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4E8F"/>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28A3"/>
    <w:rsid w:val="003C40DA"/>
    <w:rsid w:val="003C42BA"/>
    <w:rsid w:val="003C462F"/>
    <w:rsid w:val="003C4A02"/>
    <w:rsid w:val="003C4F05"/>
    <w:rsid w:val="003C6191"/>
    <w:rsid w:val="003C6E49"/>
    <w:rsid w:val="003C74B0"/>
    <w:rsid w:val="003C7AA7"/>
    <w:rsid w:val="003D0CBF"/>
    <w:rsid w:val="003D0DD6"/>
    <w:rsid w:val="003D34D5"/>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29D8"/>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80E"/>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ADB"/>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05DA"/>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167B"/>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5FA8"/>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BAA"/>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80"/>
    <w:rsid w:val="006C5CE6"/>
    <w:rsid w:val="006C5E96"/>
    <w:rsid w:val="006D399F"/>
    <w:rsid w:val="006D4F0C"/>
    <w:rsid w:val="006D5645"/>
    <w:rsid w:val="006E030F"/>
    <w:rsid w:val="006E0A4F"/>
    <w:rsid w:val="006E0C8A"/>
    <w:rsid w:val="006E2A23"/>
    <w:rsid w:val="006E35E5"/>
    <w:rsid w:val="006E3C72"/>
    <w:rsid w:val="006E4F20"/>
    <w:rsid w:val="006E649A"/>
    <w:rsid w:val="006E796F"/>
    <w:rsid w:val="006F0269"/>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444"/>
    <w:rsid w:val="00743DE7"/>
    <w:rsid w:val="0074439A"/>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38C3"/>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191B"/>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3F2"/>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232"/>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0EE9"/>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45A"/>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323"/>
    <w:rsid w:val="00A74F9F"/>
    <w:rsid w:val="00A750B3"/>
    <w:rsid w:val="00A75559"/>
    <w:rsid w:val="00A7623D"/>
    <w:rsid w:val="00A76F76"/>
    <w:rsid w:val="00A824A7"/>
    <w:rsid w:val="00A83644"/>
    <w:rsid w:val="00A83C07"/>
    <w:rsid w:val="00A83F40"/>
    <w:rsid w:val="00A84945"/>
    <w:rsid w:val="00A85226"/>
    <w:rsid w:val="00A85543"/>
    <w:rsid w:val="00A8728B"/>
    <w:rsid w:val="00A87E53"/>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6C19"/>
    <w:rsid w:val="00AD0CB4"/>
    <w:rsid w:val="00AD11E9"/>
    <w:rsid w:val="00AD1FF2"/>
    <w:rsid w:val="00AD2A21"/>
    <w:rsid w:val="00AD3B43"/>
    <w:rsid w:val="00AD4FF2"/>
    <w:rsid w:val="00AD506C"/>
    <w:rsid w:val="00AD6BE5"/>
    <w:rsid w:val="00AD7675"/>
    <w:rsid w:val="00AD783E"/>
    <w:rsid w:val="00AE1393"/>
    <w:rsid w:val="00AE25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5BDE"/>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C54"/>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070E"/>
    <w:rsid w:val="00B82DC1"/>
    <w:rsid w:val="00B83474"/>
    <w:rsid w:val="00B835D5"/>
    <w:rsid w:val="00B84028"/>
    <w:rsid w:val="00B84307"/>
    <w:rsid w:val="00B8430D"/>
    <w:rsid w:val="00B85661"/>
    <w:rsid w:val="00B85C8A"/>
    <w:rsid w:val="00B86FBD"/>
    <w:rsid w:val="00B91B86"/>
    <w:rsid w:val="00B927CA"/>
    <w:rsid w:val="00B928AE"/>
    <w:rsid w:val="00B93CDA"/>
    <w:rsid w:val="00B94264"/>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006"/>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374"/>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6B2C"/>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55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67E76"/>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1E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87201"/>
    <w:rsid w:val="00E90C61"/>
    <w:rsid w:val="00E90F0F"/>
    <w:rsid w:val="00E92A82"/>
    <w:rsid w:val="00E92AA8"/>
    <w:rsid w:val="00E9344E"/>
    <w:rsid w:val="00E93E39"/>
    <w:rsid w:val="00E94391"/>
    <w:rsid w:val="00E97E2B"/>
    <w:rsid w:val="00EA08CA"/>
    <w:rsid w:val="00EA0C0C"/>
    <w:rsid w:val="00EA2AEA"/>
    <w:rsid w:val="00EA31AD"/>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801"/>
    <w:rsid w:val="00ED4B27"/>
    <w:rsid w:val="00ED543C"/>
    <w:rsid w:val="00ED6BA4"/>
    <w:rsid w:val="00ED7DA7"/>
    <w:rsid w:val="00EE0598"/>
    <w:rsid w:val="00EE276E"/>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252"/>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164"/>
    <w:rsid w:val="00F26B7E"/>
    <w:rsid w:val="00F26D85"/>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A26"/>
    <w:rsid w:val="00F53E59"/>
    <w:rsid w:val="00F5475B"/>
    <w:rsid w:val="00F551CC"/>
    <w:rsid w:val="00F56275"/>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882"/>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0" ma:contentTypeDescription="Create a new document." ma:contentTypeScope="" ma:versionID="f266c5483894ae4f30e798586e0cfb36">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157dcb502480e6a07c06bcc53165350f"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675A-2566-456A-B9FE-A489F764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infopath/2007/PartnerControls"/>
    <ds:schemaRef ds:uri="http://schemas.openxmlformats.org/package/2006/metadata/core-properties"/>
    <ds:schemaRef ds:uri="http://www.w3.org/XML/1998/namespace"/>
    <ds:schemaRef ds:uri="http://purl.org/dc/dcmitype/"/>
    <ds:schemaRef ds:uri="8e72f4a7-cae9-4e97-b541-2580a12d1989"/>
    <ds:schemaRef ds:uri="http://purl.org/dc/terms/"/>
    <ds:schemaRef ds:uri="http://purl.org/dc/elements/1.1/"/>
    <ds:schemaRef ds:uri="http://schemas.microsoft.com/office/2006/documentManagement/types"/>
    <ds:schemaRef ds:uri="fd160c09-1844-45b0-b4f1-cf53e6c3c76a"/>
    <ds:schemaRef ds:uri="http://schemas.microsoft.com/office/2006/metadata/propertie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F590899-5CE5-4FDC-8800-6D31E58B9CDF}">
  <ds:schemaRefs>
    <ds:schemaRef ds:uri="http://schemas.openxmlformats.org/officeDocument/2006/bibliography"/>
  </ds:schemaRefs>
</ds:datastoreItem>
</file>

<file path=customXml/itemProps5.xml><?xml version="1.0" encoding="utf-8"?>
<ds:datastoreItem xmlns:ds="http://schemas.openxmlformats.org/officeDocument/2006/customXml" ds:itemID="{59209C75-6FAE-4916-B99F-DD0E9589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5203</Words>
  <Characters>28765</Characters>
  <Application>Microsoft Office Word</Application>
  <DocSecurity>8</DocSecurity>
  <Lines>239</Lines>
  <Paragraphs>67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33901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Christian Gülich</cp:lastModifiedBy>
  <cp:revision>43</cp:revision>
  <cp:lastPrinted>2020-01-03T08:16:00Z</cp:lastPrinted>
  <dcterms:created xsi:type="dcterms:W3CDTF">2019-12-18T14:51:00Z</dcterms:created>
  <dcterms:modified xsi:type="dcterms:W3CDTF">2020-01-03T08:19:00Z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