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Diskretbetoning"/>
          <w:b w:val="0"/>
          <w:sz w:val="22"/>
        </w:rPr>
      </w:pPr>
      <w:r w:rsidRPr="00197794">
        <w:rPr>
          <w:rStyle w:val="Diskretbetoning"/>
          <w:b w:val="0"/>
          <w:sz w:val="22"/>
        </w:rPr>
        <w:t>The European Supervisory Authorities (ESAs) welcome comments on this consultation paper setting out proposed amendments to Commission Delegated Regulation (EU) 2017/653 of 8 March 2017</w:t>
      </w:r>
      <w:r w:rsidRPr="00197794">
        <w:rPr>
          <w:rStyle w:val="Diskretbetoning"/>
          <w:b w:val="0"/>
          <w:sz w:val="22"/>
        </w:rPr>
        <w:footnoteReference w:id="2"/>
      </w:r>
      <w:r w:rsidRPr="00197794">
        <w:rPr>
          <w:rStyle w:val="Diskretbetoning"/>
          <w:b w:val="0"/>
          <w:sz w:val="22"/>
        </w:rPr>
        <w:t xml:space="preserve"> (hereinafter “PRIIPs Delegated Regulation”).</w:t>
      </w:r>
    </w:p>
    <w:p w14:paraId="10C2617A" w14:textId="77777777" w:rsidR="00197794" w:rsidRPr="00197794" w:rsidRDefault="00197794" w:rsidP="00197794">
      <w:pPr>
        <w:jc w:val="both"/>
        <w:rPr>
          <w:rStyle w:val="Diskretbetoning"/>
          <w:b w:val="0"/>
          <w:sz w:val="22"/>
        </w:rPr>
      </w:pPr>
    </w:p>
    <w:p w14:paraId="0C223EDE" w14:textId="77777777" w:rsidR="00197794" w:rsidRPr="00197794" w:rsidRDefault="00197794" w:rsidP="00197794">
      <w:pPr>
        <w:jc w:val="both"/>
        <w:rPr>
          <w:rStyle w:val="Diskretbetoning"/>
          <w:b w:val="0"/>
          <w:sz w:val="22"/>
        </w:rPr>
      </w:pPr>
      <w:r w:rsidRPr="00197794">
        <w:rPr>
          <w:rStyle w:val="Diskretbetoning"/>
          <w:b w:val="0"/>
          <w:sz w:val="22"/>
        </w:rPr>
        <w:t xml:space="preserve">The consultation package includes: </w:t>
      </w:r>
    </w:p>
    <w:p w14:paraId="18D2914F" w14:textId="1F1755EE"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The consultation paper</w:t>
      </w:r>
    </w:p>
    <w:p w14:paraId="10BDD12A" w14:textId="706C2321"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r>
      <w:r>
        <w:rPr>
          <w:rStyle w:val="Diskretbetoning"/>
          <w:b w:val="0"/>
          <w:sz w:val="22"/>
        </w:rPr>
        <w:t>Template for comments</w:t>
      </w:r>
    </w:p>
    <w:p w14:paraId="52DEC790" w14:textId="77777777" w:rsidR="00197794" w:rsidRDefault="00197794" w:rsidP="00197794">
      <w:pPr>
        <w:jc w:val="both"/>
        <w:rPr>
          <w:rStyle w:val="Diskretbetoning"/>
          <w:b w:val="0"/>
          <w:sz w:val="22"/>
        </w:rPr>
      </w:pPr>
    </w:p>
    <w:p w14:paraId="0582E623" w14:textId="7F8CAD3C" w:rsidR="00197794" w:rsidRPr="00197794" w:rsidRDefault="00197794" w:rsidP="00197794">
      <w:pPr>
        <w:jc w:val="both"/>
        <w:rPr>
          <w:rStyle w:val="Diskretbetoning"/>
          <w:b w:val="0"/>
          <w:sz w:val="22"/>
        </w:rPr>
      </w:pPr>
      <w:r w:rsidRPr="00197794">
        <w:rPr>
          <w:rStyle w:val="Diskretbetoning"/>
          <w:b w:val="0"/>
          <w:sz w:val="22"/>
        </w:rPr>
        <w:t>The ESAs invite comments on any aspect of this paper. Comments are most helpful if they:</w:t>
      </w:r>
    </w:p>
    <w:p w14:paraId="09C3854A"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contain a clear rationale; and</w:t>
      </w:r>
    </w:p>
    <w:p w14:paraId="2CDD20AE"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describe any alternatives the ESAs should consider.</w:t>
      </w:r>
    </w:p>
    <w:p w14:paraId="6D344FFC" w14:textId="77777777" w:rsidR="00197794" w:rsidRDefault="00197794" w:rsidP="00197794">
      <w:pPr>
        <w:jc w:val="both"/>
        <w:rPr>
          <w:rStyle w:val="Diskretbetoning"/>
          <w:b w:val="0"/>
          <w:sz w:val="22"/>
        </w:rPr>
      </w:pPr>
    </w:p>
    <w:p w14:paraId="17CD5259" w14:textId="6C7A8583" w:rsidR="00197794" w:rsidRPr="00197794" w:rsidRDefault="00197794" w:rsidP="00197794">
      <w:pPr>
        <w:spacing w:after="240"/>
        <w:jc w:val="both"/>
        <w:rPr>
          <w:rStyle w:val="Diskretbetoning"/>
          <w:b w:val="0"/>
          <w:sz w:val="22"/>
        </w:rPr>
      </w:pPr>
      <w:r w:rsidRPr="00197794">
        <w:rPr>
          <w:rStyle w:val="Diskretbetoning"/>
          <w:b w:val="0"/>
          <w:sz w:val="22"/>
        </w:rPr>
        <w:t xml:space="preserve">When describing alternative approaches the ESAs encourage stakeholders to consider how </w:t>
      </w:r>
      <w:r w:rsidR="004B1D0D">
        <w:rPr>
          <w:rStyle w:val="Diskretbetoning"/>
          <w:b w:val="0"/>
          <w:sz w:val="22"/>
        </w:rPr>
        <w:t xml:space="preserve">the </w:t>
      </w:r>
      <w:r w:rsidRPr="00197794">
        <w:rPr>
          <w:rStyle w:val="Diskretbetoning"/>
          <w:b w:val="0"/>
          <w:sz w:val="22"/>
        </w:rPr>
        <w:t>approach would achieve the aims of Regulation (EU) No 1286/2014</w:t>
      </w:r>
      <w:r w:rsidRPr="00197794">
        <w:rPr>
          <w:rStyle w:val="Diskretbetoning"/>
          <w:b w:val="0"/>
          <w:sz w:val="22"/>
        </w:rPr>
        <w:footnoteReference w:id="3"/>
      </w:r>
      <w:r w:rsidRPr="00197794">
        <w:rPr>
          <w:rStyle w:val="Diskretbetoning"/>
          <w:b w:val="0"/>
          <w:sz w:val="22"/>
        </w:rPr>
        <w:t xml:space="preserve"> (hereinafter “PRIIPs Regulation”). </w:t>
      </w:r>
    </w:p>
    <w:p w14:paraId="62803BA4" w14:textId="77777777" w:rsidR="00EC1154" w:rsidRDefault="00EC1154" w:rsidP="00AF38AF">
      <w:pPr>
        <w:rPr>
          <w:rStyle w:val="Diskretbetoning"/>
          <w:b w:val="0"/>
          <w:sz w:val="22"/>
        </w:rPr>
      </w:pPr>
    </w:p>
    <w:p w14:paraId="6A3CB03F" w14:textId="77777777" w:rsidR="009A3017" w:rsidRPr="00E40A5C" w:rsidRDefault="009A3017" w:rsidP="009A3017">
      <w:pPr>
        <w:spacing w:after="120"/>
        <w:jc w:val="both"/>
        <w:rPr>
          <w:rStyle w:val="Diskretbetoning"/>
          <w:sz w:val="22"/>
        </w:rPr>
      </w:pPr>
      <w:r w:rsidRPr="00E40A5C">
        <w:rPr>
          <w:rStyle w:val="Diskretbetoning"/>
          <w:sz w:val="22"/>
        </w:rPr>
        <w:t>Instructions</w:t>
      </w:r>
    </w:p>
    <w:p w14:paraId="6A3CB040" w14:textId="77777777" w:rsidR="009A3017" w:rsidRPr="00E40A5C" w:rsidRDefault="009A3017" w:rsidP="009A3017">
      <w:pPr>
        <w:spacing w:after="240"/>
        <w:jc w:val="both"/>
        <w:rPr>
          <w:rStyle w:val="Diskretbetoning"/>
          <w:b w:val="0"/>
          <w:sz w:val="22"/>
        </w:rPr>
      </w:pPr>
      <w:r w:rsidRPr="00E40A5C">
        <w:rPr>
          <w:rStyle w:val="Diskretbetoni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 xml:space="preserve">Insert your responses to the questions in the Consultation Paper in </w:t>
      </w:r>
      <w:r w:rsidR="00963D60">
        <w:rPr>
          <w:rStyle w:val="Diskretbetoning"/>
          <w:b w:val="0"/>
          <w:sz w:val="22"/>
        </w:rPr>
        <w:t>the present</w:t>
      </w:r>
      <w:r w:rsidR="00963D60" w:rsidRPr="00E40A5C">
        <w:rPr>
          <w:rStyle w:val="Diskretbetoning"/>
          <w:b w:val="0"/>
          <w:sz w:val="22"/>
        </w:rPr>
        <w:t xml:space="preserve"> </w:t>
      </w:r>
      <w:r w:rsidR="00315895">
        <w:rPr>
          <w:rStyle w:val="Diskretbetoning"/>
          <w:b w:val="0"/>
          <w:sz w:val="22"/>
        </w:rPr>
        <w:t xml:space="preserve">response </w:t>
      </w:r>
      <w:r w:rsidRPr="00E40A5C">
        <w:rPr>
          <w:rStyle w:val="Diskretbetoning"/>
          <w:b w:val="0"/>
          <w:sz w:val="22"/>
        </w:rPr>
        <w:t>form</w:t>
      </w:r>
      <w:r w:rsidR="00963D60">
        <w:rPr>
          <w:rStyle w:val="Diskretbetoning"/>
          <w:b w:val="0"/>
          <w:sz w:val="22"/>
        </w:rPr>
        <w:t>.</w:t>
      </w:r>
      <w:r w:rsidRPr="00E40A5C">
        <w:rPr>
          <w:rStyle w:val="Diskretbetoning"/>
          <w:b w:val="0"/>
          <w:sz w:val="22"/>
        </w:rPr>
        <w:t xml:space="preserve"> </w:t>
      </w:r>
    </w:p>
    <w:p w14:paraId="6A3CB042" w14:textId="71534174"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Please do not remove tags of the type &lt;ESA_QUESTION_</w:t>
      </w:r>
      <w:r w:rsidR="00197794">
        <w:rPr>
          <w:rStyle w:val="Diskretbetoning"/>
          <w:b w:val="0"/>
          <w:sz w:val="22"/>
        </w:rPr>
        <w:t>PKID</w:t>
      </w:r>
      <w:r w:rsidRPr="00E40A5C">
        <w:rPr>
          <w:rStyle w:val="Diskretbetoning"/>
          <w:b w:val="0"/>
          <w:sz w:val="22"/>
        </w:rPr>
        <w:t>_1&gt;. Your response to each question has to be framed by the two tags corresponding to the question.</w:t>
      </w:r>
    </w:p>
    <w:p w14:paraId="6A3CB043"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When you have drafted your response, name your response form according to the following convention: ESA_</w:t>
      </w:r>
      <w:r w:rsidR="00197794">
        <w:rPr>
          <w:rStyle w:val="Diskretbetoning"/>
          <w:b w:val="0"/>
          <w:sz w:val="22"/>
        </w:rPr>
        <w:t>PKID</w:t>
      </w:r>
      <w:r w:rsidRPr="00E40A5C">
        <w:rPr>
          <w:rStyle w:val="Diskretbetoning"/>
          <w:b w:val="0"/>
          <w:sz w:val="22"/>
        </w:rPr>
        <w:t>_nameofrespondent_RESPONSEFORM. For example, for a respondent named ABCD, the response form would be entitled ESA_</w:t>
      </w:r>
      <w:r w:rsidR="00197794">
        <w:rPr>
          <w:rStyle w:val="Diskretbetoning"/>
          <w:b w:val="0"/>
          <w:sz w:val="22"/>
        </w:rPr>
        <w:t>PKID</w:t>
      </w:r>
      <w:r w:rsidRPr="00E40A5C">
        <w:rPr>
          <w:rStyle w:val="Diskretbetoning"/>
          <w:b w:val="0"/>
          <w:sz w:val="22"/>
        </w:rPr>
        <w:t>_ABCD_RESPONSEFORM.</w:t>
      </w:r>
    </w:p>
    <w:p w14:paraId="180C2205" w14:textId="7763E035" w:rsidR="00197794" w:rsidRP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lastRenderedPageBreak/>
        <w:t>The consultation paper is available on the websites of the three ESAs</w:t>
      </w:r>
      <w:r w:rsidR="00764042">
        <w:rPr>
          <w:rStyle w:val="Diskretbetoning"/>
          <w:b w:val="0"/>
          <w:sz w:val="22"/>
        </w:rPr>
        <w:t xml:space="preserve"> and the Joint Committee</w:t>
      </w:r>
      <w:r w:rsidRPr="00197794">
        <w:rPr>
          <w:rStyle w:val="Diskretbetoning"/>
          <w:b w:val="0"/>
          <w:sz w:val="22"/>
        </w:rPr>
        <w:t xml:space="preserve">. Comments on this consultation paper can be sent using the response form, via the </w:t>
      </w:r>
      <w:hyperlink r:id="rId19" w:history="1">
        <w:r w:rsidRPr="00197794">
          <w:rPr>
            <w:rStyle w:val="Hyperlnk"/>
            <w:rFonts w:cs="Arial"/>
            <w:sz w:val="22"/>
          </w:rPr>
          <w:t>ESMA website</w:t>
        </w:r>
      </w:hyperlink>
      <w:r w:rsidRPr="00197794">
        <w:rPr>
          <w:rStyle w:val="Diskretbetoning"/>
          <w:b w:val="0"/>
          <w:sz w:val="24"/>
        </w:rPr>
        <w:t xml:space="preserve"> </w:t>
      </w:r>
      <w:r w:rsidRPr="00197794">
        <w:rPr>
          <w:rStyle w:val="Diskretbetoning"/>
          <w:b w:val="0"/>
          <w:sz w:val="22"/>
        </w:rPr>
        <w:t xml:space="preserve">under the heading ‘Your input - Consultations’ by </w:t>
      </w:r>
      <w:r w:rsidRPr="00197794">
        <w:rPr>
          <w:rStyle w:val="Diskretbetoning"/>
          <w:sz w:val="22"/>
        </w:rPr>
        <w:t>13 January 2020</w:t>
      </w:r>
      <w:r w:rsidRPr="00197794">
        <w:rPr>
          <w:rStyle w:val="Diskretbetoning"/>
          <w:b w:val="0"/>
          <w:sz w:val="22"/>
        </w:rPr>
        <w:t>.</w:t>
      </w:r>
    </w:p>
    <w:p w14:paraId="2481E1E6" w14:textId="67CDDA3F" w:rsid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Diskretbetoning"/>
          <w:b w:val="0"/>
          <w:sz w:val="22"/>
        </w:rPr>
      </w:pPr>
    </w:p>
    <w:p w14:paraId="6A3CB046" w14:textId="77777777" w:rsidR="00210E59" w:rsidRPr="00210E59" w:rsidRDefault="00210E59" w:rsidP="00210E59">
      <w:pPr>
        <w:spacing w:after="120"/>
        <w:jc w:val="both"/>
        <w:rPr>
          <w:rStyle w:val="Diskretbetoning"/>
          <w:sz w:val="22"/>
        </w:rPr>
      </w:pPr>
      <w:r w:rsidRPr="00210E59">
        <w:rPr>
          <w:rStyle w:val="Diskretbetoni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Diskretbetoning"/>
          <w:sz w:val="22"/>
          <w:lang w:eastAsia="en-GB"/>
        </w:rPr>
      </w:pPr>
    </w:p>
    <w:p w14:paraId="3561D6A6" w14:textId="77777777" w:rsidR="00197794" w:rsidRDefault="00197794" w:rsidP="004E6AE4">
      <w:pPr>
        <w:rPr>
          <w:rStyle w:val="Diskretbetoning"/>
          <w:sz w:val="22"/>
          <w:lang w:eastAsia="en-GB"/>
        </w:rPr>
      </w:pPr>
    </w:p>
    <w:p w14:paraId="6A3CB048" w14:textId="1D432EA9" w:rsidR="009A3017" w:rsidRPr="00E40A5C" w:rsidRDefault="009A3017" w:rsidP="004E6AE4">
      <w:pPr>
        <w:rPr>
          <w:rStyle w:val="Diskretbetoning"/>
          <w:sz w:val="22"/>
          <w:lang w:eastAsia="en-GB"/>
        </w:rPr>
      </w:pPr>
      <w:r w:rsidRPr="00E40A5C">
        <w:rPr>
          <w:rStyle w:val="Diskretbetoni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tnotsreferens"/>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nk"/>
            <w:rFonts w:cs="Arial"/>
            <w:sz w:val="22"/>
          </w:rPr>
          <w:t>Legal notice</w:t>
        </w:r>
      </w:hyperlink>
      <w:r w:rsidRPr="00197794">
        <w:rPr>
          <w:rFonts w:cs="Arial"/>
          <w:sz w:val="22"/>
        </w:rPr>
        <w:t xml:space="preserve"> section of the EBA website and under the </w:t>
      </w:r>
      <w:hyperlink r:id="rId21" w:history="1">
        <w:r w:rsidRPr="00197794">
          <w:rPr>
            <w:rStyle w:val="Hyperlnk"/>
            <w:rFonts w:cs="Arial"/>
            <w:sz w:val="22"/>
          </w:rPr>
          <w:t>Legal notice</w:t>
        </w:r>
      </w:hyperlink>
      <w:r w:rsidRPr="00197794">
        <w:rPr>
          <w:rFonts w:cs="Arial"/>
          <w:sz w:val="22"/>
        </w:rPr>
        <w:t xml:space="preserve"> section of the EIOPA website and under the </w:t>
      </w:r>
      <w:hyperlink r:id="rId22" w:history="1">
        <w:r w:rsidRPr="00197794">
          <w:rPr>
            <w:rStyle w:val="Hyperl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Diskretbetoni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Rubrik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shllartext"/>
              <w:rFonts w:cs="Arial"/>
            </w:rPr>
            <w:id w:val="-1905066999"/>
            <w:text/>
          </w:sdtPr>
          <w:sdtEndPr>
            <w:rPr>
              <w:rStyle w:val="Platshllartext"/>
            </w:rPr>
          </w:sdtEndPr>
          <w:sdtContent>
            <w:tc>
              <w:tcPr>
                <w:tcW w:w="5595" w:type="dxa"/>
                <w:shd w:val="clear" w:color="auto" w:fill="auto"/>
              </w:tcPr>
              <w:p w14:paraId="6A3CB051" w14:textId="625E603E" w:rsidR="00B327E9" w:rsidRPr="00AB6D88" w:rsidRDefault="005449A0" w:rsidP="00F136AD">
                <w:pPr>
                  <w:rPr>
                    <w:rStyle w:val="Platshllartext"/>
                    <w:rFonts w:cs="Arial"/>
                  </w:rPr>
                </w:pPr>
                <w:r>
                  <w:rPr>
                    <w:rStyle w:val="Platshllartext"/>
                    <w:rFonts w:cs="Arial"/>
                  </w:rPr>
                  <w:t>Försäkringsaktiebolaget Avanza Pension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F966C35" w:rsidR="00B327E9" w:rsidRPr="00AB6D88" w:rsidRDefault="00C5610D"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449A0">
                  <w:rPr>
                    <w:rFonts w:cs="Arial"/>
                  </w:rPr>
                  <w:t>Insurance and Pension</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A8E481C" w:rsidR="00B327E9" w:rsidRPr="00AB6D88" w:rsidRDefault="005449A0" w:rsidP="00F136AD">
                <w:pPr>
                  <w:rPr>
                    <w:rFonts w:cs="Arial"/>
                  </w:rPr>
                </w:pPr>
                <w:r>
                  <w:rPr>
                    <w:rFonts w:cs="Arial"/>
                  </w:rPr>
                  <w:t>Sweden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Rubrik1"/>
        <w:numPr>
          <w:ilvl w:val="0"/>
          <w:numId w:val="0"/>
        </w:numPr>
        <w:ind w:left="431" w:hanging="431"/>
      </w:pPr>
      <w:r>
        <w:t>Introduction</w:t>
      </w:r>
    </w:p>
    <w:p w14:paraId="6A3CB05E" w14:textId="77777777" w:rsidR="00B327E9" w:rsidRPr="00E40A5C" w:rsidRDefault="00B327E9" w:rsidP="00B327E9">
      <w:pPr>
        <w:rPr>
          <w:rStyle w:val="Starkbetoning"/>
          <w:sz w:val="22"/>
        </w:rPr>
      </w:pPr>
      <w:r w:rsidRPr="00E40A5C">
        <w:rPr>
          <w:rStyle w:val="Starkbetoni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Diskretbetoning"/>
          <w:b w:val="0"/>
          <w:sz w:val="22"/>
        </w:rPr>
        <w:t>PKID</w:t>
      </w:r>
      <w:r w:rsidRPr="006F4535">
        <w:t>_1&gt;</w:t>
      </w:r>
    </w:p>
    <w:p w14:paraId="614A5F0D" w14:textId="258D32CB" w:rsidR="00DC3E33" w:rsidRDefault="008349BD" w:rsidP="00B327E9">
      <w:permStart w:id="411981036" w:edGrp="everyone"/>
      <w:r>
        <w:t xml:space="preserve">Försäkringsaktiebolaget </w:t>
      </w:r>
      <w:r w:rsidR="00037E89">
        <w:t xml:space="preserve">Avanza Pension </w:t>
      </w:r>
      <w:r>
        <w:t xml:space="preserve">(“Avanza Pension”) </w:t>
      </w:r>
      <w:r w:rsidR="007A51F8">
        <w:t>concurs with</w:t>
      </w:r>
      <w:r w:rsidR="00037E89">
        <w:t xml:space="preserve"> the </w:t>
      </w:r>
      <w:r w:rsidR="007A51F8">
        <w:t>Swedish Securities Dealers Association’s (</w:t>
      </w:r>
      <w:r w:rsidR="00037E89">
        <w:t>SSDA</w:t>
      </w:r>
      <w:r w:rsidR="007A51F8">
        <w:t>)</w:t>
      </w:r>
      <w:r w:rsidR="00037E89">
        <w:t xml:space="preserve"> response to the Joint Consultation Paper</w:t>
      </w:r>
      <w:r w:rsidR="00DC3E33">
        <w:t xml:space="preserve">. </w:t>
      </w:r>
    </w:p>
    <w:p w14:paraId="5387DCFA" w14:textId="77777777" w:rsidR="00DC3E33" w:rsidRDefault="00DC3E33" w:rsidP="00B327E9"/>
    <w:p w14:paraId="6A3CB061" w14:textId="051D20A9" w:rsidR="00B327E9" w:rsidRDefault="00DC3E33" w:rsidP="00B327E9">
      <w:r>
        <w:t>Nevertheless, Avanza Pension</w:t>
      </w:r>
      <w:r w:rsidR="00037E89">
        <w:t xml:space="preserve"> has </w:t>
      </w:r>
      <w:proofErr w:type="gramStart"/>
      <w:r w:rsidR="00037E89">
        <w:t>a number of</w:t>
      </w:r>
      <w:proofErr w:type="gramEnd"/>
      <w:r w:rsidR="00037E89">
        <w:t xml:space="preserve"> additional comments related to the ESA’s draft proposal to amend the rules for multi-option products (MOPs) in Chapter II (Articles 10 to 14) of the PRIIPs Delegated Regulation (questions 50 to 5</w:t>
      </w:r>
      <w:r w:rsidR="007F3211">
        <w:t>4</w:t>
      </w:r>
      <w:r w:rsidR="00037E89">
        <w:t xml:space="preserve"> below).</w:t>
      </w:r>
    </w:p>
    <w:permEnd w:id="411981036"/>
    <w:p w14:paraId="6A3CB062" w14:textId="1DA6EC94" w:rsidR="00B327E9" w:rsidRPr="00BF28DA" w:rsidRDefault="00B327E9" w:rsidP="00B327E9">
      <w:r w:rsidRPr="00BF28DA">
        <w:t>&lt;ESA_COMMENT_</w:t>
      </w:r>
      <w:r w:rsidR="00197794">
        <w:rPr>
          <w:rStyle w:val="Diskretbetoni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lastRenderedPageBreak/>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lastRenderedPageBreak/>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lastRenderedPageBreak/>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tnotsreferens"/>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lastRenderedPageBreak/>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lastRenderedPageBreak/>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2FA01D2E" w:rsidR="003E573C" w:rsidRDefault="000E24E3" w:rsidP="003E573C">
      <w:pPr>
        <w:rPr>
          <w:rFonts w:cs="Arial"/>
        </w:rPr>
      </w:pPr>
      <w:permStart w:id="1857164361" w:edGrp="everyone"/>
      <w:r>
        <w:rPr>
          <w:rFonts w:cs="Arial"/>
        </w:rPr>
        <w:t xml:space="preserve">Avanza Pension </w:t>
      </w:r>
      <w:r w:rsidR="001C2213">
        <w:rPr>
          <w:rFonts w:cs="Arial"/>
        </w:rPr>
        <w:t>strongly objects to the proposal.</w:t>
      </w:r>
    </w:p>
    <w:p w14:paraId="7806951B" w14:textId="3E15152A" w:rsidR="009F432C" w:rsidRDefault="009F432C" w:rsidP="003E573C">
      <w:pPr>
        <w:rPr>
          <w:rFonts w:cs="Arial"/>
        </w:rPr>
      </w:pPr>
    </w:p>
    <w:p w14:paraId="49D9AEDE" w14:textId="19F87C8C" w:rsidR="00411D3C" w:rsidRDefault="001C218F" w:rsidP="003E573C">
      <w:pPr>
        <w:rPr>
          <w:rFonts w:cs="Arial"/>
        </w:rPr>
      </w:pPr>
      <w:r>
        <w:rPr>
          <w:rFonts w:cs="Arial"/>
        </w:rPr>
        <w:t>T</w:t>
      </w:r>
      <w:r w:rsidR="00411D3C">
        <w:rPr>
          <w:rFonts w:cs="Arial"/>
        </w:rPr>
        <w:t xml:space="preserve">he time frame is not </w:t>
      </w:r>
      <w:proofErr w:type="gramStart"/>
      <w:r w:rsidR="00411D3C">
        <w:rPr>
          <w:rFonts w:cs="Arial"/>
        </w:rPr>
        <w:t>sufficient</w:t>
      </w:r>
      <w:proofErr w:type="gramEnd"/>
      <w:r w:rsidR="00411D3C">
        <w:rPr>
          <w:rFonts w:cs="Arial"/>
        </w:rPr>
        <w:t xml:space="preserve"> for a complete analysis of the proposal</w:t>
      </w:r>
      <w:r w:rsidR="006576D0">
        <w:rPr>
          <w:rFonts w:cs="Arial"/>
        </w:rPr>
        <w:t>’</w:t>
      </w:r>
      <w:r w:rsidR="00411D3C">
        <w:rPr>
          <w:rFonts w:cs="Arial"/>
        </w:rPr>
        <w:t>s consequences, given the substantial differences between MOPs in different local markets.</w:t>
      </w:r>
    </w:p>
    <w:p w14:paraId="59745165" w14:textId="77777777" w:rsidR="00411D3C" w:rsidRDefault="00411D3C" w:rsidP="003E573C">
      <w:pPr>
        <w:rPr>
          <w:rFonts w:cs="Arial"/>
        </w:rPr>
      </w:pPr>
    </w:p>
    <w:p w14:paraId="6759852A" w14:textId="257F839C" w:rsidR="00F70474" w:rsidRDefault="00F70474" w:rsidP="00F70474">
      <w:pPr>
        <w:rPr>
          <w:rFonts w:cs="Arial"/>
        </w:rPr>
      </w:pPr>
      <w:r>
        <w:rPr>
          <w:rFonts w:cs="Arial"/>
        </w:rPr>
        <w:t xml:space="preserve">Avanza Pension offers insurance-based investment products (IBIPs) in the forms of endowment policies and pension policies. All policies are securities account insurance contracts, which have very liberal investment rules and give retail investors access to </w:t>
      </w:r>
      <w:proofErr w:type="gramStart"/>
      <w:r>
        <w:rPr>
          <w:rFonts w:cs="Arial"/>
        </w:rPr>
        <w:t>more or less all</w:t>
      </w:r>
      <w:proofErr w:type="gramEnd"/>
      <w:r>
        <w:rPr>
          <w:rFonts w:cs="Arial"/>
        </w:rPr>
        <w:t xml:space="preserve"> listed securities in select countries. Via </w:t>
      </w:r>
      <w:r w:rsidR="001C2213">
        <w:rPr>
          <w:rFonts w:cs="Arial"/>
        </w:rPr>
        <w:t xml:space="preserve">the </w:t>
      </w:r>
      <w:r>
        <w:rPr>
          <w:rFonts w:cs="Arial"/>
        </w:rPr>
        <w:t>Avanza online trading platform retail investors can invest in close to 10 000 stocks, more than 1 300 mutual funds and more than 10 000 exchange-traded products</w:t>
      </w:r>
      <w:r w:rsidR="00F203FA">
        <w:rPr>
          <w:rFonts w:cs="Arial"/>
        </w:rPr>
        <w:t xml:space="preserve"> (ETPs)</w:t>
      </w:r>
      <w:r>
        <w:rPr>
          <w:rFonts w:cs="Arial"/>
        </w:rPr>
        <w:t>. Policyholders can allocate premiums to one single investment option, or they can allocate between an unlimited number of combined options at the same time.</w:t>
      </w:r>
    </w:p>
    <w:p w14:paraId="4484D1B7" w14:textId="77777777" w:rsidR="00BE7CA4" w:rsidRDefault="00BE7CA4" w:rsidP="00F70474">
      <w:pPr>
        <w:rPr>
          <w:rFonts w:cs="Arial"/>
        </w:rPr>
      </w:pPr>
    </w:p>
    <w:p w14:paraId="398948C4" w14:textId="7EA896DA" w:rsidR="00BE7CA4" w:rsidRDefault="00BE7CA4" w:rsidP="00BE7CA4">
      <w:pPr>
        <w:rPr>
          <w:rFonts w:cs="Arial"/>
        </w:rPr>
      </w:pPr>
      <w:r>
        <w:rPr>
          <w:rFonts w:cs="Arial"/>
        </w:rPr>
        <w:t>Given the very large number of investment options offered to Avanza Pension’s IBIP policyholders, it would be impossible for Avanza Pension to specify what options or combination of options are the most relevant in any meaningful way. Avanza Pension envisages that providing more complete information in relation to just a few out of more than 20 000 investment options and a nearly limitless number of combinations, would not help but rather confuse retail investors.</w:t>
      </w:r>
      <w:r w:rsidRPr="00BE7CA4">
        <w:rPr>
          <w:rFonts w:cs="Arial"/>
        </w:rPr>
        <w:t xml:space="preserve"> </w:t>
      </w:r>
      <w:r>
        <w:rPr>
          <w:rFonts w:cs="Arial"/>
        </w:rPr>
        <w:t xml:space="preserve">Avanza Pension sees a risk that retail investors will understand a specification of a select few investment options as investment advice. Even if a disclaimer where to be provided, explaining that specified options are the most relevant among all possible options, it is highly likely that retail investors would still perceive “most relevant options” as “best options”. </w:t>
      </w:r>
      <w:r w:rsidR="00793ECF">
        <w:rPr>
          <w:rFonts w:cs="Arial"/>
        </w:rPr>
        <w:t>Even i</w:t>
      </w:r>
      <w:r>
        <w:rPr>
          <w:rFonts w:cs="Arial"/>
        </w:rPr>
        <w:t xml:space="preserve">f it </w:t>
      </w:r>
      <w:r w:rsidR="00F65FB0">
        <w:rPr>
          <w:rFonts w:cs="Arial"/>
        </w:rPr>
        <w:t>were</w:t>
      </w:r>
      <w:r>
        <w:rPr>
          <w:rFonts w:cs="Arial"/>
        </w:rPr>
        <w:t xml:space="preserve"> to be explained that the specified options are those most frequently selected, or those expected to be the most frequently selected, it would still be highly likely that retail investors would perceive those options as the “best</w:t>
      </w:r>
      <w:r w:rsidR="00C61BF9">
        <w:rPr>
          <w:rFonts w:cs="Arial"/>
        </w:rPr>
        <w:t>”</w:t>
      </w:r>
      <w:r>
        <w:rPr>
          <w:rFonts w:cs="Arial"/>
        </w:rPr>
        <w:t xml:space="preserve"> options.</w:t>
      </w:r>
    </w:p>
    <w:p w14:paraId="6E43FE38" w14:textId="77777777" w:rsidR="00BE7CA4" w:rsidRDefault="00BE7CA4" w:rsidP="003E573C">
      <w:pPr>
        <w:rPr>
          <w:rFonts w:cs="Arial"/>
        </w:rPr>
      </w:pPr>
    </w:p>
    <w:p w14:paraId="07C73C6D" w14:textId="14FE28EF" w:rsidR="001C2213" w:rsidRDefault="001C2213" w:rsidP="003E573C">
      <w:pPr>
        <w:rPr>
          <w:rFonts w:cs="Arial"/>
        </w:rPr>
      </w:pPr>
      <w:r>
        <w:rPr>
          <w:rFonts w:cs="Arial"/>
        </w:rPr>
        <w:lastRenderedPageBreak/>
        <w:t>Therefore, the ability to make use of Article 10(b)</w:t>
      </w:r>
      <w:r w:rsidR="000F78A0">
        <w:rPr>
          <w:rFonts w:cs="Arial"/>
        </w:rPr>
        <w:t xml:space="preserve"> in its current form,</w:t>
      </w:r>
      <w:r>
        <w:rPr>
          <w:rFonts w:cs="Arial"/>
        </w:rPr>
        <w:t xml:space="preserve"> </w:t>
      </w:r>
      <w:r w:rsidR="00A11677">
        <w:rPr>
          <w:rFonts w:cs="Arial"/>
        </w:rPr>
        <w:t xml:space="preserve">without the proposed new approach for the most commonly selected options, </w:t>
      </w:r>
      <w:r>
        <w:rPr>
          <w:rFonts w:cs="Arial"/>
        </w:rPr>
        <w:t>is of paramount importance to Avanza Pension.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6640C406" w14:textId="046B8F68" w:rsidR="002E7179" w:rsidRDefault="000E24E3" w:rsidP="003E573C">
      <w:pPr>
        <w:rPr>
          <w:rFonts w:cs="Arial"/>
        </w:rPr>
      </w:pPr>
      <w:permStart w:id="1989770724" w:edGrp="everyone"/>
      <w:r>
        <w:rPr>
          <w:rFonts w:cs="Arial"/>
        </w:rPr>
        <w:t xml:space="preserve">Avanza Pension does foresee significant challenges. </w:t>
      </w:r>
    </w:p>
    <w:p w14:paraId="5355E4BB" w14:textId="77777777" w:rsidR="002E7179" w:rsidRDefault="002E7179" w:rsidP="003E573C">
      <w:pPr>
        <w:rPr>
          <w:rFonts w:cs="Arial"/>
        </w:rPr>
      </w:pPr>
    </w:p>
    <w:p w14:paraId="0E62BF4E" w14:textId="75AEA350" w:rsidR="003E573C" w:rsidRDefault="00FF66CA" w:rsidP="003E573C">
      <w:pPr>
        <w:rPr>
          <w:rFonts w:cs="Arial"/>
        </w:rPr>
      </w:pPr>
      <w:r>
        <w:rPr>
          <w:rFonts w:cs="Arial"/>
        </w:rPr>
        <w:t xml:space="preserve">As stated under Q50, </w:t>
      </w:r>
      <w:r w:rsidR="00F84E6C">
        <w:rPr>
          <w:rFonts w:cs="Arial"/>
        </w:rPr>
        <w:t xml:space="preserve">the </w:t>
      </w:r>
      <w:r w:rsidR="00656C0E">
        <w:rPr>
          <w:rFonts w:cs="Arial"/>
        </w:rPr>
        <w:t xml:space="preserve">very </w:t>
      </w:r>
      <w:r w:rsidR="00F84E6C">
        <w:rPr>
          <w:rFonts w:cs="Arial"/>
        </w:rPr>
        <w:t>large number of investment options</w:t>
      </w:r>
      <w:r w:rsidR="00F70474">
        <w:rPr>
          <w:rFonts w:cs="Arial"/>
        </w:rPr>
        <w:t xml:space="preserve"> offered to Avanza Pension’s IBIP policyholders</w:t>
      </w:r>
      <w:r w:rsidR="00F84E6C">
        <w:rPr>
          <w:rFonts w:cs="Arial"/>
        </w:rPr>
        <w:t xml:space="preserve">, </w:t>
      </w:r>
      <w:r w:rsidR="00A3390D">
        <w:rPr>
          <w:rFonts w:cs="Arial"/>
        </w:rPr>
        <w:t xml:space="preserve">would </w:t>
      </w:r>
      <w:r>
        <w:rPr>
          <w:rFonts w:cs="Arial"/>
        </w:rPr>
        <w:t xml:space="preserve">make it </w:t>
      </w:r>
      <w:r w:rsidR="00A3390D">
        <w:rPr>
          <w:rFonts w:cs="Arial"/>
        </w:rPr>
        <w:t xml:space="preserve">impossible for Avanza Pension to </w:t>
      </w:r>
      <w:r w:rsidR="00BE1AF5">
        <w:rPr>
          <w:rFonts w:cs="Arial"/>
        </w:rPr>
        <w:t>specify what options or combination of options are the most relevant</w:t>
      </w:r>
      <w:r w:rsidR="00F84E6C">
        <w:rPr>
          <w:rFonts w:cs="Arial"/>
        </w:rPr>
        <w:t xml:space="preserve"> in any meaningful way</w:t>
      </w:r>
      <w:r w:rsidR="00BE1AF5">
        <w:rPr>
          <w:rFonts w:cs="Arial"/>
        </w:rPr>
        <w:t>.</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360BF734" w14:textId="44D0BEA3" w:rsidR="00933B37" w:rsidRDefault="00231E29" w:rsidP="003E573C">
      <w:pPr>
        <w:rPr>
          <w:rFonts w:cs="Arial"/>
        </w:rPr>
      </w:pPr>
      <w:permStart w:id="1417153881" w:edGrp="everyone"/>
      <w:r>
        <w:rPr>
          <w:rFonts w:cs="Arial"/>
        </w:rPr>
        <w:t xml:space="preserve">As stated under Q50, </w:t>
      </w:r>
      <w:r w:rsidR="00933B37">
        <w:rPr>
          <w:rFonts w:cs="Arial"/>
        </w:rPr>
        <w:t xml:space="preserve">Avanza Pension envisages that providing more complete information in relation to just a few out of more than 20 000 options and a nearly limitless number of combinations, would not help but rather confuse </w:t>
      </w:r>
      <w:r>
        <w:rPr>
          <w:rFonts w:cs="Arial"/>
        </w:rPr>
        <w:t>retail investors</w:t>
      </w:r>
      <w:r w:rsidR="00421BD7">
        <w:rPr>
          <w:rFonts w:cs="Arial"/>
        </w:rPr>
        <w:t>, or mislead them into believing that it is investment advice</w:t>
      </w:r>
      <w:r w:rsidR="00933B37">
        <w:rPr>
          <w:rFonts w:cs="Arial"/>
        </w:rPr>
        <w:t>.</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4239F6BA" w:rsidR="003E573C" w:rsidRDefault="0086346F" w:rsidP="003E573C">
      <w:pPr>
        <w:rPr>
          <w:rFonts w:cs="Arial"/>
        </w:rPr>
      </w:pPr>
      <w:permStart w:id="481841044" w:edGrp="everyone"/>
      <w:r>
        <w:rPr>
          <w:rFonts w:cs="Arial"/>
        </w:rPr>
        <w:t>Avanza Pension objects to the proposal.</w:t>
      </w:r>
    </w:p>
    <w:p w14:paraId="44BB0D4B" w14:textId="7E4C179A" w:rsidR="0086346F" w:rsidRDefault="0086346F" w:rsidP="003E573C">
      <w:pPr>
        <w:rPr>
          <w:rFonts w:cs="Arial"/>
        </w:rPr>
      </w:pPr>
    </w:p>
    <w:p w14:paraId="483274D8" w14:textId="0F2DC918" w:rsidR="0086346F" w:rsidRDefault="0086346F" w:rsidP="003E573C">
      <w:pPr>
        <w:rPr>
          <w:rFonts w:cs="Arial"/>
        </w:rPr>
      </w:pPr>
      <w:r>
        <w:rPr>
          <w:rFonts w:cs="Arial"/>
        </w:rPr>
        <w:t xml:space="preserve">As identified in the consultation document (page 54) the proposed change to the current approach would introduce significantly more figures in the generic KID, which </w:t>
      </w:r>
      <w:r w:rsidR="00C5610D">
        <w:rPr>
          <w:rFonts w:cs="Arial"/>
        </w:rPr>
        <w:t xml:space="preserve">will </w:t>
      </w:r>
      <w:bookmarkStart w:id="2" w:name="_GoBack"/>
      <w:bookmarkEnd w:id="2"/>
      <w:r>
        <w:rPr>
          <w:rFonts w:cs="Arial"/>
        </w:rPr>
        <w:t xml:space="preserve">be an overload of information. Avanza Pension agrees with this and believes that any small benefits the proposed change may give do not outweigh this obvious </w:t>
      </w:r>
      <w:r w:rsidR="0029373A">
        <w:rPr>
          <w:rFonts w:cs="Arial"/>
        </w:rPr>
        <w:t xml:space="preserve">and major </w:t>
      </w:r>
      <w:r>
        <w:rPr>
          <w:rFonts w:cs="Arial"/>
        </w:rPr>
        <w:t>disadvantage.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lastRenderedPageBreak/>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Fotnotstext"/>
      </w:pPr>
      <w:r>
        <w:rPr>
          <w:rStyle w:val="Fotnotsreferens"/>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tnotstext"/>
      </w:pPr>
      <w:r>
        <w:rPr>
          <w:rStyle w:val="Fotnotsreferens"/>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tnotstext"/>
      </w:pPr>
      <w:r>
        <w:rPr>
          <w:rStyle w:val="Fotnotsreferens"/>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tnotstext"/>
      </w:pPr>
      <w:r>
        <w:rPr>
          <w:rStyle w:val="Fotnotsreferens"/>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Sidhuvud"/>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Sidhuvud"/>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Sidhuvud"/>
      <w:rPr>
        <w:lang w:val="fr-FR"/>
      </w:rPr>
    </w:pPr>
  </w:p>
  <w:p w14:paraId="6A3CB0F8" w14:textId="77777777" w:rsidR="00811EDA" w:rsidRPr="002F4496" w:rsidRDefault="00811EDA" w:rsidP="000C06C9">
    <w:pPr>
      <w:pStyle w:val="Sidhuvud"/>
      <w:tabs>
        <w:tab w:val="clear" w:pos="4536"/>
        <w:tab w:val="clear" w:pos="9072"/>
        <w:tab w:val="left" w:pos="8227"/>
      </w:tabs>
      <w:rPr>
        <w:lang w:val="fr-FR"/>
      </w:rPr>
    </w:pPr>
  </w:p>
  <w:p w14:paraId="6A3CB0F9" w14:textId="77777777" w:rsidR="00811EDA" w:rsidRPr="002F4496" w:rsidRDefault="00811EDA" w:rsidP="000C06C9">
    <w:pPr>
      <w:pStyle w:val="Sidhuvud"/>
      <w:tabs>
        <w:tab w:val="clear" w:pos="4536"/>
        <w:tab w:val="clear" w:pos="9072"/>
        <w:tab w:val="left" w:pos="8227"/>
      </w:tabs>
      <w:rPr>
        <w:lang w:val="fr-FR"/>
      </w:rPr>
    </w:pPr>
  </w:p>
  <w:p w14:paraId="6A3CB0FA" w14:textId="77777777" w:rsidR="00811EDA" w:rsidRPr="002F4496" w:rsidRDefault="00811EDA">
    <w:pPr>
      <w:pStyle w:val="Sidhuvud"/>
      <w:rPr>
        <w:lang w:val="fr-FR"/>
      </w:rPr>
    </w:pPr>
  </w:p>
  <w:p w14:paraId="6A3CB0FB" w14:textId="77777777" w:rsidR="00811EDA" w:rsidRPr="002F4496" w:rsidRDefault="00811EDA">
    <w:pPr>
      <w:pStyle w:val="Sidhuvud"/>
      <w:rPr>
        <w:lang w:val="fr-FR"/>
      </w:rPr>
    </w:pPr>
  </w:p>
  <w:p w14:paraId="6A3CB0FC" w14:textId="77777777" w:rsidR="00811EDA" w:rsidRPr="002F4496" w:rsidRDefault="00811EDA">
    <w:pPr>
      <w:pStyle w:val="Sidhuvud"/>
      <w:rPr>
        <w:lang w:val="fr-FR"/>
      </w:rPr>
    </w:pPr>
  </w:p>
  <w:p w14:paraId="6A3CB0FD" w14:textId="77777777" w:rsidR="00811EDA" w:rsidRPr="002F4496" w:rsidRDefault="00811EDA">
    <w:pPr>
      <w:pStyle w:val="Sidhuvud"/>
      <w:rPr>
        <w:lang w:val="fr-FR"/>
      </w:rPr>
    </w:pPr>
  </w:p>
  <w:p w14:paraId="6A3CB0FE" w14:textId="77777777" w:rsidR="00811EDA" w:rsidRPr="002F4496" w:rsidRDefault="00811EDA">
    <w:pPr>
      <w:pStyle w:val="Sidhuvud"/>
      <w:rPr>
        <w:highlight w:val="yellow"/>
        <w:lang w:val="fr-FR"/>
      </w:rPr>
    </w:pPr>
  </w:p>
  <w:p w14:paraId="6A3CB0FF" w14:textId="05D5FF53" w:rsidR="00811EDA" w:rsidRDefault="00DE66EB">
    <w:pPr>
      <w:pStyle w:val="Sidhuvud"/>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37E89"/>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24E3"/>
    <w:rsid w:val="000E3937"/>
    <w:rsid w:val="000E4926"/>
    <w:rsid w:val="000E5F7F"/>
    <w:rsid w:val="000E667A"/>
    <w:rsid w:val="000E7086"/>
    <w:rsid w:val="000E7C65"/>
    <w:rsid w:val="000F04D2"/>
    <w:rsid w:val="000F55B7"/>
    <w:rsid w:val="000F604F"/>
    <w:rsid w:val="000F7399"/>
    <w:rsid w:val="000F78A0"/>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18F"/>
    <w:rsid w:val="001C2213"/>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1E29"/>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73A"/>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179"/>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A14"/>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1D3C"/>
    <w:rsid w:val="00412253"/>
    <w:rsid w:val="004142ED"/>
    <w:rsid w:val="0041634D"/>
    <w:rsid w:val="00417EF7"/>
    <w:rsid w:val="00421BD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49A0"/>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6C0E"/>
    <w:rsid w:val="006576D0"/>
    <w:rsid w:val="00660B0D"/>
    <w:rsid w:val="00660BF0"/>
    <w:rsid w:val="0066189C"/>
    <w:rsid w:val="006630CF"/>
    <w:rsid w:val="00663EFF"/>
    <w:rsid w:val="00666F74"/>
    <w:rsid w:val="00667CB7"/>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A8D"/>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69D"/>
    <w:rsid w:val="00775937"/>
    <w:rsid w:val="00777046"/>
    <w:rsid w:val="007770DA"/>
    <w:rsid w:val="007805B9"/>
    <w:rsid w:val="00780C3A"/>
    <w:rsid w:val="007834A1"/>
    <w:rsid w:val="00791EB4"/>
    <w:rsid w:val="007928F1"/>
    <w:rsid w:val="0079357D"/>
    <w:rsid w:val="007937CC"/>
    <w:rsid w:val="00793A31"/>
    <w:rsid w:val="00793ECF"/>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1F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211"/>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49BD"/>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46F"/>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4ACA"/>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3BE"/>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3B37"/>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432C"/>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677"/>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90D"/>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BFE"/>
    <w:rsid w:val="00AF38AF"/>
    <w:rsid w:val="00AF3C29"/>
    <w:rsid w:val="00AF4401"/>
    <w:rsid w:val="00AF4463"/>
    <w:rsid w:val="00AF53CB"/>
    <w:rsid w:val="00AF65C5"/>
    <w:rsid w:val="00B004C8"/>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1AF5"/>
    <w:rsid w:val="00BE425B"/>
    <w:rsid w:val="00BE51BB"/>
    <w:rsid w:val="00BE7595"/>
    <w:rsid w:val="00BE77D3"/>
    <w:rsid w:val="00BE7CA4"/>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10D"/>
    <w:rsid w:val="00C56438"/>
    <w:rsid w:val="00C570B3"/>
    <w:rsid w:val="00C6009F"/>
    <w:rsid w:val="00C60417"/>
    <w:rsid w:val="00C6046F"/>
    <w:rsid w:val="00C61BF9"/>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E33"/>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3F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5FB0"/>
    <w:rsid w:val="00F6612A"/>
    <w:rsid w:val="00F66724"/>
    <w:rsid w:val="00F67F04"/>
    <w:rsid w:val="00F70207"/>
    <w:rsid w:val="00F702CB"/>
    <w:rsid w:val="00F70474"/>
    <w:rsid w:val="00F70F4A"/>
    <w:rsid w:val="00F71AC2"/>
    <w:rsid w:val="00F739D4"/>
    <w:rsid w:val="00F77D43"/>
    <w:rsid w:val="00F80953"/>
    <w:rsid w:val="00F81312"/>
    <w:rsid w:val="00F81B90"/>
    <w:rsid w:val="00F81E6F"/>
    <w:rsid w:val="00F82FF3"/>
    <w:rsid w:val="00F8453C"/>
    <w:rsid w:val="00F84D4C"/>
    <w:rsid w:val="00F84E6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6CA"/>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Cha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Text,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 w:type="paragraph" w:styleId="Underrubrik">
    <w:name w:val="Subtitle"/>
    <w:basedOn w:val="Normal"/>
    <w:next w:val="Normal"/>
    <w:link w:val="Underrubrik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styck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rdstycketeckensnit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rdstycketeckensnit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styck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tnotsreferens"/>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dcmitype/"/>
    <ds:schemaRef ds:uri="http://schemas.microsoft.com/office/infopath/2007/PartnerControls"/>
    <ds:schemaRef ds:uri="http://purl.org/dc/elements/1.1/"/>
    <ds:schemaRef ds:uri="http://schemas.microsoft.com/office/2006/metadata/properties"/>
    <ds:schemaRef ds:uri="9e038d8b-eef4-4a8e-96f8-403daa5a894a"/>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FCD8329E-CE5B-4913-99C1-12B727EB9D61}">
  <ds:schemaRefs>
    <ds:schemaRef ds:uri="http://schemas.openxmlformats.org/officeDocument/2006/bibliography"/>
  </ds:schemaRefs>
</ds:datastoreItem>
</file>

<file path=customXml/itemProps6.xml><?xml version="1.0" encoding="utf-8"?>
<ds:datastoreItem xmlns:ds="http://schemas.openxmlformats.org/officeDocument/2006/customXml" ds:itemID="{763FC5E3-D8B8-4FB6-815B-290C0AB4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2581</TotalTime>
  <Pages>14</Pages>
  <Words>3182</Words>
  <Characters>18180</Characters>
  <Application>Microsoft Office Word</Application>
  <DocSecurity>8</DocSecurity>
  <Lines>151</Lines>
  <Paragraphs>42</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21320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Erik Bergendorff</cp:lastModifiedBy>
  <cp:revision>34</cp:revision>
  <cp:lastPrinted>2015-02-18T11:01:00Z</cp:lastPrinted>
  <dcterms:created xsi:type="dcterms:W3CDTF">2019-11-12T14:01:00Z</dcterms:created>
  <dcterms:modified xsi:type="dcterms:W3CDTF">2019-12-13T09:53:00Z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