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Enfasidelicata"/>
          <w:b w:val="0"/>
          <w:sz w:val="22"/>
        </w:rPr>
      </w:pPr>
      <w:r w:rsidRPr="00197794">
        <w:rPr>
          <w:rStyle w:val="Enfasidelicata"/>
          <w:b w:val="0"/>
          <w:sz w:val="22"/>
        </w:rPr>
        <w:t>The European Supervisory Authorities (ESAs) welcome comments on this consultation paper setting out proposed amendments to Commission Delegated Regulation (EU) 2017/653 of 8 March 2017</w:t>
      </w:r>
      <w:r w:rsidRPr="00197794">
        <w:rPr>
          <w:rStyle w:val="Enfasidelicata"/>
          <w:b w:val="0"/>
          <w:sz w:val="22"/>
        </w:rPr>
        <w:footnoteReference w:id="2"/>
      </w:r>
      <w:r w:rsidRPr="00197794">
        <w:rPr>
          <w:rStyle w:val="Enfasidelicata"/>
          <w:b w:val="0"/>
          <w:sz w:val="22"/>
        </w:rPr>
        <w:t xml:space="preserve"> (hereinafter “PRIIPs Delegated Regulation”).</w:t>
      </w:r>
    </w:p>
    <w:p w14:paraId="10C2617A" w14:textId="77777777" w:rsidR="00197794" w:rsidRPr="00197794" w:rsidRDefault="00197794" w:rsidP="00197794">
      <w:pPr>
        <w:jc w:val="both"/>
        <w:rPr>
          <w:rStyle w:val="Enfasidelicata"/>
          <w:b w:val="0"/>
          <w:sz w:val="22"/>
        </w:rPr>
      </w:pPr>
    </w:p>
    <w:p w14:paraId="0C223EDE" w14:textId="77777777" w:rsidR="00197794" w:rsidRPr="00197794" w:rsidRDefault="00197794" w:rsidP="00197794">
      <w:pPr>
        <w:jc w:val="both"/>
        <w:rPr>
          <w:rStyle w:val="Enfasidelicata"/>
          <w:b w:val="0"/>
          <w:sz w:val="22"/>
        </w:rPr>
      </w:pPr>
      <w:r w:rsidRPr="00197794">
        <w:rPr>
          <w:rStyle w:val="Enfasidelicata"/>
          <w:b w:val="0"/>
          <w:sz w:val="22"/>
        </w:rPr>
        <w:t xml:space="preserve">The consultation package includes: </w:t>
      </w:r>
    </w:p>
    <w:p w14:paraId="18D2914F" w14:textId="1F1755EE" w:rsid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The consultation paper</w:t>
      </w:r>
    </w:p>
    <w:p w14:paraId="10BDD12A" w14:textId="706C2321" w:rsid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r>
      <w:r>
        <w:rPr>
          <w:rStyle w:val="Enfasidelicata"/>
          <w:b w:val="0"/>
          <w:sz w:val="22"/>
        </w:rPr>
        <w:t>Template for comments</w:t>
      </w:r>
    </w:p>
    <w:p w14:paraId="52DEC790" w14:textId="77777777" w:rsidR="00197794" w:rsidRDefault="00197794" w:rsidP="00197794">
      <w:pPr>
        <w:jc w:val="both"/>
        <w:rPr>
          <w:rStyle w:val="Enfasidelicata"/>
          <w:b w:val="0"/>
          <w:sz w:val="22"/>
        </w:rPr>
      </w:pPr>
    </w:p>
    <w:p w14:paraId="0582E623" w14:textId="7F8CAD3C" w:rsidR="00197794" w:rsidRPr="00197794" w:rsidRDefault="00197794" w:rsidP="00197794">
      <w:pPr>
        <w:jc w:val="both"/>
        <w:rPr>
          <w:rStyle w:val="Enfasidelicata"/>
          <w:b w:val="0"/>
          <w:sz w:val="22"/>
        </w:rPr>
      </w:pPr>
      <w:r w:rsidRPr="00197794">
        <w:rPr>
          <w:rStyle w:val="Enfasidelicata"/>
          <w:b w:val="0"/>
          <w:sz w:val="22"/>
        </w:rPr>
        <w:t>The ESAs invite comments on any aspect of this paper. Comments are most helpful if they:</w:t>
      </w:r>
    </w:p>
    <w:p w14:paraId="09C3854A" w14:textId="77777777" w:rsidR="00197794" w:rsidRP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contain a clear rationale; and</w:t>
      </w:r>
    </w:p>
    <w:p w14:paraId="2CDD20AE" w14:textId="77777777" w:rsidR="00197794" w:rsidRP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describe any alternatives the ESAs should consider.</w:t>
      </w:r>
    </w:p>
    <w:p w14:paraId="6D344FFC" w14:textId="77777777" w:rsidR="00197794" w:rsidRDefault="00197794" w:rsidP="00197794">
      <w:pPr>
        <w:jc w:val="both"/>
        <w:rPr>
          <w:rStyle w:val="Enfasidelicata"/>
          <w:b w:val="0"/>
          <w:sz w:val="22"/>
        </w:rPr>
      </w:pPr>
    </w:p>
    <w:p w14:paraId="17CD5259" w14:textId="6C7A8583" w:rsidR="00197794" w:rsidRPr="00197794" w:rsidRDefault="00197794" w:rsidP="00197794">
      <w:pPr>
        <w:spacing w:after="240"/>
        <w:jc w:val="both"/>
        <w:rPr>
          <w:rStyle w:val="Enfasidelicata"/>
          <w:b w:val="0"/>
          <w:sz w:val="22"/>
        </w:rPr>
      </w:pPr>
      <w:r w:rsidRPr="00197794">
        <w:rPr>
          <w:rStyle w:val="Enfasidelicata"/>
          <w:b w:val="0"/>
          <w:sz w:val="22"/>
        </w:rPr>
        <w:t xml:space="preserve">When describing alternative approaches the ESAs encourage stakeholders to consider how </w:t>
      </w:r>
      <w:r w:rsidR="004B1D0D">
        <w:rPr>
          <w:rStyle w:val="Enfasidelicata"/>
          <w:b w:val="0"/>
          <w:sz w:val="22"/>
        </w:rPr>
        <w:t xml:space="preserve">the </w:t>
      </w:r>
      <w:r w:rsidRPr="00197794">
        <w:rPr>
          <w:rStyle w:val="Enfasidelicata"/>
          <w:b w:val="0"/>
          <w:sz w:val="22"/>
        </w:rPr>
        <w:t>approach would achieve the aims of Regulation (EU) No 1286/2014</w:t>
      </w:r>
      <w:r w:rsidRPr="00197794">
        <w:rPr>
          <w:rStyle w:val="Enfasidelicata"/>
          <w:b w:val="0"/>
          <w:sz w:val="22"/>
        </w:rPr>
        <w:footnoteReference w:id="3"/>
      </w:r>
      <w:r w:rsidRPr="00197794">
        <w:rPr>
          <w:rStyle w:val="Enfasidelicata"/>
          <w:b w:val="0"/>
          <w:sz w:val="22"/>
        </w:rPr>
        <w:t xml:space="preserve"> (hereinafter “PRIIPs Regulation”). </w:t>
      </w:r>
    </w:p>
    <w:p w14:paraId="62803BA4" w14:textId="77777777" w:rsidR="00EC1154" w:rsidRDefault="00EC1154" w:rsidP="00AF38AF">
      <w:pPr>
        <w:rPr>
          <w:rStyle w:val="Enfasidelicata"/>
          <w:b w:val="0"/>
          <w:sz w:val="22"/>
        </w:rPr>
      </w:pPr>
    </w:p>
    <w:p w14:paraId="6A3CB03F" w14:textId="77777777" w:rsidR="009A3017" w:rsidRPr="00E40A5C" w:rsidRDefault="009A3017" w:rsidP="009A3017">
      <w:pPr>
        <w:spacing w:after="120"/>
        <w:jc w:val="both"/>
        <w:rPr>
          <w:rStyle w:val="Enfasidelicata"/>
          <w:sz w:val="22"/>
        </w:rPr>
      </w:pPr>
      <w:r w:rsidRPr="00E40A5C">
        <w:rPr>
          <w:rStyle w:val="Enfasidelicata"/>
          <w:sz w:val="22"/>
        </w:rPr>
        <w:t>Instructions</w:t>
      </w:r>
    </w:p>
    <w:p w14:paraId="6A3CB040" w14:textId="77777777"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14:paraId="6A3CB042" w14:textId="71534174"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&lt;ESA_QUESTION_</w:t>
      </w:r>
      <w:r w:rsidR="00197794">
        <w:rPr>
          <w:rStyle w:val="Enfasidelicata"/>
          <w:b w:val="0"/>
          <w:sz w:val="22"/>
        </w:rPr>
        <w:t>PKID</w:t>
      </w:r>
      <w:r w:rsidRPr="00E40A5C">
        <w:rPr>
          <w:rStyle w:val="Enfasidelicata"/>
          <w:b w:val="0"/>
          <w:sz w:val="22"/>
        </w:rPr>
        <w:t>_1&gt;. Your response to each question has to be framed by the two tags corresponding to the question.</w:t>
      </w:r>
    </w:p>
    <w:p w14:paraId="6A3CB043"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following convention: ESA_</w:t>
      </w:r>
      <w:r w:rsidR="00197794">
        <w:rPr>
          <w:rStyle w:val="Enfasidelicata"/>
          <w:b w:val="0"/>
          <w:sz w:val="22"/>
        </w:rPr>
        <w:t>PKID</w:t>
      </w:r>
      <w:r w:rsidRPr="00E40A5C">
        <w:rPr>
          <w:rStyle w:val="Enfasidelicata"/>
          <w:b w:val="0"/>
          <w:sz w:val="22"/>
        </w:rPr>
        <w:t>_nameofrespondent_RESPONSEFORM. For example, for a respondent named ABCD, the response form would be entitled ESA_</w:t>
      </w:r>
      <w:r w:rsidR="00197794">
        <w:rPr>
          <w:rStyle w:val="Enfasidelicata"/>
          <w:b w:val="0"/>
          <w:sz w:val="22"/>
        </w:rPr>
        <w:t>PKID</w:t>
      </w:r>
      <w:r w:rsidRPr="00E40A5C">
        <w:rPr>
          <w:rStyle w:val="Enfasidelicata"/>
          <w:b w:val="0"/>
          <w:sz w:val="22"/>
        </w:rPr>
        <w:t>_ABCD_RESPONSEFORM.</w:t>
      </w:r>
    </w:p>
    <w:p w14:paraId="180C2205" w14:textId="7763E035" w:rsidR="00197794" w:rsidRP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lastRenderedPageBreak/>
        <w:t>The consultation paper is available on the websites of the three ESAs</w:t>
      </w:r>
      <w:r w:rsidR="00764042">
        <w:rPr>
          <w:rStyle w:val="Enfasidelicata"/>
          <w:b w:val="0"/>
          <w:sz w:val="22"/>
        </w:rPr>
        <w:t xml:space="preserve"> and the Joint Committee</w:t>
      </w:r>
      <w:r w:rsidRPr="00197794">
        <w:rPr>
          <w:rStyle w:val="Enfasidelicata"/>
          <w:b w:val="0"/>
          <w:sz w:val="22"/>
        </w:rPr>
        <w:t xml:space="preserve">. Comments on this consultation paper can be sent using the response form, via the </w:t>
      </w:r>
      <w:hyperlink r:id="rId16" w:history="1">
        <w:r w:rsidRPr="00197794">
          <w:rPr>
            <w:rStyle w:val="Collegamentoipertestuale"/>
            <w:rFonts w:cs="Arial"/>
            <w:sz w:val="22"/>
          </w:rPr>
          <w:t>ESMA website</w:t>
        </w:r>
      </w:hyperlink>
      <w:r w:rsidRPr="00197794">
        <w:rPr>
          <w:rStyle w:val="Enfasidelicata"/>
          <w:b w:val="0"/>
          <w:sz w:val="24"/>
        </w:rPr>
        <w:t xml:space="preserve"> </w:t>
      </w:r>
      <w:r w:rsidRPr="00197794">
        <w:rPr>
          <w:rStyle w:val="Enfasidelicata"/>
          <w:b w:val="0"/>
          <w:sz w:val="22"/>
        </w:rPr>
        <w:t xml:space="preserve">under the heading ‘Your input - Consultations’ by </w:t>
      </w:r>
      <w:r w:rsidRPr="00197794">
        <w:rPr>
          <w:rStyle w:val="Enfasidelicata"/>
          <w:sz w:val="22"/>
        </w:rPr>
        <w:t>13 January 2020</w:t>
      </w:r>
      <w:r w:rsidRPr="00197794">
        <w:rPr>
          <w:rStyle w:val="Enfasidelicata"/>
          <w:b w:val="0"/>
          <w:sz w:val="22"/>
        </w:rPr>
        <w:t>.</w:t>
      </w:r>
    </w:p>
    <w:p w14:paraId="2481E1E6" w14:textId="67CDDA3F" w:rsid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Enfasidelicata"/>
          <w:b w:val="0"/>
          <w:sz w:val="22"/>
        </w:rPr>
      </w:pPr>
    </w:p>
    <w:p w14:paraId="6A3CB046" w14:textId="77777777" w:rsidR="00210E59" w:rsidRPr="00210E59" w:rsidRDefault="00210E59" w:rsidP="00210E59">
      <w:pPr>
        <w:spacing w:after="120"/>
        <w:jc w:val="both"/>
        <w:rPr>
          <w:rStyle w:val="Enfasidelicata"/>
          <w:sz w:val="22"/>
        </w:rPr>
      </w:pPr>
      <w:r w:rsidRPr="00210E59">
        <w:rPr>
          <w:rStyle w:val="Enfasidelicata"/>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Enfasidelicata"/>
          <w:sz w:val="22"/>
          <w:lang w:eastAsia="en-GB"/>
        </w:rPr>
      </w:pPr>
    </w:p>
    <w:p w14:paraId="3561D6A6" w14:textId="77777777" w:rsidR="00197794" w:rsidRDefault="00197794" w:rsidP="004E6AE4">
      <w:pPr>
        <w:rPr>
          <w:rStyle w:val="Enfasidelicata"/>
          <w:sz w:val="22"/>
          <w:lang w:eastAsia="en-GB"/>
        </w:rPr>
      </w:pPr>
    </w:p>
    <w:p w14:paraId="6A3CB048" w14:textId="1D432EA9" w:rsidR="009A3017" w:rsidRPr="00E40A5C" w:rsidRDefault="009A3017" w:rsidP="004E6AE4">
      <w:pPr>
        <w:rPr>
          <w:rStyle w:val="Enfasidelicata"/>
          <w:sz w:val="22"/>
          <w:lang w:eastAsia="en-GB"/>
        </w:rPr>
      </w:pPr>
      <w:r w:rsidRPr="00E40A5C">
        <w:rPr>
          <w:rStyle w:val="Enfasidelicata"/>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imandonotaapidipagina"/>
          <w:rFonts w:cs="Arial"/>
          <w:sz w:val="22"/>
        </w:rPr>
        <w:footnoteReference w:id="4"/>
      </w:r>
      <w:r w:rsidRPr="00197794">
        <w:rPr>
          <w:rFonts w:cs="Arial"/>
          <w:sz w:val="22"/>
        </w:rPr>
        <w:t xml:space="preserve">. Further information on data protection can be found under the </w:t>
      </w:r>
      <w:hyperlink r:id="rId17" w:history="1">
        <w:r w:rsidRPr="00197794">
          <w:rPr>
            <w:rStyle w:val="Collegamentoipertestuale"/>
            <w:rFonts w:cs="Arial"/>
            <w:sz w:val="22"/>
          </w:rPr>
          <w:t>Legal notice</w:t>
        </w:r>
      </w:hyperlink>
      <w:r w:rsidRPr="00197794">
        <w:rPr>
          <w:rFonts w:cs="Arial"/>
          <w:sz w:val="22"/>
        </w:rPr>
        <w:t xml:space="preserve"> section of the EBA website and under the </w:t>
      </w:r>
      <w:hyperlink r:id="rId18" w:history="1">
        <w:r w:rsidRPr="00197794">
          <w:rPr>
            <w:rStyle w:val="Collegamentoipertestuale"/>
            <w:rFonts w:cs="Arial"/>
            <w:sz w:val="22"/>
          </w:rPr>
          <w:t>Legal notice</w:t>
        </w:r>
      </w:hyperlink>
      <w:r w:rsidRPr="00197794">
        <w:rPr>
          <w:rFonts w:cs="Arial"/>
          <w:sz w:val="22"/>
        </w:rPr>
        <w:t xml:space="preserve"> section of the EIOPA website and under the </w:t>
      </w:r>
      <w:hyperlink r:id="rId19" w:history="1">
        <w:r w:rsidRPr="00197794">
          <w:rPr>
            <w:rStyle w:val="Collegamentoipertestual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Enfasidelicata"/>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o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stosegnaposto"/>
              <w:rFonts w:cs="Arial"/>
              <w:lang w:val="it-IT"/>
            </w:rPr>
            <w:id w:val="-1905066999"/>
            <w:text/>
          </w:sdtPr>
          <w:sdtEndPr>
            <w:rPr>
              <w:rStyle w:val="Testosegnaposto"/>
            </w:rPr>
          </w:sdtEndPr>
          <w:sdtContent>
            <w:tc>
              <w:tcPr>
                <w:tcW w:w="5595" w:type="dxa"/>
                <w:shd w:val="clear" w:color="auto" w:fill="auto"/>
              </w:tcPr>
              <w:p w14:paraId="6A3CB051" w14:textId="68BC431F" w:rsidR="00B327E9" w:rsidRPr="002818CB" w:rsidRDefault="002818CB" w:rsidP="00F136AD">
                <w:pPr>
                  <w:rPr>
                    <w:rStyle w:val="Testosegnaposto"/>
                    <w:rFonts w:cs="Arial"/>
                    <w:lang w:val="it-IT"/>
                  </w:rPr>
                </w:pPr>
                <w:r w:rsidRPr="002818CB">
                  <w:rPr>
                    <w:rStyle w:val="Testosegnaposto"/>
                    <w:rFonts w:cs="Arial"/>
                    <w:lang w:val="it-IT"/>
                  </w:rPr>
                  <w:t>ANASF – Associazione nazionale consulenti f</w:t>
                </w:r>
                <w:r>
                  <w:rPr>
                    <w:rStyle w:val="Testosegnaposto"/>
                    <w:rFonts w:cs="Arial"/>
                    <w:lang w:val="it-IT"/>
                  </w:rPr>
                  <w:t>inanziari</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13533C3E" w:rsidR="00B327E9" w:rsidRPr="00AB6D88" w:rsidRDefault="000E71C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818CB">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7A05A15D" w:rsidR="00B327E9" w:rsidRPr="00AB6D88" w:rsidRDefault="002818CB"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6BD33DC4" w:rsidR="00B327E9" w:rsidRPr="00AB6D88" w:rsidRDefault="002818CB" w:rsidP="00F136AD">
                <w:pPr>
                  <w:rPr>
                    <w:rFonts w:cs="Arial"/>
                  </w:rPr>
                </w:pPr>
                <w:r>
                  <w:rPr>
                    <w:rFonts w:cs="Arial"/>
                  </w:rPr>
                  <w:t>Italy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olo1"/>
        <w:numPr>
          <w:ilvl w:val="0"/>
          <w:numId w:val="0"/>
        </w:numPr>
        <w:ind w:left="431" w:hanging="431"/>
      </w:pPr>
      <w:r>
        <w:t>Introduction</w:t>
      </w:r>
    </w:p>
    <w:p w14:paraId="6A3CB05E" w14:textId="77777777" w:rsidR="00B327E9" w:rsidRPr="00E40A5C" w:rsidRDefault="00B327E9" w:rsidP="00B327E9">
      <w:pPr>
        <w:rPr>
          <w:rStyle w:val="Enfasiintensa"/>
          <w:sz w:val="22"/>
        </w:rPr>
      </w:pPr>
      <w:r w:rsidRPr="00E40A5C">
        <w:rPr>
          <w:rStyle w:val="Enfasiintensa"/>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Enfasidelicata"/>
          <w:b w:val="0"/>
          <w:sz w:val="22"/>
        </w:rPr>
        <w:t>PKID</w:t>
      </w:r>
      <w:r w:rsidRPr="006F4535">
        <w:t>_1&gt;</w:t>
      </w:r>
    </w:p>
    <w:p w14:paraId="4ABC795A" w14:textId="0792114E" w:rsidR="00FF07A9" w:rsidRPr="00FF07A9" w:rsidRDefault="00FF07A9" w:rsidP="00FF07A9">
      <w:permStart w:id="411981036" w:edGrp="everyone"/>
      <w:r w:rsidRPr="00FF07A9">
        <w:t xml:space="preserve">ANASF (the National Association of </w:t>
      </w:r>
      <w:proofErr w:type="spellStart"/>
      <w:r>
        <w:t>Consulenti</w:t>
      </w:r>
      <w:proofErr w:type="spellEnd"/>
      <w:r w:rsidRPr="00FF07A9">
        <w:t xml:space="preserve"> </w:t>
      </w:r>
      <w:proofErr w:type="spellStart"/>
      <w:r w:rsidRPr="00FF07A9">
        <w:t>Finanziari</w:t>
      </w:r>
      <w:proofErr w:type="spellEnd"/>
      <w:r w:rsidRPr="00FF07A9">
        <w:t xml:space="preserve">) represents tied agents and has more than 12,300 members. ANASF is pleased to take part in the Public Consultation process referred to above, and to present its opinion. </w:t>
      </w:r>
    </w:p>
    <w:permEnd w:id="411981036"/>
    <w:p w14:paraId="6A3CB062" w14:textId="1DA6EC94" w:rsidR="00B327E9" w:rsidRPr="00BF28DA" w:rsidRDefault="00B327E9" w:rsidP="00B327E9">
      <w:r w:rsidRPr="00BF28DA">
        <w:t>&lt;ESA_COMMENT_</w:t>
      </w:r>
      <w:r w:rsidR="00197794">
        <w:rPr>
          <w:rStyle w:val="Enfasidelicata"/>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5544BB87" w14:textId="77777777" w:rsidR="00C16B0E" w:rsidRPr="00C16B0E" w:rsidRDefault="00C16B0E" w:rsidP="00C16B0E">
      <w:pPr>
        <w:rPr>
          <w:rFonts w:cs="Arial"/>
        </w:rPr>
      </w:pPr>
      <w:permStart w:id="729947415" w:edGrp="everyone"/>
      <w:r w:rsidRPr="00C16B0E">
        <w:rPr>
          <w:rFonts w:cs="Arial"/>
        </w:rPr>
        <w:t>We agree; this form would increase investor transparency and awareness, considering that, using an IT tool, information could always be traced and stored.</w:t>
      </w:r>
    </w:p>
    <w:p w14:paraId="333728E2" w14:textId="2E191588" w:rsidR="00D469D4" w:rsidRDefault="00C16B0E" w:rsidP="003E573C">
      <w:pPr>
        <w:rPr>
          <w:rFonts w:cs="Arial"/>
        </w:rPr>
      </w:pPr>
      <w:r w:rsidRPr="00C16B0E">
        <w:rPr>
          <w:rFonts w:cs="Arial"/>
        </w:rPr>
        <w:t xml:space="preserve">The Kid, as suggested by </w:t>
      </w:r>
      <w:proofErr w:type="spellStart"/>
      <w:r w:rsidRPr="00C16B0E">
        <w:rPr>
          <w:rFonts w:cs="Arial"/>
        </w:rPr>
        <w:t>Esma</w:t>
      </w:r>
      <w:proofErr w:type="spellEnd"/>
      <w:r w:rsidRPr="00C16B0E">
        <w:rPr>
          <w:rFonts w:cs="Arial"/>
        </w:rPr>
        <w:t xml:space="preserve"> in the Call for evidence “Impact  of  the  inducements  and  costs  and  charges  disclosure requirements under MiFID II” could also become the most suitable information source for reporting costs to customers as requested by </w:t>
      </w:r>
      <w:proofErr w:type="spellStart"/>
      <w:r w:rsidRPr="00C16B0E">
        <w:rPr>
          <w:rFonts w:cs="Arial"/>
        </w:rPr>
        <w:t>Mifid</w:t>
      </w:r>
      <w:proofErr w:type="spellEnd"/>
      <w:r w:rsidRPr="00C16B0E">
        <w:rPr>
          <w:rFonts w:cs="Arial"/>
        </w:rPr>
        <w:t xml:space="preserve"> II. Once the proposed revision of the KID regulation is completed, a greater synergy between the MiFID II and KID regimes would be possible. The KID, constantly updated in all its sections, accessible to investors through the use of a digital link, could also over time replace the redundant reporting, provided by different regulatory provisions, with undeniable benefit for both operators and investors.</w:t>
      </w:r>
    </w:p>
    <w:permEnd w:id="729947415"/>
    <w:p w14:paraId="6415E03C" w14:textId="66282B7C"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5FE217F1" w:rsidR="003E573C" w:rsidRDefault="00C16B0E" w:rsidP="002818CB">
      <w:pPr>
        <w:jc w:val="both"/>
        <w:rPr>
          <w:rFonts w:cs="Arial"/>
        </w:rPr>
      </w:pPr>
      <w:permStart w:id="677205538" w:edGrp="everyone"/>
      <w:r w:rsidRPr="00C16B0E">
        <w:rPr>
          <w:rFonts w:cs="Arial"/>
        </w:rPr>
        <w:t xml:space="preserve">We believe that the amendments should be implemented at the beginning of 2022 in order to align the application of the provisions for all </w:t>
      </w:r>
      <w:proofErr w:type="spellStart"/>
      <w:r w:rsidRPr="00C16B0E">
        <w:rPr>
          <w:rFonts w:cs="Arial"/>
        </w:rPr>
        <w:t>Priips</w:t>
      </w:r>
      <w:proofErr w:type="spellEnd"/>
      <w:r w:rsidRPr="00C16B0E">
        <w:rPr>
          <w:rFonts w:cs="Arial"/>
        </w:rPr>
        <w:t>, for a uniform implementation. The application of the provisions in divergent steps would create confusion and excessive costs for the market that must already constantly adapt to the numerous requirements provided by European and national regulations. Standardizing the dates and the various provisions to be implemented facilitates this application process by the market.</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114224FA" w:rsidR="003E573C" w:rsidRPr="00C16B0E" w:rsidRDefault="00C16B0E" w:rsidP="00C16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ermStart w:id="1220688604" w:edGrp="everyone"/>
      <w:r w:rsidRPr="00FC4E04">
        <w:t>As indicated in Q3, we believe that a single date should be set, starting from the beginning of 2022.</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lastRenderedPageBreak/>
        <w:t>&lt;ESA_QUESTION_PKID_6&gt;</w:t>
      </w:r>
    </w:p>
    <w:p w14:paraId="7D508741" w14:textId="77777777" w:rsidR="00C16B0E" w:rsidRPr="00C16B0E" w:rsidRDefault="00C16B0E" w:rsidP="00C16B0E">
      <w:pPr>
        <w:rPr>
          <w:rFonts w:cs="Arial"/>
        </w:rPr>
      </w:pPr>
      <w:permStart w:id="418122716" w:edGrp="everyone"/>
      <w:r w:rsidRPr="00C16B0E">
        <w:rPr>
          <w:rFonts w:cs="Arial"/>
        </w:rPr>
        <w:t>We believe that the scenarios should be reduced to three, thus maintaining the favourable scenario, the unfavourable scenario and the moderate scenario, the latter also necessary for the representation of costs.</w:t>
      </w:r>
    </w:p>
    <w:p w14:paraId="1561D27C" w14:textId="77777777" w:rsidR="00C16B0E" w:rsidRPr="00C16B0E" w:rsidRDefault="00C16B0E" w:rsidP="00C16B0E">
      <w:pPr>
        <w:rPr>
          <w:rFonts w:cs="Arial"/>
        </w:rPr>
      </w:pPr>
      <w:r w:rsidRPr="00C16B0E">
        <w:rPr>
          <w:rFonts w:cs="Arial"/>
        </w:rPr>
        <w:t>The three scenarios could be represented to investors through the use of the Ibbotson cone, a graphic representation that allows the customer to intuitively understand the three performance scenarios envisaged with a 95% confidence level.</w:t>
      </w:r>
    </w:p>
    <w:p w14:paraId="135BC1F3" w14:textId="77777777" w:rsidR="00D469D4" w:rsidRDefault="00C16B0E" w:rsidP="003E573C">
      <w:pPr>
        <w:rPr>
          <w:rFonts w:cs="Arial"/>
        </w:rPr>
      </w:pPr>
      <w:r w:rsidRPr="00C16B0E">
        <w:rPr>
          <w:rFonts w:cs="Arial"/>
        </w:rPr>
        <w:t>In a note, it should be indicate to the investor that extraordinary favourable and unfavourable scenarios may occur, beyond the 95% confidence level, also providing concrete examples referring to the individual product in previous years.</w:t>
      </w:r>
    </w:p>
    <w:permEnd w:id="418122716"/>
    <w:p w14:paraId="29E77975" w14:textId="422C3BF4"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 xml:space="preserve">If intermediate scenarios are not shown in the performance section, which performance assumption should be used for </w:t>
      </w:r>
      <w:bookmarkStart w:id="1" w:name="_Hlk27995074"/>
      <w:r>
        <w:t>the ‘What are the costs?’ section</w:t>
      </w:r>
      <w:bookmarkEnd w:id="1"/>
      <w:r>
        <w:t>?</w:t>
      </w:r>
    </w:p>
    <w:p w14:paraId="21AC957C" w14:textId="37B49654" w:rsidR="003E573C" w:rsidRDefault="003E573C" w:rsidP="003E573C">
      <w:pPr>
        <w:rPr>
          <w:rFonts w:cs="Arial"/>
        </w:rPr>
      </w:pPr>
      <w:r>
        <w:rPr>
          <w:rFonts w:cs="Arial"/>
        </w:rPr>
        <w:t>&lt;ESA_QUESTION_PKID_7&gt;</w:t>
      </w:r>
    </w:p>
    <w:p w14:paraId="5EA1DEED" w14:textId="77777777" w:rsidR="00C16B0E" w:rsidRDefault="00C16B0E" w:rsidP="00C16B0E">
      <w:pPr>
        <w:rPr>
          <w:rFonts w:cs="Arial"/>
        </w:rPr>
      </w:pPr>
      <w:permStart w:id="569465455" w:edGrp="everyone"/>
      <w:r>
        <w:rPr>
          <w:rFonts w:cs="Arial"/>
        </w:rPr>
        <w:t>TYPE YOUR TEXT HERE</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7F845F7A" w14:textId="77777777" w:rsidR="00112F1D" w:rsidRDefault="00112F1D" w:rsidP="003E573C">
      <w:pPr>
        <w:rPr>
          <w:rFonts w:cs="Arial"/>
        </w:rPr>
      </w:pPr>
      <w:permStart w:id="221670941" w:edGrp="everyone"/>
      <w:r w:rsidRPr="00112F1D">
        <w:rPr>
          <w:rFonts w:cs="Arial"/>
        </w:rPr>
        <w:t>We do not believe that this option is suitable for illustrating performance scenarios to investors (see answer to question 6). This methodology is too complex and difficult to apply for the industry as well as difficult to explain to investors.</w:t>
      </w:r>
    </w:p>
    <w:permEnd w:id="221670941"/>
    <w:p w14:paraId="57161E15" w14:textId="144FDA10"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lastRenderedPageBreak/>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5A31F7FC" w14:textId="77777777" w:rsidR="00112F1D" w:rsidRDefault="00112F1D" w:rsidP="003E573C">
      <w:pPr>
        <w:rPr>
          <w:rFonts w:cs="Arial"/>
        </w:rPr>
      </w:pPr>
      <w:permStart w:id="1271138379" w:edGrp="everyone"/>
      <w:r w:rsidRPr="00112F1D">
        <w:rPr>
          <w:rFonts w:cs="Arial"/>
        </w:rPr>
        <w:t>This solution is absolutely unacceptable. Information on performance scenarios cannot be based on discretionary compensatory mechanisms. The parameters obtained would be useless, if not detrimental, for investors because they  would be based on non-univocal evaluations.</w:t>
      </w:r>
    </w:p>
    <w:permEnd w:id="1271138379"/>
    <w:p w14:paraId="5A098E3E" w14:textId="4A0372AF"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lastRenderedPageBreak/>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1A2AF3A2" w14:textId="77777777" w:rsidR="00112F1D" w:rsidRDefault="00112F1D" w:rsidP="003E573C">
      <w:pPr>
        <w:rPr>
          <w:rFonts w:cs="Arial"/>
        </w:rPr>
      </w:pPr>
      <w:permStart w:id="872961277" w:edGrp="everyone"/>
      <w:r w:rsidRPr="00112F1D">
        <w:rPr>
          <w:rFonts w:cs="Arial"/>
        </w:rPr>
        <w:t xml:space="preserve">Product categories could be divided into specific segments, establishing a univocal rule to be applied to the single segment (alternative, structured, etc.). Based on the segment/sector in which the product is included, the data to be indicated in the KID are determined by identifying the methods and establishing whether it is appropriate to use probabilistic or illustrative data. In order to standardize the application of the rules for all products, the best solution in our opinion is however the one based on the evaluation of statistical and non-illustrative data, as it is the case for the other </w:t>
      </w:r>
      <w:proofErr w:type="spellStart"/>
      <w:r w:rsidRPr="00112F1D">
        <w:rPr>
          <w:rFonts w:cs="Arial"/>
        </w:rPr>
        <w:t>Priip</w:t>
      </w:r>
      <w:proofErr w:type="spellEnd"/>
      <w:r w:rsidRPr="00112F1D">
        <w:rPr>
          <w:rFonts w:cs="Arial"/>
        </w:rPr>
        <w:t xml:space="preserve"> products.</w:t>
      </w:r>
    </w:p>
    <w:permEnd w:id="872961277"/>
    <w:p w14:paraId="10059834" w14:textId="7CD156E7" w:rsidR="003E573C" w:rsidRDefault="003E573C" w:rsidP="003E573C">
      <w:pPr>
        <w:rPr>
          <w:rFonts w:cs="Arial"/>
        </w:rPr>
      </w:pPr>
      <w:r>
        <w:rPr>
          <w:rFonts w:cs="Arial"/>
        </w:rPr>
        <w:lastRenderedPageBreak/>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7E053763" w14:textId="77777777" w:rsidR="00112F1D" w:rsidRPr="00112F1D" w:rsidRDefault="00112F1D" w:rsidP="00112F1D">
      <w:pPr>
        <w:jc w:val="both"/>
        <w:rPr>
          <w:rFonts w:cs="Arial"/>
        </w:rPr>
      </w:pPr>
      <w:permStart w:id="624894902" w:edGrp="everyone"/>
      <w:r w:rsidRPr="00112F1D">
        <w:rPr>
          <w:rFonts w:cs="Arial"/>
        </w:rPr>
        <w:t>Yes, we absolutely agree. In previous consultations Anasf expressly requested that the Authorities include past results in the KID to provide investors with complete information.</w:t>
      </w:r>
    </w:p>
    <w:p w14:paraId="292ABBBD" w14:textId="77777777" w:rsidR="00112F1D" w:rsidRPr="00112F1D" w:rsidRDefault="00112F1D" w:rsidP="00112F1D">
      <w:pPr>
        <w:jc w:val="both"/>
        <w:rPr>
          <w:rFonts w:cs="Arial"/>
        </w:rPr>
      </w:pPr>
      <w:r w:rsidRPr="00112F1D">
        <w:rPr>
          <w:rFonts w:cs="Arial"/>
        </w:rPr>
        <w:t>Returning to what is indicated in response to question 6, we believe that a single graphical representation of past results and future performance scenarios could be provided to enhance investors understanding.</w:t>
      </w:r>
    </w:p>
    <w:p w14:paraId="6771155A" w14:textId="77777777" w:rsidR="00112F1D" w:rsidRPr="00112F1D" w:rsidRDefault="00112F1D" w:rsidP="00112F1D">
      <w:pPr>
        <w:jc w:val="both"/>
        <w:rPr>
          <w:rFonts w:cs="Arial"/>
        </w:rPr>
      </w:pPr>
      <w:r w:rsidRPr="00112F1D">
        <w:rPr>
          <w:rFonts w:cs="Arial"/>
        </w:rPr>
        <w:t>That is, the graph could be divided into two halves, the left part would linearly represent the past product results of the last 3/5 years; the right part would represent the performance scenarios through the Ibbotson cone with the three favourable, unfavourable, intermediate scenarios. The centre line dividing the two halves would correspond to the moment in which the graph is drawn.</w:t>
      </w:r>
    </w:p>
    <w:p w14:paraId="784D19C6" w14:textId="77777777" w:rsidR="00112F1D" w:rsidRPr="00112F1D" w:rsidRDefault="00112F1D" w:rsidP="00112F1D">
      <w:pPr>
        <w:jc w:val="both"/>
        <w:rPr>
          <w:rFonts w:cs="Arial"/>
        </w:rPr>
      </w:pPr>
      <w:r w:rsidRPr="00112F1D">
        <w:rPr>
          <w:rFonts w:cs="Arial"/>
        </w:rPr>
        <w:t>The projection of the reference benchmark could also be added on the graph.</w:t>
      </w:r>
    </w:p>
    <w:p w14:paraId="2BFE012E" w14:textId="40E2B957" w:rsidR="003E573C" w:rsidRDefault="00112F1D" w:rsidP="00112F1D">
      <w:pPr>
        <w:jc w:val="both"/>
        <w:rPr>
          <w:rFonts w:cs="Arial"/>
        </w:rPr>
      </w:pPr>
      <w:r w:rsidRPr="00112F1D">
        <w:rPr>
          <w:rFonts w:cs="Arial"/>
        </w:rPr>
        <w:t>This solution would have the advantage of providing all the information and respecting at the same time the available space. In addition, explanatory notes should be provided in the margins of the graphic representation in order to illustrate, in simple and clear language, the purposes of the graphic.</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54ED148C" w14:textId="5D0675EA" w:rsidR="00112F1D" w:rsidRDefault="00112F1D" w:rsidP="003E573C">
      <w:pPr>
        <w:rPr>
          <w:rFonts w:cs="Arial"/>
        </w:rPr>
      </w:pPr>
      <w:permStart w:id="1152679739" w:edGrp="everyone"/>
      <w:r w:rsidRPr="00112F1D">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lastRenderedPageBreak/>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3604CDB8" w14:textId="77777777" w:rsidR="00D469D4" w:rsidRDefault="00112F1D" w:rsidP="003E573C">
      <w:pPr>
        <w:rPr>
          <w:rFonts w:cs="Arial"/>
        </w:rPr>
      </w:pPr>
      <w:permStart w:id="503522783" w:edGrp="everyone"/>
      <w:r w:rsidRPr="00112F1D">
        <w:rPr>
          <w:rFonts w:cs="Arial"/>
        </w:rPr>
        <w:t>Yes, as indicated in answer 26, a narrative explanation illustrating the relationship between past results and future performance scenarios is necessary.</w:t>
      </w:r>
    </w:p>
    <w:permEnd w:id="503522783"/>
    <w:p w14:paraId="349D85E4" w14:textId="7154C9A8"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Rimandonotaapidipagina"/>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77777777" w:rsidR="003E573C" w:rsidRDefault="003E573C" w:rsidP="003E573C">
      <w:pPr>
        <w:rPr>
          <w:rFonts w:cs="Arial"/>
        </w:rPr>
      </w:pPr>
      <w:permStart w:id="1802452064" w:edGrp="everyone"/>
      <w:r>
        <w:rPr>
          <w:rFonts w:cs="Arial"/>
        </w:rPr>
        <w:t>TYPE YOUR TEXT HERE</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77777777" w:rsidR="003E573C" w:rsidRDefault="003E573C" w:rsidP="003E573C">
      <w:pPr>
        <w:rPr>
          <w:rFonts w:cs="Arial"/>
        </w:rPr>
      </w:pPr>
      <w:permStart w:id="621350576" w:edGrp="everyone"/>
      <w:r>
        <w:rPr>
          <w:rFonts w:cs="Arial"/>
        </w:rPr>
        <w:t>TYPE YOUR TEXT HERE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lastRenderedPageBreak/>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59DA74B7" w14:textId="77777777" w:rsidR="00112F1D" w:rsidRDefault="00112F1D" w:rsidP="00112F1D">
      <w:pPr>
        <w:rPr>
          <w:rFonts w:cs="Arial"/>
        </w:rPr>
      </w:pPr>
      <w:permStart w:id="777852593" w:edGrp="everyone"/>
      <w:r>
        <w:rPr>
          <w:rFonts w:cs="Arial"/>
        </w:rPr>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13EA7429" w14:textId="77777777" w:rsidR="00112F1D" w:rsidRPr="00112F1D" w:rsidRDefault="00112F1D" w:rsidP="00112F1D">
      <w:pPr>
        <w:rPr>
          <w:rFonts w:cs="Arial"/>
        </w:rPr>
      </w:pPr>
      <w:permStart w:id="1928422042" w:edGrp="everyone"/>
      <w:r w:rsidRPr="00112F1D">
        <w:rPr>
          <w:rFonts w:cs="Arial"/>
        </w:rPr>
        <w:t>We believe that option 4 proposed by the Authorities is the most appropriate as it simplifies the graphical representation of costs by combining the two current tables into a single table. This solution is the simplest and easiest to understand for investors.</w:t>
      </w:r>
    </w:p>
    <w:p w14:paraId="1DAAEF6E" w14:textId="77777777" w:rsidR="009A225E" w:rsidRDefault="00112F1D" w:rsidP="003E573C">
      <w:pPr>
        <w:rPr>
          <w:rFonts w:cs="Arial"/>
          <w:color w:val="FF0000"/>
        </w:rPr>
      </w:pPr>
      <w:r w:rsidRPr="00112F1D">
        <w:rPr>
          <w:rFonts w:cs="Arial"/>
        </w:rPr>
        <w:t>In an explanatory note, however, concrete examples should be provided in order to clarify to the investor that, for example in the case of entry fees, these fees may vary in consideration of the amount invested and that the value shown in the table is an indicative value of the real cost applied</w:t>
      </w:r>
      <w:r w:rsidRPr="00112F1D">
        <w:rPr>
          <w:rFonts w:cs="Arial"/>
          <w:color w:val="FF0000"/>
        </w:rPr>
        <w:t>.</w:t>
      </w:r>
    </w:p>
    <w:permEnd w:id="1928422042"/>
    <w:p w14:paraId="74A0C740" w14:textId="41B0165E"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5CC92C9D" w14:textId="5480F2F3" w:rsidR="00D469D4" w:rsidRDefault="00315646" w:rsidP="003E573C">
      <w:pPr>
        <w:rPr>
          <w:rFonts w:cs="Arial"/>
        </w:rPr>
      </w:pPr>
      <w:permStart w:id="855140723" w:edGrp="everyone"/>
      <w:r w:rsidRPr="00315646">
        <w:rPr>
          <w:rFonts w:cs="Arial"/>
        </w:rPr>
        <w:t xml:space="preserve"> </w:t>
      </w:r>
      <w:r w:rsidR="009A225E">
        <w:rPr>
          <w:rFonts w:cs="Arial"/>
        </w:rPr>
        <w:t>TYPE YOUR TEXT HERE</w:t>
      </w:r>
      <w:bookmarkStart w:id="3" w:name="_GoBack"/>
      <w:bookmarkEnd w:id="3"/>
    </w:p>
    <w:permEnd w:id="855140723"/>
    <w:p w14:paraId="7E838799" w14:textId="2CC1632B"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2064430" w14:textId="77777777" w:rsidR="00D469D4" w:rsidRDefault="00112F1D" w:rsidP="003E573C">
      <w:pPr>
        <w:rPr>
          <w:rFonts w:cs="Arial"/>
        </w:rPr>
      </w:pPr>
      <w:permStart w:id="1223957116" w:edGrp="everyone"/>
      <w:r w:rsidRPr="00112F1D">
        <w:rPr>
          <w:rFonts w:cs="Arial"/>
        </w:rPr>
        <w:lastRenderedPageBreak/>
        <w:t>The concerns of the authorities are plausible and justified . Real data taken from the  manufacturer 's corporate accounts must be provided, both in percentage and absolute form.</w:t>
      </w:r>
    </w:p>
    <w:permEnd w:id="1223957116"/>
    <w:p w14:paraId="12724384" w14:textId="15729791"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82D5D01" w14:textId="77777777" w:rsidR="00D469D4" w:rsidRDefault="00112F1D" w:rsidP="003E573C">
      <w:pPr>
        <w:rPr>
          <w:rFonts w:cs="Arial"/>
        </w:rPr>
      </w:pPr>
      <w:permStart w:id="700270871" w:edGrp="everyone"/>
      <w:r w:rsidRPr="00112F1D">
        <w:rPr>
          <w:rFonts w:cs="Arial"/>
        </w:rPr>
        <w:t>Yes, a single document should be provided for all investors, both retail and professional, to ensure uniform treatment and greater clarity.</w:t>
      </w:r>
    </w:p>
    <w:permEnd w:id="700270871"/>
    <w:p w14:paraId="61A846AC" w14:textId="2F55EC92"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lastRenderedPageBreak/>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lastRenderedPageBreak/>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80568" w14:textId="77777777" w:rsidR="00A91E16" w:rsidRDefault="00A91E16">
      <w:r>
        <w:separator/>
      </w:r>
    </w:p>
    <w:p w14:paraId="0B84493E" w14:textId="77777777" w:rsidR="00A91E16" w:rsidRDefault="00A91E16"/>
  </w:endnote>
  <w:endnote w:type="continuationSeparator" w:id="0">
    <w:p w14:paraId="5FA33E23" w14:textId="77777777" w:rsidR="00A91E16" w:rsidRDefault="00A91E16">
      <w:r>
        <w:continuationSeparator/>
      </w:r>
    </w:p>
    <w:p w14:paraId="1493BE07" w14:textId="77777777" w:rsidR="00A91E16" w:rsidRDefault="00A91E16"/>
  </w:endnote>
  <w:endnote w:type="continuationNotice" w:id="1">
    <w:p w14:paraId="77429A71" w14:textId="77777777" w:rsidR="00A91E16" w:rsidRDefault="00A91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E71C5">
            <w:rPr>
              <w:rFonts w:cs="Arial"/>
              <w:noProof/>
              <w:sz w:val="22"/>
              <w:szCs w:val="22"/>
            </w:rPr>
            <w:t>14</w:t>
          </w:r>
          <w:r w:rsidRPr="00616B9B">
            <w:rPr>
              <w:rFonts w:cs="Arial"/>
              <w:noProof/>
              <w:sz w:val="22"/>
              <w:szCs w:val="22"/>
            </w:rPr>
            <w:fldChar w:fldCharType="end"/>
          </w:r>
        </w:p>
      </w:tc>
    </w:tr>
  </w:tbl>
  <w:p w14:paraId="6A3CB0F0" w14:textId="77777777" w:rsidR="00811EDA" w:rsidRDefault="00811E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7627" w14:textId="77777777" w:rsidR="00A91E16" w:rsidRDefault="00A91E16">
      <w:r>
        <w:separator/>
      </w:r>
    </w:p>
    <w:p w14:paraId="54B9A30A" w14:textId="77777777" w:rsidR="00A91E16" w:rsidRDefault="00A91E16"/>
  </w:footnote>
  <w:footnote w:type="continuationSeparator" w:id="0">
    <w:p w14:paraId="403328AC" w14:textId="77777777" w:rsidR="00A91E16" w:rsidRDefault="00A91E16">
      <w:r>
        <w:continuationSeparator/>
      </w:r>
    </w:p>
    <w:p w14:paraId="05AC2F38" w14:textId="77777777" w:rsidR="00A91E16" w:rsidRDefault="00A91E16"/>
  </w:footnote>
  <w:footnote w:type="continuationNotice" w:id="1">
    <w:p w14:paraId="3A008AFC" w14:textId="77777777" w:rsidR="00A91E16" w:rsidRDefault="00A91E16"/>
  </w:footnote>
  <w:footnote w:id="2">
    <w:p w14:paraId="3ADCE2CB" w14:textId="77777777" w:rsidR="00197794" w:rsidRPr="009E1A8D" w:rsidRDefault="00197794" w:rsidP="00197794">
      <w:pPr>
        <w:pStyle w:val="Testonotaapidipagina"/>
      </w:pPr>
      <w:r>
        <w:rPr>
          <w:rStyle w:val="Rimandonotaapidipagina"/>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Testonotaapidipagina"/>
      </w:pPr>
      <w:r>
        <w:rPr>
          <w:rStyle w:val="Rimandonotaapidipagina"/>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Testonotaapidipagina"/>
      </w:pPr>
      <w:r>
        <w:rPr>
          <w:rStyle w:val="Rimandonotaapidipagina"/>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Testonotaapidipagina"/>
      </w:pPr>
      <w:r>
        <w:rPr>
          <w:rStyle w:val="Rimandonotaapidipagina"/>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Intestazione"/>
    </w:pPr>
    <w:r>
      <w:rPr>
        <w:noProof/>
        <w:lang w:val="it-IT" w:eastAsia="it-IT"/>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it-IT" w:eastAsia="it-IT"/>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Intestazione"/>
      <w:jc w:val="right"/>
    </w:pPr>
    <w:r>
      <w:rPr>
        <w:noProof/>
        <w:lang w:val="it-IT" w:eastAsia="it-IT"/>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it-IT" w:eastAsia="it-IT"/>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Intestazione"/>
      <w:rPr>
        <w:lang w:val="fr-FR"/>
      </w:rPr>
    </w:pPr>
  </w:p>
  <w:p w14:paraId="6A3CB0F8" w14:textId="77777777" w:rsidR="00811EDA" w:rsidRPr="002F4496" w:rsidRDefault="00811EDA" w:rsidP="000C06C9">
    <w:pPr>
      <w:pStyle w:val="Intestazione"/>
      <w:tabs>
        <w:tab w:val="clear" w:pos="4536"/>
        <w:tab w:val="clear" w:pos="9072"/>
        <w:tab w:val="left" w:pos="8227"/>
      </w:tabs>
      <w:rPr>
        <w:lang w:val="fr-FR"/>
      </w:rPr>
    </w:pPr>
  </w:p>
  <w:p w14:paraId="6A3CB0F9" w14:textId="77777777" w:rsidR="00811EDA" w:rsidRPr="002F4496" w:rsidRDefault="00811EDA" w:rsidP="000C06C9">
    <w:pPr>
      <w:pStyle w:val="Intestazione"/>
      <w:tabs>
        <w:tab w:val="clear" w:pos="4536"/>
        <w:tab w:val="clear" w:pos="9072"/>
        <w:tab w:val="left" w:pos="8227"/>
      </w:tabs>
      <w:rPr>
        <w:lang w:val="fr-FR"/>
      </w:rPr>
    </w:pPr>
  </w:p>
  <w:p w14:paraId="6A3CB0FA" w14:textId="77777777" w:rsidR="00811EDA" w:rsidRPr="002F4496" w:rsidRDefault="00811EDA">
    <w:pPr>
      <w:pStyle w:val="Intestazione"/>
      <w:rPr>
        <w:lang w:val="fr-FR"/>
      </w:rPr>
    </w:pPr>
  </w:p>
  <w:p w14:paraId="6A3CB0FB" w14:textId="77777777" w:rsidR="00811EDA" w:rsidRPr="002F4496" w:rsidRDefault="00811EDA">
    <w:pPr>
      <w:pStyle w:val="Intestazione"/>
      <w:rPr>
        <w:lang w:val="fr-FR"/>
      </w:rPr>
    </w:pPr>
  </w:p>
  <w:p w14:paraId="6A3CB0FC" w14:textId="77777777" w:rsidR="00811EDA" w:rsidRPr="002F4496" w:rsidRDefault="00811EDA">
    <w:pPr>
      <w:pStyle w:val="Intestazione"/>
      <w:rPr>
        <w:lang w:val="fr-FR"/>
      </w:rPr>
    </w:pPr>
  </w:p>
  <w:p w14:paraId="6A3CB0FD" w14:textId="77777777" w:rsidR="00811EDA" w:rsidRPr="002F4496" w:rsidRDefault="00811EDA">
    <w:pPr>
      <w:pStyle w:val="Intestazione"/>
      <w:rPr>
        <w:lang w:val="fr-FR"/>
      </w:rPr>
    </w:pPr>
  </w:p>
  <w:p w14:paraId="6A3CB0FE" w14:textId="77777777" w:rsidR="00811EDA" w:rsidRPr="002F4496" w:rsidRDefault="00811EDA">
    <w:pPr>
      <w:pStyle w:val="Intestazione"/>
      <w:rPr>
        <w:highlight w:val="yellow"/>
        <w:lang w:val="fr-FR"/>
      </w:rPr>
    </w:pPr>
  </w:p>
  <w:p w14:paraId="6A3CB0FF" w14:textId="05D5FF53" w:rsidR="00811EDA" w:rsidRDefault="00DE66EB">
    <w:pPr>
      <w:pStyle w:val="Intestazione"/>
    </w:pPr>
    <w:r>
      <w:rPr>
        <w:noProof/>
        <w:lang w:val="it-IT" w:eastAsia="it-IT"/>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it-IT" w:eastAsia="it-IT"/>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9"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1C5"/>
    <w:rsid w:val="000E7C65"/>
    <w:rsid w:val="000F04D2"/>
    <w:rsid w:val="000F55B7"/>
    <w:rsid w:val="000F604F"/>
    <w:rsid w:val="000F7399"/>
    <w:rsid w:val="001027F1"/>
    <w:rsid w:val="00104F2E"/>
    <w:rsid w:val="001072DD"/>
    <w:rsid w:val="00110D7A"/>
    <w:rsid w:val="00111464"/>
    <w:rsid w:val="0011167D"/>
    <w:rsid w:val="00112892"/>
    <w:rsid w:val="00112E48"/>
    <w:rsid w:val="00112F1D"/>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EE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22"/>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8CB"/>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646"/>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188"/>
    <w:rsid w:val="00532EF4"/>
    <w:rsid w:val="00533581"/>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48D"/>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4E9"/>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0F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6E9A"/>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026"/>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225E"/>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CA0"/>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6B0E"/>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69D4"/>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4BC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175"/>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7A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uiPriority w:val="99"/>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foelenco"/>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e"/>
    <w:link w:val="Rimandonotaapidipagina"/>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purl.org/dc/dcmitype/"/>
    <ds:schemaRef ds:uri="http://schemas.microsoft.com/office/infopath/2007/PartnerControls"/>
    <ds:schemaRef ds:uri="http://purl.org/dc/elements/1.1/"/>
    <ds:schemaRef ds:uri="http://schemas.microsoft.com/office/2006/metadata/properties"/>
    <ds:schemaRef ds:uri="9e038d8b-eef4-4a8e-96f8-403daa5a894a"/>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EDE77-F756-4B42-BD20-9C0798A74323}">
  <ds:schemaRefs>
    <ds:schemaRef ds:uri="http://schemas.openxmlformats.org/officeDocument/2006/bibliography"/>
  </ds:schemaRefs>
</ds:datastoreItem>
</file>

<file path=customXml/itemProps6.xml><?xml version="1.0" encoding="utf-8"?>
<ds:datastoreItem xmlns:ds="http://schemas.openxmlformats.org/officeDocument/2006/customXml" ds:itemID="{3499A561-0660-4C3B-8CAB-48A19571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3480</Words>
  <Characters>19847</Characters>
  <Application>Microsoft Office Word</Application>
  <DocSecurity>8</DocSecurity>
  <Lines>165</Lines>
  <Paragraphs>46</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23281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sonia ciccolella</cp:lastModifiedBy>
  <cp:revision>12</cp:revision>
  <cp:lastPrinted>2015-02-18T11:01:00Z</cp:lastPrinted>
  <dcterms:created xsi:type="dcterms:W3CDTF">2019-10-16T14:22:00Z</dcterms:created>
  <dcterms:modified xsi:type="dcterms:W3CDTF">2020-01-10T14:15:00Z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