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08848791" w:rsidR="00AF2EF7" w:rsidRPr="00B8572C" w:rsidRDefault="00C1698A" w:rsidP="00D13661">
                <w:pPr>
                  <w:pStyle w:val="Titolo"/>
                  <w:spacing w:line="276" w:lineRule="auto"/>
                  <w:ind w:right="854"/>
                  <w:rPr>
                    <w:rFonts w:asciiTheme="minorHAnsi" w:hAnsiTheme="minorHAnsi" w:cstheme="minorHAnsi"/>
                    <w:sz w:val="48"/>
                    <w:szCs w:val="48"/>
                  </w:rPr>
                </w:pPr>
                <w:r>
                  <w:rPr>
                    <w:rFonts w:asciiTheme="minorHAnsi" w:hAnsiTheme="minorHAnsi" w:cstheme="minorHAnsi"/>
                    <w:sz w:val="48"/>
                    <w:szCs w:val="48"/>
                  </w:rPr>
                  <w:t>Re</w:t>
                </w:r>
                <w:r w:rsidR="00961EE5">
                  <w:rPr>
                    <w:rFonts w:asciiTheme="minorHAnsi" w:hAnsiTheme="minorHAnsi" w:cstheme="minorHAnsi"/>
                    <w:sz w:val="48"/>
                    <w:szCs w:val="48"/>
                  </w:rPr>
                  <w:t xml:space="preserve">ply </w:t>
                </w:r>
                <w:r>
                  <w:rPr>
                    <w:rFonts w:asciiTheme="minorHAnsi" w:hAnsiTheme="minorHAnsi" w:cstheme="minorHAnsi"/>
                    <w:sz w:val="48"/>
                    <w:szCs w:val="48"/>
                  </w:rPr>
                  <w:t xml:space="preserve">Form to the </w:t>
                </w:r>
                <w:r w:rsidR="008B2AF1">
                  <w:rPr>
                    <w:rFonts w:asciiTheme="minorHAnsi" w:hAnsiTheme="minorHAnsi" w:cstheme="minorHAnsi"/>
                    <w:sz w:val="48"/>
                    <w:szCs w:val="48"/>
                  </w:rPr>
                  <w:t>C</w:t>
                </w:r>
                <w:r w:rsidR="0063070E">
                  <w:rPr>
                    <w:rFonts w:asciiTheme="minorHAnsi" w:hAnsiTheme="minorHAnsi" w:cstheme="minorHAnsi"/>
                    <w:sz w:val="48"/>
                    <w:szCs w:val="48"/>
                  </w:rPr>
                  <w:t>onsultation Paper</w:t>
                </w:r>
                <w:r w:rsidR="000F74C4">
                  <w:rPr>
                    <w:rFonts w:asciiTheme="minorHAnsi" w:hAnsiTheme="minorHAnsi" w:cstheme="minorHAnsi"/>
                    <w:sz w:val="48"/>
                    <w:szCs w:val="48"/>
                  </w:rPr>
                  <w:t xml:space="preserve"> </w:t>
                </w:r>
              </w:p>
            </w:tc>
          </w:tr>
          <w:tr w:rsidR="00AB6157" w:rsidRPr="00B8572C" w14:paraId="76D253F5" w14:textId="77777777" w:rsidTr="00D13661">
            <w:trPr>
              <w:trHeight w:hRule="exact" w:val="747"/>
            </w:trPr>
            <w:tc>
              <w:tcPr>
                <w:tcW w:w="10490" w:type="dxa"/>
                <w:tcMar>
                  <w:top w:w="142" w:type="dxa"/>
                </w:tcMar>
              </w:tcPr>
              <w:p w14:paraId="1317ADC8" w14:textId="2C37C777" w:rsidR="0063070E" w:rsidRDefault="0063070E" w:rsidP="0063070E">
                <w:pPr>
                  <w:pStyle w:val="Sottotitolo"/>
                  <w:rPr>
                    <w:rFonts w:cs="Arial"/>
                  </w:rPr>
                </w:pPr>
                <w:r>
                  <w:rPr>
                    <w:rFonts w:cs="Arial"/>
                  </w:rPr>
                  <w:t xml:space="preserve">MiFID II review report on position limits and position management </w:t>
                </w:r>
              </w:p>
              <w:p w14:paraId="2CBF8F9B" w14:textId="2B39453C" w:rsidR="0063070E" w:rsidRDefault="0063070E" w:rsidP="0063070E">
                <w:pPr>
                  <w:pStyle w:val="Sottotitolo"/>
                  <w:rPr>
                    <w:rFonts w:cs="Arial"/>
                  </w:rPr>
                </w:pPr>
                <w:r>
                  <w:rPr>
                    <w:rFonts w:cs="Arial"/>
                  </w:rPr>
                  <w:t>Draft Technical Advice on weekly position reports</w:t>
                </w:r>
              </w:p>
              <w:p w14:paraId="72EBF426" w14:textId="641E1005" w:rsidR="0063070E" w:rsidRPr="0063070E" w:rsidRDefault="0063070E" w:rsidP="0063070E"/>
              <w:p w14:paraId="26CF3934" w14:textId="5F517F25" w:rsidR="00AB6157" w:rsidRPr="00B8572C" w:rsidRDefault="00AB6157" w:rsidP="00AB6157">
                <w:pPr>
                  <w:pStyle w:val="Titolo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ESMA invites comments on all matters in this paper and in particular on the specific questions summarised in Annex 1.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19490734"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w:t>
          </w:r>
          <w:r w:rsidRPr="002C56FD">
            <w:rPr>
              <w:rFonts w:asciiTheme="minorHAnsi" w:eastAsiaTheme="minorEastAsia" w:hAnsiTheme="minorHAnsi" w:cstheme="minorBidi"/>
              <w:sz w:val="22"/>
              <w:szCs w:val="20"/>
              <w:lang w:eastAsia="en-US"/>
            </w:rPr>
            <w:t>received by</w:t>
          </w:r>
          <w:r w:rsidRPr="002C56FD">
            <w:rPr>
              <w:rFonts w:asciiTheme="minorHAnsi" w:eastAsiaTheme="minorEastAsia" w:hAnsiTheme="minorHAnsi" w:cstheme="minorBidi"/>
              <w:b/>
              <w:sz w:val="22"/>
              <w:szCs w:val="20"/>
              <w:lang w:eastAsia="en-US"/>
            </w:rPr>
            <w:t xml:space="preserve"> </w:t>
          </w:r>
          <w:r w:rsidR="00223F79" w:rsidRPr="002C56FD">
            <w:rPr>
              <w:rFonts w:asciiTheme="minorHAnsi" w:eastAsiaTheme="minorEastAsia" w:hAnsiTheme="minorHAnsi" w:cstheme="minorBidi"/>
              <w:b/>
              <w:sz w:val="22"/>
              <w:szCs w:val="20"/>
              <w:lang w:eastAsia="en-US"/>
            </w:rPr>
            <w:t>8</w:t>
          </w:r>
          <w:r w:rsidR="009C3F1A" w:rsidRPr="002C56FD">
            <w:rPr>
              <w:rFonts w:asciiTheme="minorHAnsi" w:eastAsiaTheme="minorEastAsia" w:hAnsiTheme="minorHAnsi" w:cstheme="minorBidi"/>
              <w:b/>
              <w:sz w:val="22"/>
              <w:szCs w:val="20"/>
              <w:lang w:eastAsia="en-US"/>
            </w:rPr>
            <w:t xml:space="preserve"> January </w:t>
          </w:r>
          <w:r w:rsidRPr="002C56FD">
            <w:rPr>
              <w:rFonts w:asciiTheme="minorHAnsi" w:eastAsiaTheme="minorEastAsia" w:hAnsiTheme="minorHAnsi" w:cstheme="minorBidi"/>
              <w:b/>
              <w:sz w:val="22"/>
              <w:szCs w:val="20"/>
              <w:lang w:eastAsia="en-US"/>
            </w:rPr>
            <w:t>20</w:t>
          </w:r>
          <w:r w:rsidR="009C3F1A" w:rsidRPr="002C56FD">
            <w:rPr>
              <w:rFonts w:asciiTheme="minorHAnsi" w:eastAsiaTheme="minorEastAsia" w:hAnsiTheme="minorHAnsi" w:cstheme="minorBidi"/>
              <w:b/>
              <w:sz w:val="22"/>
              <w:szCs w:val="20"/>
              <w:lang w:eastAsia="en-US"/>
            </w:rPr>
            <w:t>20</w:t>
          </w:r>
          <w:r w:rsidRPr="002C56FD">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209BDB6C"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7"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Please follow the instructions given in the document ‘Reply form for the </w:t>
          </w:r>
          <w:r w:rsidR="009C3F1A">
            <w:rPr>
              <w:rFonts w:asciiTheme="minorHAnsi" w:eastAsiaTheme="minorEastAsia" w:hAnsiTheme="minorHAnsi" w:cstheme="minorBidi"/>
              <w:sz w:val="22"/>
              <w:szCs w:val="20"/>
              <w:lang w:eastAsia="en-US"/>
            </w:rPr>
            <w:t>consultation paper o</w:t>
          </w:r>
          <w:r w:rsidRPr="00AB6157">
            <w:rPr>
              <w:rFonts w:asciiTheme="minorHAnsi" w:eastAsiaTheme="minorEastAsia" w:hAnsiTheme="minorHAnsi" w:cstheme="minorBidi"/>
              <w:sz w:val="22"/>
              <w:szCs w:val="20"/>
              <w:lang w:eastAsia="en-US"/>
            </w:rPr>
            <w:t xml:space="preserve">n </w:t>
          </w:r>
          <w:r w:rsidR="009C3F1A">
            <w:rPr>
              <w:rFonts w:asciiTheme="minorHAnsi" w:eastAsiaTheme="minorEastAsia" w:hAnsiTheme="minorHAnsi" w:cstheme="minorBidi"/>
              <w:sz w:val="22"/>
              <w:szCs w:val="20"/>
              <w:lang w:eastAsia="en-US"/>
            </w:rPr>
            <w:t>“</w:t>
          </w:r>
          <w:r w:rsidR="009C3F1A" w:rsidRPr="009C3F1A">
            <w:rPr>
              <w:rFonts w:asciiTheme="minorHAnsi" w:eastAsiaTheme="minorEastAsia" w:hAnsiTheme="minorHAnsi" w:cstheme="minorBidi"/>
              <w:color w:val="2F5496" w:themeColor="accent5" w:themeShade="BF"/>
              <w:sz w:val="22"/>
              <w:szCs w:val="20"/>
              <w:lang w:eastAsia="en-US"/>
            </w:rPr>
            <w:t xml:space="preserve">MiFID II review report on position limits and position management and </w:t>
          </w:r>
          <w:r w:rsidR="009C3F1A">
            <w:rPr>
              <w:rFonts w:asciiTheme="minorHAnsi" w:eastAsiaTheme="minorEastAsia" w:hAnsiTheme="minorHAnsi" w:cstheme="minorBidi"/>
              <w:color w:val="2F5496" w:themeColor="accent5" w:themeShade="BF"/>
              <w:sz w:val="22"/>
              <w:szCs w:val="20"/>
              <w:lang w:eastAsia="en-US"/>
            </w:rPr>
            <w:t>draft technical advice on weekly position reports</w:t>
          </w:r>
          <w:r w:rsidRPr="00AB6157">
            <w:rPr>
              <w:rFonts w:asciiTheme="minorHAnsi" w:eastAsiaTheme="minorEastAsia" w:hAnsiTheme="minorHAnsi" w:cstheme="minorBidi"/>
              <w:sz w:val="22"/>
              <w:szCs w:val="20"/>
              <w:lang w:eastAsia="en-US"/>
            </w:rPr>
            <w:t>’ also published on the ESMA website.</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334CF29B"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w:t>
          </w:r>
          <w:r w:rsidR="009C3F1A">
            <w:rPr>
              <w:rFonts w:asciiTheme="minorHAnsi" w:eastAsiaTheme="minorEastAsia" w:hAnsiTheme="minorHAnsi" w:cstheme="minorBidi"/>
              <w:sz w:val="22"/>
              <w:szCs w:val="20"/>
              <w:lang w:eastAsia="en-US"/>
            </w:rPr>
            <w:t xml:space="preserve"> </w:t>
          </w:r>
          <w:r w:rsidR="00223F79">
            <w:rPr>
              <w:rFonts w:asciiTheme="minorHAnsi" w:eastAsiaTheme="minorEastAsia" w:hAnsiTheme="minorHAnsi" w:cstheme="minorBidi"/>
              <w:sz w:val="22"/>
              <w:szCs w:val="20"/>
              <w:lang w:eastAsia="en-US"/>
            </w:rPr>
            <w:t>C</w:t>
          </w:r>
          <w:r w:rsidR="009C3F1A">
            <w:rPr>
              <w:rFonts w:asciiTheme="minorHAnsi" w:eastAsiaTheme="minorEastAsia" w:hAnsiTheme="minorHAnsi" w:cstheme="minorBidi"/>
              <w:sz w:val="22"/>
              <w:szCs w:val="20"/>
              <w:lang w:eastAsia="en-US"/>
            </w:rPr>
            <w:t>onsultation paper</w:t>
          </w:r>
          <w:r w:rsidRPr="00C85C8B">
            <w:rPr>
              <w:rFonts w:asciiTheme="minorHAnsi" w:eastAsiaTheme="minorEastAsia" w:hAnsiTheme="minorHAnsi" w:cstheme="minorBidi"/>
              <w:sz w:val="22"/>
              <w:szCs w:val="20"/>
              <w:lang w:eastAsia="en-US"/>
            </w:rPr>
            <w:t>, respondents are requested to follow the below steps when preparing and submitting their response:</w:t>
          </w:r>
        </w:p>
        <w:p w14:paraId="1200930E" w14:textId="7324BCF9" w:rsidR="00C85C8B" w:rsidRPr="00C85C8B" w:rsidRDefault="00C85C8B" w:rsidP="00E7297E">
          <w:pPr>
            <w:pStyle w:val="Paragrafoelenco"/>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w:t>
          </w:r>
          <w:r w:rsidR="00223F79">
            <w:rPr>
              <w:rFonts w:eastAsiaTheme="minorEastAsia" w:cstheme="minorBidi"/>
              <w:szCs w:val="20"/>
              <w:lang w:eastAsia="en-US"/>
            </w:rPr>
            <w:t>C</w:t>
          </w:r>
          <w:r w:rsidR="009C3F1A">
            <w:rPr>
              <w:rFonts w:eastAsiaTheme="minorEastAsia" w:cstheme="minorBidi"/>
              <w:szCs w:val="20"/>
              <w:lang w:eastAsia="en-US"/>
            </w:rPr>
            <w:t xml:space="preserve">onsultation paper </w:t>
          </w:r>
          <w:r w:rsidRPr="00C85C8B">
            <w:rPr>
              <w:rFonts w:eastAsiaTheme="minorEastAsia" w:cstheme="minorBidi"/>
              <w:szCs w:val="20"/>
              <w:lang w:eastAsia="en-US"/>
            </w:rPr>
            <w:t xml:space="preserve">in the present response form. </w:t>
          </w:r>
        </w:p>
        <w:p w14:paraId="3B16398E" w14:textId="1D970CA3" w:rsidR="00C85C8B" w:rsidRPr="00C85C8B" w:rsidRDefault="00C85C8B" w:rsidP="00C85C8B">
          <w:pPr>
            <w:pStyle w:val="Paragrafoelenco"/>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D5365A">
            <w:rPr>
              <w:rFonts w:eastAsiaTheme="minorEastAsia" w:cstheme="minorBidi"/>
              <w:szCs w:val="20"/>
              <w:lang w:eastAsia="en-US"/>
            </w:rPr>
            <w:t>WPR</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Paragrafoelenco"/>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E8DA51F" w:rsidR="00C85C8B" w:rsidRPr="00C85C8B" w:rsidRDefault="00C85C8B" w:rsidP="00C85C8B">
          <w:pPr>
            <w:pStyle w:val="Paragrafoelenco"/>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D5365A">
            <w:rPr>
              <w:rFonts w:eastAsiaTheme="minorEastAsia" w:cstheme="minorBidi"/>
              <w:szCs w:val="20"/>
              <w:lang w:eastAsia="en-US"/>
            </w:rPr>
            <w:t>WPR</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D5365A">
            <w:rPr>
              <w:rFonts w:eastAsiaTheme="minorEastAsia" w:cstheme="minorBidi"/>
              <w:szCs w:val="20"/>
              <w:lang w:eastAsia="en-US"/>
            </w:rPr>
            <w:t>WPR</w:t>
          </w:r>
          <w:r w:rsidRPr="00C85C8B">
            <w:rPr>
              <w:rFonts w:eastAsiaTheme="minorEastAsia" w:cstheme="minorBidi"/>
              <w:szCs w:val="20"/>
              <w:lang w:eastAsia="en-US"/>
            </w:rPr>
            <w:t>_ABCD_RESPONSEFORM.</w:t>
          </w:r>
        </w:p>
        <w:p w14:paraId="1A9C59D6" w14:textId="013251ED" w:rsidR="00C85C8B" w:rsidRPr="00C85C8B" w:rsidRDefault="00C85C8B" w:rsidP="00C85C8B">
          <w:pPr>
            <w:pStyle w:val="Paragrafoelenco"/>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8"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w:t>
          </w:r>
          <w:r w:rsidR="000F74C4">
            <w:rPr>
              <w:rFonts w:eastAsiaTheme="minorEastAsia" w:cstheme="minorBidi"/>
              <w:szCs w:val="20"/>
              <w:lang w:eastAsia="en-US"/>
            </w:rPr>
            <w:t xml:space="preserve">all for Evidence </w:t>
          </w:r>
          <w:r w:rsidRPr="00C85C8B">
            <w:rPr>
              <w:rFonts w:eastAsiaTheme="minorEastAsia" w:cstheme="minorBidi"/>
              <w:szCs w:val="20"/>
              <w:lang w:eastAsia="en-US"/>
            </w:rPr>
            <w:t xml:space="preserve">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9"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0"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5B44E0DB"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interested stakeholders are invited to respond to this consultation paper. This consultation paper is primarily of interest to trading venues, investment firms and non-financial counterparties trading in commodity derivatives, but responses are also sought from any </w:t>
          </w:r>
          <w:bookmarkStart w:id="0" w:name="_GoBack"/>
          <w:bookmarkEnd w:id="0"/>
          <w:r w:rsidRPr="00AB6157">
            <w:rPr>
              <w:rFonts w:asciiTheme="minorHAnsi" w:eastAsiaTheme="minorEastAsia" w:hAnsiTheme="minorHAnsi" w:cstheme="minorBidi"/>
              <w:sz w:val="22"/>
              <w:szCs w:val="20"/>
              <w:lang w:eastAsia="en-US"/>
            </w:rPr>
            <w:t>other market participant including trade associations, industry bodies and investors.</w:t>
          </w:r>
        </w:p>
        <w:p w14:paraId="14912E5E" w14:textId="1CE85474" w:rsidR="00AF2EF7" w:rsidRPr="00B8572C" w:rsidRDefault="00EC177E" w:rsidP="00AF2EF7">
          <w:pPr>
            <w:spacing w:after="120" w:line="276" w:lineRule="auto"/>
            <w:rPr>
              <w:rFonts w:asciiTheme="minorHAnsi" w:hAnsiTheme="minorHAnsi" w:cstheme="minorHAnsi"/>
            </w:rPr>
          </w:pP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Titolo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1"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528A1915" w:rsidR="00C85C8B" w:rsidRPr="00C85C8B" w:rsidRDefault="00EC177E" w:rsidP="00EC177E">
                <w:pPr>
                  <w:rPr>
                    <w:rFonts w:ascii="Arial" w:hAnsi="Arial" w:cs="Arial"/>
                    <w:color w:val="808080"/>
                    <w:sz w:val="20"/>
                    <w:lang w:eastAsia="de-DE"/>
                  </w:rPr>
                </w:pPr>
                <w:r>
                  <w:rPr>
                    <w:rFonts w:ascii="Arial" w:hAnsi="Arial" w:cs="Arial"/>
                    <w:color w:val="808080"/>
                    <w:sz w:val="20"/>
                    <w:lang w:eastAsia="de-DE"/>
                  </w:rPr>
                  <w:t>ANIGAS</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3B3FC6D4" w:rsidR="00C85C8B" w:rsidRPr="00C85C8B" w:rsidRDefault="00EC177E"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Pr>
                    <w:rFonts w:ascii="Arial" w:hAnsi="Arial" w:cs="Arial"/>
                    <w:sz w:val="20"/>
                    <w:lang w:eastAsia="de-DE"/>
                  </w:rPr>
                  <w:t>Non-financial counterparty</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7BE37447" w:rsidR="00C85C8B" w:rsidRPr="00C85C8B" w:rsidRDefault="00EC177E" w:rsidP="00C85C8B">
                <w:pPr>
                  <w:rPr>
                    <w:rFonts w:ascii="Arial" w:hAnsi="Arial" w:cs="Arial"/>
                    <w:sz w:val="20"/>
                    <w:lang w:eastAsia="de-DE"/>
                  </w:rPr>
                </w:pPr>
                <w:r>
                  <w:rPr>
                    <w:rFonts w:ascii="MS Gothic" w:eastAsia="MS Gothic" w:hAnsi="Arial"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2B233F05" w:rsidR="00C85C8B" w:rsidRPr="00C85C8B" w:rsidRDefault="00EC177E" w:rsidP="00C85C8B">
                <w:pPr>
                  <w:rPr>
                    <w:rFonts w:ascii="Arial" w:hAnsi="Arial" w:cs="Arial"/>
                    <w:sz w:val="20"/>
                    <w:lang w:eastAsia="de-DE"/>
                  </w:rPr>
                </w:pPr>
                <w:r>
                  <w:rPr>
                    <w:rFonts w:ascii="Arial" w:hAnsi="Arial" w:cs="Arial"/>
                    <w:sz w:val="20"/>
                    <w:lang w:eastAsia="de-DE"/>
                  </w:rPr>
                  <w:t>Italy</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21EEEC92"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theme="minorBidi"/>
          <w:sz w:val="22"/>
          <w:szCs w:val="20"/>
          <w:lang w:eastAsia="en-US"/>
        </w:rPr>
        <w:t>WPR</w:t>
      </w:r>
      <w:r w:rsidRPr="00C85C8B">
        <w:rPr>
          <w:rFonts w:asciiTheme="minorHAnsi" w:eastAsiaTheme="minorEastAsia" w:hAnsiTheme="minorHAnsi" w:cstheme="minorBidi"/>
          <w:sz w:val="22"/>
          <w:szCs w:val="20"/>
          <w:lang w:eastAsia="en-US"/>
        </w:rPr>
        <w:t>_1&gt;</w:t>
      </w:r>
    </w:p>
    <w:p w14:paraId="02AF2FF9" w14:textId="77777777" w:rsidR="00C85C8B" w:rsidRPr="00C85C8B" w:rsidRDefault="00C85C8B" w:rsidP="00C85C8B">
      <w:pPr>
        <w:spacing w:after="250" w:line="276" w:lineRule="auto"/>
        <w:jc w:val="both"/>
        <w:rPr>
          <w:rFonts w:ascii="Arial" w:eastAsiaTheme="minorEastAsia" w:hAnsi="Arial" w:cs="Arial"/>
          <w:sz w:val="22"/>
          <w:szCs w:val="20"/>
          <w:lang w:eastAsia="en-US"/>
        </w:rPr>
      </w:pPr>
      <w:permStart w:id="885457707" w:edGrp="everyone"/>
      <w:r w:rsidRPr="00C85C8B">
        <w:rPr>
          <w:rFonts w:ascii="Arial" w:eastAsiaTheme="minorEastAsia" w:hAnsi="Arial" w:cs="Arial"/>
          <w:sz w:val="22"/>
          <w:szCs w:val="20"/>
          <w:lang w:eastAsia="en-US"/>
        </w:rPr>
        <w:t>TYPE YOUR TEXT HERE</w:t>
      </w:r>
    </w:p>
    <w:permEnd w:id="885457707"/>
    <w:p w14:paraId="15D00E65" w14:textId="12BB6964"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Arial"/>
          <w:sz w:val="22"/>
          <w:szCs w:val="20"/>
          <w:lang w:eastAsia="en-US"/>
        </w:rPr>
        <w:t>WPR</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6708E7F3"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5BB748F7" w14:textId="18FE1F4F" w:rsidR="00D5365A" w:rsidRDefault="00D5365A" w:rsidP="00C1698A">
      <w:pPr>
        <w:spacing w:line="276" w:lineRule="auto"/>
        <w:rPr>
          <w:rFonts w:asciiTheme="minorHAnsi" w:hAnsiTheme="minorHAnsi" w:cstheme="minorHAnsi"/>
          <w:b/>
          <w:sz w:val="28"/>
          <w:szCs w:val="28"/>
        </w:rPr>
      </w:pPr>
    </w:p>
    <w:p w14:paraId="78C87C24" w14:textId="77777777" w:rsidR="00D5365A" w:rsidRPr="002847A4" w:rsidRDefault="00D5365A" w:rsidP="00D5365A">
      <w:pPr>
        <w:rPr>
          <w:b/>
        </w:rPr>
      </w:pPr>
      <w:r w:rsidRPr="002847A4">
        <w:rPr>
          <w:b/>
        </w:rPr>
        <w:t>Part I</w:t>
      </w:r>
    </w:p>
    <w:p w14:paraId="6803E72C" w14:textId="77777777" w:rsidR="00D5365A" w:rsidRDefault="00D5365A" w:rsidP="00C1698A">
      <w:pPr>
        <w:spacing w:line="276" w:lineRule="auto"/>
        <w:rPr>
          <w:rFonts w:asciiTheme="minorHAnsi" w:hAnsiTheme="minorHAnsi" w:cstheme="minorHAnsi"/>
          <w:b/>
          <w:sz w:val="28"/>
          <w:szCs w:val="28"/>
        </w:rPr>
      </w:pPr>
    </w:p>
    <w:p w14:paraId="31CCCD1B" w14:textId="77777777" w:rsidR="00D5365A" w:rsidRDefault="00D5365A" w:rsidP="00D5365A">
      <w:pPr>
        <w:pStyle w:val="Questionstyle"/>
        <w:numPr>
          <w:ilvl w:val="0"/>
          <w:numId w:val="17"/>
        </w:numPr>
        <w:spacing w:after="250" w:line="276" w:lineRule="auto"/>
      </w:pPr>
      <w:r>
        <w:t>: Which option (Option 1 or Option 2) do you support for dealing with competing contracts? Please explain why. If you support Option 1, do you have any suggestions for amending the definition of “same contract” in Article 5(1) of RTS 21?  If you support another alternative, please explain which one and why.</w:t>
      </w:r>
    </w:p>
    <w:p w14:paraId="18E545B3" w14:textId="77777777" w:rsidR="00D5365A" w:rsidRDefault="00D5365A" w:rsidP="00D5365A">
      <w:pPr>
        <w:rPr>
          <w:rFonts w:ascii="Arial" w:hAnsi="Arial" w:cs="Arial"/>
        </w:rPr>
      </w:pPr>
      <w:r>
        <w:rPr>
          <w:rFonts w:ascii="Arial" w:hAnsi="Arial" w:cs="Arial"/>
        </w:rPr>
        <w:t>&lt;ESMA_QUESTION_WPR_1&gt;</w:t>
      </w:r>
    </w:p>
    <w:p w14:paraId="502DBCEF" w14:textId="77777777" w:rsidR="00EC177E" w:rsidRPr="009064D0" w:rsidRDefault="00EC177E" w:rsidP="00EC177E">
      <w:pPr>
        <w:ind w:left="709"/>
        <w:jc w:val="both"/>
        <w:rPr>
          <w:rFonts w:ascii="Arial" w:hAnsi="Arial" w:cs="Arial"/>
        </w:rPr>
      </w:pPr>
      <w:permStart w:id="1245597596" w:edGrp="everyone"/>
      <w:r w:rsidRPr="009064D0">
        <w:rPr>
          <w:rFonts w:ascii="Arial" w:hAnsi="Arial" w:cs="Arial"/>
        </w:rPr>
        <w:t>Anigas appreciates the attention payed by ESMA to the possible adverse effects that position limits may have on the development of liquidity of trading venues when facing the competition of other TVs on similar commodity derivatives.</w:t>
      </w:r>
    </w:p>
    <w:p w14:paraId="05B5FDA3" w14:textId="77777777" w:rsidR="00EC177E" w:rsidRPr="009064D0" w:rsidRDefault="00EC177E" w:rsidP="00EC177E">
      <w:pPr>
        <w:ind w:left="709"/>
        <w:jc w:val="both"/>
        <w:rPr>
          <w:rFonts w:ascii="Arial" w:hAnsi="Arial" w:cs="Arial"/>
        </w:rPr>
      </w:pPr>
      <w:r w:rsidRPr="009064D0">
        <w:rPr>
          <w:rFonts w:ascii="Arial" w:hAnsi="Arial" w:cs="Arial"/>
        </w:rPr>
        <w:t>We also recognize the fact that the definition of “same commodity derivatives” is currently too narrow, as demonstrated by the practical inexistence of any such derivative today.</w:t>
      </w:r>
    </w:p>
    <w:p w14:paraId="2EAFA30B" w14:textId="1CD403AE" w:rsidR="00D5365A" w:rsidRDefault="00EC177E" w:rsidP="00EC177E">
      <w:pPr>
        <w:ind w:left="709"/>
        <w:jc w:val="both"/>
        <w:rPr>
          <w:rFonts w:ascii="Arial" w:hAnsi="Arial" w:cs="Arial"/>
        </w:rPr>
      </w:pPr>
      <w:r w:rsidRPr="009064D0">
        <w:rPr>
          <w:rFonts w:ascii="Arial" w:hAnsi="Arial" w:cs="Arial"/>
        </w:rPr>
        <w:t xml:space="preserve">In broadening the identification of “same commodity derivatives”, both proposals leave this concept in an area of vagueness: in this framework, </w:t>
      </w:r>
      <w:r w:rsidRPr="009064D0">
        <w:rPr>
          <w:rFonts w:ascii="Arial" w:hAnsi="Arial" w:cs="Arial"/>
          <w:b/>
        </w:rPr>
        <w:t>Anigas supports Option 2</w:t>
      </w:r>
      <w:r w:rsidRPr="009064D0">
        <w:rPr>
          <w:rFonts w:ascii="Arial" w:hAnsi="Arial" w:cs="Arial"/>
        </w:rPr>
        <w:t>, which has the advantage of making Competent Authorities responsible for identifying them and for pragmatically defining the limit most suitable for the respective venue. We share ESMA view that the establishment of specific cooperation arrangements among CAs is key fo</w:t>
      </w:r>
      <w:r>
        <w:rPr>
          <w:rFonts w:ascii="Arial" w:hAnsi="Arial" w:cs="Arial"/>
        </w:rPr>
        <w:t>r the success of this approach.</w:t>
      </w:r>
    </w:p>
    <w:permEnd w:id="1245597596"/>
    <w:p w14:paraId="230EAD9F" w14:textId="77777777" w:rsidR="00D5365A" w:rsidRDefault="00D5365A" w:rsidP="00D5365A">
      <w:pPr>
        <w:rPr>
          <w:rFonts w:ascii="Arial" w:hAnsi="Arial" w:cs="Arial"/>
        </w:rPr>
      </w:pPr>
      <w:r>
        <w:rPr>
          <w:rFonts w:ascii="Arial" w:hAnsi="Arial" w:cs="Arial"/>
        </w:rPr>
        <w:t>&lt;ESMA_QUESTION_WPR_1&gt;</w:t>
      </w:r>
    </w:p>
    <w:p w14:paraId="05277153" w14:textId="77777777" w:rsidR="00D5365A" w:rsidRDefault="00D5365A" w:rsidP="00D5365A">
      <w:pPr>
        <w:rPr>
          <w:rFonts w:ascii="Arial" w:hAnsi="Arial" w:cs="Arial"/>
        </w:rPr>
      </w:pPr>
    </w:p>
    <w:p w14:paraId="55333858" w14:textId="77777777" w:rsidR="00D5365A" w:rsidRDefault="00D5365A" w:rsidP="00D5365A">
      <w:pPr>
        <w:pStyle w:val="Questionstyle"/>
        <w:numPr>
          <w:ilvl w:val="0"/>
          <w:numId w:val="17"/>
        </w:numPr>
        <w:spacing w:after="250" w:line="276" w:lineRule="auto"/>
        <w:rPr>
          <w:rFonts w:ascii="Arial" w:hAnsi="Arial" w:cs="Arial"/>
        </w:rPr>
      </w:pPr>
      <w:r>
        <w:t>: Do you agree that the C(6) carve-out creates an unlevel playing field across trading venues and should be reconsidered? If not, please explain why.</w:t>
      </w:r>
    </w:p>
    <w:p w14:paraId="290574D7" w14:textId="77777777" w:rsidR="00D5365A" w:rsidRDefault="00D5365A" w:rsidP="00D5365A">
      <w:pPr>
        <w:rPr>
          <w:rFonts w:ascii="Arial" w:hAnsi="Arial" w:cs="Arial"/>
        </w:rPr>
      </w:pPr>
      <w:r>
        <w:rPr>
          <w:rFonts w:ascii="Arial" w:hAnsi="Arial" w:cs="Arial"/>
        </w:rPr>
        <w:t>&lt;ESMA_QUESTION_WPR_2&gt;</w:t>
      </w:r>
    </w:p>
    <w:p w14:paraId="51DA8D91" w14:textId="77777777" w:rsidR="00EC177E" w:rsidRPr="009064D0" w:rsidRDefault="00EC177E" w:rsidP="00EC177E">
      <w:pPr>
        <w:ind w:left="709"/>
        <w:jc w:val="both"/>
        <w:rPr>
          <w:rFonts w:ascii="Arial" w:hAnsi="Arial" w:cs="Arial"/>
        </w:rPr>
      </w:pPr>
      <w:permStart w:id="311558394" w:edGrp="everyone"/>
      <w:r w:rsidRPr="009064D0">
        <w:rPr>
          <w:rFonts w:ascii="Arial" w:hAnsi="Arial" w:cs="Arial"/>
          <w:b/>
        </w:rPr>
        <w:t>Anigas does not share ESMA concerns about C(6) carve-out</w:t>
      </w:r>
      <w:r w:rsidRPr="009064D0">
        <w:rPr>
          <w:rFonts w:ascii="Arial" w:hAnsi="Arial" w:cs="Arial"/>
        </w:rPr>
        <w:t xml:space="preserve"> and about the possibility that it created an </w:t>
      </w:r>
      <w:proofErr w:type="spellStart"/>
      <w:r w:rsidRPr="009064D0">
        <w:rPr>
          <w:rFonts w:ascii="Arial" w:hAnsi="Arial" w:cs="Arial"/>
        </w:rPr>
        <w:t>unlevel</w:t>
      </w:r>
      <w:proofErr w:type="spellEnd"/>
      <w:r w:rsidRPr="009064D0">
        <w:rPr>
          <w:rFonts w:ascii="Arial" w:hAnsi="Arial" w:cs="Arial"/>
        </w:rPr>
        <w:t xml:space="preserve"> playing field among trading venues and determined the shift of trading in REMIT physical contracts from regulated markets and MTFs to OTFs. Consequently, Anigas does not see the necessity of reconsidering it. More specifically</w:t>
      </w:r>
    </w:p>
    <w:p w14:paraId="4875C486" w14:textId="77777777" w:rsidR="00EC177E" w:rsidRPr="009064D0" w:rsidRDefault="00EC177E" w:rsidP="00EC177E">
      <w:pPr>
        <w:pStyle w:val="Paragrafoelenco"/>
        <w:numPr>
          <w:ilvl w:val="0"/>
          <w:numId w:val="19"/>
        </w:numPr>
        <w:tabs>
          <w:tab w:val="clear" w:pos="0"/>
          <w:tab w:val="clear" w:pos="142"/>
          <w:tab w:val="clear" w:pos="284"/>
          <w:tab w:val="clear" w:pos="567"/>
        </w:tabs>
        <w:autoSpaceDE/>
        <w:autoSpaceDN/>
        <w:adjustRightInd/>
        <w:spacing w:after="160" w:line="276" w:lineRule="auto"/>
        <w:ind w:left="1276" w:hanging="425"/>
        <w:contextualSpacing/>
        <w:rPr>
          <w:rFonts w:ascii="Arial" w:hAnsi="Arial" w:cs="Arial"/>
        </w:rPr>
      </w:pPr>
      <w:r w:rsidRPr="009064D0">
        <w:rPr>
          <w:rFonts w:ascii="Arial" w:hAnsi="Arial" w:cs="Arial"/>
          <w:b/>
        </w:rPr>
        <w:t>Anigas didn’t find any quantitative data supporting a shift of trading in REMIT contracts from regulated markets and MTFs towards OTFs</w:t>
      </w:r>
      <w:r w:rsidRPr="009064D0">
        <w:rPr>
          <w:rFonts w:ascii="Arial" w:hAnsi="Arial" w:cs="Arial"/>
        </w:rPr>
        <w:t xml:space="preserve">. On the contrary, publicly available data provided by </w:t>
      </w:r>
      <w:proofErr w:type="spellStart"/>
      <w:r w:rsidRPr="009064D0">
        <w:rPr>
          <w:rFonts w:ascii="Arial" w:hAnsi="Arial" w:cs="Arial"/>
        </w:rPr>
        <w:t>Trayport</w:t>
      </w:r>
      <w:proofErr w:type="spellEnd"/>
      <w:r w:rsidRPr="009064D0">
        <w:rPr>
          <w:rFonts w:ascii="Arial" w:hAnsi="Arial" w:cs="Arial"/>
          <w:vertAlign w:val="superscript"/>
        </w:rPr>
        <w:footnoteReference w:id="2"/>
      </w:r>
      <w:r w:rsidRPr="009064D0">
        <w:rPr>
          <w:rFonts w:ascii="Arial" w:hAnsi="Arial" w:cs="Arial"/>
        </w:rPr>
        <w:t xml:space="preserve"> show an increase in the share of transactions in gas and power derivatives executed on exchanges since the implementation of MiFID II. This is especially true for those contracts (we may refer to them as “futures”) which are traded on OTFs, but share the same identical characteristics of physical futures contracts traded on regulated markets, including the clearing by a central counterparty: similar contracts, where existing, raised limited interest from market participants and have remained in the last 2 years quite illiquid. It is only with reference to those </w:t>
      </w:r>
      <w:r w:rsidRPr="009064D0">
        <w:rPr>
          <w:rFonts w:ascii="Arial" w:hAnsi="Arial" w:cs="Arial"/>
        </w:rPr>
        <w:lastRenderedPageBreak/>
        <w:t>contracts – futures (</w:t>
      </w:r>
      <w:proofErr w:type="spellStart"/>
      <w:r w:rsidRPr="009064D0">
        <w:rPr>
          <w:rFonts w:ascii="Arial" w:hAnsi="Arial" w:cs="Arial"/>
        </w:rPr>
        <w:t>derivates</w:t>
      </w:r>
      <w:proofErr w:type="spellEnd"/>
      <w:r w:rsidRPr="009064D0">
        <w:rPr>
          <w:rFonts w:ascii="Arial" w:hAnsi="Arial" w:cs="Arial"/>
        </w:rPr>
        <w:t>) that must be physically settled, traded on OTFs and cleared - that the Consultation Paper could refer to when it says “the exact same REMIT contract”, “identical instrument” to contracts traded on regulated markets.</w:t>
      </w:r>
    </w:p>
    <w:p w14:paraId="69012224" w14:textId="77777777" w:rsidR="00EC177E" w:rsidRPr="009064D0" w:rsidRDefault="00EC177E" w:rsidP="00EC177E">
      <w:pPr>
        <w:pStyle w:val="Paragrafoelenco"/>
        <w:numPr>
          <w:ilvl w:val="0"/>
          <w:numId w:val="19"/>
        </w:numPr>
        <w:tabs>
          <w:tab w:val="clear" w:pos="0"/>
          <w:tab w:val="clear" w:pos="142"/>
          <w:tab w:val="clear" w:pos="284"/>
          <w:tab w:val="clear" w:pos="567"/>
        </w:tabs>
        <w:autoSpaceDE/>
        <w:autoSpaceDN/>
        <w:adjustRightInd/>
        <w:spacing w:after="160" w:line="276" w:lineRule="auto"/>
        <w:ind w:left="1276" w:hanging="425"/>
        <w:contextualSpacing/>
        <w:rPr>
          <w:rFonts w:ascii="Arial" w:hAnsi="Arial" w:cs="Arial"/>
        </w:rPr>
      </w:pPr>
      <w:r w:rsidRPr="009064D0">
        <w:rPr>
          <w:rFonts w:ascii="Arial" w:hAnsi="Arial" w:cs="Arial"/>
        </w:rPr>
        <w:t xml:space="preserve">From a </w:t>
      </w:r>
      <w:r w:rsidRPr="009064D0">
        <w:rPr>
          <w:rFonts w:ascii="Arial" w:hAnsi="Arial" w:cs="Arial"/>
          <w:b/>
        </w:rPr>
        <w:t>pure regulatory perspective</w:t>
      </w:r>
      <w:r w:rsidRPr="009064D0">
        <w:rPr>
          <w:rFonts w:ascii="Arial" w:hAnsi="Arial" w:cs="Arial"/>
        </w:rPr>
        <w:t xml:space="preserve">, the introduction of the REMIT carve-out maintained the same situation as under MiFID I for OTF-traded power and gas wholesale contracts (with obligation of physical settlement). In other words, these contracts were not financial instruments under MiFID I (as traded out of MTFs) and remained non-financial instruments under MiFID II (as per the REMIT carve-out). Equally, no regulatory changes affected the definition of financial instruments executed on regulated markets or MTFs. It is hence very hard to understand how the absence of regulatory changes from MiFID I to MiFID II may have produced a similar impact as described in the Consultation Paper. </w:t>
      </w:r>
    </w:p>
    <w:p w14:paraId="6B87BAA2" w14:textId="77777777" w:rsidR="00EC177E" w:rsidRPr="009064D0" w:rsidRDefault="00EC177E" w:rsidP="00EC177E">
      <w:pPr>
        <w:ind w:left="709"/>
        <w:jc w:val="both"/>
        <w:rPr>
          <w:rFonts w:ascii="Arial" w:hAnsi="Arial" w:cs="Arial"/>
        </w:rPr>
      </w:pPr>
      <w:r w:rsidRPr="009064D0">
        <w:rPr>
          <w:rFonts w:ascii="Arial" w:hAnsi="Arial" w:cs="Arial"/>
          <w:b/>
        </w:rPr>
        <w:t>Anigas does not agree with potential strategy of influencing the competition among trading venues by so widely extending the scope of derivatives definition towards the physical world and by extending financial regulation to physical commodity markets</w:t>
      </w:r>
      <w:r w:rsidRPr="009064D0">
        <w:rPr>
          <w:rFonts w:ascii="Arial" w:hAnsi="Arial" w:cs="Arial"/>
        </w:rPr>
        <w:t xml:space="preserve">. At first, we do not see the motives for thinking that an </w:t>
      </w:r>
      <w:proofErr w:type="spellStart"/>
      <w:r w:rsidRPr="009064D0">
        <w:rPr>
          <w:rFonts w:ascii="Arial" w:hAnsi="Arial" w:cs="Arial"/>
        </w:rPr>
        <w:t>unlevel</w:t>
      </w:r>
      <w:proofErr w:type="spellEnd"/>
      <w:r w:rsidRPr="009064D0">
        <w:rPr>
          <w:rFonts w:ascii="Arial" w:hAnsi="Arial" w:cs="Arial"/>
        </w:rPr>
        <w:t xml:space="preserve"> playing field exists at all. If the Consultation Paper is referring to competition among different companies running trading venues, it should consider that any venue might apply for an OTF licence if willing to do so. On the other side, if Consultation Paper reference to a level playing field is more focused on a general and overall competition among regulated markers and MTFs on one side, and OTFs on the other side, we restate our consideration above, that it is wholly unproven that negotiations on OTFs brokers have gone to the detriment of negotiations on regulated markets. </w:t>
      </w:r>
    </w:p>
    <w:p w14:paraId="510FC6D8" w14:textId="77777777" w:rsidR="00EC177E" w:rsidRPr="009064D0" w:rsidRDefault="00EC177E" w:rsidP="00EC177E">
      <w:pPr>
        <w:ind w:left="709"/>
        <w:jc w:val="both"/>
        <w:rPr>
          <w:rFonts w:ascii="Arial" w:hAnsi="Arial" w:cs="Arial"/>
        </w:rPr>
      </w:pPr>
      <w:r w:rsidRPr="009064D0">
        <w:rPr>
          <w:rFonts w:ascii="Arial" w:hAnsi="Arial" w:cs="Arial"/>
        </w:rPr>
        <w:t xml:space="preserve">On the other hand, ESMA should consider the consequences that a similar choice would have for the real economy. As of today, several energy companies only cover their risks via physical (and non MiFID relevant) transactions and would - after a carve-out removal - enter into the entire set of rules of financial regulation: arranging reporting of transactions through trade repositories, agreeing conditions for several risk mitigation techniques, start calculating EMIR and MiFID thresholds, applying for an unknown MiFID exemption, start arranging position and transaction reporting for the TVs and so on and so forth. These regulatory obligations may seem obvious and uncomplicated for those companies who have complied with them for several years, but may be disruptive and burdensome for small real economy counterparties, who nourish and enrich the electricity and gas physical negotiations today. </w:t>
      </w:r>
    </w:p>
    <w:p w14:paraId="654C3F2F" w14:textId="77777777" w:rsidR="00EC177E" w:rsidRPr="009064D0" w:rsidRDefault="00EC177E" w:rsidP="00EC177E">
      <w:pPr>
        <w:ind w:left="709"/>
        <w:jc w:val="both"/>
        <w:rPr>
          <w:rFonts w:ascii="Arial" w:hAnsi="Arial" w:cs="Arial"/>
        </w:rPr>
      </w:pPr>
      <w:r w:rsidRPr="009064D0">
        <w:rPr>
          <w:rFonts w:ascii="Arial" w:hAnsi="Arial" w:cs="Arial"/>
        </w:rPr>
        <w:t>The increase in regulatory and compliance costs for the real economy would also affect medium and large non-financial entities. In fact, the carve-out removal would artificially increase their level towards EMIR thresholds (unless ESMA revise them), with two possible consequences. (</w:t>
      </w:r>
      <w:proofErr w:type="spellStart"/>
      <w:r w:rsidRPr="009064D0">
        <w:rPr>
          <w:rFonts w:ascii="Arial" w:hAnsi="Arial" w:cs="Arial"/>
        </w:rPr>
        <w:t>i</w:t>
      </w:r>
      <w:proofErr w:type="spellEnd"/>
      <w:r w:rsidRPr="009064D0">
        <w:rPr>
          <w:rFonts w:ascii="Arial" w:hAnsi="Arial" w:cs="Arial"/>
        </w:rPr>
        <w:t xml:space="preserve">) Energy firms may cut their activity on physical markets, to the detriment of the liquidity of such markets and with a consequent increase of hedging costs for all the participants in those markets. (ii) Otherwise, they could breach EMIR thresholds, in which case they would have to face the high cost of clearing and </w:t>
      </w:r>
      <w:r w:rsidRPr="009064D0">
        <w:rPr>
          <w:rFonts w:ascii="Arial" w:hAnsi="Arial" w:cs="Arial"/>
        </w:rPr>
        <w:lastRenderedPageBreak/>
        <w:t>margining obligations. This scenario might negatively affect the ability of energy companies to invest in the real economy, jeopardising their role in the fight to climate change and in the transition towards a more sustainable economic and energy system.</w:t>
      </w:r>
    </w:p>
    <w:p w14:paraId="51603306" w14:textId="3920CB70" w:rsidR="00D5365A" w:rsidRDefault="00EC177E" w:rsidP="00EC177E">
      <w:pPr>
        <w:rPr>
          <w:rFonts w:ascii="Arial" w:hAnsi="Arial" w:cs="Arial"/>
        </w:rPr>
      </w:pPr>
      <w:r w:rsidRPr="009064D0">
        <w:rPr>
          <w:rFonts w:ascii="Arial" w:hAnsi="Arial" w:cs="Arial"/>
        </w:rPr>
        <w:t xml:space="preserve">As a final, though not less relevant, argumentation against the removal of the carve-out, it should be considered that </w:t>
      </w:r>
      <w:r w:rsidRPr="009064D0">
        <w:rPr>
          <w:rFonts w:ascii="Arial" w:hAnsi="Arial" w:cs="Arial"/>
          <w:b/>
        </w:rPr>
        <w:t>electricity and gas markets are regulated by national laws and EU regulations, and are widely supervised by National Regulatory Authorities and ACER</w:t>
      </w:r>
      <w:r w:rsidRPr="009064D0">
        <w:rPr>
          <w:rFonts w:ascii="Arial" w:hAnsi="Arial" w:cs="Arial"/>
        </w:rPr>
        <w:t>. This strong regulatory framework ensures the existence of competitive markets among energy firms, the protection of final customers and a consolidated system for preventing and sanctioning market abuses. We hardly see any need for further extending the scope of financial regulation towards REMIT contracts traded OTFs, as trading on OTFs is limited to trading between firms, which have to manage their supply and demand and cover their industrial risks.</w:t>
      </w:r>
    </w:p>
    <w:permEnd w:id="311558394"/>
    <w:p w14:paraId="72923BA0" w14:textId="77777777" w:rsidR="00D5365A" w:rsidRDefault="00D5365A" w:rsidP="00D5365A">
      <w:pPr>
        <w:rPr>
          <w:rFonts w:ascii="Arial" w:hAnsi="Arial" w:cs="Arial"/>
        </w:rPr>
      </w:pPr>
      <w:r>
        <w:rPr>
          <w:rFonts w:ascii="Arial" w:hAnsi="Arial" w:cs="Arial"/>
        </w:rPr>
        <w:t>&lt;ESMA_QUESTION_WPR_2&gt;</w:t>
      </w:r>
    </w:p>
    <w:p w14:paraId="6F067025" w14:textId="77777777" w:rsidR="00D5365A" w:rsidRDefault="00D5365A" w:rsidP="00D5365A">
      <w:pPr>
        <w:rPr>
          <w:rFonts w:ascii="Arial" w:hAnsi="Arial" w:cs="Arial"/>
        </w:rPr>
      </w:pPr>
    </w:p>
    <w:p w14:paraId="65092191" w14:textId="77777777" w:rsidR="00D5365A" w:rsidRDefault="00D5365A" w:rsidP="00D5365A">
      <w:pPr>
        <w:pStyle w:val="Questionstyle"/>
        <w:numPr>
          <w:ilvl w:val="0"/>
          <w:numId w:val="17"/>
        </w:numPr>
        <w:spacing w:after="250" w:line="276" w:lineRule="auto"/>
        <w:rPr>
          <w:rFonts w:ascii="Arial" w:hAnsi="Arial" w:cs="Arial"/>
        </w:rPr>
      </w:pPr>
      <w:r>
        <w:t>: Do you agree that the position limit framework should not apply to securitised derivatives? If not, please explain why.</w:t>
      </w:r>
    </w:p>
    <w:p w14:paraId="2A59A7B2" w14:textId="77777777" w:rsidR="00D5365A" w:rsidRDefault="00D5365A" w:rsidP="00D5365A">
      <w:pPr>
        <w:rPr>
          <w:rFonts w:ascii="Arial" w:hAnsi="Arial" w:cs="Arial"/>
        </w:rPr>
      </w:pPr>
      <w:r>
        <w:rPr>
          <w:rFonts w:ascii="Arial" w:hAnsi="Arial" w:cs="Arial"/>
        </w:rPr>
        <w:t>&lt;ESMA_QUESTION_WPR_3&gt;</w:t>
      </w:r>
    </w:p>
    <w:p w14:paraId="4C832058" w14:textId="77777777" w:rsidR="00D5365A" w:rsidRDefault="00D5365A" w:rsidP="00D5365A">
      <w:pPr>
        <w:rPr>
          <w:rFonts w:ascii="Arial" w:hAnsi="Arial" w:cs="Arial"/>
        </w:rPr>
      </w:pPr>
      <w:permStart w:id="1945511407" w:edGrp="everyone"/>
      <w:r>
        <w:rPr>
          <w:rFonts w:ascii="Arial" w:hAnsi="Arial" w:cs="Arial"/>
        </w:rPr>
        <w:t>TYPE YOUR TEXT HERE</w:t>
      </w:r>
    </w:p>
    <w:permEnd w:id="1945511407"/>
    <w:p w14:paraId="5D7CB126" w14:textId="77777777" w:rsidR="00D5365A" w:rsidRDefault="00D5365A" w:rsidP="00D5365A">
      <w:pPr>
        <w:rPr>
          <w:rFonts w:ascii="Arial" w:hAnsi="Arial" w:cs="Arial"/>
        </w:rPr>
      </w:pPr>
      <w:r>
        <w:rPr>
          <w:rFonts w:ascii="Arial" w:hAnsi="Arial" w:cs="Arial"/>
        </w:rPr>
        <w:t>&lt;ESMA_QUESTION_WPR_3&gt;</w:t>
      </w:r>
    </w:p>
    <w:p w14:paraId="13A4EF33" w14:textId="77777777" w:rsidR="00D5365A" w:rsidRDefault="00D5365A" w:rsidP="00D5365A">
      <w:pPr>
        <w:rPr>
          <w:rFonts w:ascii="Arial" w:hAnsi="Arial" w:cs="Arial"/>
        </w:rPr>
      </w:pPr>
    </w:p>
    <w:p w14:paraId="39793CB0" w14:textId="77777777" w:rsidR="00D5365A" w:rsidRDefault="00D5365A" w:rsidP="00D5365A">
      <w:pPr>
        <w:pStyle w:val="Questionstyle"/>
        <w:numPr>
          <w:ilvl w:val="0"/>
          <w:numId w:val="17"/>
        </w:numPr>
        <w:spacing w:after="250" w:line="276" w:lineRule="auto"/>
        <w:rPr>
          <w:rFonts w:ascii="Arial" w:hAnsi="Arial" w:cs="Arial"/>
        </w:rPr>
      </w:pPr>
      <w:r>
        <w:t xml:space="preserve">: Which option do you support to address the negative impact of position limits on new and illiquid commodity derivatives: Option 1 or Option 2? Please explain why. If you support another alternative, please explain which one and why. </w:t>
      </w:r>
    </w:p>
    <w:p w14:paraId="7B19F883" w14:textId="77777777" w:rsidR="00D5365A" w:rsidRDefault="00D5365A" w:rsidP="00D5365A">
      <w:pPr>
        <w:rPr>
          <w:rFonts w:ascii="Arial" w:hAnsi="Arial" w:cs="Arial"/>
        </w:rPr>
      </w:pPr>
      <w:r>
        <w:rPr>
          <w:rFonts w:ascii="Arial" w:hAnsi="Arial" w:cs="Arial"/>
        </w:rPr>
        <w:t>&lt;ESMA_QUESTION_WPR_4&gt;</w:t>
      </w:r>
    </w:p>
    <w:p w14:paraId="2E940D21" w14:textId="77777777" w:rsidR="00EC177E" w:rsidRPr="009064D0" w:rsidRDefault="00EC177E" w:rsidP="00EC177E">
      <w:pPr>
        <w:ind w:left="709"/>
        <w:jc w:val="both"/>
        <w:rPr>
          <w:rFonts w:ascii="Arial" w:hAnsi="Arial" w:cs="Arial"/>
        </w:rPr>
      </w:pPr>
      <w:permStart w:id="342492330" w:edGrp="everyone"/>
      <w:r w:rsidRPr="009064D0">
        <w:rPr>
          <w:rFonts w:ascii="Arial" w:hAnsi="Arial" w:cs="Arial"/>
        </w:rPr>
        <w:t xml:space="preserve">Anigas appreciates ESMA’s plan to introduce simplifications for mitigating the possible negative impact of position limits on new and illiquid market. </w:t>
      </w:r>
    </w:p>
    <w:p w14:paraId="2E5FABDB" w14:textId="23C2970C" w:rsidR="00D5365A" w:rsidRDefault="00EC177E" w:rsidP="00EC177E">
      <w:pPr>
        <w:ind w:left="709"/>
        <w:jc w:val="both"/>
        <w:rPr>
          <w:rFonts w:ascii="Arial" w:hAnsi="Arial" w:cs="Arial"/>
        </w:rPr>
      </w:pPr>
      <w:r w:rsidRPr="009064D0">
        <w:rPr>
          <w:rFonts w:ascii="Arial" w:hAnsi="Arial" w:cs="Arial"/>
        </w:rPr>
        <w:t>At the same time, we must notice that at this stage several entities may have procured and developed more or less sophisticated and expensive tools for monitoring position limits according to the rules and criteria defined in 2016 by the Commission Delegated Regulation n. 2017/591. Generally speaking, Anigas considers that any regulatory initiative should be designed as simple and light as possible since its original introduction, especially if requiring digital and IT evolutions, in order to avoid that the original costs incurred are totally or partially useless after an initial compliance period.</w:t>
      </w:r>
    </w:p>
    <w:permEnd w:id="342492330"/>
    <w:p w14:paraId="2750CA8D" w14:textId="77777777" w:rsidR="00D5365A" w:rsidRDefault="00D5365A" w:rsidP="00D5365A">
      <w:pPr>
        <w:rPr>
          <w:rFonts w:ascii="Arial" w:hAnsi="Arial" w:cs="Arial"/>
        </w:rPr>
      </w:pPr>
      <w:r>
        <w:rPr>
          <w:rFonts w:ascii="Arial" w:hAnsi="Arial" w:cs="Arial"/>
        </w:rPr>
        <w:t>&lt;ESMA_QUESTION_WPR_4&gt;</w:t>
      </w:r>
    </w:p>
    <w:p w14:paraId="61773C77" w14:textId="77777777" w:rsidR="00D5365A" w:rsidRDefault="00D5365A" w:rsidP="00D5365A">
      <w:pPr>
        <w:rPr>
          <w:rFonts w:ascii="Arial" w:hAnsi="Arial" w:cs="Arial"/>
        </w:rPr>
      </w:pPr>
    </w:p>
    <w:p w14:paraId="365798BE" w14:textId="77777777" w:rsidR="00D5365A" w:rsidRDefault="00D5365A" w:rsidP="00D5365A">
      <w:pPr>
        <w:pStyle w:val="Questionstyle"/>
        <w:numPr>
          <w:ilvl w:val="0"/>
          <w:numId w:val="17"/>
        </w:numPr>
        <w:spacing w:after="250" w:line="276" w:lineRule="auto"/>
        <w:rPr>
          <w:rFonts w:ascii="Arial" w:hAnsi="Arial" w:cs="Arial"/>
        </w:rPr>
      </w:pPr>
      <w:r>
        <w:t xml:space="preserve">: If you support Option 1 and would suggest different or additional criteria to determine whether a contract qualifies as a critical contract, please explain which ones.  </w:t>
      </w:r>
    </w:p>
    <w:p w14:paraId="598B7FFF" w14:textId="77777777" w:rsidR="00D5365A" w:rsidRDefault="00D5365A" w:rsidP="00D5365A">
      <w:pPr>
        <w:rPr>
          <w:rFonts w:ascii="Arial" w:hAnsi="Arial" w:cs="Arial"/>
        </w:rPr>
      </w:pPr>
      <w:r>
        <w:rPr>
          <w:rFonts w:ascii="Arial" w:hAnsi="Arial" w:cs="Arial"/>
        </w:rPr>
        <w:t>&lt;ESMA_QUESTION_WPR_5&gt;</w:t>
      </w:r>
    </w:p>
    <w:p w14:paraId="57BA44B5" w14:textId="77777777" w:rsidR="00D5365A" w:rsidRDefault="00D5365A" w:rsidP="00D5365A">
      <w:pPr>
        <w:rPr>
          <w:rFonts w:ascii="Arial" w:hAnsi="Arial" w:cs="Arial"/>
        </w:rPr>
      </w:pPr>
      <w:permStart w:id="897407953" w:edGrp="everyone"/>
      <w:r>
        <w:rPr>
          <w:rFonts w:ascii="Arial" w:hAnsi="Arial" w:cs="Arial"/>
        </w:rPr>
        <w:t>TYPE YOUR TEXT HERE</w:t>
      </w:r>
    </w:p>
    <w:permEnd w:id="897407953"/>
    <w:p w14:paraId="1FEAC340" w14:textId="77777777" w:rsidR="00D5365A" w:rsidRDefault="00D5365A" w:rsidP="00D5365A">
      <w:pPr>
        <w:rPr>
          <w:rFonts w:ascii="Arial" w:hAnsi="Arial" w:cs="Arial"/>
        </w:rPr>
      </w:pPr>
      <w:r>
        <w:rPr>
          <w:rFonts w:ascii="Arial" w:hAnsi="Arial" w:cs="Arial"/>
        </w:rPr>
        <w:t>&lt;ESMA_QUESTION_WPR_5&gt;</w:t>
      </w:r>
    </w:p>
    <w:p w14:paraId="0C512C85" w14:textId="77777777" w:rsidR="00D5365A" w:rsidRDefault="00D5365A" w:rsidP="00D5365A">
      <w:pPr>
        <w:rPr>
          <w:rFonts w:ascii="Arial" w:hAnsi="Arial" w:cs="Arial"/>
        </w:rPr>
      </w:pPr>
    </w:p>
    <w:p w14:paraId="21259B9F" w14:textId="77777777" w:rsidR="00D5365A" w:rsidRDefault="00D5365A" w:rsidP="00D5365A">
      <w:pPr>
        <w:pStyle w:val="Questionstyle"/>
        <w:numPr>
          <w:ilvl w:val="0"/>
          <w:numId w:val="17"/>
        </w:numPr>
        <w:spacing w:after="250" w:line="276" w:lineRule="auto"/>
        <w:rPr>
          <w:rFonts w:ascii="Arial" w:hAnsi="Arial" w:cs="Arial"/>
        </w:rPr>
      </w:pPr>
      <w:r>
        <w:lastRenderedPageBreak/>
        <w:t>: Which open interest and participant threshold would you suggest for qualifying a commodity derivative as a critical one?</w:t>
      </w:r>
    </w:p>
    <w:p w14:paraId="3ACFEA2B" w14:textId="77777777" w:rsidR="00D5365A" w:rsidRDefault="00D5365A" w:rsidP="00D5365A">
      <w:pPr>
        <w:rPr>
          <w:rFonts w:ascii="Arial" w:hAnsi="Arial" w:cs="Arial"/>
        </w:rPr>
      </w:pPr>
      <w:r>
        <w:rPr>
          <w:rFonts w:ascii="Arial" w:hAnsi="Arial" w:cs="Arial"/>
        </w:rPr>
        <w:t>&lt;ESMA_QUESTION_WPR_6&gt;</w:t>
      </w:r>
    </w:p>
    <w:p w14:paraId="5557516E" w14:textId="77777777" w:rsidR="00D5365A" w:rsidRDefault="00D5365A" w:rsidP="00D5365A">
      <w:pPr>
        <w:rPr>
          <w:rFonts w:ascii="Arial" w:hAnsi="Arial" w:cs="Arial"/>
        </w:rPr>
      </w:pPr>
      <w:permStart w:id="1821780740" w:edGrp="everyone"/>
      <w:r>
        <w:rPr>
          <w:rFonts w:ascii="Arial" w:hAnsi="Arial" w:cs="Arial"/>
        </w:rPr>
        <w:t>TYPE YOUR TEXT HERE</w:t>
      </w:r>
    </w:p>
    <w:permEnd w:id="1821780740"/>
    <w:p w14:paraId="11DBD2B0" w14:textId="77777777" w:rsidR="00D5365A" w:rsidRDefault="00D5365A" w:rsidP="00D5365A">
      <w:pPr>
        <w:rPr>
          <w:rFonts w:ascii="Arial" w:hAnsi="Arial" w:cs="Arial"/>
        </w:rPr>
      </w:pPr>
      <w:r>
        <w:rPr>
          <w:rFonts w:ascii="Arial" w:hAnsi="Arial" w:cs="Arial"/>
        </w:rPr>
        <w:t>&lt;ESMA_QUESTION_WPR_6&gt;</w:t>
      </w:r>
    </w:p>
    <w:p w14:paraId="392E68BA" w14:textId="77777777" w:rsidR="00D5365A" w:rsidRDefault="00D5365A" w:rsidP="00D5365A">
      <w:pPr>
        <w:rPr>
          <w:rFonts w:ascii="Arial" w:hAnsi="Arial" w:cs="Arial"/>
        </w:rPr>
      </w:pPr>
    </w:p>
    <w:p w14:paraId="447489A7" w14:textId="77777777" w:rsidR="00D5365A" w:rsidRDefault="00D5365A" w:rsidP="00D5365A">
      <w:pPr>
        <w:pStyle w:val="Questionstyle"/>
        <w:numPr>
          <w:ilvl w:val="0"/>
          <w:numId w:val="17"/>
        </w:numPr>
        <w:spacing w:after="250" w:line="276" w:lineRule="auto"/>
        <w:rPr>
          <w:rFonts w:ascii="Arial" w:hAnsi="Arial" w:cs="Arial"/>
        </w:rPr>
      </w:pPr>
      <w:r>
        <w:t>: Would you support a position limit exemption for financial counterparties under mandatory liquidity provision obligations? If not, please explain why.</w:t>
      </w:r>
    </w:p>
    <w:p w14:paraId="45D19C97" w14:textId="77777777" w:rsidR="00D5365A" w:rsidRDefault="00D5365A" w:rsidP="00D5365A">
      <w:pPr>
        <w:rPr>
          <w:rFonts w:ascii="Arial" w:hAnsi="Arial" w:cs="Arial"/>
        </w:rPr>
      </w:pPr>
      <w:r>
        <w:rPr>
          <w:rFonts w:ascii="Arial" w:hAnsi="Arial" w:cs="Arial"/>
        </w:rPr>
        <w:t>&lt;ESMA_QUESTION_WPR_7&gt;</w:t>
      </w:r>
    </w:p>
    <w:p w14:paraId="15712D4B" w14:textId="77777777" w:rsidR="00D5365A" w:rsidRDefault="00D5365A" w:rsidP="00D5365A">
      <w:pPr>
        <w:rPr>
          <w:rFonts w:ascii="Arial" w:hAnsi="Arial" w:cs="Arial"/>
        </w:rPr>
      </w:pPr>
      <w:permStart w:id="602737691" w:edGrp="everyone"/>
      <w:r>
        <w:rPr>
          <w:rFonts w:ascii="Arial" w:hAnsi="Arial" w:cs="Arial"/>
        </w:rPr>
        <w:t>TYPE YOUR TEXT HERE</w:t>
      </w:r>
    </w:p>
    <w:permEnd w:id="602737691"/>
    <w:p w14:paraId="31E340F5" w14:textId="77777777" w:rsidR="00D5365A" w:rsidRDefault="00D5365A" w:rsidP="00D5365A">
      <w:pPr>
        <w:rPr>
          <w:rFonts w:ascii="Arial" w:hAnsi="Arial" w:cs="Arial"/>
        </w:rPr>
      </w:pPr>
      <w:r>
        <w:rPr>
          <w:rFonts w:ascii="Arial" w:hAnsi="Arial" w:cs="Arial"/>
        </w:rPr>
        <w:t>&lt;ESMA_QUESTION_WPR_7&gt;</w:t>
      </w:r>
    </w:p>
    <w:p w14:paraId="763FBF02" w14:textId="77777777" w:rsidR="00D5365A" w:rsidRDefault="00D5365A" w:rsidP="00D5365A">
      <w:pPr>
        <w:rPr>
          <w:rFonts w:ascii="Arial" w:hAnsi="Arial" w:cs="Arial"/>
        </w:rPr>
      </w:pPr>
    </w:p>
    <w:p w14:paraId="068F9EED" w14:textId="77777777" w:rsidR="00D5365A" w:rsidRDefault="00D5365A" w:rsidP="00D5365A">
      <w:pPr>
        <w:pStyle w:val="Questionstyle"/>
        <w:numPr>
          <w:ilvl w:val="0"/>
          <w:numId w:val="17"/>
        </w:numPr>
        <w:spacing w:after="250" w:line="276" w:lineRule="auto"/>
        <w:rPr>
          <w:rFonts w:ascii="Arial" w:hAnsi="Arial" w:cs="Arial"/>
        </w:rPr>
      </w:pPr>
      <w:r>
        <w:t>: Would you support introducing a hedging exemption for financial counterparties along the lines described above? If not, please explain why.</w:t>
      </w:r>
    </w:p>
    <w:p w14:paraId="4ED08C7D" w14:textId="77777777" w:rsidR="00D5365A" w:rsidRDefault="00D5365A" w:rsidP="00D5365A">
      <w:pPr>
        <w:rPr>
          <w:rFonts w:ascii="Arial" w:hAnsi="Arial" w:cs="Arial"/>
        </w:rPr>
      </w:pPr>
      <w:r>
        <w:rPr>
          <w:rFonts w:ascii="Arial" w:hAnsi="Arial" w:cs="Arial"/>
        </w:rPr>
        <w:t>&lt;ESMA_QUESTION_WPR_8&gt;</w:t>
      </w:r>
    </w:p>
    <w:p w14:paraId="31AA7F90" w14:textId="77777777" w:rsidR="00D5365A" w:rsidRDefault="00D5365A" w:rsidP="00D5365A">
      <w:pPr>
        <w:rPr>
          <w:rFonts w:ascii="Arial" w:hAnsi="Arial" w:cs="Arial"/>
        </w:rPr>
      </w:pPr>
      <w:permStart w:id="1586561396" w:edGrp="everyone"/>
      <w:r>
        <w:rPr>
          <w:rFonts w:ascii="Arial" w:hAnsi="Arial" w:cs="Arial"/>
        </w:rPr>
        <w:t>TYPE YOUR TEXT HERE</w:t>
      </w:r>
    </w:p>
    <w:permEnd w:id="1586561396"/>
    <w:p w14:paraId="74EC7D38" w14:textId="77777777" w:rsidR="00D5365A" w:rsidRDefault="00D5365A" w:rsidP="00D5365A">
      <w:pPr>
        <w:rPr>
          <w:rFonts w:ascii="Arial" w:hAnsi="Arial" w:cs="Arial"/>
        </w:rPr>
      </w:pPr>
      <w:r>
        <w:rPr>
          <w:rFonts w:ascii="Arial" w:hAnsi="Arial" w:cs="Arial"/>
        </w:rPr>
        <w:t>&lt;ESMA_QUESTION_WPR_8&gt;</w:t>
      </w:r>
    </w:p>
    <w:p w14:paraId="2F8CB93E" w14:textId="77777777" w:rsidR="00D5365A" w:rsidRDefault="00D5365A" w:rsidP="00D5365A">
      <w:pPr>
        <w:rPr>
          <w:rFonts w:ascii="Arial" w:hAnsi="Arial" w:cs="Arial"/>
        </w:rPr>
      </w:pPr>
    </w:p>
    <w:p w14:paraId="44AB489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ESMA’s proposals to amend Article 57(8)(b) of MiFID II and to introduce Level 2 measures on position management controls? If not, please explain why. </w:t>
      </w:r>
    </w:p>
    <w:p w14:paraId="7A0C336C" w14:textId="77777777" w:rsidR="00D5365A" w:rsidRDefault="00D5365A" w:rsidP="00D5365A">
      <w:pPr>
        <w:rPr>
          <w:rFonts w:ascii="Arial" w:hAnsi="Arial" w:cs="Arial"/>
        </w:rPr>
      </w:pPr>
      <w:r>
        <w:rPr>
          <w:rFonts w:ascii="Arial" w:hAnsi="Arial" w:cs="Arial"/>
        </w:rPr>
        <w:t>&lt;ESMA_QUESTION_WPR_9&gt;</w:t>
      </w:r>
    </w:p>
    <w:p w14:paraId="411DB863" w14:textId="77777777" w:rsidR="00D5365A" w:rsidRDefault="00D5365A" w:rsidP="00D5365A">
      <w:pPr>
        <w:rPr>
          <w:rFonts w:ascii="Arial" w:hAnsi="Arial" w:cs="Arial"/>
        </w:rPr>
      </w:pPr>
      <w:permStart w:id="1662860103" w:edGrp="everyone"/>
      <w:r>
        <w:rPr>
          <w:rFonts w:ascii="Arial" w:hAnsi="Arial" w:cs="Arial"/>
        </w:rPr>
        <w:t>TYPE YOUR TEXT HERE</w:t>
      </w:r>
    </w:p>
    <w:permEnd w:id="1662860103"/>
    <w:p w14:paraId="2C377513" w14:textId="77777777" w:rsidR="00D5365A" w:rsidRDefault="00D5365A" w:rsidP="00D5365A">
      <w:pPr>
        <w:rPr>
          <w:rFonts w:ascii="Arial" w:hAnsi="Arial" w:cs="Arial"/>
        </w:rPr>
      </w:pPr>
      <w:r>
        <w:rPr>
          <w:rFonts w:ascii="Arial" w:hAnsi="Arial" w:cs="Arial"/>
        </w:rPr>
        <w:t>&lt;ESMA_QUESTION_WPR_9&gt;</w:t>
      </w:r>
    </w:p>
    <w:p w14:paraId="66931BD6" w14:textId="77C0A432" w:rsidR="00D5365A" w:rsidRDefault="00D5365A" w:rsidP="00D5365A">
      <w:pPr>
        <w:rPr>
          <w:rFonts w:ascii="Arial" w:hAnsi="Arial" w:cs="Arial"/>
        </w:rPr>
      </w:pPr>
    </w:p>
    <w:p w14:paraId="3468173D" w14:textId="1850607F" w:rsidR="00D5365A" w:rsidRDefault="00D5365A" w:rsidP="00D5365A">
      <w:pPr>
        <w:rPr>
          <w:rFonts w:ascii="Arial" w:hAnsi="Arial" w:cs="Arial"/>
        </w:rPr>
      </w:pPr>
    </w:p>
    <w:p w14:paraId="3920CAF1" w14:textId="77777777" w:rsidR="00D5365A" w:rsidRPr="002847A4" w:rsidRDefault="00D5365A" w:rsidP="00D5365A">
      <w:pPr>
        <w:rPr>
          <w:b/>
        </w:rPr>
      </w:pPr>
      <w:r w:rsidRPr="002847A4">
        <w:rPr>
          <w:b/>
        </w:rPr>
        <w:t>Part II</w:t>
      </w:r>
    </w:p>
    <w:p w14:paraId="5E9299BD" w14:textId="77777777" w:rsidR="00D5365A" w:rsidRDefault="00D5365A" w:rsidP="00D5365A">
      <w:pPr>
        <w:rPr>
          <w:rFonts w:ascii="Arial" w:hAnsi="Arial" w:cs="Arial"/>
        </w:rPr>
      </w:pPr>
    </w:p>
    <w:p w14:paraId="349FDAF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the revised proposed minimum threshold level for the open interest criterion for the publication of weekly position reports? If not, please state your preferred alternative for the definition of this threshold and explain why. </w:t>
      </w:r>
    </w:p>
    <w:p w14:paraId="739F7FEE" w14:textId="77777777" w:rsidR="00D5365A" w:rsidRDefault="00D5365A" w:rsidP="00D5365A">
      <w:pPr>
        <w:rPr>
          <w:rFonts w:ascii="Arial" w:hAnsi="Arial" w:cs="Arial"/>
        </w:rPr>
      </w:pPr>
      <w:r>
        <w:rPr>
          <w:rFonts w:ascii="Arial" w:hAnsi="Arial" w:cs="Arial"/>
        </w:rPr>
        <w:t>&lt;ESMA_QUESTION_WPR_10&gt;</w:t>
      </w:r>
    </w:p>
    <w:p w14:paraId="48FBBDA1" w14:textId="77777777" w:rsidR="00D5365A" w:rsidRDefault="00D5365A" w:rsidP="00D5365A">
      <w:pPr>
        <w:rPr>
          <w:rFonts w:ascii="Arial" w:hAnsi="Arial" w:cs="Arial"/>
        </w:rPr>
      </w:pPr>
      <w:permStart w:id="68034811" w:edGrp="everyone"/>
      <w:r>
        <w:rPr>
          <w:rFonts w:ascii="Arial" w:hAnsi="Arial" w:cs="Arial"/>
        </w:rPr>
        <w:t>TYPE YOUR TEXT HERE</w:t>
      </w:r>
    </w:p>
    <w:permEnd w:id="68034811"/>
    <w:p w14:paraId="7CA6A02D" w14:textId="77777777" w:rsidR="00D5365A" w:rsidRDefault="00D5365A" w:rsidP="00D5365A">
      <w:pPr>
        <w:rPr>
          <w:rFonts w:ascii="Arial" w:hAnsi="Arial" w:cs="Arial"/>
        </w:rPr>
      </w:pPr>
      <w:r>
        <w:rPr>
          <w:rFonts w:ascii="Arial" w:hAnsi="Arial" w:cs="Arial"/>
        </w:rPr>
        <w:t>&lt;ESMA_QUESTION_WPR_10&gt;</w:t>
      </w:r>
    </w:p>
    <w:p w14:paraId="1F5BE49F" w14:textId="77777777" w:rsidR="00D5365A" w:rsidRDefault="00D5365A" w:rsidP="00D5365A">
      <w:pPr>
        <w:rPr>
          <w:rFonts w:ascii="Arial" w:hAnsi="Arial" w:cs="Arial"/>
        </w:rPr>
      </w:pPr>
    </w:p>
    <w:p w14:paraId="235E6E6C" w14:textId="77777777" w:rsidR="00D5365A" w:rsidRDefault="00D5365A" w:rsidP="00D5365A">
      <w:pPr>
        <w:pStyle w:val="Questionstyle"/>
        <w:numPr>
          <w:ilvl w:val="0"/>
          <w:numId w:val="17"/>
        </w:numPr>
        <w:spacing w:after="250" w:line="276" w:lineRule="auto"/>
        <w:rPr>
          <w:rFonts w:ascii="Arial" w:hAnsi="Arial" w:cs="Arial"/>
        </w:rPr>
      </w:pPr>
      <w:r>
        <w:t>: Do you have any comment on the current number of position holders required for the publication of weekly position reports?</w:t>
      </w:r>
    </w:p>
    <w:p w14:paraId="78BEE3B9" w14:textId="77777777" w:rsidR="00D5365A" w:rsidRDefault="00D5365A" w:rsidP="00D5365A">
      <w:pPr>
        <w:rPr>
          <w:rFonts w:ascii="Arial" w:hAnsi="Arial" w:cs="Arial"/>
        </w:rPr>
      </w:pPr>
      <w:r>
        <w:rPr>
          <w:rFonts w:ascii="Arial" w:hAnsi="Arial" w:cs="Arial"/>
        </w:rPr>
        <w:t>&lt;ESMA_QUESTION_WPR_11&gt;</w:t>
      </w:r>
    </w:p>
    <w:p w14:paraId="4E331CC7" w14:textId="77777777" w:rsidR="00D5365A" w:rsidRDefault="00D5365A" w:rsidP="00D5365A">
      <w:pPr>
        <w:rPr>
          <w:rFonts w:ascii="Arial" w:hAnsi="Arial" w:cs="Arial"/>
        </w:rPr>
      </w:pPr>
      <w:permStart w:id="281428305" w:edGrp="everyone"/>
      <w:r>
        <w:rPr>
          <w:rFonts w:ascii="Arial" w:hAnsi="Arial" w:cs="Arial"/>
        </w:rPr>
        <w:t>TYPE YOUR TEXT HERE</w:t>
      </w:r>
    </w:p>
    <w:permEnd w:id="281428305"/>
    <w:p w14:paraId="19E3DFC7" w14:textId="77777777" w:rsidR="00D5365A" w:rsidRDefault="00D5365A" w:rsidP="00D5365A">
      <w:pPr>
        <w:rPr>
          <w:rFonts w:ascii="Arial" w:hAnsi="Arial" w:cs="Arial"/>
        </w:rPr>
      </w:pPr>
      <w:r>
        <w:rPr>
          <w:rFonts w:ascii="Arial" w:hAnsi="Arial" w:cs="Arial"/>
        </w:rPr>
        <w:t>&lt;ESMA_QUESTION_WPR_11&gt;</w:t>
      </w:r>
    </w:p>
    <w:p w14:paraId="560C94D5" w14:textId="77777777" w:rsidR="00D5365A" w:rsidRDefault="00D5365A" w:rsidP="00D5365A">
      <w:pPr>
        <w:rPr>
          <w:rFonts w:ascii="Arial" w:hAnsi="Arial" w:cs="Arial"/>
        </w:rPr>
      </w:pPr>
    </w:p>
    <w:p w14:paraId="3BB68A6B" w14:textId="77777777" w:rsidR="00D5365A" w:rsidRDefault="00D5365A" w:rsidP="00D5365A">
      <w:pPr>
        <w:rPr>
          <w:rFonts w:ascii="Arial" w:hAnsi="Arial" w:cs="Arial"/>
        </w:rPr>
      </w:pPr>
    </w:p>
    <w:p w14:paraId="289A1E31" w14:textId="022DBCBF" w:rsidR="00AB6157" w:rsidRDefault="00AB6157" w:rsidP="00C1698A">
      <w:pPr>
        <w:spacing w:line="276" w:lineRule="auto"/>
        <w:rPr>
          <w:rFonts w:asciiTheme="minorHAnsi" w:hAnsiTheme="minorHAnsi" w:cstheme="minorHAnsi"/>
          <w:b/>
          <w:sz w:val="28"/>
          <w:szCs w:val="28"/>
        </w:rPr>
      </w:pPr>
    </w:p>
    <w:bookmarkEnd w:id="1"/>
    <w:sectPr w:rsidR="00AB6157" w:rsidSect="00C85C8B">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BD937" w14:textId="77777777" w:rsidR="002B1A78" w:rsidRDefault="002B1A78" w:rsidP="007E7997">
      <w:r>
        <w:separator/>
      </w:r>
    </w:p>
  </w:endnote>
  <w:endnote w:type="continuationSeparator" w:id="0">
    <w:p w14:paraId="0DCC92D7" w14:textId="77777777" w:rsidR="002B1A78" w:rsidRDefault="002B1A78" w:rsidP="007E7997">
      <w:r>
        <w:continuationSeparator/>
      </w:r>
    </w:p>
  </w:endnote>
  <w:endnote w:type="continuationNotice" w:id="1">
    <w:p w14:paraId="72433557" w14:textId="77777777" w:rsidR="002B1A78" w:rsidRDefault="002B1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752671"/>
      <w:docPartObj>
        <w:docPartGallery w:val="Page Numbers (Bottom of Page)"/>
        <w:docPartUnique/>
      </w:docPartObj>
    </w:sdtPr>
    <w:sdtEndPr>
      <w:rPr>
        <w:noProof/>
      </w:rPr>
    </w:sdtEndPr>
    <w:sdtContent>
      <w:p w14:paraId="0CF5505D" w14:textId="212D7D4F" w:rsidR="00E36813" w:rsidRDefault="00E36813">
        <w:pPr>
          <w:pStyle w:val="Pidipagina"/>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F3915" w14:textId="1D422D72" w:rsidR="00E36813" w:rsidRDefault="00E36813" w:rsidP="007A160F">
    <w:pPr>
      <w:pStyle w:val="Pidipagina"/>
    </w:pPr>
    <w:r>
      <w:rPr>
        <w:rFonts w:asciiTheme="majorHAnsi" w:hAnsiTheme="majorHAnsi"/>
        <w:color w:val="FFFFFF" w:themeColor="background1"/>
      </w:rPr>
      <w:tab/>
    </w:r>
    <w:r>
      <w:rPr>
        <w:rFonts w:asciiTheme="majorHAnsi" w:hAnsiTheme="majorHAnsi"/>
        <w:color w:val="FFFFFF" w:themeColor="background1"/>
      </w:rPr>
      <w:tab/>
    </w:r>
    <w:r w:rsidR="002C56FD">
      <w:rPr>
        <w:rFonts w:asciiTheme="majorHAnsi" w:hAnsiTheme="majorHAnsi"/>
        <w:color w:val="FFFFFF" w:themeColor="background1"/>
      </w:rPr>
      <w:t>5</w:t>
    </w:r>
    <w:r w:rsidR="00C81B36">
      <w:rPr>
        <w:rFonts w:asciiTheme="majorHAnsi" w:hAnsiTheme="majorHAnsi"/>
        <w:color w:val="FFFFFF" w:themeColor="background1"/>
      </w:rPr>
      <w:t xml:space="preserve"> November </w:t>
    </w:r>
    <w:r w:rsidR="00AB6157">
      <w:rPr>
        <w:rFonts w:asciiTheme="majorHAnsi" w:hAnsiTheme="majorHAnsi"/>
        <w:color w:val="FFFFFF" w:themeColor="background1"/>
      </w:rPr>
      <w:t>2019</w:t>
    </w:r>
    <w:r w:rsidR="00FF6930">
      <w:rPr>
        <w:rFonts w:asciiTheme="majorHAnsi" w:hAnsiTheme="majorHAnsi"/>
        <w:color w:val="FFFFFF" w:themeColor="background1"/>
      </w:rPr>
      <w:t xml:space="preserve"> </w:t>
    </w:r>
    <w:r w:rsidR="00961EE5">
      <w:rPr>
        <w:rFonts w:asciiTheme="majorHAnsi" w:hAnsiTheme="majorHAnsi"/>
        <w:color w:val="FFFFFF" w:themeColor="background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752247"/>
      <w:docPartObj>
        <w:docPartGallery w:val="Page Numbers (Bottom of Page)"/>
        <w:docPartUnique/>
      </w:docPartObj>
    </w:sdtPr>
    <w:sdtEndPr>
      <w:rPr>
        <w:noProof/>
      </w:rPr>
    </w:sdtEndPr>
    <w:sdtContent>
      <w:p w14:paraId="4C9B3DBF" w14:textId="6ECC1B82" w:rsidR="00E36813" w:rsidRDefault="00E36813">
        <w:pPr>
          <w:pStyle w:val="Pidipagina"/>
          <w:jc w:val="center"/>
        </w:pPr>
        <w:r>
          <w:fldChar w:fldCharType="begin"/>
        </w:r>
        <w:r>
          <w:instrText xml:space="preserve"> PAGE   \* MERGEFORMAT </w:instrText>
        </w:r>
        <w:r>
          <w:fldChar w:fldCharType="separate"/>
        </w:r>
        <w:r w:rsidR="00EC177E">
          <w:rPr>
            <w:noProof/>
          </w:rPr>
          <w:t>1</w:t>
        </w:r>
        <w:r>
          <w:rPr>
            <w:noProof/>
          </w:rPr>
          <w:fldChar w:fldCharType="end"/>
        </w:r>
      </w:p>
    </w:sdtContent>
  </w:sdt>
  <w:p w14:paraId="5EAB6EC7" w14:textId="1F85019A" w:rsidR="00E36813" w:rsidRDefault="00E36813" w:rsidP="00FB24ED">
    <w:pPr>
      <w:pStyle w:val="Pidipa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8A265" w14:textId="77777777" w:rsidR="002B1A78" w:rsidRDefault="002B1A78" w:rsidP="007E7997">
      <w:r>
        <w:separator/>
      </w:r>
    </w:p>
  </w:footnote>
  <w:footnote w:type="continuationSeparator" w:id="0">
    <w:p w14:paraId="7D4B58B4" w14:textId="77777777" w:rsidR="002B1A78" w:rsidRDefault="002B1A78" w:rsidP="007E7997">
      <w:r>
        <w:continuationSeparator/>
      </w:r>
    </w:p>
  </w:footnote>
  <w:footnote w:type="continuationNotice" w:id="1">
    <w:p w14:paraId="119F3072" w14:textId="77777777" w:rsidR="002B1A78" w:rsidRDefault="002B1A78"/>
  </w:footnote>
  <w:footnote w:id="2">
    <w:p w14:paraId="3A29479A" w14:textId="77777777" w:rsidR="00EC177E" w:rsidRPr="001575AD" w:rsidRDefault="00EC177E" w:rsidP="00EC177E">
      <w:pPr>
        <w:pStyle w:val="Testonotaapidipagina"/>
      </w:pPr>
      <w:r>
        <w:rPr>
          <w:rStyle w:val="Rimandonotaapidipagina"/>
        </w:rPr>
        <w:footnoteRef/>
      </w:r>
      <w:r>
        <w:t xml:space="preserve"> </w:t>
      </w:r>
      <w:hyperlink r:id="rId1" w:history="1">
        <w:r w:rsidRPr="006C5E0A">
          <w:rPr>
            <w:rStyle w:val="Collegamentoipertestuale"/>
            <w:rFonts w:eastAsiaTheme="majorEastAsia"/>
          </w:rPr>
          <w:t>https://www.trayport.com/category/market-dynamics-report/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956F7" w14:textId="77777777" w:rsidR="00E36813" w:rsidRDefault="00E36813">
    <w:pPr>
      <w:pStyle w:val="Intestazione"/>
    </w:pPr>
  </w:p>
  <w:p w14:paraId="59FA3C9D" w14:textId="77777777" w:rsidR="00E36813" w:rsidRDefault="00E3681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91035" w14:textId="77777777" w:rsidR="00E36813" w:rsidRDefault="00E36813">
    <w:pPr>
      <w:pStyle w:val="Intestazione"/>
    </w:pPr>
    <w:r>
      <w:rPr>
        <w:noProof/>
        <w:lang w:val="it-IT" w:eastAsia="it-IT"/>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B6EC4" w14:textId="5E62980F" w:rsidR="00E36813" w:rsidRDefault="00E36813" w:rsidP="00B50534">
    <w:pPr>
      <w:pStyle w:val="Intestazione"/>
      <w:jc w:val="right"/>
      <w:rPr>
        <w:b/>
        <w:color w:val="FF0000"/>
      </w:rPr>
    </w:pPr>
    <w:r w:rsidRPr="008D5F86">
      <w:rPr>
        <w:rFonts w:ascii="Arial" w:hAnsi="Arial" w:cs="Arial"/>
        <w:noProof/>
        <w:lang w:val="it-IT" w:eastAsia="it-IT"/>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0782382"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Intestazion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it-IT" w:eastAsia="it-IT"/>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Intestazione"/>
      <w:jc w:val="right"/>
      <w:rPr>
        <w:color w:val="2F5496" w:themeColor="accent5" w:themeShade="BF"/>
        <w:sz w:val="20"/>
      </w:rPr>
    </w:pPr>
  </w:p>
  <w:p w14:paraId="5EAB6EC6" w14:textId="77777777" w:rsidR="00E36813" w:rsidRPr="00B50534" w:rsidRDefault="00E36813" w:rsidP="00B50534">
    <w:pPr>
      <w:pStyle w:val="Intestazione"/>
      <w:jc w:val="right"/>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3507F"/>
    <w:multiLevelType w:val="hybridMultilevel"/>
    <w:tmpl w:val="A886CE0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03">
      <w:start w:val="1"/>
      <w:numFmt w:val="bullet"/>
      <w:lvlText w:val="o"/>
      <w:lvlJc w:val="left"/>
      <w:pPr>
        <w:ind w:left="2160" w:hanging="180"/>
      </w:pPr>
      <w:rPr>
        <w:rFonts w:ascii="Courier New" w:hAnsi="Courier New" w:cs="Courier New" w:hint="default"/>
      </w:r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B9E089E"/>
    <w:multiLevelType w:val="hybridMultilevel"/>
    <w:tmpl w:val="87960D64"/>
    <w:lvl w:ilvl="0" w:tplc="4F30587E">
      <w:start w:val="1"/>
      <w:numFmt w:val="lowerLetter"/>
      <w:pStyle w:val="Tito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2D181D69"/>
    <w:multiLevelType w:val="hybridMultilevel"/>
    <w:tmpl w:val="0A189E10"/>
    <w:lvl w:ilvl="0" w:tplc="52DE78C0">
      <w:start w:val="1"/>
      <w:numFmt w:val="upperLetter"/>
      <w:pStyle w:val="Paragrafoelenco"/>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8B94941"/>
    <w:multiLevelType w:val="hybridMultilevel"/>
    <w:tmpl w:val="F8F0DA58"/>
    <w:lvl w:ilvl="0" w:tplc="EB64EF56">
      <w:start w:val="1"/>
      <w:numFmt w:val="bullet"/>
      <w:lvlText w:val=""/>
      <w:lvlJc w:val="left"/>
      <w:pPr>
        <w:ind w:left="360" w:hanging="360"/>
      </w:pPr>
      <w:rPr>
        <w:rFonts w:ascii="Symbol" w:hAnsi="Symbol" w:hint="default"/>
        <w:color w:val="auto"/>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6BAD1101"/>
    <w:multiLevelType w:val="multilevel"/>
    <w:tmpl w:val="766C753E"/>
    <w:lvl w:ilvl="0">
      <w:start w:val="1"/>
      <w:numFmt w:val="upperRoman"/>
      <w:pStyle w:val="Titolo1"/>
      <w:lvlText w:val="%1."/>
      <w:lvlJc w:val="righ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2">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
  </w:num>
  <w:num w:numId="3">
    <w:abstractNumId w:val="11"/>
  </w:num>
  <w:num w:numId="4">
    <w:abstractNumId w:val="2"/>
  </w:num>
  <w:num w:numId="5">
    <w:abstractNumId w:val="8"/>
  </w:num>
  <w:num w:numId="6">
    <w:abstractNumId w:val="13"/>
  </w:num>
  <w:num w:numId="7">
    <w:abstractNumId w:val="7"/>
  </w:num>
  <w:num w:numId="8">
    <w:abstractNumId w:val="3"/>
  </w:num>
  <w:num w:numId="9">
    <w:abstractNumId w:val="6"/>
  </w:num>
  <w:num w:numId="10">
    <w:abstractNumId w:val="5"/>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9"/>
  </w:num>
  <w:num w:numId="16">
    <w:abstractNumId w:val="1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documentProtection w:edit="readOnly" w:enforcement="1" w:cryptProviderType="rsaAES" w:cryptAlgorithmClass="hash" w:cryptAlgorithmType="typeAny" w:cryptAlgorithmSid="14" w:cryptSpinCount="100000" w:hash="3T4gHCw/36fZJqGjBpVdxSvdxJQQuQQ0Z20mR1FA0lQXwCE12LqF/2U4umVg3AevknaitzM/1I4cfr8FMyFGGw==" w:salt="5FaIoUXA3WEmdJfgWb4/lg=="/>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61A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4C4"/>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3F79"/>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0B7C"/>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1A78"/>
    <w:rsid w:val="002B53F3"/>
    <w:rsid w:val="002C03FD"/>
    <w:rsid w:val="002C044D"/>
    <w:rsid w:val="002C1AA5"/>
    <w:rsid w:val="002C2A46"/>
    <w:rsid w:val="002C3048"/>
    <w:rsid w:val="002C56FD"/>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1D9E"/>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0896"/>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070E"/>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29"/>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4008E"/>
    <w:rsid w:val="00941C0C"/>
    <w:rsid w:val="009437F2"/>
    <w:rsid w:val="0094528B"/>
    <w:rsid w:val="00960A8B"/>
    <w:rsid w:val="00961EE5"/>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3F1A"/>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078A"/>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1B3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365A"/>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177E"/>
    <w:rsid w:val="00EC5B23"/>
    <w:rsid w:val="00EC5DED"/>
    <w:rsid w:val="00EC66BF"/>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E7B44"/>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AB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Titolo1">
    <w:name w:val="heading 1"/>
    <w:basedOn w:val="Normale"/>
    <w:next w:val="Normale"/>
    <w:link w:val="Titolo1Carattere"/>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itolo2">
    <w:name w:val="heading 2"/>
    <w:basedOn w:val="Normale"/>
    <w:next w:val="Normale"/>
    <w:link w:val="Titolo2Carattere"/>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itolo3">
    <w:name w:val="heading 3"/>
    <w:basedOn w:val="Normale"/>
    <w:next w:val="Normale"/>
    <w:link w:val="Titolo3Carattere"/>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itolo4">
    <w:name w:val="heading 4"/>
    <w:basedOn w:val="Normale"/>
    <w:next w:val="Normale"/>
    <w:link w:val="Titolo4Carattere"/>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itolo5">
    <w:name w:val="heading 5"/>
    <w:basedOn w:val="Normale"/>
    <w:next w:val="Normale"/>
    <w:link w:val="Titolo5Carattere"/>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itolo6">
    <w:name w:val="heading 6"/>
    <w:basedOn w:val="Normale"/>
    <w:next w:val="Normale"/>
    <w:link w:val="Titolo6Carattere"/>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itolo7">
    <w:name w:val="heading 7"/>
    <w:basedOn w:val="Normale"/>
    <w:next w:val="Normale"/>
    <w:link w:val="Titolo7Carattere"/>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itolo8">
    <w:name w:val="heading 8"/>
    <w:basedOn w:val="Normale"/>
    <w:next w:val="Normale"/>
    <w:link w:val="Titolo8Carattere"/>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itolo9">
    <w:name w:val="heading 9"/>
    <w:basedOn w:val="Normale"/>
    <w:next w:val="Normale"/>
    <w:link w:val="Titolo9Carattere"/>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5B6B12"/>
    <w:pPr>
      <w:spacing w:after="0" w:line="240" w:lineRule="auto"/>
    </w:pPr>
    <w:rPr>
      <w:lang w:val="en-GB"/>
    </w:rPr>
  </w:style>
  <w:style w:type="character" w:customStyle="1" w:styleId="Titolo4Carattere">
    <w:name w:val="Titolo 4 Carattere"/>
    <w:basedOn w:val="Carpredefinitoparagrafo"/>
    <w:link w:val="Titolo4"/>
    <w:rsid w:val="00020300"/>
    <w:rPr>
      <w:rFonts w:asciiTheme="majorHAnsi" w:eastAsiaTheme="majorEastAsia" w:hAnsiTheme="majorHAnsi" w:cstheme="majorBidi"/>
      <w:sz w:val="24"/>
      <w:szCs w:val="22"/>
      <w:lang w:val="en-GB" w:eastAsia="en-GB"/>
    </w:rPr>
  </w:style>
  <w:style w:type="character" w:customStyle="1" w:styleId="Titolo3Carattere">
    <w:name w:val="Titolo 3 Carattere"/>
    <w:basedOn w:val="Carpredefinitoparagrafo"/>
    <w:link w:val="Titolo3"/>
    <w:rsid w:val="00020300"/>
    <w:rPr>
      <w:rFonts w:asciiTheme="majorHAnsi" w:eastAsiaTheme="majorEastAsia" w:hAnsiTheme="majorHAnsi" w:cstheme="majorBidi"/>
      <w:sz w:val="24"/>
      <w:szCs w:val="24"/>
      <w:lang w:val="en-GB" w:eastAsia="en-GB"/>
    </w:rPr>
  </w:style>
  <w:style w:type="character" w:customStyle="1" w:styleId="Titolo1Carattere">
    <w:name w:val="Titolo 1 Carattere"/>
    <w:basedOn w:val="Carpredefinitoparagrafo"/>
    <w:link w:val="Titolo1"/>
    <w:rsid w:val="00FE0BD8"/>
    <w:rPr>
      <w:rFonts w:asciiTheme="majorHAnsi" w:eastAsiaTheme="majorEastAsia" w:hAnsiTheme="majorHAnsi" w:cstheme="majorBidi"/>
      <w:b/>
      <w:sz w:val="32"/>
      <w:szCs w:val="32"/>
      <w:lang w:val="en-GB" w:eastAsia="en-GB"/>
    </w:rPr>
  </w:style>
  <w:style w:type="character" w:customStyle="1" w:styleId="Titolo2Carattere">
    <w:name w:val="Titolo 2 Carattere"/>
    <w:basedOn w:val="Carpredefinitoparagrafo"/>
    <w:link w:val="Titolo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e"/>
    <w:link w:val="Subtitle1Char"/>
    <w:autoRedefine/>
    <w:rsid w:val="003C4EB5"/>
    <w:pPr>
      <w:tabs>
        <w:tab w:val="left" w:pos="414"/>
      </w:tabs>
    </w:pPr>
    <w:rPr>
      <w:b/>
    </w:rPr>
  </w:style>
  <w:style w:type="character" w:customStyle="1" w:styleId="Subtitle1Char">
    <w:name w:val="Subtitle1 Char"/>
    <w:basedOn w:val="Carpredefinitoparagrafo"/>
    <w:link w:val="Subtitle1"/>
    <w:rsid w:val="003C4EB5"/>
    <w:rPr>
      <w:rFonts w:cs="Times New Roman"/>
      <w:b/>
      <w:sz w:val="20"/>
      <w:szCs w:val="24"/>
      <w:lang w:val="en-GB" w:eastAsia="de-DE"/>
    </w:rPr>
  </w:style>
  <w:style w:type="paragraph" w:customStyle="1" w:styleId="Title1">
    <w:name w:val="Title 1"/>
    <w:basedOn w:val="Paragrafoelenco"/>
    <w:link w:val="Title1Char"/>
    <w:autoRedefine/>
    <w:rsid w:val="002574D1"/>
    <w:pPr>
      <w:numPr>
        <w:numId w:val="2"/>
      </w:numPr>
    </w:pPr>
    <w:rPr>
      <w:b/>
      <w:sz w:val="28"/>
    </w:rPr>
  </w:style>
  <w:style w:type="character" w:customStyle="1" w:styleId="Title1Char">
    <w:name w:val="Title 1 Char"/>
    <w:basedOn w:val="Carpredefinitoparagrafo"/>
    <w:link w:val="Title1"/>
    <w:rsid w:val="003C4EB5"/>
    <w:rPr>
      <w:rFonts w:eastAsiaTheme="majorEastAsia" w:cstheme="minorHAnsi"/>
      <w:b/>
      <w:sz w:val="28"/>
      <w:szCs w:val="22"/>
      <w:lang w:val="en-GB" w:eastAsia="en-GB"/>
    </w:rPr>
  </w:style>
  <w:style w:type="paragraph" w:styleId="Paragrafoelenco">
    <w:name w:val="List Paragraph"/>
    <w:aliases w:val="Paragraphe EI,Paragraphe de liste1,EC,Paragraphe de liste,Normal Nivel 1,List Paragraph Main,List first level,List Paragraph_Sections"/>
    <w:basedOn w:val="Normale"/>
    <w:link w:val="ParagrafoelencoCarattere"/>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aragrafoelenco"/>
    <w:link w:val="Title3Char"/>
    <w:autoRedefine/>
    <w:rsid w:val="002574D1"/>
    <w:pPr>
      <w:numPr>
        <w:ilvl w:val="3"/>
        <w:numId w:val="2"/>
      </w:numPr>
    </w:pPr>
  </w:style>
  <w:style w:type="character" w:customStyle="1" w:styleId="Title3Char">
    <w:name w:val="Title 3 Char"/>
    <w:basedOn w:val="Carpredefinitoparagrafo"/>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e"/>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Carpredefinitoparagrafo"/>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e"/>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Carpredefinitoparagrafo"/>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e"/>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Carpredefinitoparagrafo"/>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e"/>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Carpredefinitoparagrafo"/>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e"/>
    <w:link w:val="IntroductionheadingChar"/>
    <w:autoRedefine/>
    <w:rsid w:val="00044C5A"/>
    <w:pPr>
      <w:spacing w:line="300" w:lineRule="exact"/>
    </w:pPr>
    <w:rPr>
      <w:b/>
      <w:sz w:val="28"/>
      <w:lang w:eastAsia="de-DE"/>
    </w:rPr>
  </w:style>
  <w:style w:type="character" w:customStyle="1" w:styleId="IntroductionheadingChar">
    <w:name w:val="Introduction heading Char"/>
    <w:basedOn w:val="Carpredefinitoparagrafo"/>
    <w:link w:val="Introductionheading"/>
    <w:rsid w:val="00044C5A"/>
    <w:rPr>
      <w:rFonts w:ascii="Arial" w:eastAsia="Times New Roman" w:hAnsi="Arial" w:cs="Times New Roman"/>
      <w:b/>
      <w:sz w:val="28"/>
      <w:szCs w:val="24"/>
      <w:lang w:val="en-GB" w:eastAsia="de-DE"/>
    </w:rPr>
  </w:style>
  <w:style w:type="character" w:customStyle="1" w:styleId="Titolo5Carattere">
    <w:name w:val="Titolo 5 Carattere"/>
    <w:basedOn w:val="Carpredefinitoparagrafo"/>
    <w:link w:val="Titolo5"/>
    <w:uiPriority w:val="9"/>
    <w:rsid w:val="007E7997"/>
    <w:rPr>
      <w:rFonts w:asciiTheme="majorHAnsi" w:eastAsiaTheme="majorEastAsia" w:hAnsiTheme="majorHAnsi" w:cstheme="majorBidi"/>
      <w:sz w:val="24"/>
      <w:szCs w:val="22"/>
      <w:lang w:val="en-GB" w:eastAsia="en-GB"/>
    </w:rPr>
  </w:style>
  <w:style w:type="paragraph" w:styleId="Corpotesto">
    <w:name w:val="Body Text"/>
    <w:basedOn w:val="Normale"/>
    <w:link w:val="CorpotestoCarattere"/>
    <w:uiPriority w:val="99"/>
    <w:semiHidden/>
    <w:unhideWhenUsed/>
    <w:rsid w:val="00044C5A"/>
  </w:style>
  <w:style w:type="character" w:customStyle="1" w:styleId="CorpotestoCarattere">
    <w:name w:val="Corpo testo Carattere"/>
    <w:basedOn w:val="Carpredefinitoparagrafo"/>
    <w:link w:val="Corpotesto"/>
    <w:uiPriority w:val="99"/>
    <w:semiHidden/>
    <w:rsid w:val="00044C5A"/>
    <w:rPr>
      <w:rFonts w:ascii="Arial" w:eastAsiaTheme="minorEastAsia" w:hAnsi="Arial"/>
    </w:rPr>
  </w:style>
  <w:style w:type="paragraph" w:styleId="Primorientrocorpodeltesto">
    <w:name w:val="Body Text First Indent"/>
    <w:basedOn w:val="Corpotesto"/>
    <w:link w:val="PrimorientrocorpodeltestoCarattere"/>
    <w:uiPriority w:val="99"/>
    <w:semiHidden/>
    <w:unhideWhenUsed/>
    <w:rsid w:val="00044C5A"/>
    <w:pPr>
      <w:ind w:firstLine="360"/>
    </w:pPr>
  </w:style>
  <w:style w:type="character" w:customStyle="1" w:styleId="PrimorientrocorpodeltestoCarattere">
    <w:name w:val="Primo rientro corpo del testo Carattere"/>
    <w:basedOn w:val="CorpotestoCarattere"/>
    <w:link w:val="Primorientrocorpodeltesto"/>
    <w:uiPriority w:val="99"/>
    <w:semiHidden/>
    <w:rsid w:val="00044C5A"/>
    <w:rPr>
      <w:rFonts w:ascii="Arial" w:eastAsiaTheme="minorEastAsia" w:hAnsi="Arial"/>
    </w:rPr>
  </w:style>
  <w:style w:type="character" w:customStyle="1" w:styleId="Titolo6Carattere">
    <w:name w:val="Titolo 6 Carattere"/>
    <w:basedOn w:val="Carpredefinitoparagrafo"/>
    <w:link w:val="Titolo6"/>
    <w:rsid w:val="00AA054E"/>
    <w:rPr>
      <w:rFonts w:asciiTheme="majorHAnsi" w:eastAsiaTheme="majorEastAsia" w:hAnsiTheme="majorHAnsi" w:cstheme="majorBidi"/>
      <w:i/>
      <w:iCs/>
      <w:color w:val="44546A" w:themeColor="text2"/>
      <w:sz w:val="21"/>
      <w:szCs w:val="21"/>
      <w:lang w:val="en-GB" w:eastAsia="en-GB"/>
    </w:rPr>
  </w:style>
  <w:style w:type="paragraph" w:styleId="Titolo">
    <w:name w:val="Title"/>
    <w:basedOn w:val="Normale"/>
    <w:next w:val="Normale"/>
    <w:link w:val="TitoloCarattere"/>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oloCarattere">
    <w:name w:val="Titolo Carattere"/>
    <w:basedOn w:val="Carpredefinitoparagrafo"/>
    <w:link w:val="Titolo"/>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ottotitolo">
    <w:name w:val="Subtitle"/>
    <w:basedOn w:val="Normale"/>
    <w:next w:val="Normale"/>
    <w:link w:val="SottotitoloCarattere"/>
    <w:uiPriority w:val="11"/>
    <w:qFormat/>
    <w:rsid w:val="00366D42"/>
    <w:pPr>
      <w:numPr>
        <w:ilvl w:val="1"/>
      </w:numPr>
    </w:pPr>
    <w:rPr>
      <w:rFonts w:asciiTheme="majorHAnsi" w:eastAsiaTheme="majorEastAsia" w:hAnsiTheme="majorHAnsi" w:cstheme="majorBidi"/>
      <w:b/>
      <w:sz w:val="28"/>
    </w:rPr>
  </w:style>
  <w:style w:type="character" w:customStyle="1" w:styleId="SottotitoloCarattere">
    <w:name w:val="Sottotitolo Carattere"/>
    <w:basedOn w:val="Carpredefinitoparagrafo"/>
    <w:link w:val="Sottotitolo"/>
    <w:uiPriority w:val="11"/>
    <w:rsid w:val="00366D42"/>
    <w:rPr>
      <w:rFonts w:asciiTheme="majorHAnsi" w:eastAsiaTheme="majorEastAsia" w:hAnsiTheme="majorHAnsi" w:cstheme="majorBidi"/>
      <w:b/>
      <w:sz w:val="28"/>
      <w:szCs w:val="24"/>
      <w:lang w:val="en-GB"/>
    </w:rPr>
  </w:style>
  <w:style w:type="character" w:customStyle="1" w:styleId="Titolo7Carattere">
    <w:name w:val="Titolo 7 Carattere"/>
    <w:basedOn w:val="Carpredefinitoparagrafo"/>
    <w:link w:val="Titolo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itolo8Carattere">
    <w:name w:val="Titolo 8 Carattere"/>
    <w:basedOn w:val="Carpredefinitoparagrafo"/>
    <w:link w:val="Titolo8"/>
    <w:rsid w:val="00AA054E"/>
    <w:rPr>
      <w:rFonts w:asciiTheme="majorHAnsi" w:eastAsiaTheme="majorEastAsia" w:hAnsiTheme="majorHAnsi" w:cstheme="majorBidi"/>
      <w:b/>
      <w:bCs/>
      <w:color w:val="44546A" w:themeColor="text2"/>
      <w:sz w:val="24"/>
      <w:szCs w:val="24"/>
      <w:lang w:val="en-GB" w:eastAsia="en-GB"/>
    </w:rPr>
  </w:style>
  <w:style w:type="character" w:customStyle="1" w:styleId="Titolo9Carattere">
    <w:name w:val="Titolo 9 Carattere"/>
    <w:basedOn w:val="Carpredefinitoparagrafo"/>
    <w:link w:val="Titolo9"/>
    <w:rsid w:val="00AA054E"/>
    <w:rPr>
      <w:rFonts w:asciiTheme="majorHAnsi" w:eastAsiaTheme="majorEastAsia" w:hAnsiTheme="majorHAnsi" w:cstheme="majorBidi"/>
      <w:b/>
      <w:bCs/>
      <w:i/>
      <w:iCs/>
      <w:color w:val="44546A" w:themeColor="text2"/>
      <w:sz w:val="24"/>
      <w:szCs w:val="24"/>
      <w:lang w:val="en-GB" w:eastAsia="en-GB"/>
    </w:rPr>
  </w:style>
  <w:style w:type="paragraph" w:styleId="Didascalia">
    <w:name w:val="caption"/>
    <w:basedOn w:val="Normale"/>
    <w:next w:val="Normale"/>
    <w:uiPriority w:val="35"/>
    <w:semiHidden/>
    <w:unhideWhenUsed/>
    <w:qFormat/>
    <w:rsid w:val="00AA054E"/>
    <w:rPr>
      <w:b/>
      <w:bCs/>
      <w:smallCaps/>
      <w:color w:val="595959" w:themeColor="text1" w:themeTint="A6"/>
      <w:spacing w:val="6"/>
    </w:rPr>
  </w:style>
  <w:style w:type="character" w:styleId="Enfasigrassetto">
    <w:name w:val="Strong"/>
    <w:basedOn w:val="Carpredefinitoparagrafo"/>
    <w:uiPriority w:val="22"/>
    <w:qFormat/>
    <w:rsid w:val="00AA054E"/>
    <w:rPr>
      <w:b/>
      <w:bCs/>
    </w:rPr>
  </w:style>
  <w:style w:type="character" w:styleId="Enfasicorsivo">
    <w:name w:val="Emphasis"/>
    <w:basedOn w:val="Carpredefinitoparagrafo"/>
    <w:uiPriority w:val="20"/>
    <w:qFormat/>
    <w:rsid w:val="00AA054E"/>
    <w:rPr>
      <w:i/>
      <w:iCs/>
    </w:rPr>
  </w:style>
  <w:style w:type="paragraph" w:styleId="Citazione">
    <w:name w:val="Quote"/>
    <w:basedOn w:val="Normale"/>
    <w:next w:val="Normale"/>
    <w:link w:val="CitazioneCarattere"/>
    <w:uiPriority w:val="29"/>
    <w:qFormat/>
    <w:rsid w:val="00AA054E"/>
    <w:pPr>
      <w:spacing w:before="160"/>
      <w:ind w:left="720" w:right="720"/>
    </w:pPr>
    <w:rPr>
      <w:i/>
      <w:iCs/>
      <w:color w:val="404040" w:themeColor="text1" w:themeTint="BF"/>
    </w:rPr>
  </w:style>
  <w:style w:type="character" w:customStyle="1" w:styleId="CitazioneCarattere">
    <w:name w:val="Citazione Carattere"/>
    <w:basedOn w:val="Carpredefinitoparagrafo"/>
    <w:link w:val="Citazione"/>
    <w:uiPriority w:val="29"/>
    <w:rsid w:val="00AA054E"/>
    <w:rPr>
      <w:i/>
      <w:iCs/>
      <w:color w:val="404040" w:themeColor="text1" w:themeTint="BF"/>
    </w:rPr>
  </w:style>
  <w:style w:type="paragraph" w:styleId="Citazioneintensa">
    <w:name w:val="Intense Quote"/>
    <w:basedOn w:val="Normale"/>
    <w:next w:val="Normale"/>
    <w:link w:val="CitazioneintensaCarattere"/>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zioneintensaCarattere">
    <w:name w:val="Citazione intensa Carattere"/>
    <w:basedOn w:val="Carpredefinitoparagrafo"/>
    <w:link w:val="Citazioneintensa"/>
    <w:uiPriority w:val="30"/>
    <w:rsid w:val="00AA054E"/>
    <w:rPr>
      <w:rFonts w:asciiTheme="majorHAnsi" w:eastAsiaTheme="majorEastAsia" w:hAnsiTheme="majorHAnsi" w:cstheme="majorBidi"/>
      <w:color w:val="5B9BD5" w:themeColor="accent1"/>
      <w:sz w:val="28"/>
      <w:szCs w:val="28"/>
    </w:rPr>
  </w:style>
  <w:style w:type="character" w:styleId="Enfasidelicata">
    <w:name w:val="Subtle Emphasis"/>
    <w:basedOn w:val="Carpredefinitoparagrafo"/>
    <w:uiPriority w:val="19"/>
    <w:qFormat/>
    <w:rsid w:val="00287C8F"/>
    <w:rPr>
      <w:rFonts w:asciiTheme="majorHAnsi" w:hAnsiTheme="majorHAnsi"/>
      <w:i/>
      <w:iCs/>
      <w:color w:val="auto"/>
      <w:sz w:val="22"/>
    </w:rPr>
  </w:style>
  <w:style w:type="character" w:styleId="Enfasiintensa">
    <w:name w:val="Intense Emphasis"/>
    <w:basedOn w:val="Carpredefinitoparagrafo"/>
    <w:uiPriority w:val="21"/>
    <w:qFormat/>
    <w:rsid w:val="00AA054E"/>
    <w:rPr>
      <w:b/>
      <w:bCs/>
      <w:i/>
      <w:iCs/>
    </w:rPr>
  </w:style>
  <w:style w:type="character" w:styleId="Riferimentodelicato">
    <w:name w:val="Subtle Reference"/>
    <w:basedOn w:val="Carpredefinitoparagrafo"/>
    <w:uiPriority w:val="31"/>
    <w:qFormat/>
    <w:rsid w:val="00AA054E"/>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AA054E"/>
    <w:rPr>
      <w:b/>
      <w:bCs/>
      <w:smallCaps/>
      <w:spacing w:val="5"/>
      <w:u w:val="single"/>
    </w:rPr>
  </w:style>
  <w:style w:type="character" w:styleId="Titolodellibro">
    <w:name w:val="Book Title"/>
    <w:basedOn w:val="Carpredefinitoparagrafo"/>
    <w:uiPriority w:val="33"/>
    <w:qFormat/>
    <w:rsid w:val="00AA054E"/>
    <w:rPr>
      <w:b/>
      <w:bCs/>
      <w:smallCaps/>
    </w:rPr>
  </w:style>
  <w:style w:type="paragraph" w:styleId="Titolosommario">
    <w:name w:val="TOC Heading"/>
    <w:basedOn w:val="Titolo1"/>
    <w:next w:val="Normale"/>
    <w:uiPriority w:val="39"/>
    <w:unhideWhenUsed/>
    <w:qFormat/>
    <w:rsid w:val="00AA054E"/>
    <w:pPr>
      <w:outlineLvl w:val="9"/>
    </w:pPr>
  </w:style>
  <w:style w:type="character" w:customStyle="1" w:styleId="NessunaspaziaturaCarattere">
    <w:name w:val="Nessuna spaziatura Carattere"/>
    <w:basedOn w:val="Carpredefinitoparagrafo"/>
    <w:link w:val="Nessunaspaziatura"/>
    <w:uiPriority w:val="1"/>
    <w:rsid w:val="005B6B12"/>
    <w:rPr>
      <w:lang w:val="en-GB"/>
    </w:rPr>
  </w:style>
  <w:style w:type="paragraph" w:styleId="Intestazione">
    <w:name w:val="header"/>
    <w:basedOn w:val="Normale"/>
    <w:link w:val="IntestazioneCarattere"/>
    <w:unhideWhenUsed/>
    <w:rsid w:val="007E7997"/>
    <w:pPr>
      <w:tabs>
        <w:tab w:val="center" w:pos="4536"/>
        <w:tab w:val="right" w:pos="9072"/>
      </w:tabs>
    </w:pPr>
  </w:style>
  <w:style w:type="character" w:customStyle="1" w:styleId="IntestazioneCarattere">
    <w:name w:val="Intestazione Carattere"/>
    <w:basedOn w:val="Carpredefinitoparagrafo"/>
    <w:link w:val="Intestazione"/>
    <w:uiPriority w:val="99"/>
    <w:rsid w:val="007E7997"/>
    <w:rPr>
      <w:sz w:val="22"/>
    </w:rPr>
  </w:style>
  <w:style w:type="paragraph" w:styleId="Pidipagina">
    <w:name w:val="footer"/>
    <w:basedOn w:val="Normale"/>
    <w:link w:val="PidipaginaCarattere"/>
    <w:uiPriority w:val="99"/>
    <w:unhideWhenUsed/>
    <w:rsid w:val="007E7997"/>
    <w:pPr>
      <w:tabs>
        <w:tab w:val="center" w:pos="4536"/>
        <w:tab w:val="right" w:pos="9072"/>
      </w:tabs>
    </w:pPr>
  </w:style>
  <w:style w:type="character" w:customStyle="1" w:styleId="PidipaginaCarattere">
    <w:name w:val="Piè di pagina Carattere"/>
    <w:basedOn w:val="Carpredefinitoparagrafo"/>
    <w:link w:val="Pidipagina"/>
    <w:uiPriority w:val="99"/>
    <w:rsid w:val="007E7997"/>
    <w:rPr>
      <w:sz w:val="22"/>
    </w:rPr>
  </w:style>
  <w:style w:type="paragraph" w:customStyle="1" w:styleId="00aPagenumber">
    <w:name w:val="00a_Page number"/>
    <w:basedOn w:val="Normale"/>
    <w:rsid w:val="007E7997"/>
    <w:pPr>
      <w:spacing w:line="280" w:lineRule="atLeast"/>
      <w:jc w:val="right"/>
    </w:pPr>
    <w:rPr>
      <w:rFonts w:ascii="Georgia" w:hAnsi="Georgia"/>
      <w:color w:val="000000"/>
      <w:lang w:eastAsia="de-DE"/>
    </w:rPr>
  </w:style>
  <w:style w:type="paragraph" w:customStyle="1" w:styleId="02Date">
    <w:name w:val="02_Date"/>
    <w:basedOn w:val="Normale"/>
    <w:rsid w:val="00636E02"/>
    <w:pPr>
      <w:spacing w:line="220" w:lineRule="exact"/>
    </w:pPr>
    <w:rPr>
      <w:rFonts w:ascii="Georgia" w:hAnsi="Georgia"/>
      <w:sz w:val="17"/>
      <w:lang w:eastAsia="de-DE"/>
    </w:rPr>
  </w:style>
  <w:style w:type="paragraph" w:styleId="Sommario1">
    <w:name w:val="toc 1"/>
    <w:basedOn w:val="Normale"/>
    <w:next w:val="Normale"/>
    <w:autoRedefine/>
    <w:uiPriority w:val="39"/>
    <w:unhideWhenUsed/>
    <w:rsid w:val="00B81A44"/>
    <w:pPr>
      <w:tabs>
        <w:tab w:val="left" w:pos="440"/>
        <w:tab w:val="right" w:leader="dot" w:pos="9062"/>
      </w:tabs>
      <w:spacing w:after="100"/>
    </w:pPr>
  </w:style>
  <w:style w:type="paragraph" w:styleId="Sommario2">
    <w:name w:val="toc 2"/>
    <w:basedOn w:val="Normale"/>
    <w:next w:val="Normale"/>
    <w:autoRedefine/>
    <w:uiPriority w:val="39"/>
    <w:unhideWhenUsed/>
    <w:rsid w:val="00BC422A"/>
    <w:pPr>
      <w:spacing w:after="100"/>
      <w:ind w:left="220"/>
    </w:pPr>
  </w:style>
  <w:style w:type="paragraph" w:styleId="Sommario3">
    <w:name w:val="toc 3"/>
    <w:basedOn w:val="Normale"/>
    <w:next w:val="Normale"/>
    <w:autoRedefine/>
    <w:uiPriority w:val="39"/>
    <w:unhideWhenUsed/>
    <w:rsid w:val="00BC422A"/>
    <w:pPr>
      <w:spacing w:after="100"/>
      <w:ind w:left="440"/>
    </w:pPr>
  </w:style>
  <w:style w:type="character" w:styleId="Collegamentoipertestuale">
    <w:name w:val="Hyperlink"/>
    <w:basedOn w:val="Carpredefinitoparagrafo"/>
    <w:uiPriority w:val="99"/>
    <w:unhideWhenUsed/>
    <w:rsid w:val="00BC422A"/>
    <w:rPr>
      <w:color w:val="0563C1" w:themeColor="hyperlink"/>
      <w:u w:val="single"/>
    </w:rPr>
  </w:style>
  <w:style w:type="paragraph" w:customStyle="1" w:styleId="Questionstyle">
    <w:name w:val="Question style"/>
    <w:basedOn w:val="Normale"/>
    <w:next w:val="Normale"/>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Carpredefinitoparagrafo"/>
    <w:link w:val="Questionstyle"/>
    <w:rsid w:val="00F77851"/>
    <w:rPr>
      <w:rFonts w:eastAsia="Times New Roman" w:cstheme="minorHAnsi"/>
      <w:sz w:val="22"/>
      <w:szCs w:val="22"/>
      <w:lang w:val="en-GB" w:eastAsia="en-GB"/>
    </w:rPr>
  </w:style>
  <w:style w:type="paragraph" w:customStyle="1" w:styleId="Listing2">
    <w:name w:val="Listing2"/>
    <w:basedOn w:val="Normale"/>
    <w:link w:val="Listing2Char"/>
    <w:autoRedefine/>
    <w:rsid w:val="00DF3785"/>
  </w:style>
  <w:style w:type="character" w:customStyle="1" w:styleId="Listing2Char">
    <w:name w:val="Listing2 Char"/>
    <w:basedOn w:val="Carpredefinitoparagrafo"/>
    <w:link w:val="Listing2"/>
    <w:rsid w:val="00DF3785"/>
    <w:rPr>
      <w:lang w:val="en-GB"/>
    </w:rPr>
  </w:style>
  <w:style w:type="table" w:styleId="Grigliatabella">
    <w:name w:val="Table Grid"/>
    <w:basedOn w:val="Tabellanorma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B50534"/>
  </w:style>
  <w:style w:type="character" w:customStyle="1" w:styleId="TestonotadichiusuraCarattere">
    <w:name w:val="Testo nota di chiusura Carattere"/>
    <w:basedOn w:val="Carpredefinitoparagrafo"/>
    <w:link w:val="Testonotadichiusura"/>
    <w:uiPriority w:val="99"/>
    <w:semiHidden/>
    <w:rsid w:val="00B50534"/>
    <w:rPr>
      <w:lang w:val="en-GB"/>
    </w:rPr>
  </w:style>
  <w:style w:type="character" w:styleId="Rimandonotadichiusura">
    <w:name w:val="endnote reference"/>
    <w:basedOn w:val="Carpredefinitoparagrafo"/>
    <w:uiPriority w:val="99"/>
    <w:semiHidden/>
    <w:unhideWhenUsed/>
    <w:rsid w:val="00B50534"/>
    <w:rPr>
      <w:vertAlign w:val="superscript"/>
    </w:rPr>
  </w:style>
  <w:style w:type="paragraph" w:styleId="Testonotaapidipagina">
    <w:name w:val="footnote text"/>
    <w:basedOn w:val="Normale"/>
    <w:link w:val="TestonotaapidipaginaCarattere"/>
    <w:autoRedefine/>
    <w:uiPriority w:val="99"/>
    <w:unhideWhenUsed/>
    <w:qFormat/>
    <w:rsid w:val="006F53E8"/>
    <w:rPr>
      <w:sz w:val="16"/>
    </w:rPr>
  </w:style>
  <w:style w:type="character" w:customStyle="1" w:styleId="TestonotaapidipaginaCarattere">
    <w:name w:val="Testo nota a piè di pagina Carattere"/>
    <w:basedOn w:val="Carpredefinitoparagrafo"/>
    <w:link w:val="Testonotaapidipagina"/>
    <w:uiPriority w:val="99"/>
    <w:rsid w:val="006F53E8"/>
    <w:rPr>
      <w:sz w:val="16"/>
      <w:lang w:val="en-GB"/>
    </w:rPr>
  </w:style>
  <w:style w:type="character" w:styleId="Rimandonotaapidipagina">
    <w:name w:val="footnote reference"/>
    <w:aliases w:val="SUPERS,Footnote reference number,Footnote symbol,note TESI,-E Fußnotenzeichen,number,BVI fnr,Footnote Reference Superscript,(Footnote Reference),EN Footnote Reference,Voetnootverwijzing,Times 10 Point,Exposant 3 Poi,16 Point"/>
    <w:basedOn w:val="Carpredefinitoparagrafo"/>
    <w:uiPriority w:val="99"/>
    <w:unhideWhenUsed/>
    <w:qFormat/>
    <w:rsid w:val="00A91D91"/>
    <w:rPr>
      <w:rFonts w:asciiTheme="majorHAnsi" w:hAnsiTheme="majorHAnsi"/>
      <w:sz w:val="16"/>
      <w:vertAlign w:val="superscript"/>
    </w:rPr>
  </w:style>
  <w:style w:type="paragraph" w:customStyle="1" w:styleId="Footnote">
    <w:name w:val="Footnote"/>
    <w:basedOn w:val="Testonotaapidipagina"/>
    <w:link w:val="FootnoteChar"/>
    <w:rsid w:val="00B50534"/>
    <w:rPr>
      <w:lang w:val="nl-BE"/>
    </w:rPr>
  </w:style>
  <w:style w:type="character" w:customStyle="1" w:styleId="FootnoteChar">
    <w:name w:val="Footnote Char"/>
    <w:basedOn w:val="TestonotaapidipaginaCarattere"/>
    <w:link w:val="Footnote"/>
    <w:rsid w:val="00B50534"/>
    <w:rPr>
      <w:sz w:val="16"/>
      <w:lang w:val="en-GB"/>
    </w:rPr>
  </w:style>
  <w:style w:type="table" w:customStyle="1" w:styleId="GridTable4-Accent11">
    <w:name w:val="Grid Table 4 - Accent 11"/>
    <w:basedOn w:val="Tabellanorma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e"/>
    <w:rsid w:val="00287C8F"/>
    <w:pPr>
      <w:numPr>
        <w:numId w:val="5"/>
      </w:numPr>
      <w:tabs>
        <w:tab w:val="clear" w:pos="284"/>
        <w:tab w:val="num" w:pos="567"/>
      </w:tabs>
      <w:ind w:left="567" w:hanging="454"/>
    </w:pPr>
    <w:rPr>
      <w:rFonts w:ascii="Georgia" w:hAnsi="Georgia"/>
      <w:sz w:val="20"/>
      <w:lang w:eastAsia="de-DE"/>
    </w:rPr>
  </w:style>
  <w:style w:type="paragraph" w:styleId="Testofumetto">
    <w:name w:val="Balloon Text"/>
    <w:basedOn w:val="Normale"/>
    <w:link w:val="TestofumettoCarattere"/>
    <w:uiPriority w:val="99"/>
    <w:semiHidden/>
    <w:unhideWhenUsed/>
    <w:rsid w:val="003C167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167E"/>
    <w:rPr>
      <w:rFonts w:ascii="Tahoma" w:hAnsi="Tahoma" w:cs="Tahoma"/>
      <w:sz w:val="16"/>
      <w:szCs w:val="16"/>
      <w:lang w:val="en-GB"/>
    </w:rPr>
  </w:style>
  <w:style w:type="character" w:styleId="Rimandocommento">
    <w:name w:val="annotation reference"/>
    <w:basedOn w:val="Carpredefinitoparagrafo"/>
    <w:uiPriority w:val="99"/>
    <w:semiHidden/>
    <w:unhideWhenUsed/>
    <w:rsid w:val="00FA2400"/>
    <w:rPr>
      <w:sz w:val="16"/>
      <w:szCs w:val="16"/>
    </w:rPr>
  </w:style>
  <w:style w:type="paragraph" w:styleId="Testocommento">
    <w:name w:val="annotation text"/>
    <w:basedOn w:val="Normale"/>
    <w:link w:val="TestocommentoCarattere"/>
    <w:uiPriority w:val="99"/>
    <w:unhideWhenUsed/>
    <w:rsid w:val="00FA2400"/>
    <w:rPr>
      <w:sz w:val="20"/>
    </w:rPr>
  </w:style>
  <w:style w:type="character" w:customStyle="1" w:styleId="TestocommentoCarattere">
    <w:name w:val="Testo commento Carattere"/>
    <w:basedOn w:val="Carpredefinitoparagrafo"/>
    <w:link w:val="Testocommento"/>
    <w:uiPriority w:val="99"/>
    <w:rsid w:val="00FA2400"/>
    <w:rPr>
      <w:lang w:val="en-GB"/>
    </w:rPr>
  </w:style>
  <w:style w:type="paragraph" w:styleId="Soggettocommento">
    <w:name w:val="annotation subject"/>
    <w:basedOn w:val="Testocommento"/>
    <w:next w:val="Testocommento"/>
    <w:link w:val="SoggettocommentoCarattere"/>
    <w:uiPriority w:val="99"/>
    <w:semiHidden/>
    <w:unhideWhenUsed/>
    <w:rsid w:val="00FA2400"/>
    <w:rPr>
      <w:b/>
      <w:bCs/>
    </w:rPr>
  </w:style>
  <w:style w:type="character" w:customStyle="1" w:styleId="SoggettocommentoCarattere">
    <w:name w:val="Soggetto commento Carattere"/>
    <w:basedOn w:val="TestocommentoCarattere"/>
    <w:link w:val="Soggettocommento"/>
    <w:uiPriority w:val="99"/>
    <w:semiHidden/>
    <w:rsid w:val="00FA2400"/>
    <w:rPr>
      <w:b/>
      <w:bCs/>
      <w:lang w:val="en-GB"/>
    </w:rPr>
  </w:style>
  <w:style w:type="paragraph" w:styleId="Revisione">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Collegamentovisitato">
    <w:name w:val="FollowedHyperlink"/>
    <w:basedOn w:val="Carpredefinitoparagrafo"/>
    <w:uiPriority w:val="99"/>
    <w:semiHidden/>
    <w:unhideWhenUsed/>
    <w:rsid w:val="007B354B"/>
    <w:rPr>
      <w:color w:val="954F72" w:themeColor="followedHyperlink"/>
      <w:u w:val="single"/>
    </w:rPr>
  </w:style>
  <w:style w:type="paragraph" w:styleId="NormaleWeb">
    <w:name w:val="Normal (Web)"/>
    <w:basedOn w:val="Normale"/>
    <w:uiPriority w:val="99"/>
    <w:semiHidden/>
    <w:unhideWhenUsed/>
    <w:rsid w:val="00B424F5"/>
    <w:pPr>
      <w:spacing w:before="100" w:beforeAutospacing="1" w:after="100" w:afterAutospacing="1"/>
    </w:pPr>
  </w:style>
  <w:style w:type="character" w:customStyle="1" w:styleId="outputecliaff">
    <w:name w:val="outputecliaff"/>
    <w:basedOn w:val="Carpredefinitoparagrafo"/>
    <w:rsid w:val="00595F08"/>
  </w:style>
  <w:style w:type="paragraph" w:customStyle="1" w:styleId="05HeadlinenoIndex">
    <w:name w:val="05_Headline no Index"/>
    <w:basedOn w:val="Normale"/>
    <w:rsid w:val="005C7E1F"/>
    <w:pPr>
      <w:spacing w:after="250" w:line="300" w:lineRule="exact"/>
      <w:jc w:val="both"/>
    </w:pPr>
    <w:rPr>
      <w:rFonts w:ascii="Georgia" w:hAnsi="Georgia"/>
      <w:b/>
      <w:lang w:eastAsia="de-DE"/>
    </w:rPr>
  </w:style>
  <w:style w:type="paragraph" w:customStyle="1" w:styleId="04BodyText">
    <w:name w:val="04_Body Text"/>
    <w:basedOn w:val="Normale"/>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ellanormale"/>
    <w:next w:val="Grigliatabel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lanormale"/>
    <w:next w:val="Grigliatabel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phe EI Carattere,Paragraphe de liste1 Carattere,EC Carattere,Paragraphe de liste Carattere,Normal Nivel 1 Carattere,List Paragraph Main Carattere,List first level Carattere,List Paragraph_Sections Carattere"/>
    <w:basedOn w:val="Carpredefinitoparagrafo"/>
    <w:link w:val="Paragrafoelenco"/>
    <w:uiPriority w:val="34"/>
    <w:rsid w:val="00695AF2"/>
    <w:rPr>
      <w:rFonts w:eastAsiaTheme="majorEastAsia" w:cstheme="minorHAnsi"/>
      <w:sz w:val="22"/>
      <w:szCs w:val="22"/>
      <w:lang w:val="en-GB" w:eastAsia="en-GB"/>
    </w:rPr>
  </w:style>
  <w:style w:type="table" w:customStyle="1" w:styleId="TableGrid3">
    <w:name w:val="Table Grid3"/>
    <w:basedOn w:val="Tabellanorma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lanormale"/>
    <w:next w:val="Grigliatabella"/>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Titolo1">
    <w:name w:val="heading 1"/>
    <w:basedOn w:val="Normale"/>
    <w:next w:val="Normale"/>
    <w:link w:val="Titolo1Carattere"/>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itolo2">
    <w:name w:val="heading 2"/>
    <w:basedOn w:val="Normale"/>
    <w:next w:val="Normale"/>
    <w:link w:val="Titolo2Carattere"/>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itolo3">
    <w:name w:val="heading 3"/>
    <w:basedOn w:val="Normale"/>
    <w:next w:val="Normale"/>
    <w:link w:val="Titolo3Carattere"/>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itolo4">
    <w:name w:val="heading 4"/>
    <w:basedOn w:val="Normale"/>
    <w:next w:val="Normale"/>
    <w:link w:val="Titolo4Carattere"/>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itolo5">
    <w:name w:val="heading 5"/>
    <w:basedOn w:val="Normale"/>
    <w:next w:val="Normale"/>
    <w:link w:val="Titolo5Carattere"/>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itolo6">
    <w:name w:val="heading 6"/>
    <w:basedOn w:val="Normale"/>
    <w:next w:val="Normale"/>
    <w:link w:val="Titolo6Carattere"/>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itolo7">
    <w:name w:val="heading 7"/>
    <w:basedOn w:val="Normale"/>
    <w:next w:val="Normale"/>
    <w:link w:val="Titolo7Carattere"/>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itolo8">
    <w:name w:val="heading 8"/>
    <w:basedOn w:val="Normale"/>
    <w:next w:val="Normale"/>
    <w:link w:val="Titolo8Carattere"/>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itolo9">
    <w:name w:val="heading 9"/>
    <w:basedOn w:val="Normale"/>
    <w:next w:val="Normale"/>
    <w:link w:val="Titolo9Carattere"/>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5B6B12"/>
    <w:pPr>
      <w:spacing w:after="0" w:line="240" w:lineRule="auto"/>
    </w:pPr>
    <w:rPr>
      <w:lang w:val="en-GB"/>
    </w:rPr>
  </w:style>
  <w:style w:type="character" w:customStyle="1" w:styleId="Titolo4Carattere">
    <w:name w:val="Titolo 4 Carattere"/>
    <w:basedOn w:val="Carpredefinitoparagrafo"/>
    <w:link w:val="Titolo4"/>
    <w:rsid w:val="00020300"/>
    <w:rPr>
      <w:rFonts w:asciiTheme="majorHAnsi" w:eastAsiaTheme="majorEastAsia" w:hAnsiTheme="majorHAnsi" w:cstheme="majorBidi"/>
      <w:sz w:val="24"/>
      <w:szCs w:val="22"/>
      <w:lang w:val="en-GB" w:eastAsia="en-GB"/>
    </w:rPr>
  </w:style>
  <w:style w:type="character" w:customStyle="1" w:styleId="Titolo3Carattere">
    <w:name w:val="Titolo 3 Carattere"/>
    <w:basedOn w:val="Carpredefinitoparagrafo"/>
    <w:link w:val="Titolo3"/>
    <w:rsid w:val="00020300"/>
    <w:rPr>
      <w:rFonts w:asciiTheme="majorHAnsi" w:eastAsiaTheme="majorEastAsia" w:hAnsiTheme="majorHAnsi" w:cstheme="majorBidi"/>
      <w:sz w:val="24"/>
      <w:szCs w:val="24"/>
      <w:lang w:val="en-GB" w:eastAsia="en-GB"/>
    </w:rPr>
  </w:style>
  <w:style w:type="character" w:customStyle="1" w:styleId="Titolo1Carattere">
    <w:name w:val="Titolo 1 Carattere"/>
    <w:basedOn w:val="Carpredefinitoparagrafo"/>
    <w:link w:val="Titolo1"/>
    <w:rsid w:val="00FE0BD8"/>
    <w:rPr>
      <w:rFonts w:asciiTheme="majorHAnsi" w:eastAsiaTheme="majorEastAsia" w:hAnsiTheme="majorHAnsi" w:cstheme="majorBidi"/>
      <w:b/>
      <w:sz w:val="32"/>
      <w:szCs w:val="32"/>
      <w:lang w:val="en-GB" w:eastAsia="en-GB"/>
    </w:rPr>
  </w:style>
  <w:style w:type="character" w:customStyle="1" w:styleId="Titolo2Carattere">
    <w:name w:val="Titolo 2 Carattere"/>
    <w:basedOn w:val="Carpredefinitoparagrafo"/>
    <w:link w:val="Titolo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e"/>
    <w:link w:val="Subtitle1Char"/>
    <w:autoRedefine/>
    <w:rsid w:val="003C4EB5"/>
    <w:pPr>
      <w:tabs>
        <w:tab w:val="left" w:pos="414"/>
      </w:tabs>
    </w:pPr>
    <w:rPr>
      <w:b/>
    </w:rPr>
  </w:style>
  <w:style w:type="character" w:customStyle="1" w:styleId="Subtitle1Char">
    <w:name w:val="Subtitle1 Char"/>
    <w:basedOn w:val="Carpredefinitoparagrafo"/>
    <w:link w:val="Subtitle1"/>
    <w:rsid w:val="003C4EB5"/>
    <w:rPr>
      <w:rFonts w:cs="Times New Roman"/>
      <w:b/>
      <w:sz w:val="20"/>
      <w:szCs w:val="24"/>
      <w:lang w:val="en-GB" w:eastAsia="de-DE"/>
    </w:rPr>
  </w:style>
  <w:style w:type="paragraph" w:customStyle="1" w:styleId="Title1">
    <w:name w:val="Title 1"/>
    <w:basedOn w:val="Paragrafoelenco"/>
    <w:link w:val="Title1Char"/>
    <w:autoRedefine/>
    <w:rsid w:val="002574D1"/>
    <w:pPr>
      <w:numPr>
        <w:numId w:val="2"/>
      </w:numPr>
    </w:pPr>
    <w:rPr>
      <w:b/>
      <w:sz w:val="28"/>
    </w:rPr>
  </w:style>
  <w:style w:type="character" w:customStyle="1" w:styleId="Title1Char">
    <w:name w:val="Title 1 Char"/>
    <w:basedOn w:val="Carpredefinitoparagrafo"/>
    <w:link w:val="Title1"/>
    <w:rsid w:val="003C4EB5"/>
    <w:rPr>
      <w:rFonts w:eastAsiaTheme="majorEastAsia" w:cstheme="minorHAnsi"/>
      <w:b/>
      <w:sz w:val="28"/>
      <w:szCs w:val="22"/>
      <w:lang w:val="en-GB" w:eastAsia="en-GB"/>
    </w:rPr>
  </w:style>
  <w:style w:type="paragraph" w:styleId="Paragrafoelenco">
    <w:name w:val="List Paragraph"/>
    <w:aliases w:val="Paragraphe EI,Paragraphe de liste1,EC,Paragraphe de liste,Normal Nivel 1,List Paragraph Main,List first level,List Paragraph_Sections"/>
    <w:basedOn w:val="Normale"/>
    <w:link w:val="ParagrafoelencoCarattere"/>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aragrafoelenco"/>
    <w:link w:val="Title3Char"/>
    <w:autoRedefine/>
    <w:rsid w:val="002574D1"/>
    <w:pPr>
      <w:numPr>
        <w:ilvl w:val="3"/>
        <w:numId w:val="2"/>
      </w:numPr>
    </w:pPr>
  </w:style>
  <w:style w:type="character" w:customStyle="1" w:styleId="Title3Char">
    <w:name w:val="Title 3 Char"/>
    <w:basedOn w:val="Carpredefinitoparagrafo"/>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e"/>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Carpredefinitoparagrafo"/>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e"/>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Carpredefinitoparagrafo"/>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e"/>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Carpredefinitoparagrafo"/>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e"/>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Carpredefinitoparagrafo"/>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e"/>
    <w:link w:val="IntroductionheadingChar"/>
    <w:autoRedefine/>
    <w:rsid w:val="00044C5A"/>
    <w:pPr>
      <w:spacing w:line="300" w:lineRule="exact"/>
    </w:pPr>
    <w:rPr>
      <w:b/>
      <w:sz w:val="28"/>
      <w:lang w:eastAsia="de-DE"/>
    </w:rPr>
  </w:style>
  <w:style w:type="character" w:customStyle="1" w:styleId="IntroductionheadingChar">
    <w:name w:val="Introduction heading Char"/>
    <w:basedOn w:val="Carpredefinitoparagrafo"/>
    <w:link w:val="Introductionheading"/>
    <w:rsid w:val="00044C5A"/>
    <w:rPr>
      <w:rFonts w:ascii="Arial" w:eastAsia="Times New Roman" w:hAnsi="Arial" w:cs="Times New Roman"/>
      <w:b/>
      <w:sz w:val="28"/>
      <w:szCs w:val="24"/>
      <w:lang w:val="en-GB" w:eastAsia="de-DE"/>
    </w:rPr>
  </w:style>
  <w:style w:type="character" w:customStyle="1" w:styleId="Titolo5Carattere">
    <w:name w:val="Titolo 5 Carattere"/>
    <w:basedOn w:val="Carpredefinitoparagrafo"/>
    <w:link w:val="Titolo5"/>
    <w:uiPriority w:val="9"/>
    <w:rsid w:val="007E7997"/>
    <w:rPr>
      <w:rFonts w:asciiTheme="majorHAnsi" w:eastAsiaTheme="majorEastAsia" w:hAnsiTheme="majorHAnsi" w:cstheme="majorBidi"/>
      <w:sz w:val="24"/>
      <w:szCs w:val="22"/>
      <w:lang w:val="en-GB" w:eastAsia="en-GB"/>
    </w:rPr>
  </w:style>
  <w:style w:type="paragraph" w:styleId="Corpotesto">
    <w:name w:val="Body Text"/>
    <w:basedOn w:val="Normale"/>
    <w:link w:val="CorpotestoCarattere"/>
    <w:uiPriority w:val="99"/>
    <w:semiHidden/>
    <w:unhideWhenUsed/>
    <w:rsid w:val="00044C5A"/>
  </w:style>
  <w:style w:type="character" w:customStyle="1" w:styleId="CorpotestoCarattere">
    <w:name w:val="Corpo testo Carattere"/>
    <w:basedOn w:val="Carpredefinitoparagrafo"/>
    <w:link w:val="Corpotesto"/>
    <w:uiPriority w:val="99"/>
    <w:semiHidden/>
    <w:rsid w:val="00044C5A"/>
    <w:rPr>
      <w:rFonts w:ascii="Arial" w:eastAsiaTheme="minorEastAsia" w:hAnsi="Arial"/>
    </w:rPr>
  </w:style>
  <w:style w:type="paragraph" w:styleId="Primorientrocorpodeltesto">
    <w:name w:val="Body Text First Indent"/>
    <w:basedOn w:val="Corpotesto"/>
    <w:link w:val="PrimorientrocorpodeltestoCarattere"/>
    <w:uiPriority w:val="99"/>
    <w:semiHidden/>
    <w:unhideWhenUsed/>
    <w:rsid w:val="00044C5A"/>
    <w:pPr>
      <w:ind w:firstLine="360"/>
    </w:pPr>
  </w:style>
  <w:style w:type="character" w:customStyle="1" w:styleId="PrimorientrocorpodeltestoCarattere">
    <w:name w:val="Primo rientro corpo del testo Carattere"/>
    <w:basedOn w:val="CorpotestoCarattere"/>
    <w:link w:val="Primorientrocorpodeltesto"/>
    <w:uiPriority w:val="99"/>
    <w:semiHidden/>
    <w:rsid w:val="00044C5A"/>
    <w:rPr>
      <w:rFonts w:ascii="Arial" w:eastAsiaTheme="minorEastAsia" w:hAnsi="Arial"/>
    </w:rPr>
  </w:style>
  <w:style w:type="character" w:customStyle="1" w:styleId="Titolo6Carattere">
    <w:name w:val="Titolo 6 Carattere"/>
    <w:basedOn w:val="Carpredefinitoparagrafo"/>
    <w:link w:val="Titolo6"/>
    <w:rsid w:val="00AA054E"/>
    <w:rPr>
      <w:rFonts w:asciiTheme="majorHAnsi" w:eastAsiaTheme="majorEastAsia" w:hAnsiTheme="majorHAnsi" w:cstheme="majorBidi"/>
      <w:i/>
      <w:iCs/>
      <w:color w:val="44546A" w:themeColor="text2"/>
      <w:sz w:val="21"/>
      <w:szCs w:val="21"/>
      <w:lang w:val="en-GB" w:eastAsia="en-GB"/>
    </w:rPr>
  </w:style>
  <w:style w:type="paragraph" w:styleId="Titolo">
    <w:name w:val="Title"/>
    <w:basedOn w:val="Normale"/>
    <w:next w:val="Normale"/>
    <w:link w:val="TitoloCarattere"/>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oloCarattere">
    <w:name w:val="Titolo Carattere"/>
    <w:basedOn w:val="Carpredefinitoparagrafo"/>
    <w:link w:val="Titolo"/>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ottotitolo">
    <w:name w:val="Subtitle"/>
    <w:basedOn w:val="Normale"/>
    <w:next w:val="Normale"/>
    <w:link w:val="SottotitoloCarattere"/>
    <w:uiPriority w:val="11"/>
    <w:qFormat/>
    <w:rsid w:val="00366D42"/>
    <w:pPr>
      <w:numPr>
        <w:ilvl w:val="1"/>
      </w:numPr>
    </w:pPr>
    <w:rPr>
      <w:rFonts w:asciiTheme="majorHAnsi" w:eastAsiaTheme="majorEastAsia" w:hAnsiTheme="majorHAnsi" w:cstheme="majorBidi"/>
      <w:b/>
      <w:sz w:val="28"/>
    </w:rPr>
  </w:style>
  <w:style w:type="character" w:customStyle="1" w:styleId="SottotitoloCarattere">
    <w:name w:val="Sottotitolo Carattere"/>
    <w:basedOn w:val="Carpredefinitoparagrafo"/>
    <w:link w:val="Sottotitolo"/>
    <w:uiPriority w:val="11"/>
    <w:rsid w:val="00366D42"/>
    <w:rPr>
      <w:rFonts w:asciiTheme="majorHAnsi" w:eastAsiaTheme="majorEastAsia" w:hAnsiTheme="majorHAnsi" w:cstheme="majorBidi"/>
      <w:b/>
      <w:sz w:val="28"/>
      <w:szCs w:val="24"/>
      <w:lang w:val="en-GB"/>
    </w:rPr>
  </w:style>
  <w:style w:type="character" w:customStyle="1" w:styleId="Titolo7Carattere">
    <w:name w:val="Titolo 7 Carattere"/>
    <w:basedOn w:val="Carpredefinitoparagrafo"/>
    <w:link w:val="Titolo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itolo8Carattere">
    <w:name w:val="Titolo 8 Carattere"/>
    <w:basedOn w:val="Carpredefinitoparagrafo"/>
    <w:link w:val="Titolo8"/>
    <w:rsid w:val="00AA054E"/>
    <w:rPr>
      <w:rFonts w:asciiTheme="majorHAnsi" w:eastAsiaTheme="majorEastAsia" w:hAnsiTheme="majorHAnsi" w:cstheme="majorBidi"/>
      <w:b/>
      <w:bCs/>
      <w:color w:val="44546A" w:themeColor="text2"/>
      <w:sz w:val="24"/>
      <w:szCs w:val="24"/>
      <w:lang w:val="en-GB" w:eastAsia="en-GB"/>
    </w:rPr>
  </w:style>
  <w:style w:type="character" w:customStyle="1" w:styleId="Titolo9Carattere">
    <w:name w:val="Titolo 9 Carattere"/>
    <w:basedOn w:val="Carpredefinitoparagrafo"/>
    <w:link w:val="Titolo9"/>
    <w:rsid w:val="00AA054E"/>
    <w:rPr>
      <w:rFonts w:asciiTheme="majorHAnsi" w:eastAsiaTheme="majorEastAsia" w:hAnsiTheme="majorHAnsi" w:cstheme="majorBidi"/>
      <w:b/>
      <w:bCs/>
      <w:i/>
      <w:iCs/>
      <w:color w:val="44546A" w:themeColor="text2"/>
      <w:sz w:val="24"/>
      <w:szCs w:val="24"/>
      <w:lang w:val="en-GB" w:eastAsia="en-GB"/>
    </w:rPr>
  </w:style>
  <w:style w:type="paragraph" w:styleId="Didascalia">
    <w:name w:val="caption"/>
    <w:basedOn w:val="Normale"/>
    <w:next w:val="Normale"/>
    <w:uiPriority w:val="35"/>
    <w:semiHidden/>
    <w:unhideWhenUsed/>
    <w:qFormat/>
    <w:rsid w:val="00AA054E"/>
    <w:rPr>
      <w:b/>
      <w:bCs/>
      <w:smallCaps/>
      <w:color w:val="595959" w:themeColor="text1" w:themeTint="A6"/>
      <w:spacing w:val="6"/>
    </w:rPr>
  </w:style>
  <w:style w:type="character" w:styleId="Enfasigrassetto">
    <w:name w:val="Strong"/>
    <w:basedOn w:val="Carpredefinitoparagrafo"/>
    <w:uiPriority w:val="22"/>
    <w:qFormat/>
    <w:rsid w:val="00AA054E"/>
    <w:rPr>
      <w:b/>
      <w:bCs/>
    </w:rPr>
  </w:style>
  <w:style w:type="character" w:styleId="Enfasicorsivo">
    <w:name w:val="Emphasis"/>
    <w:basedOn w:val="Carpredefinitoparagrafo"/>
    <w:uiPriority w:val="20"/>
    <w:qFormat/>
    <w:rsid w:val="00AA054E"/>
    <w:rPr>
      <w:i/>
      <w:iCs/>
    </w:rPr>
  </w:style>
  <w:style w:type="paragraph" w:styleId="Citazione">
    <w:name w:val="Quote"/>
    <w:basedOn w:val="Normale"/>
    <w:next w:val="Normale"/>
    <w:link w:val="CitazioneCarattere"/>
    <w:uiPriority w:val="29"/>
    <w:qFormat/>
    <w:rsid w:val="00AA054E"/>
    <w:pPr>
      <w:spacing w:before="160"/>
      <w:ind w:left="720" w:right="720"/>
    </w:pPr>
    <w:rPr>
      <w:i/>
      <w:iCs/>
      <w:color w:val="404040" w:themeColor="text1" w:themeTint="BF"/>
    </w:rPr>
  </w:style>
  <w:style w:type="character" w:customStyle="1" w:styleId="CitazioneCarattere">
    <w:name w:val="Citazione Carattere"/>
    <w:basedOn w:val="Carpredefinitoparagrafo"/>
    <w:link w:val="Citazione"/>
    <w:uiPriority w:val="29"/>
    <w:rsid w:val="00AA054E"/>
    <w:rPr>
      <w:i/>
      <w:iCs/>
      <w:color w:val="404040" w:themeColor="text1" w:themeTint="BF"/>
    </w:rPr>
  </w:style>
  <w:style w:type="paragraph" w:styleId="Citazioneintensa">
    <w:name w:val="Intense Quote"/>
    <w:basedOn w:val="Normale"/>
    <w:next w:val="Normale"/>
    <w:link w:val="CitazioneintensaCarattere"/>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zioneintensaCarattere">
    <w:name w:val="Citazione intensa Carattere"/>
    <w:basedOn w:val="Carpredefinitoparagrafo"/>
    <w:link w:val="Citazioneintensa"/>
    <w:uiPriority w:val="30"/>
    <w:rsid w:val="00AA054E"/>
    <w:rPr>
      <w:rFonts w:asciiTheme="majorHAnsi" w:eastAsiaTheme="majorEastAsia" w:hAnsiTheme="majorHAnsi" w:cstheme="majorBidi"/>
      <w:color w:val="5B9BD5" w:themeColor="accent1"/>
      <w:sz w:val="28"/>
      <w:szCs w:val="28"/>
    </w:rPr>
  </w:style>
  <w:style w:type="character" w:styleId="Enfasidelicata">
    <w:name w:val="Subtle Emphasis"/>
    <w:basedOn w:val="Carpredefinitoparagrafo"/>
    <w:uiPriority w:val="19"/>
    <w:qFormat/>
    <w:rsid w:val="00287C8F"/>
    <w:rPr>
      <w:rFonts w:asciiTheme="majorHAnsi" w:hAnsiTheme="majorHAnsi"/>
      <w:i/>
      <w:iCs/>
      <w:color w:val="auto"/>
      <w:sz w:val="22"/>
    </w:rPr>
  </w:style>
  <w:style w:type="character" w:styleId="Enfasiintensa">
    <w:name w:val="Intense Emphasis"/>
    <w:basedOn w:val="Carpredefinitoparagrafo"/>
    <w:uiPriority w:val="21"/>
    <w:qFormat/>
    <w:rsid w:val="00AA054E"/>
    <w:rPr>
      <w:b/>
      <w:bCs/>
      <w:i/>
      <w:iCs/>
    </w:rPr>
  </w:style>
  <w:style w:type="character" w:styleId="Riferimentodelicato">
    <w:name w:val="Subtle Reference"/>
    <w:basedOn w:val="Carpredefinitoparagrafo"/>
    <w:uiPriority w:val="31"/>
    <w:qFormat/>
    <w:rsid w:val="00AA054E"/>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AA054E"/>
    <w:rPr>
      <w:b/>
      <w:bCs/>
      <w:smallCaps/>
      <w:spacing w:val="5"/>
      <w:u w:val="single"/>
    </w:rPr>
  </w:style>
  <w:style w:type="character" w:styleId="Titolodellibro">
    <w:name w:val="Book Title"/>
    <w:basedOn w:val="Carpredefinitoparagrafo"/>
    <w:uiPriority w:val="33"/>
    <w:qFormat/>
    <w:rsid w:val="00AA054E"/>
    <w:rPr>
      <w:b/>
      <w:bCs/>
      <w:smallCaps/>
    </w:rPr>
  </w:style>
  <w:style w:type="paragraph" w:styleId="Titolosommario">
    <w:name w:val="TOC Heading"/>
    <w:basedOn w:val="Titolo1"/>
    <w:next w:val="Normale"/>
    <w:uiPriority w:val="39"/>
    <w:unhideWhenUsed/>
    <w:qFormat/>
    <w:rsid w:val="00AA054E"/>
    <w:pPr>
      <w:outlineLvl w:val="9"/>
    </w:pPr>
  </w:style>
  <w:style w:type="character" w:customStyle="1" w:styleId="NessunaspaziaturaCarattere">
    <w:name w:val="Nessuna spaziatura Carattere"/>
    <w:basedOn w:val="Carpredefinitoparagrafo"/>
    <w:link w:val="Nessunaspaziatura"/>
    <w:uiPriority w:val="1"/>
    <w:rsid w:val="005B6B12"/>
    <w:rPr>
      <w:lang w:val="en-GB"/>
    </w:rPr>
  </w:style>
  <w:style w:type="paragraph" w:styleId="Intestazione">
    <w:name w:val="header"/>
    <w:basedOn w:val="Normale"/>
    <w:link w:val="IntestazioneCarattere"/>
    <w:unhideWhenUsed/>
    <w:rsid w:val="007E7997"/>
    <w:pPr>
      <w:tabs>
        <w:tab w:val="center" w:pos="4536"/>
        <w:tab w:val="right" w:pos="9072"/>
      </w:tabs>
    </w:pPr>
  </w:style>
  <w:style w:type="character" w:customStyle="1" w:styleId="IntestazioneCarattere">
    <w:name w:val="Intestazione Carattere"/>
    <w:basedOn w:val="Carpredefinitoparagrafo"/>
    <w:link w:val="Intestazione"/>
    <w:uiPriority w:val="99"/>
    <w:rsid w:val="007E7997"/>
    <w:rPr>
      <w:sz w:val="22"/>
    </w:rPr>
  </w:style>
  <w:style w:type="paragraph" w:styleId="Pidipagina">
    <w:name w:val="footer"/>
    <w:basedOn w:val="Normale"/>
    <w:link w:val="PidipaginaCarattere"/>
    <w:uiPriority w:val="99"/>
    <w:unhideWhenUsed/>
    <w:rsid w:val="007E7997"/>
    <w:pPr>
      <w:tabs>
        <w:tab w:val="center" w:pos="4536"/>
        <w:tab w:val="right" w:pos="9072"/>
      </w:tabs>
    </w:pPr>
  </w:style>
  <w:style w:type="character" w:customStyle="1" w:styleId="PidipaginaCarattere">
    <w:name w:val="Piè di pagina Carattere"/>
    <w:basedOn w:val="Carpredefinitoparagrafo"/>
    <w:link w:val="Pidipagina"/>
    <w:uiPriority w:val="99"/>
    <w:rsid w:val="007E7997"/>
    <w:rPr>
      <w:sz w:val="22"/>
    </w:rPr>
  </w:style>
  <w:style w:type="paragraph" w:customStyle="1" w:styleId="00aPagenumber">
    <w:name w:val="00a_Page number"/>
    <w:basedOn w:val="Normale"/>
    <w:rsid w:val="007E7997"/>
    <w:pPr>
      <w:spacing w:line="280" w:lineRule="atLeast"/>
      <w:jc w:val="right"/>
    </w:pPr>
    <w:rPr>
      <w:rFonts w:ascii="Georgia" w:hAnsi="Georgia"/>
      <w:color w:val="000000"/>
      <w:lang w:eastAsia="de-DE"/>
    </w:rPr>
  </w:style>
  <w:style w:type="paragraph" w:customStyle="1" w:styleId="02Date">
    <w:name w:val="02_Date"/>
    <w:basedOn w:val="Normale"/>
    <w:rsid w:val="00636E02"/>
    <w:pPr>
      <w:spacing w:line="220" w:lineRule="exact"/>
    </w:pPr>
    <w:rPr>
      <w:rFonts w:ascii="Georgia" w:hAnsi="Georgia"/>
      <w:sz w:val="17"/>
      <w:lang w:eastAsia="de-DE"/>
    </w:rPr>
  </w:style>
  <w:style w:type="paragraph" w:styleId="Sommario1">
    <w:name w:val="toc 1"/>
    <w:basedOn w:val="Normale"/>
    <w:next w:val="Normale"/>
    <w:autoRedefine/>
    <w:uiPriority w:val="39"/>
    <w:unhideWhenUsed/>
    <w:rsid w:val="00B81A44"/>
    <w:pPr>
      <w:tabs>
        <w:tab w:val="left" w:pos="440"/>
        <w:tab w:val="right" w:leader="dot" w:pos="9062"/>
      </w:tabs>
      <w:spacing w:after="100"/>
    </w:pPr>
  </w:style>
  <w:style w:type="paragraph" w:styleId="Sommario2">
    <w:name w:val="toc 2"/>
    <w:basedOn w:val="Normale"/>
    <w:next w:val="Normale"/>
    <w:autoRedefine/>
    <w:uiPriority w:val="39"/>
    <w:unhideWhenUsed/>
    <w:rsid w:val="00BC422A"/>
    <w:pPr>
      <w:spacing w:after="100"/>
      <w:ind w:left="220"/>
    </w:pPr>
  </w:style>
  <w:style w:type="paragraph" w:styleId="Sommario3">
    <w:name w:val="toc 3"/>
    <w:basedOn w:val="Normale"/>
    <w:next w:val="Normale"/>
    <w:autoRedefine/>
    <w:uiPriority w:val="39"/>
    <w:unhideWhenUsed/>
    <w:rsid w:val="00BC422A"/>
    <w:pPr>
      <w:spacing w:after="100"/>
      <w:ind w:left="440"/>
    </w:pPr>
  </w:style>
  <w:style w:type="character" w:styleId="Collegamentoipertestuale">
    <w:name w:val="Hyperlink"/>
    <w:basedOn w:val="Carpredefinitoparagrafo"/>
    <w:uiPriority w:val="99"/>
    <w:unhideWhenUsed/>
    <w:rsid w:val="00BC422A"/>
    <w:rPr>
      <w:color w:val="0563C1" w:themeColor="hyperlink"/>
      <w:u w:val="single"/>
    </w:rPr>
  </w:style>
  <w:style w:type="paragraph" w:customStyle="1" w:styleId="Questionstyle">
    <w:name w:val="Question style"/>
    <w:basedOn w:val="Normale"/>
    <w:next w:val="Normale"/>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Carpredefinitoparagrafo"/>
    <w:link w:val="Questionstyle"/>
    <w:rsid w:val="00F77851"/>
    <w:rPr>
      <w:rFonts w:eastAsia="Times New Roman" w:cstheme="minorHAnsi"/>
      <w:sz w:val="22"/>
      <w:szCs w:val="22"/>
      <w:lang w:val="en-GB" w:eastAsia="en-GB"/>
    </w:rPr>
  </w:style>
  <w:style w:type="paragraph" w:customStyle="1" w:styleId="Listing2">
    <w:name w:val="Listing2"/>
    <w:basedOn w:val="Normale"/>
    <w:link w:val="Listing2Char"/>
    <w:autoRedefine/>
    <w:rsid w:val="00DF3785"/>
  </w:style>
  <w:style w:type="character" w:customStyle="1" w:styleId="Listing2Char">
    <w:name w:val="Listing2 Char"/>
    <w:basedOn w:val="Carpredefinitoparagrafo"/>
    <w:link w:val="Listing2"/>
    <w:rsid w:val="00DF3785"/>
    <w:rPr>
      <w:lang w:val="en-GB"/>
    </w:rPr>
  </w:style>
  <w:style w:type="table" w:styleId="Grigliatabella">
    <w:name w:val="Table Grid"/>
    <w:basedOn w:val="Tabellanorma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B50534"/>
  </w:style>
  <w:style w:type="character" w:customStyle="1" w:styleId="TestonotadichiusuraCarattere">
    <w:name w:val="Testo nota di chiusura Carattere"/>
    <w:basedOn w:val="Carpredefinitoparagrafo"/>
    <w:link w:val="Testonotadichiusura"/>
    <w:uiPriority w:val="99"/>
    <w:semiHidden/>
    <w:rsid w:val="00B50534"/>
    <w:rPr>
      <w:lang w:val="en-GB"/>
    </w:rPr>
  </w:style>
  <w:style w:type="character" w:styleId="Rimandonotadichiusura">
    <w:name w:val="endnote reference"/>
    <w:basedOn w:val="Carpredefinitoparagrafo"/>
    <w:uiPriority w:val="99"/>
    <w:semiHidden/>
    <w:unhideWhenUsed/>
    <w:rsid w:val="00B50534"/>
    <w:rPr>
      <w:vertAlign w:val="superscript"/>
    </w:rPr>
  </w:style>
  <w:style w:type="paragraph" w:styleId="Testonotaapidipagina">
    <w:name w:val="footnote text"/>
    <w:basedOn w:val="Normale"/>
    <w:link w:val="TestonotaapidipaginaCarattere"/>
    <w:autoRedefine/>
    <w:uiPriority w:val="99"/>
    <w:unhideWhenUsed/>
    <w:qFormat/>
    <w:rsid w:val="006F53E8"/>
    <w:rPr>
      <w:sz w:val="16"/>
    </w:rPr>
  </w:style>
  <w:style w:type="character" w:customStyle="1" w:styleId="TestonotaapidipaginaCarattere">
    <w:name w:val="Testo nota a piè di pagina Carattere"/>
    <w:basedOn w:val="Carpredefinitoparagrafo"/>
    <w:link w:val="Testonotaapidipagina"/>
    <w:uiPriority w:val="99"/>
    <w:rsid w:val="006F53E8"/>
    <w:rPr>
      <w:sz w:val="16"/>
      <w:lang w:val="en-GB"/>
    </w:rPr>
  </w:style>
  <w:style w:type="character" w:styleId="Rimandonotaapidipagina">
    <w:name w:val="footnote reference"/>
    <w:aliases w:val="SUPERS,Footnote reference number,Footnote symbol,note TESI,-E Fußnotenzeichen,number,BVI fnr,Footnote Reference Superscript,(Footnote Reference),EN Footnote Reference,Voetnootverwijzing,Times 10 Point,Exposant 3 Poi,16 Point"/>
    <w:basedOn w:val="Carpredefinitoparagrafo"/>
    <w:uiPriority w:val="99"/>
    <w:unhideWhenUsed/>
    <w:qFormat/>
    <w:rsid w:val="00A91D91"/>
    <w:rPr>
      <w:rFonts w:asciiTheme="majorHAnsi" w:hAnsiTheme="majorHAnsi"/>
      <w:sz w:val="16"/>
      <w:vertAlign w:val="superscript"/>
    </w:rPr>
  </w:style>
  <w:style w:type="paragraph" w:customStyle="1" w:styleId="Footnote">
    <w:name w:val="Footnote"/>
    <w:basedOn w:val="Testonotaapidipagina"/>
    <w:link w:val="FootnoteChar"/>
    <w:rsid w:val="00B50534"/>
    <w:rPr>
      <w:lang w:val="nl-BE"/>
    </w:rPr>
  </w:style>
  <w:style w:type="character" w:customStyle="1" w:styleId="FootnoteChar">
    <w:name w:val="Footnote Char"/>
    <w:basedOn w:val="TestonotaapidipaginaCarattere"/>
    <w:link w:val="Footnote"/>
    <w:rsid w:val="00B50534"/>
    <w:rPr>
      <w:sz w:val="16"/>
      <w:lang w:val="en-GB"/>
    </w:rPr>
  </w:style>
  <w:style w:type="table" w:customStyle="1" w:styleId="GridTable4-Accent11">
    <w:name w:val="Grid Table 4 - Accent 11"/>
    <w:basedOn w:val="Tabellanorma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e"/>
    <w:rsid w:val="00287C8F"/>
    <w:pPr>
      <w:numPr>
        <w:numId w:val="5"/>
      </w:numPr>
      <w:tabs>
        <w:tab w:val="clear" w:pos="284"/>
        <w:tab w:val="num" w:pos="567"/>
      </w:tabs>
      <w:ind w:left="567" w:hanging="454"/>
    </w:pPr>
    <w:rPr>
      <w:rFonts w:ascii="Georgia" w:hAnsi="Georgia"/>
      <w:sz w:val="20"/>
      <w:lang w:eastAsia="de-DE"/>
    </w:rPr>
  </w:style>
  <w:style w:type="paragraph" w:styleId="Testofumetto">
    <w:name w:val="Balloon Text"/>
    <w:basedOn w:val="Normale"/>
    <w:link w:val="TestofumettoCarattere"/>
    <w:uiPriority w:val="99"/>
    <w:semiHidden/>
    <w:unhideWhenUsed/>
    <w:rsid w:val="003C167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167E"/>
    <w:rPr>
      <w:rFonts w:ascii="Tahoma" w:hAnsi="Tahoma" w:cs="Tahoma"/>
      <w:sz w:val="16"/>
      <w:szCs w:val="16"/>
      <w:lang w:val="en-GB"/>
    </w:rPr>
  </w:style>
  <w:style w:type="character" w:styleId="Rimandocommento">
    <w:name w:val="annotation reference"/>
    <w:basedOn w:val="Carpredefinitoparagrafo"/>
    <w:uiPriority w:val="99"/>
    <w:semiHidden/>
    <w:unhideWhenUsed/>
    <w:rsid w:val="00FA2400"/>
    <w:rPr>
      <w:sz w:val="16"/>
      <w:szCs w:val="16"/>
    </w:rPr>
  </w:style>
  <w:style w:type="paragraph" w:styleId="Testocommento">
    <w:name w:val="annotation text"/>
    <w:basedOn w:val="Normale"/>
    <w:link w:val="TestocommentoCarattere"/>
    <w:uiPriority w:val="99"/>
    <w:unhideWhenUsed/>
    <w:rsid w:val="00FA2400"/>
    <w:rPr>
      <w:sz w:val="20"/>
    </w:rPr>
  </w:style>
  <w:style w:type="character" w:customStyle="1" w:styleId="TestocommentoCarattere">
    <w:name w:val="Testo commento Carattere"/>
    <w:basedOn w:val="Carpredefinitoparagrafo"/>
    <w:link w:val="Testocommento"/>
    <w:uiPriority w:val="99"/>
    <w:rsid w:val="00FA2400"/>
    <w:rPr>
      <w:lang w:val="en-GB"/>
    </w:rPr>
  </w:style>
  <w:style w:type="paragraph" w:styleId="Soggettocommento">
    <w:name w:val="annotation subject"/>
    <w:basedOn w:val="Testocommento"/>
    <w:next w:val="Testocommento"/>
    <w:link w:val="SoggettocommentoCarattere"/>
    <w:uiPriority w:val="99"/>
    <w:semiHidden/>
    <w:unhideWhenUsed/>
    <w:rsid w:val="00FA2400"/>
    <w:rPr>
      <w:b/>
      <w:bCs/>
    </w:rPr>
  </w:style>
  <w:style w:type="character" w:customStyle="1" w:styleId="SoggettocommentoCarattere">
    <w:name w:val="Soggetto commento Carattere"/>
    <w:basedOn w:val="TestocommentoCarattere"/>
    <w:link w:val="Soggettocommento"/>
    <w:uiPriority w:val="99"/>
    <w:semiHidden/>
    <w:rsid w:val="00FA2400"/>
    <w:rPr>
      <w:b/>
      <w:bCs/>
      <w:lang w:val="en-GB"/>
    </w:rPr>
  </w:style>
  <w:style w:type="paragraph" w:styleId="Revisione">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Collegamentovisitato">
    <w:name w:val="FollowedHyperlink"/>
    <w:basedOn w:val="Carpredefinitoparagrafo"/>
    <w:uiPriority w:val="99"/>
    <w:semiHidden/>
    <w:unhideWhenUsed/>
    <w:rsid w:val="007B354B"/>
    <w:rPr>
      <w:color w:val="954F72" w:themeColor="followedHyperlink"/>
      <w:u w:val="single"/>
    </w:rPr>
  </w:style>
  <w:style w:type="paragraph" w:styleId="NormaleWeb">
    <w:name w:val="Normal (Web)"/>
    <w:basedOn w:val="Normale"/>
    <w:uiPriority w:val="99"/>
    <w:semiHidden/>
    <w:unhideWhenUsed/>
    <w:rsid w:val="00B424F5"/>
    <w:pPr>
      <w:spacing w:before="100" w:beforeAutospacing="1" w:after="100" w:afterAutospacing="1"/>
    </w:pPr>
  </w:style>
  <w:style w:type="character" w:customStyle="1" w:styleId="outputecliaff">
    <w:name w:val="outputecliaff"/>
    <w:basedOn w:val="Carpredefinitoparagrafo"/>
    <w:rsid w:val="00595F08"/>
  </w:style>
  <w:style w:type="paragraph" w:customStyle="1" w:styleId="05HeadlinenoIndex">
    <w:name w:val="05_Headline no Index"/>
    <w:basedOn w:val="Normale"/>
    <w:rsid w:val="005C7E1F"/>
    <w:pPr>
      <w:spacing w:after="250" w:line="300" w:lineRule="exact"/>
      <w:jc w:val="both"/>
    </w:pPr>
    <w:rPr>
      <w:rFonts w:ascii="Georgia" w:hAnsi="Georgia"/>
      <w:b/>
      <w:lang w:eastAsia="de-DE"/>
    </w:rPr>
  </w:style>
  <w:style w:type="paragraph" w:customStyle="1" w:styleId="04BodyText">
    <w:name w:val="04_Body Text"/>
    <w:basedOn w:val="Normale"/>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ellanormale"/>
    <w:next w:val="Grigliatabel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lanormale"/>
    <w:next w:val="Grigliatabel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phe EI Carattere,Paragraphe de liste1 Carattere,EC Carattere,Paragraphe de liste Carattere,Normal Nivel 1 Carattere,List Paragraph Main Carattere,List first level Carattere,List Paragraph_Sections Carattere"/>
    <w:basedOn w:val="Carpredefinitoparagrafo"/>
    <w:link w:val="Paragrafoelenco"/>
    <w:uiPriority w:val="34"/>
    <w:rsid w:val="00695AF2"/>
    <w:rPr>
      <w:rFonts w:eastAsiaTheme="majorEastAsia" w:cstheme="minorHAnsi"/>
      <w:sz w:val="22"/>
      <w:szCs w:val="22"/>
      <w:lang w:val="en-GB" w:eastAsia="en-GB"/>
    </w:rPr>
  </w:style>
  <w:style w:type="table" w:customStyle="1" w:styleId="TableGrid3">
    <w:name w:val="Table Grid3"/>
    <w:basedOn w:val="Tabellanorma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lanormale"/>
    <w:next w:val="Grigliatabella"/>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50588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847287915">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legal-not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trayport.com/category/market-dynamics-repor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ESMA70-156-1933</_dlc_DocId>
    <TaxCatchAll xmlns="20fbe147-bbda-4e53-b6b1-7e8bbff3fe19">
      <Value>474</Value>
      <Value>5</Value>
      <Value>91</Value>
      <Value>2</Value>
      <Value>434</Value>
    </TaxCatchAll>
    <_dlc_DocIdUrl xmlns="20fbe147-bbda-4e53-b6b1-7e8bbff3fe19">
      <Url>https://sherpa.esma.europa.eu/sites/MKT/SMK/_layouts/15/DocIdRedir.aspx?ID=ESMA70-156-1933</Url>
      <Description>ESMA70-156-1933</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MiFID II 90(1)(f) - Position limits</TermName>
          <TermId xmlns="http://schemas.microsoft.com/office/infopath/2007/PartnerControls">e81dbf1e-3064-4884-a3c8-df0a9f8119ae</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purl.org/dc/elements/1.1/"/>
    <ds:schemaRef ds:uri="http://purl.org/dc/dcmitype/"/>
    <ds:schemaRef ds:uri="http://schemas.microsoft.com/office/2006/metadata/properties"/>
    <ds:schemaRef ds:uri="http://purl.org/dc/terms/"/>
    <ds:schemaRef ds:uri="http://schemas.microsoft.com/sharepoint/v3"/>
    <ds:schemaRef ds:uri="http://schemas.microsoft.com/office/2006/documentManagement/types"/>
    <ds:schemaRef ds:uri="20fbe147-bbda-4e53-b6b1-7e8bbff3fe19"/>
    <ds:schemaRef ds:uri="http://schemas.microsoft.com/office/infopath/2007/PartnerControls"/>
    <ds:schemaRef ds:uri="http://schemas.openxmlformats.org/package/2006/metadata/core-properties"/>
    <ds:schemaRef ds:uri="http://schemas.microsoft.com/sharepoint/v4"/>
    <ds:schemaRef ds:uri="http://www.w3.org/XML/1998/namespace"/>
  </ds:schemaRefs>
</ds:datastoreItem>
</file>

<file path=customXml/itemProps4.xml><?xml version="1.0" encoding="utf-8"?>
<ds:datastoreItem xmlns:ds="http://schemas.openxmlformats.org/officeDocument/2006/customXml" ds:itemID="{C4A87B1C-94F7-4601-8DD2-296DC1F53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4C9EA3-8F94-4EBE-9B75-C59C45719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3</TotalTime>
  <Pages>8</Pages>
  <Words>1997</Words>
  <Characters>11385</Characters>
  <Application>Microsoft Office Word</Application>
  <DocSecurity>8</DocSecurity>
  <Lines>94</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13356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Alina.Dragomir@esma.europa.eu</dc:creator>
  <cp:lastModifiedBy>grotta</cp:lastModifiedBy>
  <cp:revision>3</cp:revision>
  <cp:lastPrinted>2017-07-24T14:47:00Z</cp:lastPrinted>
  <dcterms:created xsi:type="dcterms:W3CDTF">2019-11-27T14:31:00Z</dcterms:created>
  <dcterms:modified xsi:type="dcterms:W3CDTF">2019-12-20T09:19:00Z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2;#Restricted|187aa7e6-627f-4951-b138-6ff841dc883d</vt:lpwstr>
  </property>
  <property fmtid="{D5CDD505-2E9C-101B-9397-08002B2CF9AE}" pid="4" name="ContentTypeId">
    <vt:lpwstr>0x01010001BD15C3986B91498E0AE644B715B9EE010D00757D222C6B0DA241B5F74437644107D4</vt:lpwstr>
  </property>
  <property fmtid="{D5CDD505-2E9C-101B-9397-08002B2CF9AE}" pid="5" name="_dlc_DocIdItemGuid">
    <vt:lpwstr>155ab378-0408-4a09-bf77-47f9e5213ee4</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474;#MiFID reports - MiFID II 90(1)(f) - Position limits|e81dbf1e-3064-4884-a3c8-df0a9f8119ae</vt:lpwstr>
  </property>
</Properties>
</file>