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128" w:type="dxa"/>
            <w:tblLayout w:type="fixed"/>
            <w:tblCellMar>
              <w:left w:w="0" w:type="dxa"/>
              <w:right w:w="0" w:type="dxa"/>
            </w:tblCellMar>
            <w:tblLook w:val="01E0" w:firstRow="1" w:lastRow="1" w:firstColumn="1" w:lastColumn="1" w:noHBand="0" w:noVBand="0"/>
          </w:tblPr>
          <w:tblGrid>
            <w:gridCol w:w="10128"/>
          </w:tblGrid>
          <w:tr w:rsidR="00AF2EF7" w:rsidRPr="00B8572C" w14:paraId="55D8B106" w14:textId="77777777" w:rsidTr="00FD2158">
            <w:trPr>
              <w:trHeight w:hRule="exact" w:val="1109"/>
            </w:trPr>
            <w:tc>
              <w:tcPr>
                <w:tcW w:w="10128"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FD2158">
            <w:trPr>
              <w:trHeight w:hRule="exact" w:val="1274"/>
            </w:trPr>
            <w:tc>
              <w:tcPr>
                <w:tcW w:w="10128" w:type="dxa"/>
                <w:tcMar>
                  <w:top w:w="142" w:type="dxa"/>
                </w:tcMar>
              </w:tcPr>
              <w:p w14:paraId="26CF3934" w14:textId="08E21947" w:rsidR="00AB6157" w:rsidRPr="00B8572C" w:rsidRDefault="00FD2158" w:rsidP="0090520E">
                <w:pPr>
                  <w:pStyle w:val="Heading2"/>
                  <w:numPr>
                    <w:ilvl w:val="0"/>
                    <w:numId w:val="0"/>
                  </w:numPr>
                  <w:ind w:left="142"/>
                </w:pPr>
                <w:r w:rsidRPr="00FD2158">
                  <w:t>Draft technical advice on commercial terms for providing clearing services under EMIR (FRANDT)</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10FB09AA"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220938" w:rsidRPr="00220938">
            <w:rPr>
              <w:rFonts w:asciiTheme="minorHAnsi" w:eastAsiaTheme="minorEastAsia" w:hAnsiTheme="minorHAnsi" w:cstheme="minorBidi"/>
              <w:sz w:val="22"/>
              <w:szCs w:val="20"/>
              <w:lang w:eastAsia="en-US"/>
            </w:rPr>
            <w:t>III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5F176DD6"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w:t>
          </w:r>
          <w:r w:rsidRPr="00AF7EC4">
            <w:rPr>
              <w:rFonts w:asciiTheme="minorHAnsi" w:eastAsiaTheme="minorEastAsia" w:hAnsiTheme="minorHAnsi" w:cstheme="minorBidi"/>
              <w:sz w:val="22"/>
              <w:szCs w:val="20"/>
              <w:lang w:eastAsia="en-US"/>
            </w:rPr>
            <w:t xml:space="preserve">by </w:t>
          </w:r>
          <w:r w:rsidR="0090520E">
            <w:rPr>
              <w:rFonts w:asciiTheme="minorHAnsi" w:eastAsiaTheme="minorEastAsia" w:hAnsiTheme="minorHAnsi" w:cstheme="minorBidi"/>
              <w:b/>
              <w:sz w:val="22"/>
              <w:szCs w:val="20"/>
              <w:lang w:eastAsia="en-US"/>
            </w:rPr>
            <w:t>2 December 2019</w:t>
          </w:r>
          <w:r w:rsidRPr="00AF7EC4">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5"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76A28DE4"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7634C8">
            <w:rPr>
              <w:rFonts w:eastAsiaTheme="minorEastAsia" w:cstheme="minorBidi"/>
              <w:szCs w:val="20"/>
              <w:lang w:eastAsia="en-US"/>
            </w:rPr>
            <w:t>FRANDT</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1D8D7089"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 xml:space="preserve">the following convention: </w:t>
          </w:r>
          <w:bookmarkStart w:id="0" w:name="_GoBack"/>
          <w:r>
            <w:rPr>
              <w:rFonts w:eastAsiaTheme="minorEastAsia" w:cstheme="minorBidi"/>
              <w:szCs w:val="20"/>
              <w:lang w:eastAsia="en-US"/>
            </w:rPr>
            <w:t>ESMA_</w:t>
          </w:r>
          <w:r w:rsidR="007634C8">
            <w:rPr>
              <w:rFonts w:eastAsiaTheme="minorEastAsia" w:cstheme="minorBidi"/>
              <w:szCs w:val="20"/>
              <w:lang w:eastAsia="en-US"/>
            </w:rPr>
            <w:t>FRANDT</w:t>
          </w:r>
          <w:r w:rsidRPr="00C85C8B">
            <w:rPr>
              <w:rFonts w:eastAsiaTheme="minorEastAsia" w:cstheme="minorBidi"/>
              <w:szCs w:val="20"/>
              <w:lang w:eastAsia="en-US"/>
            </w:rPr>
            <w:t>_nameofrespondent_RESPONSEFORM</w:t>
          </w:r>
          <w:bookmarkEnd w:id="0"/>
          <w:r w:rsidRPr="00C85C8B">
            <w:rPr>
              <w:rFonts w:eastAsiaTheme="minorEastAsia" w:cstheme="minorBidi"/>
              <w:szCs w:val="20"/>
              <w:lang w:eastAsia="en-US"/>
            </w:rPr>
            <w:t>. For example, for a respondent named ABCD, the response</w:t>
          </w:r>
          <w:r>
            <w:rPr>
              <w:rFonts w:eastAsiaTheme="minorEastAsia" w:cstheme="minorBidi"/>
              <w:szCs w:val="20"/>
              <w:lang w:eastAsia="en-US"/>
            </w:rPr>
            <w:t xml:space="preserve"> form would be entitled ESMA_</w:t>
          </w:r>
          <w:r w:rsidR="007634C8">
            <w:rPr>
              <w:rFonts w:eastAsiaTheme="minorEastAsia" w:cstheme="minorBidi"/>
              <w:szCs w:val="20"/>
              <w:lang w:eastAsia="en-US"/>
            </w:rPr>
            <w:t>FRANDT</w:t>
          </w:r>
          <w:r w:rsidRPr="00C85C8B">
            <w:rPr>
              <w:rFonts w:eastAsiaTheme="minorEastAsia" w:cstheme="minorBidi"/>
              <w:szCs w:val="20"/>
              <w:lang w:eastAsia="en-US"/>
            </w:rPr>
            <w:t>_ABC</w:t>
          </w:r>
          <w:r w:rsidR="007634C8">
            <w:rPr>
              <w:rFonts w:eastAsiaTheme="minorEastAsia" w:cstheme="minorBidi"/>
              <w:szCs w:val="20"/>
              <w:lang w:eastAsia="en-US"/>
            </w:rPr>
            <w:t>D</w:t>
          </w:r>
          <w:r w:rsidRPr="00C85C8B">
            <w:rPr>
              <w:rFonts w:eastAsiaTheme="minorEastAsia" w:cstheme="minorBidi"/>
              <w:szCs w:val="20"/>
              <w:lang w:eastAsia="en-US"/>
            </w:rPr>
            <w:t>_RESPONSEFORM.</w:t>
          </w:r>
        </w:p>
        <w:p w14:paraId="1A9C59D6" w14:textId="509803BB"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6"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w:t>
          </w:r>
          <w:r w:rsidR="0045465A" w:rsidRPr="0045465A">
            <w:rPr>
              <w:rFonts w:eastAsiaTheme="minorEastAsia" w:cstheme="minorBidi"/>
              <w:szCs w:val="20"/>
              <w:lang w:eastAsia="en-US"/>
            </w:rPr>
            <w:t>Draft technical advice on commercial terms for providing clearing services under EMIR (FRANDT)</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01ABA9D1" w14:textId="77777777" w:rsidR="00244792" w:rsidRPr="00244792" w:rsidRDefault="00244792" w:rsidP="00244792">
          <w:pPr>
            <w:spacing w:after="250" w:line="276" w:lineRule="auto"/>
            <w:jc w:val="both"/>
            <w:rPr>
              <w:rFonts w:asciiTheme="minorHAnsi" w:eastAsiaTheme="minorEastAsia" w:hAnsiTheme="minorHAnsi" w:cstheme="minorBidi"/>
              <w:sz w:val="22"/>
              <w:szCs w:val="20"/>
              <w:lang w:eastAsia="en-US"/>
            </w:rPr>
          </w:pPr>
          <w:r w:rsidRPr="00244792">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319E5FEA" w14:textId="77777777" w:rsidR="00244792" w:rsidRPr="00244792" w:rsidRDefault="00244792" w:rsidP="00244792">
          <w:pPr>
            <w:spacing w:after="250" w:line="276" w:lineRule="auto"/>
            <w:jc w:val="both"/>
            <w:rPr>
              <w:rFonts w:asciiTheme="minorHAnsi" w:eastAsiaTheme="minorEastAsia" w:hAnsiTheme="minorHAnsi" w:cstheme="minorBidi"/>
              <w:b/>
              <w:sz w:val="22"/>
              <w:szCs w:val="20"/>
              <w:lang w:eastAsia="en-US"/>
            </w:rPr>
          </w:pPr>
          <w:r w:rsidRPr="00244792">
            <w:rPr>
              <w:rFonts w:asciiTheme="minorHAnsi" w:eastAsiaTheme="minorEastAsia" w:hAnsiTheme="minorHAnsi" w:cstheme="minorBidi"/>
              <w:b/>
              <w:sz w:val="22"/>
              <w:szCs w:val="20"/>
              <w:lang w:eastAsia="en-US"/>
            </w:rPr>
            <w:t>Data protection</w:t>
          </w:r>
        </w:p>
        <w:p w14:paraId="23D25533" w14:textId="77777777" w:rsidR="00244792" w:rsidRPr="00244792" w:rsidRDefault="00244792" w:rsidP="00244792">
          <w:pPr>
            <w:spacing w:after="250" w:line="276" w:lineRule="auto"/>
            <w:jc w:val="both"/>
            <w:rPr>
              <w:rFonts w:asciiTheme="minorHAnsi" w:eastAsiaTheme="minorEastAsia" w:hAnsiTheme="minorHAnsi" w:cstheme="minorBidi"/>
              <w:sz w:val="22"/>
              <w:szCs w:val="20"/>
              <w:lang w:eastAsia="en-US"/>
            </w:rPr>
          </w:pPr>
          <w:r w:rsidRPr="00244792">
            <w:rPr>
              <w:rFonts w:asciiTheme="minorHAnsi" w:eastAsiaTheme="minorEastAsia" w:hAnsiTheme="minorHAnsi" w:cstheme="minorBidi"/>
              <w:sz w:val="22"/>
              <w:szCs w:val="20"/>
              <w:lang w:eastAsia="en-US"/>
            </w:rPr>
            <w:t xml:space="preserve">Information on data protection can be found at </w:t>
          </w:r>
          <w:hyperlink r:id="rId17" w:history="1">
            <w:r w:rsidRPr="00244792">
              <w:rPr>
                <w:rStyle w:val="Hyperlink"/>
                <w:rFonts w:asciiTheme="minorHAnsi" w:eastAsiaTheme="minorEastAsia" w:hAnsiTheme="minorHAnsi" w:cstheme="minorBidi"/>
                <w:sz w:val="22"/>
                <w:szCs w:val="20"/>
                <w:lang w:eastAsia="en-US"/>
              </w:rPr>
              <w:t>www.esma.europa.eu</w:t>
            </w:r>
          </w:hyperlink>
          <w:r w:rsidRPr="00244792">
            <w:rPr>
              <w:rFonts w:asciiTheme="minorHAnsi" w:eastAsiaTheme="minorEastAsia" w:hAnsiTheme="minorHAnsi" w:cstheme="minorBidi"/>
              <w:sz w:val="22"/>
              <w:szCs w:val="20"/>
              <w:lang w:eastAsia="en-US"/>
            </w:rPr>
            <w:t xml:space="preserve"> under the heading </w:t>
          </w:r>
          <w:r w:rsidRPr="00244792">
            <w:rPr>
              <w:rFonts w:asciiTheme="minorHAnsi" w:eastAsiaTheme="minorEastAsia" w:hAnsiTheme="minorHAnsi" w:cstheme="minorBidi"/>
              <w:sz w:val="22"/>
              <w:szCs w:val="20"/>
              <w:u w:val="single"/>
              <w:lang w:eastAsia="en-US"/>
            </w:rPr>
            <w:t>‘</w:t>
          </w:r>
          <w:hyperlink r:id="rId18" w:history="1">
            <w:r w:rsidRPr="00244792">
              <w:rPr>
                <w:rStyle w:val="Hyperlink"/>
                <w:rFonts w:asciiTheme="minorHAnsi" w:eastAsiaTheme="minorEastAsia" w:hAnsiTheme="minorHAnsi" w:cstheme="minorBidi"/>
                <w:sz w:val="22"/>
                <w:szCs w:val="20"/>
                <w:lang w:eastAsia="en-US"/>
              </w:rPr>
              <w:t>Data protection</w:t>
            </w:r>
          </w:hyperlink>
          <w:r w:rsidRPr="00244792">
            <w:rPr>
              <w:rFonts w:asciiTheme="minorHAnsi" w:eastAsiaTheme="minorEastAsia" w:hAnsiTheme="minorHAnsi" w:cstheme="minorBidi"/>
              <w:sz w:val="22"/>
              <w:szCs w:val="20"/>
              <w:u w:val="single"/>
              <w:lang w:eastAsia="en-US"/>
            </w:rPr>
            <w:t>’</w:t>
          </w:r>
          <w:r w:rsidRPr="00244792">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2303DD7F" w:rsidR="00AF2EF7" w:rsidRPr="00B8572C" w:rsidRDefault="008811B4" w:rsidP="00AF2EF7">
          <w:pPr>
            <w:spacing w:after="120" w:line="276" w:lineRule="auto"/>
            <w:rPr>
              <w:rFonts w:asciiTheme="minorHAnsi" w:hAnsiTheme="minorHAnsi" w:cstheme="minorHAnsi"/>
            </w:rPr>
          </w:pPr>
          <w:r w:rsidRPr="008811B4">
            <w:rPr>
              <w:rFonts w:asciiTheme="minorHAnsi" w:eastAsiaTheme="minorEastAsia" w:hAnsiTheme="minorHAnsi" w:cstheme="minorBidi"/>
              <w:sz w:val="22"/>
              <w:szCs w:val="20"/>
              <w:lang w:eastAsia="en-US"/>
            </w:rPr>
            <w:t>All interested stakeholders are invited to respond to this consultation. In particular, responses are sought from counterparties acting (or intending to act) as clearing service providers and counterparties that are current or potential clearing clients</w:t>
          </w:r>
          <w:r>
            <w:rPr>
              <w:rFonts w:asciiTheme="minorHAnsi" w:eastAsiaTheme="minorEastAsia" w:hAnsiTheme="minorHAnsi" w:cstheme="minorBidi"/>
              <w:sz w:val="22"/>
              <w:szCs w:val="20"/>
              <w:lang w:eastAsia="en-US"/>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1"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285DAC7F" w:rsidR="00C85C8B" w:rsidRPr="00C85C8B" w:rsidRDefault="00525067" w:rsidP="00C85C8B">
                <w:pPr>
                  <w:rPr>
                    <w:rFonts w:ascii="Arial" w:hAnsi="Arial" w:cs="Arial"/>
                    <w:color w:val="808080"/>
                    <w:sz w:val="20"/>
                    <w:lang w:eastAsia="de-DE"/>
                  </w:rPr>
                </w:pPr>
                <w:r>
                  <w:rPr>
                    <w:rFonts w:ascii="Arial" w:hAnsi="Arial" w:cs="Arial"/>
                    <w:color w:val="808080"/>
                    <w:sz w:val="20"/>
                    <w:lang w:eastAsia="de-DE"/>
                  </w:rPr>
                  <w:t>IHS Markit</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5C212FCC" w:rsidR="00C85C8B" w:rsidRPr="00C85C8B" w:rsidRDefault="00525067"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Pr>
                    <w:rFonts w:ascii="Arial" w:hAnsi="Arial" w:cs="Arial"/>
                    <w:sz w:val="20"/>
                    <w:lang w:eastAsia="de-DE"/>
                  </w:rPr>
                  <w:t>Other Financial service providers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C85C8B" w:rsidRDefault="00C85C8B" w:rsidP="00C85C8B">
                <w:pPr>
                  <w:rPr>
                    <w:rFonts w:ascii="Arial" w:hAnsi="Arial" w:cs="Arial"/>
                    <w:sz w:val="20"/>
                    <w:lang w:eastAsia="de-DE"/>
                  </w:rPr>
                </w:pPr>
                <w:r w:rsidRPr="00C85C8B">
                  <w:rPr>
                    <w:rFonts w:ascii="Segoe UI Symbol" w:hAnsi="Segoe UI Symbol" w:cs="Segoe UI Symbol"/>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4425E747" w:rsidR="00C85C8B" w:rsidRPr="00C85C8B" w:rsidRDefault="00525067" w:rsidP="00C85C8B">
                <w:pPr>
                  <w:rPr>
                    <w:rFonts w:ascii="Arial" w:hAnsi="Arial" w:cs="Arial"/>
                    <w:sz w:val="20"/>
                    <w:lang w:eastAsia="de-DE"/>
                  </w:rPr>
                </w:pPr>
                <w:r>
                  <w:rPr>
                    <w:rFonts w:ascii="Arial" w:hAnsi="Arial" w:cs="Arial"/>
                    <w:sz w:val="20"/>
                    <w:lang w:eastAsia="de-DE"/>
                  </w:rPr>
                  <w:t>Europe</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1F2A020A"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7634C8" w:rsidRPr="007634C8">
        <w:rPr>
          <w:rFonts w:asciiTheme="minorHAnsi" w:eastAsiaTheme="minorEastAsia" w:hAnsiTheme="minorHAnsi" w:cstheme="minorBidi"/>
          <w:sz w:val="22"/>
          <w:szCs w:val="20"/>
          <w:lang w:eastAsia="en-US"/>
        </w:rPr>
        <w:t>FRANDT</w:t>
      </w:r>
      <w:r w:rsidRPr="00C85C8B">
        <w:rPr>
          <w:rFonts w:asciiTheme="minorHAnsi" w:eastAsiaTheme="minorEastAsia" w:hAnsiTheme="minorHAnsi" w:cstheme="minorBidi"/>
          <w:sz w:val="22"/>
          <w:szCs w:val="20"/>
          <w:lang w:eastAsia="en-US"/>
        </w:rPr>
        <w:t>_1&gt;</w:t>
      </w:r>
    </w:p>
    <w:p w14:paraId="299B4968" w14:textId="6B91D59B" w:rsidR="00525067" w:rsidRDefault="00525067" w:rsidP="00525067">
      <w:pPr>
        <w:jc w:val="both"/>
        <w:rPr>
          <w:rFonts w:ascii="Arial" w:hAnsi="Arial" w:cs="Arial"/>
        </w:rPr>
      </w:pPr>
      <w:permStart w:id="885457707" w:edGrp="everyone"/>
      <w:r w:rsidRPr="00FB44E6">
        <w:rPr>
          <w:rFonts w:ascii="Arial" w:hAnsi="Arial" w:cs="Arial"/>
        </w:rPr>
        <w:t>IHS Markit (</w:t>
      </w:r>
      <w:r>
        <w:rPr>
          <w:rFonts w:ascii="Arial" w:hAnsi="Arial" w:cs="Arial"/>
        </w:rPr>
        <w:t>NYSE</w:t>
      </w:r>
      <w:r w:rsidRPr="00FB44E6">
        <w:rPr>
          <w:rFonts w:ascii="Arial" w:hAnsi="Arial" w:cs="Arial"/>
        </w:rPr>
        <w:t>: INFO) is pleased to pro</w:t>
      </w:r>
      <w:r>
        <w:rPr>
          <w:rFonts w:ascii="Arial" w:hAnsi="Arial" w:cs="Arial"/>
        </w:rPr>
        <w:t>vide its comments regarding the</w:t>
      </w:r>
      <w:r w:rsidRPr="00FB44E6">
        <w:rPr>
          <w:rFonts w:ascii="Arial" w:hAnsi="Arial" w:cs="Arial"/>
        </w:rPr>
        <w:t xml:space="preserve"> consultation paper (CP)</w:t>
      </w:r>
      <w:r>
        <w:rPr>
          <w:rFonts w:ascii="Arial" w:hAnsi="Arial" w:cs="Arial"/>
        </w:rPr>
        <w:t xml:space="preserve"> on ESMA’s draft technical advice on commercial terms </w:t>
      </w:r>
      <w:r w:rsidRPr="00226612">
        <w:rPr>
          <w:rFonts w:ascii="Arial" w:hAnsi="Arial" w:cs="Arial"/>
        </w:rPr>
        <w:t>for providing clearing services under EMIR</w:t>
      </w:r>
      <w:r>
        <w:rPr>
          <w:rFonts w:ascii="Arial" w:hAnsi="Arial" w:cs="Arial"/>
        </w:rPr>
        <w:t xml:space="preserve">. We are responding as the provider of end-to-end trade processing solutions supporting participants in OTC derivative markets. </w:t>
      </w:r>
      <w:r w:rsidRPr="00FB44E6">
        <w:rPr>
          <w:rFonts w:ascii="Arial" w:hAnsi="Arial" w:cs="Arial"/>
        </w:rPr>
        <w:t xml:space="preserve">  </w:t>
      </w:r>
    </w:p>
    <w:p w14:paraId="455BD680" w14:textId="77777777" w:rsidR="00525067" w:rsidRDefault="00525067" w:rsidP="00525067">
      <w:pPr>
        <w:jc w:val="both"/>
        <w:rPr>
          <w:rFonts w:ascii="Arial" w:hAnsi="Arial" w:cs="Arial"/>
        </w:rPr>
      </w:pPr>
    </w:p>
    <w:p w14:paraId="6F40BD6C" w14:textId="77777777" w:rsidR="00525067" w:rsidRPr="00FB44E6" w:rsidRDefault="00525067" w:rsidP="00525067">
      <w:pPr>
        <w:jc w:val="both"/>
        <w:rPr>
          <w:rFonts w:ascii="Arial" w:eastAsia="MS Mincho" w:hAnsi="Arial" w:cs="Arial"/>
        </w:rPr>
      </w:pPr>
    </w:p>
    <w:p w14:paraId="21AFB8AB" w14:textId="00466A97" w:rsidR="00525067" w:rsidRPr="00525067" w:rsidRDefault="00525067" w:rsidP="00525067">
      <w:pPr>
        <w:contextualSpacing/>
        <w:rPr>
          <w:rFonts w:ascii="Arial" w:hAnsi="Arial" w:cs="Arial"/>
          <w:b/>
        </w:rPr>
      </w:pPr>
      <w:r w:rsidRPr="00525067">
        <w:rPr>
          <w:rFonts w:ascii="Arial" w:hAnsi="Arial" w:cs="Arial"/>
          <w:b/>
        </w:rPr>
        <w:t>Introduction</w:t>
      </w:r>
    </w:p>
    <w:p w14:paraId="6D4C4944" w14:textId="77777777" w:rsidR="00525067" w:rsidRPr="00FB44E6" w:rsidRDefault="00525067" w:rsidP="00525067">
      <w:pPr>
        <w:jc w:val="both"/>
        <w:rPr>
          <w:rFonts w:ascii="Arial" w:hAnsi="Arial" w:cs="Arial"/>
        </w:rPr>
      </w:pPr>
    </w:p>
    <w:p w14:paraId="22A3AB0B" w14:textId="77777777" w:rsidR="00525067" w:rsidRDefault="00525067" w:rsidP="00525067">
      <w:pPr>
        <w:jc w:val="both"/>
        <w:rPr>
          <w:rFonts w:ascii="Arial" w:hAnsi="Arial" w:cs="Arial"/>
        </w:rPr>
      </w:pPr>
      <w:r w:rsidRPr="00FB44E6">
        <w:rPr>
          <w:rFonts w:ascii="Arial" w:hAnsi="Arial" w:cs="Arial"/>
        </w:rPr>
        <w:t xml:space="preserve">IHS Markit is a world leader in critical information, analytics and solutions for the major industries and markets that drive economies worldwide. The company delivers next-generation information, analytics and solutions to customers in business, finance and government, improving their operational efficiency and providing deep insights that lead to well-informed, confident decisions. </w:t>
      </w:r>
      <w:r>
        <w:rPr>
          <w:rFonts w:ascii="Arial" w:hAnsi="Arial" w:cs="Arial"/>
        </w:rPr>
        <w:t xml:space="preserve">Headquartered in the UK with offices in 10 other member states, </w:t>
      </w:r>
      <w:r w:rsidRPr="00FB44E6">
        <w:rPr>
          <w:rFonts w:ascii="Arial" w:hAnsi="Arial" w:cs="Arial"/>
        </w:rPr>
        <w:t xml:space="preserve">IHS Markit has more than 50,000 key business and government customers, including 80 percent of the Fortune Global 500 and the world’s leading financial institutions. </w:t>
      </w:r>
    </w:p>
    <w:p w14:paraId="7BE589DA" w14:textId="77777777" w:rsidR="00525067" w:rsidRPr="00FB44E6" w:rsidRDefault="00525067" w:rsidP="00525067">
      <w:pPr>
        <w:jc w:val="both"/>
        <w:rPr>
          <w:rFonts w:ascii="Arial" w:hAnsi="Arial" w:cs="Arial"/>
        </w:rPr>
      </w:pPr>
    </w:p>
    <w:p w14:paraId="09142AFB" w14:textId="77777777" w:rsidR="00525067" w:rsidRDefault="00525067" w:rsidP="00525067">
      <w:pPr>
        <w:jc w:val="both"/>
        <w:rPr>
          <w:rFonts w:ascii="Arial" w:hAnsi="Arial" w:cs="Arial"/>
        </w:rPr>
      </w:pPr>
      <w:proofErr w:type="spellStart"/>
      <w:r>
        <w:rPr>
          <w:rFonts w:ascii="Arial" w:hAnsi="Arial" w:cs="Arial"/>
        </w:rPr>
        <w:t>MarkitSERV</w:t>
      </w:r>
      <w:proofErr w:type="spellEnd"/>
      <w:r>
        <w:rPr>
          <w:rFonts w:ascii="Arial" w:hAnsi="Arial" w:cs="Arial"/>
        </w:rPr>
        <w:t xml:space="preserve"> is a wholly owned subsidiary of </w:t>
      </w:r>
      <w:r w:rsidRPr="00ED667E">
        <w:rPr>
          <w:rFonts w:ascii="Arial" w:hAnsi="Arial" w:cs="Arial"/>
        </w:rPr>
        <w:t>IHS Markit</w:t>
      </w:r>
      <w:r>
        <w:rPr>
          <w:rFonts w:ascii="Arial" w:hAnsi="Arial" w:cs="Arial"/>
        </w:rPr>
        <w:t xml:space="preserve">. </w:t>
      </w:r>
      <w:proofErr w:type="spellStart"/>
      <w:r w:rsidRPr="00697101">
        <w:rPr>
          <w:rFonts w:ascii="Arial" w:hAnsi="Arial" w:cs="Arial"/>
        </w:rPr>
        <w:t>MarkitSERV</w:t>
      </w:r>
      <w:proofErr w:type="spellEnd"/>
      <w:r w:rsidRPr="00697101">
        <w:rPr>
          <w:rFonts w:ascii="Arial" w:hAnsi="Arial" w:cs="Arial"/>
        </w:rPr>
        <w:t xml:space="preserve"> provides end-to-end trade processing and workflow solutions that support participants in</w:t>
      </w:r>
      <w:r>
        <w:rPr>
          <w:rFonts w:ascii="Arial" w:hAnsi="Arial" w:cs="Arial"/>
        </w:rPr>
        <w:t xml:space="preserve"> </w:t>
      </w:r>
      <w:r w:rsidRPr="00697101">
        <w:rPr>
          <w:rFonts w:ascii="Arial" w:hAnsi="Arial" w:cs="Arial"/>
        </w:rPr>
        <w:t xml:space="preserve">OTC trading </w:t>
      </w:r>
      <w:proofErr w:type="gramStart"/>
      <w:r>
        <w:rPr>
          <w:rFonts w:ascii="Arial" w:hAnsi="Arial" w:cs="Arial"/>
        </w:rPr>
        <w:t>including:</w:t>
      </w:r>
      <w:proofErr w:type="gramEnd"/>
      <w:r>
        <w:rPr>
          <w:rFonts w:ascii="Arial" w:hAnsi="Arial" w:cs="Arial"/>
        </w:rPr>
        <w:t xml:space="preserve"> </w:t>
      </w:r>
      <w:r w:rsidRPr="00697101">
        <w:rPr>
          <w:rFonts w:ascii="Arial" w:hAnsi="Arial" w:cs="Arial"/>
        </w:rPr>
        <w:t>post-trade notices of execution, trade confirmation</w:t>
      </w:r>
      <w:r>
        <w:rPr>
          <w:rFonts w:ascii="Arial" w:hAnsi="Arial" w:cs="Arial"/>
        </w:rPr>
        <w:t>,</w:t>
      </w:r>
      <w:r w:rsidRPr="00697101">
        <w:rPr>
          <w:rFonts w:ascii="Arial" w:hAnsi="Arial" w:cs="Arial"/>
        </w:rPr>
        <w:t xml:space="preserve"> </w:t>
      </w:r>
      <w:r>
        <w:rPr>
          <w:rFonts w:ascii="Arial" w:hAnsi="Arial" w:cs="Arial"/>
        </w:rPr>
        <w:t xml:space="preserve">electronic </w:t>
      </w:r>
      <w:r w:rsidRPr="00697101">
        <w:rPr>
          <w:rFonts w:ascii="Arial" w:hAnsi="Arial" w:cs="Arial"/>
        </w:rPr>
        <w:t>allocations</w:t>
      </w:r>
      <w:r>
        <w:rPr>
          <w:rFonts w:ascii="Arial" w:hAnsi="Arial" w:cs="Arial"/>
        </w:rPr>
        <w:t xml:space="preserve">, </w:t>
      </w:r>
      <w:r w:rsidRPr="00697101">
        <w:rPr>
          <w:rFonts w:ascii="Arial" w:hAnsi="Arial" w:cs="Arial"/>
        </w:rPr>
        <w:t>clearing</w:t>
      </w:r>
      <w:r>
        <w:rPr>
          <w:rFonts w:ascii="Arial" w:hAnsi="Arial" w:cs="Arial"/>
        </w:rPr>
        <w:t xml:space="preserve"> (including client clearing)</w:t>
      </w:r>
      <w:r w:rsidRPr="00697101">
        <w:rPr>
          <w:rFonts w:ascii="Arial" w:hAnsi="Arial" w:cs="Arial"/>
        </w:rPr>
        <w:t xml:space="preserve"> and </w:t>
      </w:r>
      <w:r>
        <w:rPr>
          <w:rFonts w:ascii="Arial" w:hAnsi="Arial" w:cs="Arial"/>
        </w:rPr>
        <w:t xml:space="preserve">transaction </w:t>
      </w:r>
      <w:r w:rsidRPr="00697101">
        <w:rPr>
          <w:rFonts w:ascii="Arial" w:hAnsi="Arial" w:cs="Arial"/>
        </w:rPr>
        <w:t>reporting.</w:t>
      </w:r>
      <w:r>
        <w:rPr>
          <w:rFonts w:ascii="Arial" w:hAnsi="Arial" w:cs="Arial"/>
        </w:rPr>
        <w:t xml:space="preserve"> </w:t>
      </w:r>
      <w:proofErr w:type="spellStart"/>
      <w:r w:rsidRPr="00697101">
        <w:rPr>
          <w:rFonts w:ascii="Arial" w:hAnsi="Arial" w:cs="Arial"/>
        </w:rPr>
        <w:t>MarkitSERV</w:t>
      </w:r>
      <w:proofErr w:type="spellEnd"/>
      <w:r w:rsidRPr="00697101">
        <w:rPr>
          <w:rFonts w:ascii="Arial" w:hAnsi="Arial" w:cs="Arial"/>
        </w:rPr>
        <w:t xml:space="preserve"> helps industry participants </w:t>
      </w:r>
      <w:r>
        <w:rPr>
          <w:rFonts w:ascii="Arial" w:hAnsi="Arial" w:cs="Arial"/>
        </w:rPr>
        <w:t>access markets and manage post trade processing including confirmation, reporting and clearing requirements</w:t>
      </w:r>
      <w:r w:rsidRPr="00697101">
        <w:rPr>
          <w:rFonts w:ascii="Arial" w:hAnsi="Arial" w:cs="Arial"/>
        </w:rPr>
        <w:t>, while minimi</w:t>
      </w:r>
      <w:r>
        <w:rPr>
          <w:rFonts w:ascii="Arial" w:hAnsi="Arial" w:cs="Arial"/>
        </w:rPr>
        <w:t>s</w:t>
      </w:r>
      <w:r w:rsidRPr="00697101">
        <w:rPr>
          <w:rFonts w:ascii="Arial" w:hAnsi="Arial" w:cs="Arial"/>
        </w:rPr>
        <w:t>ing cost and complexity</w:t>
      </w:r>
      <w:r>
        <w:rPr>
          <w:rFonts w:ascii="Arial" w:hAnsi="Arial" w:cs="Arial"/>
        </w:rPr>
        <w:t>.</w:t>
      </w:r>
    </w:p>
    <w:p w14:paraId="02AF2FF9" w14:textId="2368208B" w:rsidR="00C85C8B" w:rsidRDefault="00C85C8B" w:rsidP="00525067">
      <w:pPr>
        <w:spacing w:after="250" w:line="276" w:lineRule="auto"/>
        <w:jc w:val="both"/>
        <w:rPr>
          <w:rFonts w:ascii="Arial" w:eastAsiaTheme="minorEastAsia" w:hAnsi="Arial" w:cs="Arial"/>
          <w:sz w:val="22"/>
          <w:szCs w:val="20"/>
          <w:lang w:eastAsia="en-US"/>
        </w:rPr>
      </w:pPr>
    </w:p>
    <w:p w14:paraId="15DA1AB1" w14:textId="77777777" w:rsidR="00525067" w:rsidRPr="00FB44E6" w:rsidRDefault="00525067" w:rsidP="0052506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eastAsia="Arial" w:hAnsi="Arial" w:cs="Arial"/>
          <w:bCs/>
        </w:rPr>
      </w:pPr>
      <w:r w:rsidRPr="00FB44E6">
        <w:rPr>
          <w:rFonts w:ascii="Arial" w:eastAsia="Arial" w:hAnsi="Arial" w:cs="Arial"/>
          <w:b/>
          <w:bCs/>
        </w:rPr>
        <w:lastRenderedPageBreak/>
        <w:t>Summary</w:t>
      </w:r>
    </w:p>
    <w:p w14:paraId="6B3EC3AD" w14:textId="77777777" w:rsidR="00525067" w:rsidRDefault="00525067" w:rsidP="00525067">
      <w:pPr>
        <w:jc w:val="both"/>
        <w:rPr>
          <w:rFonts w:ascii="Arial" w:hAnsi="Arial" w:cs="Arial"/>
        </w:rPr>
      </w:pPr>
    </w:p>
    <w:p w14:paraId="61E5B9B5" w14:textId="77777777" w:rsidR="00525067" w:rsidRDefault="00525067" w:rsidP="00525067">
      <w:pPr>
        <w:jc w:val="both"/>
        <w:rPr>
          <w:rFonts w:ascii="Arial" w:hAnsi="Arial" w:cs="Arial"/>
        </w:rPr>
      </w:pPr>
      <w:r>
        <w:rPr>
          <w:rFonts w:ascii="Arial" w:hAnsi="Arial" w:cs="Arial"/>
        </w:rPr>
        <w:t xml:space="preserve">IHS Markit generally welcomes ESMA’s proposals to support access to clearing for a wide range of market participants and ensure that counterparties with limited volumes in OTC derivative markets can access clearing services proportionately and efficiently. However, we would like to highlight to ESMA the role that service providers, such as </w:t>
      </w:r>
      <w:proofErr w:type="spellStart"/>
      <w:r>
        <w:rPr>
          <w:rFonts w:ascii="Arial" w:hAnsi="Arial" w:cs="Arial"/>
        </w:rPr>
        <w:t>MarkitSERV</w:t>
      </w:r>
      <w:proofErr w:type="spellEnd"/>
      <w:r>
        <w:rPr>
          <w:rFonts w:ascii="Arial" w:hAnsi="Arial" w:cs="Arial"/>
        </w:rPr>
        <w:t xml:space="preserve">, play in the efficient operation of OTC derivative markets, particularly in providing efficient connectivity to enable access to these markets (including to smaller firms). Regulators should, therefore, also ensure that providers, such as </w:t>
      </w:r>
      <w:proofErr w:type="spellStart"/>
      <w:r>
        <w:rPr>
          <w:rFonts w:ascii="Arial" w:hAnsi="Arial" w:cs="Arial"/>
        </w:rPr>
        <w:t>MarkitSERV</w:t>
      </w:r>
      <w:proofErr w:type="spellEnd"/>
      <w:r>
        <w:rPr>
          <w:rFonts w:ascii="Arial" w:hAnsi="Arial" w:cs="Arial"/>
        </w:rPr>
        <w:t xml:space="preserve">, are also able to benefit from FRANDT proposals when they seek to connect to trading venues, clearing houses and providers of clearing services. Specifically, ESMA should: </w:t>
      </w:r>
    </w:p>
    <w:p w14:paraId="45124A51" w14:textId="77777777" w:rsidR="00525067" w:rsidRPr="00ED667E" w:rsidRDefault="00525067" w:rsidP="00525067">
      <w:pPr>
        <w:jc w:val="both"/>
        <w:rPr>
          <w:rFonts w:ascii="Arial" w:hAnsi="Arial" w:cs="Arial"/>
        </w:rPr>
      </w:pPr>
    </w:p>
    <w:p w14:paraId="69B9DF0A" w14:textId="77777777" w:rsidR="00525067" w:rsidRPr="0033685F" w:rsidRDefault="00525067" w:rsidP="00525067">
      <w:pPr>
        <w:pStyle w:val="Body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w:hAnsi="Arial" w:cs="Arial"/>
          <w:bCs/>
        </w:rPr>
      </w:pPr>
      <w:r>
        <w:rPr>
          <w:rFonts w:ascii="Arial" w:eastAsia="Arial" w:hAnsi="Arial" w:cs="Arial"/>
          <w:bCs/>
        </w:rPr>
        <w:t xml:space="preserve">Appreciate the </w:t>
      </w:r>
      <w:r w:rsidRPr="0033685F">
        <w:rPr>
          <w:rFonts w:ascii="Arial" w:eastAsia="Arial" w:hAnsi="Arial" w:cs="Arial"/>
          <w:bCs/>
        </w:rPr>
        <w:t xml:space="preserve">importance that CCPs provide access to </w:t>
      </w:r>
      <w:r>
        <w:rPr>
          <w:rFonts w:ascii="Arial" w:eastAsia="Arial" w:hAnsi="Arial" w:cs="Arial"/>
          <w:bCs/>
        </w:rPr>
        <w:t>third</w:t>
      </w:r>
      <w:r w:rsidRPr="0033685F">
        <w:rPr>
          <w:rFonts w:ascii="Arial" w:eastAsia="Arial" w:hAnsi="Arial" w:cs="Arial"/>
          <w:bCs/>
        </w:rPr>
        <w:t xml:space="preserve"> party confirmation platforms to ensure trades that </w:t>
      </w:r>
      <w:r>
        <w:rPr>
          <w:rFonts w:ascii="Arial" w:eastAsia="Arial" w:hAnsi="Arial" w:cs="Arial"/>
          <w:bCs/>
        </w:rPr>
        <w:t>are</w:t>
      </w:r>
      <w:r w:rsidRPr="0033685F">
        <w:rPr>
          <w:rFonts w:ascii="Arial" w:eastAsia="Arial" w:hAnsi="Arial" w:cs="Arial"/>
          <w:bCs/>
        </w:rPr>
        <w:t xml:space="preserve"> submitted to clearing are </w:t>
      </w:r>
      <w:r>
        <w:rPr>
          <w:rFonts w:ascii="Arial" w:eastAsia="Arial" w:hAnsi="Arial" w:cs="Arial"/>
          <w:bCs/>
        </w:rPr>
        <w:t xml:space="preserve">accurate in order to avoid the clearing of erroneous </w:t>
      </w:r>
      <w:r w:rsidRPr="0033685F">
        <w:rPr>
          <w:rFonts w:ascii="Arial" w:eastAsia="Arial" w:hAnsi="Arial" w:cs="Arial"/>
          <w:bCs/>
        </w:rPr>
        <w:t>trades</w:t>
      </w:r>
      <w:r>
        <w:rPr>
          <w:rFonts w:ascii="Arial" w:eastAsia="Arial" w:hAnsi="Arial" w:cs="Arial"/>
          <w:bCs/>
        </w:rPr>
        <w:t>, which can be complicated and expensive</w:t>
      </w:r>
      <w:r w:rsidRPr="0033685F">
        <w:rPr>
          <w:rFonts w:ascii="Arial" w:eastAsia="Arial" w:hAnsi="Arial" w:cs="Arial"/>
          <w:bCs/>
        </w:rPr>
        <w:t xml:space="preserve"> </w:t>
      </w:r>
      <w:r>
        <w:rPr>
          <w:rFonts w:ascii="Arial" w:eastAsia="Arial" w:hAnsi="Arial" w:cs="Arial"/>
          <w:bCs/>
        </w:rPr>
        <w:t>to correct, by specifically allowing affirmation of OTC derivative transactions to ensure submission to clearing is conducted in a prompt, efficient and accurate manner;</w:t>
      </w:r>
      <w:r w:rsidRPr="0033685F">
        <w:rPr>
          <w:rFonts w:ascii="Arial" w:eastAsia="Arial" w:hAnsi="Arial" w:cs="Arial"/>
          <w:bCs/>
        </w:rPr>
        <w:t xml:space="preserve"> </w:t>
      </w:r>
    </w:p>
    <w:p w14:paraId="1AAE65C4" w14:textId="77777777" w:rsidR="00525067" w:rsidRPr="00F04002" w:rsidRDefault="00525067" w:rsidP="00525067">
      <w:pPr>
        <w:pStyle w:val="Body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w:hAnsi="Arial" w:cs="Arial"/>
          <w:bCs/>
        </w:rPr>
      </w:pPr>
      <w:r>
        <w:rPr>
          <w:rFonts w:ascii="Arial" w:eastAsia="Arial" w:hAnsi="Arial" w:cs="Arial"/>
          <w:bCs/>
        </w:rPr>
        <w:t>Ensure CCPs provide access to service platforms, which means European counterparties can connect to multiple</w:t>
      </w:r>
      <w:r w:rsidRPr="00F04002">
        <w:rPr>
          <w:rFonts w:ascii="Arial" w:eastAsia="Arial" w:hAnsi="Arial" w:cs="Arial"/>
          <w:bCs/>
        </w:rPr>
        <w:t xml:space="preserve"> European </w:t>
      </w:r>
      <w:r>
        <w:rPr>
          <w:rFonts w:ascii="Arial" w:eastAsia="Arial" w:hAnsi="Arial" w:cs="Arial"/>
          <w:bCs/>
        </w:rPr>
        <w:t xml:space="preserve">CCPs that support </w:t>
      </w:r>
      <w:r w:rsidRPr="00F04002">
        <w:rPr>
          <w:rFonts w:ascii="Arial" w:eastAsia="Arial" w:hAnsi="Arial" w:cs="Arial"/>
          <w:bCs/>
        </w:rPr>
        <w:t xml:space="preserve">OTC derivative </w:t>
      </w:r>
      <w:r>
        <w:rPr>
          <w:rFonts w:ascii="Arial" w:eastAsia="Arial" w:hAnsi="Arial" w:cs="Arial"/>
          <w:bCs/>
        </w:rPr>
        <w:t xml:space="preserve">clearing in an efficient and cost-effective manner. This </w:t>
      </w:r>
      <w:r w:rsidRPr="00F04002">
        <w:rPr>
          <w:rFonts w:ascii="Arial" w:eastAsia="Arial" w:hAnsi="Arial" w:cs="Arial"/>
          <w:bCs/>
        </w:rPr>
        <w:t>lowers barriers to entry and encourages competition</w:t>
      </w:r>
      <w:r>
        <w:rPr>
          <w:rFonts w:ascii="Arial" w:eastAsia="Arial" w:hAnsi="Arial" w:cs="Arial"/>
          <w:bCs/>
        </w:rPr>
        <w:t>, something that benefits the whole market and supports access to clearing for all counterparties; and</w:t>
      </w:r>
    </w:p>
    <w:p w14:paraId="2F82CF98" w14:textId="77777777" w:rsidR="00525067" w:rsidRDefault="00525067" w:rsidP="00525067">
      <w:pPr>
        <w:pStyle w:val="Body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eastAsia="Arial" w:hAnsi="Arial" w:cs="Arial"/>
          <w:bCs/>
        </w:rPr>
      </w:pPr>
      <w:r>
        <w:rPr>
          <w:rFonts w:ascii="Arial" w:eastAsia="Arial" w:hAnsi="Arial" w:cs="Arial"/>
          <w:bCs/>
        </w:rPr>
        <w:t xml:space="preserve">Be aware that platforms supporting </w:t>
      </w:r>
      <w:r w:rsidRPr="0033685F">
        <w:rPr>
          <w:rFonts w:ascii="Arial" w:eastAsia="Arial" w:hAnsi="Arial" w:cs="Arial"/>
          <w:bCs/>
        </w:rPr>
        <w:t>pre</w:t>
      </w:r>
      <w:r>
        <w:rPr>
          <w:rFonts w:ascii="Arial" w:eastAsia="Arial" w:hAnsi="Arial" w:cs="Arial"/>
          <w:bCs/>
        </w:rPr>
        <w:t>-</w:t>
      </w:r>
      <w:r w:rsidRPr="0033685F">
        <w:rPr>
          <w:rFonts w:ascii="Arial" w:eastAsia="Arial" w:hAnsi="Arial" w:cs="Arial"/>
          <w:bCs/>
        </w:rPr>
        <w:t xml:space="preserve">clearing affirmation/confirmation </w:t>
      </w:r>
      <w:r>
        <w:rPr>
          <w:rFonts w:ascii="Arial" w:eastAsia="Arial" w:hAnsi="Arial" w:cs="Arial"/>
          <w:bCs/>
        </w:rPr>
        <w:t xml:space="preserve">to multiple CCPs substantially improves </w:t>
      </w:r>
      <w:r w:rsidRPr="0033685F">
        <w:rPr>
          <w:rFonts w:ascii="Arial" w:eastAsia="Arial" w:hAnsi="Arial" w:cs="Arial"/>
          <w:bCs/>
        </w:rPr>
        <w:t>data quality</w:t>
      </w:r>
      <w:r>
        <w:rPr>
          <w:rFonts w:ascii="Arial" w:eastAsia="Arial" w:hAnsi="Arial" w:cs="Arial"/>
          <w:bCs/>
        </w:rPr>
        <w:t xml:space="preserve"> and consistency and leads to improved accuracy of trades cleared and reported. This assists regulators with their objectives and their understanding of the market and systemic risks.</w:t>
      </w:r>
    </w:p>
    <w:p w14:paraId="4862C752" w14:textId="77777777" w:rsidR="00525067" w:rsidRDefault="00525067" w:rsidP="0052506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eastAsia="Arial" w:hAnsi="Arial" w:cs="Arial"/>
          <w:bCs/>
        </w:rPr>
      </w:pPr>
    </w:p>
    <w:p w14:paraId="10856B1C" w14:textId="77777777" w:rsidR="00525067" w:rsidRDefault="00525067" w:rsidP="0052506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eastAsia="Arial" w:hAnsi="Arial" w:cs="Arial"/>
          <w:bCs/>
        </w:rPr>
      </w:pPr>
      <w:r>
        <w:rPr>
          <w:rFonts w:ascii="Arial" w:eastAsia="Arial" w:hAnsi="Arial" w:cs="Arial"/>
          <w:bCs/>
        </w:rPr>
        <w:t xml:space="preserve">IHS Markit would ask ESMA to ensure that platforms and technology providers, which can ensure efficient cost-effective access to OTC derivative markets in the EU, are able to benefit from the FRANDT approach being suggested for its technical advice in the CP. We would be happy to share with ESMA our experience and expertise operating </w:t>
      </w:r>
      <w:proofErr w:type="spellStart"/>
      <w:r>
        <w:rPr>
          <w:rFonts w:ascii="Arial" w:eastAsia="Arial" w:hAnsi="Arial" w:cs="Arial"/>
          <w:bCs/>
        </w:rPr>
        <w:t>MarkitSERV</w:t>
      </w:r>
      <w:proofErr w:type="spellEnd"/>
      <w:r>
        <w:rPr>
          <w:rFonts w:ascii="Arial" w:eastAsia="Arial" w:hAnsi="Arial" w:cs="Arial"/>
          <w:bCs/>
        </w:rPr>
        <w:t xml:space="preserve"> and supporting OTC derivative markets globally.  </w:t>
      </w:r>
    </w:p>
    <w:p w14:paraId="696ACE3C" w14:textId="77777777" w:rsidR="00525067" w:rsidRPr="00FB44E6" w:rsidRDefault="00525067" w:rsidP="00525067">
      <w:pPr>
        <w:pStyle w:val="BodyA"/>
        <w:jc w:val="both"/>
        <w:rPr>
          <w:rFonts w:ascii="Arial" w:eastAsia="Arial" w:hAnsi="Arial" w:cs="Arial"/>
          <w:bCs/>
        </w:rPr>
      </w:pPr>
    </w:p>
    <w:p w14:paraId="5D84BFA9" w14:textId="77777777" w:rsidR="00525067" w:rsidRDefault="00525067" w:rsidP="00525067">
      <w:pPr>
        <w:pStyle w:val="BodyA"/>
        <w:suppressAutoHyphens/>
        <w:spacing w:line="240" w:lineRule="auto"/>
        <w:jc w:val="both"/>
        <w:rPr>
          <w:rFonts w:ascii="Arial" w:hAnsi="Arial" w:cs="Arial"/>
          <w:lang w:val="en-GB"/>
        </w:rPr>
      </w:pPr>
      <w:r w:rsidRPr="00DB4553">
        <w:rPr>
          <w:rFonts w:ascii="Arial" w:hAnsi="Arial" w:cs="Arial"/>
          <w:lang w:val="en-GB"/>
        </w:rPr>
        <w:t xml:space="preserve">We hope that our comments are helpful to </w:t>
      </w:r>
      <w:r>
        <w:rPr>
          <w:rFonts w:ascii="Arial" w:hAnsi="Arial" w:cs="Arial"/>
          <w:lang w:val="en-GB"/>
        </w:rPr>
        <w:t>ESMA</w:t>
      </w:r>
      <w:r w:rsidRPr="00DB4553">
        <w:rPr>
          <w:rFonts w:ascii="Arial" w:hAnsi="Arial" w:cs="Arial"/>
          <w:lang w:val="en-GB"/>
        </w:rPr>
        <w:t xml:space="preserve">. We would be more than happy to elaborate or further discuss any of the points addressed above. In the event you may have any questions, please do not hesitate to contact David Cook, Executive Director for Regulatory and Government Affairs at </w:t>
      </w:r>
      <w:hyperlink r:id="rId19" w:history="1">
        <w:r w:rsidRPr="00033E7B">
          <w:rPr>
            <w:rStyle w:val="Hyperlink"/>
            <w:rFonts w:ascii="Arial" w:hAnsi="Arial" w:cs="Arial"/>
            <w:lang w:val="en-GB"/>
          </w:rPr>
          <w:t>david.cook@ihsmarkit.com</w:t>
        </w:r>
      </w:hyperlink>
      <w:r w:rsidRPr="00DB4553">
        <w:rPr>
          <w:rFonts w:ascii="Arial" w:hAnsi="Arial" w:cs="Arial"/>
          <w:lang w:val="en-GB"/>
        </w:rPr>
        <w:t>.</w:t>
      </w:r>
    </w:p>
    <w:p w14:paraId="48B991E2" w14:textId="77777777" w:rsidR="00525067" w:rsidRPr="00FB44E6" w:rsidRDefault="00525067" w:rsidP="00525067">
      <w:pPr>
        <w:pStyle w:val="BodyA"/>
        <w:suppressAutoHyphens/>
        <w:spacing w:line="240" w:lineRule="auto"/>
        <w:jc w:val="both"/>
        <w:rPr>
          <w:rFonts w:ascii="Arial" w:hAnsi="Arial" w:cs="Arial"/>
          <w:lang w:val="en-GB"/>
        </w:rPr>
      </w:pPr>
      <w:r w:rsidRPr="00FB44E6">
        <w:rPr>
          <w:rFonts w:ascii="Arial" w:hAnsi="Arial" w:cs="Arial"/>
          <w:lang w:val="en-GB"/>
        </w:rPr>
        <w:t>Yours faithfully,</w:t>
      </w:r>
    </w:p>
    <w:p w14:paraId="121E5CA0" w14:textId="77777777" w:rsidR="00525067" w:rsidRPr="008B56B5" w:rsidRDefault="00525067" w:rsidP="00525067">
      <w:pPr>
        <w:pStyle w:val="BodyA"/>
        <w:suppressAutoHyphens/>
        <w:spacing w:before="240" w:line="240" w:lineRule="atLeast"/>
        <w:jc w:val="both"/>
        <w:rPr>
          <w:rFonts w:ascii="Forte" w:eastAsia="Arial" w:hAnsi="Forte" w:cs="Arial"/>
          <w:sz w:val="36"/>
          <w:szCs w:val="36"/>
          <w:lang w:val="en-GB"/>
        </w:rPr>
      </w:pPr>
      <w:r w:rsidRPr="008B56B5">
        <w:rPr>
          <w:rFonts w:ascii="Forte" w:eastAsia="Arial" w:hAnsi="Forte" w:cs="Arial"/>
          <w:sz w:val="36"/>
          <w:szCs w:val="36"/>
          <w:lang w:val="en-GB"/>
        </w:rPr>
        <w:t>David Cook</w:t>
      </w:r>
    </w:p>
    <w:p w14:paraId="31D43194" w14:textId="77777777" w:rsidR="00525067" w:rsidRPr="00FB44E6" w:rsidRDefault="00525067" w:rsidP="00525067">
      <w:pPr>
        <w:pStyle w:val="BodyA"/>
        <w:suppressAutoHyphens/>
        <w:jc w:val="both"/>
        <w:rPr>
          <w:rFonts w:ascii="Arial" w:eastAsia="Arial" w:hAnsi="Arial" w:cs="Arial"/>
          <w:lang w:val="en-GB"/>
        </w:rPr>
      </w:pPr>
    </w:p>
    <w:p w14:paraId="347ED13C" w14:textId="77777777" w:rsidR="00525067" w:rsidRPr="00FB44E6" w:rsidRDefault="00525067" w:rsidP="00525067">
      <w:pPr>
        <w:pStyle w:val="BodyA"/>
        <w:suppressAutoHyphens/>
        <w:jc w:val="both"/>
        <w:rPr>
          <w:rFonts w:ascii="Arial" w:eastAsia="Arial" w:hAnsi="Arial" w:cs="Arial"/>
          <w:lang w:val="en-GB"/>
        </w:rPr>
      </w:pPr>
      <w:r w:rsidRPr="00FB44E6">
        <w:rPr>
          <w:rFonts w:ascii="Arial" w:hAnsi="Arial" w:cs="Arial"/>
          <w:lang w:val="en-GB"/>
        </w:rPr>
        <w:t>Executive Director, Regulatory Affairs</w:t>
      </w:r>
    </w:p>
    <w:p w14:paraId="002DB5CE" w14:textId="77777777" w:rsidR="00525067" w:rsidRPr="00FB44E6" w:rsidRDefault="00525067" w:rsidP="00525067">
      <w:pPr>
        <w:pStyle w:val="BodyA"/>
        <w:suppressAutoHyphens/>
        <w:jc w:val="both"/>
        <w:rPr>
          <w:rFonts w:ascii="Arial" w:eastAsia="Arial" w:hAnsi="Arial" w:cs="Arial"/>
          <w:lang w:val="en-GB"/>
        </w:rPr>
      </w:pPr>
      <w:r w:rsidRPr="00FB44E6">
        <w:rPr>
          <w:rFonts w:ascii="Arial" w:hAnsi="Arial" w:cs="Arial"/>
          <w:lang w:val="en-GB"/>
        </w:rPr>
        <w:t>IHS Markit</w:t>
      </w:r>
    </w:p>
    <w:p w14:paraId="74A44C7E" w14:textId="77777777" w:rsidR="00525067" w:rsidRPr="00FB44E6" w:rsidRDefault="00525067" w:rsidP="00525067">
      <w:pPr>
        <w:pStyle w:val="BodyA"/>
        <w:suppressAutoHyphens/>
        <w:jc w:val="both"/>
        <w:rPr>
          <w:rFonts w:ascii="Arial" w:hAnsi="Arial" w:cs="Arial"/>
          <w:lang w:val="en-GB"/>
        </w:rPr>
      </w:pPr>
      <w:hyperlink r:id="rId20" w:history="1">
        <w:r w:rsidRPr="00FB44E6">
          <w:rPr>
            <w:rStyle w:val="Hyperlink"/>
            <w:rFonts w:ascii="Arial" w:hAnsi="Arial" w:cs="Arial"/>
            <w:lang w:val="en-GB"/>
          </w:rPr>
          <w:t>david.cook@ihsmarkit.com</w:t>
        </w:r>
      </w:hyperlink>
    </w:p>
    <w:p w14:paraId="6CB52DAA" w14:textId="77777777" w:rsidR="00525067" w:rsidRDefault="00525067" w:rsidP="00525067">
      <w:pPr>
        <w:spacing w:after="250" w:line="276" w:lineRule="auto"/>
        <w:jc w:val="both"/>
        <w:rPr>
          <w:rFonts w:ascii="Arial" w:eastAsiaTheme="minorEastAsia" w:hAnsi="Arial" w:cs="Arial"/>
          <w:sz w:val="22"/>
          <w:szCs w:val="20"/>
          <w:lang w:eastAsia="en-US"/>
        </w:rPr>
      </w:pPr>
    </w:p>
    <w:p w14:paraId="31FFEEA7" w14:textId="77777777" w:rsidR="00525067" w:rsidRPr="00C85C8B" w:rsidRDefault="00525067" w:rsidP="00525067">
      <w:pPr>
        <w:spacing w:after="250" w:line="276" w:lineRule="auto"/>
        <w:jc w:val="both"/>
        <w:rPr>
          <w:rFonts w:ascii="Arial" w:eastAsiaTheme="minorEastAsia" w:hAnsi="Arial" w:cs="Arial"/>
          <w:sz w:val="22"/>
          <w:szCs w:val="20"/>
          <w:lang w:eastAsia="en-US"/>
        </w:rPr>
      </w:pPr>
    </w:p>
    <w:permEnd w:id="885457707"/>
    <w:p w14:paraId="15D00E65" w14:textId="07981F2B"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7634C8" w:rsidRPr="007634C8">
        <w:rPr>
          <w:rFonts w:asciiTheme="minorHAnsi" w:eastAsiaTheme="minorEastAsia" w:hAnsiTheme="minorHAnsi" w:cstheme="minorBidi"/>
          <w:sz w:val="22"/>
          <w:szCs w:val="20"/>
          <w:lang w:eastAsia="en-US"/>
        </w:rPr>
        <w:t>FRANDT</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15BD04BA" w:rsidR="00AB6157" w:rsidRDefault="00AB6157" w:rsidP="00C1698A">
      <w:pPr>
        <w:spacing w:line="276" w:lineRule="auto"/>
        <w:rPr>
          <w:rFonts w:asciiTheme="minorHAnsi" w:hAnsiTheme="minorHAnsi" w:cstheme="minorHAnsi"/>
          <w:b/>
          <w:sz w:val="28"/>
          <w:szCs w:val="28"/>
        </w:rPr>
      </w:pPr>
    </w:p>
    <w:bookmarkEnd w:id="1"/>
    <w:p w14:paraId="797BC345" w14:textId="77777777" w:rsidR="007634C8" w:rsidRDefault="007634C8" w:rsidP="007634C8">
      <w:pPr>
        <w:pStyle w:val="Questionstyle"/>
        <w:numPr>
          <w:ilvl w:val="0"/>
          <w:numId w:val="9"/>
        </w:numPr>
        <w:spacing w:after="250" w:line="276" w:lineRule="auto"/>
      </w:pPr>
      <w:r>
        <w:t>: Do you generally agree with the approach on transparency and how to publicly disclose fees and commercial terms and other conditions? Please elaborate and if you disagree with any specific requirement, please suggest alternative ones. You can also suggest additional ones.</w:t>
      </w:r>
    </w:p>
    <w:p w14:paraId="1BFF276A" w14:textId="77777777" w:rsidR="007634C8" w:rsidRDefault="007634C8" w:rsidP="007634C8">
      <w:pPr>
        <w:rPr>
          <w:rFonts w:ascii="Arial" w:hAnsi="Arial" w:cs="Arial"/>
        </w:rPr>
      </w:pPr>
      <w:r>
        <w:rPr>
          <w:rFonts w:ascii="Arial" w:hAnsi="Arial" w:cs="Arial"/>
        </w:rPr>
        <w:t>&lt;ESMA_QUESTION_FRANDT_1&gt;</w:t>
      </w:r>
    </w:p>
    <w:p w14:paraId="2697DA9C" w14:textId="77777777" w:rsidR="007634C8" w:rsidRDefault="007634C8" w:rsidP="007634C8">
      <w:pPr>
        <w:rPr>
          <w:rFonts w:ascii="Arial" w:hAnsi="Arial" w:cs="Arial"/>
        </w:rPr>
      </w:pPr>
      <w:permStart w:id="963859669" w:edGrp="everyone"/>
      <w:r>
        <w:rPr>
          <w:rFonts w:ascii="Arial" w:hAnsi="Arial" w:cs="Arial"/>
        </w:rPr>
        <w:t>TYPE YOUR TEXT HERE</w:t>
      </w:r>
    </w:p>
    <w:permEnd w:id="963859669"/>
    <w:p w14:paraId="2AAA68FE" w14:textId="77777777" w:rsidR="007634C8" w:rsidRDefault="007634C8" w:rsidP="007634C8">
      <w:pPr>
        <w:rPr>
          <w:rFonts w:ascii="Arial" w:hAnsi="Arial" w:cs="Arial"/>
        </w:rPr>
      </w:pPr>
      <w:r>
        <w:rPr>
          <w:rFonts w:ascii="Arial" w:hAnsi="Arial" w:cs="Arial"/>
        </w:rPr>
        <w:t>&lt;ESMA_QUESTION_FRANDT_1&gt;</w:t>
      </w:r>
    </w:p>
    <w:p w14:paraId="668A9557" w14:textId="77777777" w:rsidR="007634C8" w:rsidRDefault="007634C8" w:rsidP="007634C8">
      <w:pPr>
        <w:rPr>
          <w:rFonts w:ascii="Arial" w:hAnsi="Arial" w:cs="Arial"/>
        </w:rPr>
      </w:pPr>
    </w:p>
    <w:p w14:paraId="6D9005DE" w14:textId="77777777" w:rsidR="007634C8" w:rsidRDefault="007634C8" w:rsidP="007634C8">
      <w:pPr>
        <w:pStyle w:val="Questionstyle"/>
        <w:numPr>
          <w:ilvl w:val="0"/>
          <w:numId w:val="9"/>
        </w:numPr>
        <w:spacing w:after="250" w:line="276" w:lineRule="auto"/>
      </w:pPr>
      <w:r>
        <w:t>: Do you generally agree with the elements to be taken into consideration in the commercial terms for the provision of clearing services? Please elaborate and if you disagree with any specific element, please suggest alternative ones. You can also suggest additional ones.</w:t>
      </w:r>
    </w:p>
    <w:p w14:paraId="493DF8A1" w14:textId="77777777" w:rsidR="007634C8" w:rsidRDefault="007634C8" w:rsidP="007634C8">
      <w:pPr>
        <w:rPr>
          <w:rFonts w:ascii="Arial" w:hAnsi="Arial" w:cs="Arial"/>
        </w:rPr>
      </w:pPr>
      <w:r>
        <w:rPr>
          <w:rFonts w:ascii="Arial" w:hAnsi="Arial" w:cs="Arial"/>
        </w:rPr>
        <w:t>&lt;ESMA_QUESTION_FRANDT_2&gt;</w:t>
      </w:r>
    </w:p>
    <w:p w14:paraId="5B023B38" w14:textId="4B4CAC4F" w:rsidR="00525067" w:rsidRDefault="00525067" w:rsidP="00525067">
      <w:pPr>
        <w:pStyle w:val="BodyA"/>
        <w:jc w:val="both"/>
        <w:rPr>
          <w:rFonts w:ascii="Arial" w:eastAsia="Arial" w:hAnsi="Arial" w:cs="Arial"/>
          <w:bCs/>
        </w:rPr>
      </w:pPr>
      <w:permStart w:id="1506557908" w:edGrp="everyone"/>
      <w:r>
        <w:rPr>
          <w:rFonts w:ascii="Arial" w:eastAsia="Arial" w:hAnsi="Arial" w:cs="Arial"/>
          <w:bCs/>
        </w:rPr>
        <w:t>We would agree with ESMA that ‘technological requirements should not, where possible, represent a barrier to access clearing’ (para 62).</w:t>
      </w:r>
      <w:r w:rsidRPr="00FE428A">
        <w:rPr>
          <w:rFonts w:ascii="Arial" w:eastAsia="Arial" w:hAnsi="Arial" w:cs="Arial"/>
          <w:bCs/>
        </w:rPr>
        <w:t xml:space="preserve"> </w:t>
      </w:r>
      <w:r>
        <w:rPr>
          <w:rFonts w:ascii="Arial" w:eastAsia="Arial" w:hAnsi="Arial" w:cs="Arial"/>
          <w:bCs/>
        </w:rPr>
        <w:t xml:space="preserve">Platforms, such as </w:t>
      </w:r>
      <w:proofErr w:type="spellStart"/>
      <w:r>
        <w:rPr>
          <w:rFonts w:ascii="Arial" w:eastAsia="Arial" w:hAnsi="Arial" w:cs="Arial"/>
          <w:bCs/>
        </w:rPr>
        <w:t>MarkitSERV</w:t>
      </w:r>
      <w:proofErr w:type="spellEnd"/>
      <w:r>
        <w:rPr>
          <w:rFonts w:ascii="Arial" w:eastAsia="Arial" w:hAnsi="Arial" w:cs="Arial"/>
          <w:bCs/>
        </w:rPr>
        <w:t xml:space="preserve">, which are connected to multiple EU CCPs and trading venues, can provide clients with </w:t>
      </w:r>
      <w:proofErr w:type="spellStart"/>
      <w:r>
        <w:rPr>
          <w:rFonts w:ascii="Arial" w:eastAsia="Arial" w:hAnsi="Arial" w:cs="Arial"/>
          <w:bCs/>
        </w:rPr>
        <w:t>standardised</w:t>
      </w:r>
      <w:proofErr w:type="spellEnd"/>
      <w:r>
        <w:rPr>
          <w:rFonts w:ascii="Arial" w:eastAsia="Arial" w:hAnsi="Arial" w:cs="Arial"/>
          <w:bCs/>
        </w:rPr>
        <w:t xml:space="preserve">, efficient, cost effective connections to clearing services, reduce barriers to entry for counterparties and increase competition amongst CCPs. </w:t>
      </w:r>
    </w:p>
    <w:p w14:paraId="7FA6ABE8" w14:textId="77777777" w:rsidR="00525067" w:rsidRPr="00FB44E6" w:rsidRDefault="00525067" w:rsidP="00525067">
      <w:pPr>
        <w:pStyle w:val="BodyA"/>
        <w:jc w:val="both"/>
        <w:rPr>
          <w:rFonts w:ascii="Arial" w:eastAsia="Arial" w:hAnsi="Arial" w:cs="Arial"/>
          <w:bCs/>
        </w:rPr>
      </w:pPr>
      <w:bookmarkStart w:id="2" w:name="_Hlk26174450"/>
      <w:r>
        <w:rPr>
          <w:rFonts w:ascii="Arial" w:eastAsia="Arial" w:hAnsi="Arial" w:cs="Arial"/>
          <w:bCs/>
        </w:rPr>
        <w:t xml:space="preserve">We generally support ESMA’s assertion that clearing service providers’ commercial terms should be reasonable, fair, unbiased and rationale. </w:t>
      </w:r>
      <w:bookmarkEnd w:id="2"/>
      <w:r>
        <w:rPr>
          <w:rFonts w:ascii="Arial" w:eastAsia="Arial" w:hAnsi="Arial" w:cs="Arial"/>
          <w:bCs/>
        </w:rPr>
        <w:t xml:space="preserve">However, we would ask ESMA to ensure that platforms and technology providers, which can support cost effective and </w:t>
      </w:r>
      <w:proofErr w:type="spellStart"/>
      <w:r>
        <w:rPr>
          <w:rFonts w:ascii="Arial" w:eastAsia="Arial" w:hAnsi="Arial" w:cs="Arial"/>
          <w:bCs/>
        </w:rPr>
        <w:t>standardised</w:t>
      </w:r>
      <w:proofErr w:type="spellEnd"/>
      <w:r>
        <w:rPr>
          <w:rFonts w:ascii="Arial" w:eastAsia="Arial" w:hAnsi="Arial" w:cs="Arial"/>
          <w:bCs/>
        </w:rPr>
        <w:t xml:space="preserve"> access to OTC derivative markets, are also able to benefit from the FRANDT approach bring proposed.</w:t>
      </w:r>
    </w:p>
    <w:permEnd w:id="1506557908"/>
    <w:p w14:paraId="3E19358D" w14:textId="373A84B7" w:rsidR="007634C8" w:rsidRDefault="007634C8" w:rsidP="007634C8">
      <w:pPr>
        <w:rPr>
          <w:rFonts w:ascii="Arial" w:hAnsi="Arial" w:cs="Arial"/>
        </w:rPr>
      </w:pPr>
      <w:r>
        <w:rPr>
          <w:rFonts w:ascii="Arial" w:hAnsi="Arial" w:cs="Arial"/>
        </w:rPr>
        <w:t>&lt;ESMA_QUESTION_FRANDT_2&gt;</w:t>
      </w:r>
    </w:p>
    <w:p w14:paraId="682833AB" w14:textId="77777777" w:rsidR="007634C8" w:rsidRDefault="007634C8" w:rsidP="007634C8">
      <w:pPr>
        <w:rPr>
          <w:rFonts w:ascii="Arial" w:hAnsi="Arial" w:cs="Arial"/>
        </w:rPr>
      </w:pPr>
    </w:p>
    <w:p w14:paraId="695311F7" w14:textId="77777777" w:rsidR="007634C8" w:rsidRDefault="007634C8" w:rsidP="007634C8">
      <w:pPr>
        <w:pStyle w:val="Questionstyle"/>
        <w:numPr>
          <w:ilvl w:val="0"/>
          <w:numId w:val="9"/>
        </w:numPr>
        <w:spacing w:after="250" w:line="276" w:lineRule="auto"/>
      </w:pPr>
      <w:r>
        <w:t>: Do you generally agree with the suggestions to assist in facilitating access to clearing services? Do you generally agree with the requirements listed to ensure prices are fair, proportionate and non-discriminatory? Please elaborate and if you disagree with any specific element, please suggest alternative ones. You can also suggest additional ones.</w:t>
      </w:r>
    </w:p>
    <w:p w14:paraId="32E531AF" w14:textId="77777777" w:rsidR="007634C8" w:rsidRDefault="007634C8" w:rsidP="007634C8">
      <w:pPr>
        <w:rPr>
          <w:rFonts w:ascii="Arial" w:hAnsi="Arial" w:cs="Arial"/>
        </w:rPr>
      </w:pPr>
      <w:r>
        <w:rPr>
          <w:rFonts w:ascii="Arial" w:hAnsi="Arial" w:cs="Arial"/>
        </w:rPr>
        <w:t>&lt;ESMA_QUESTION_FRANDT_3&gt;</w:t>
      </w:r>
    </w:p>
    <w:p w14:paraId="2E10E578" w14:textId="77777777" w:rsidR="00525067" w:rsidRPr="00FE428A" w:rsidRDefault="00525067" w:rsidP="00525067">
      <w:pPr>
        <w:pStyle w:val="BodyA"/>
        <w:jc w:val="both"/>
        <w:rPr>
          <w:rFonts w:ascii="Arial" w:eastAsia="Arial" w:hAnsi="Arial" w:cs="Arial"/>
          <w:bCs/>
        </w:rPr>
      </w:pPr>
      <w:permStart w:id="842020735" w:edGrp="everyone"/>
      <w:r>
        <w:rPr>
          <w:rFonts w:ascii="Arial" w:eastAsia="Arial" w:hAnsi="Arial" w:cs="Arial"/>
          <w:bCs/>
        </w:rPr>
        <w:t xml:space="preserve">IHS Markit generally agrees that prices and fees should be proportionate and based on costs, risks and benefits. As we explain above, platforms, such as </w:t>
      </w:r>
      <w:proofErr w:type="spellStart"/>
      <w:r>
        <w:rPr>
          <w:rFonts w:ascii="Arial" w:eastAsia="Arial" w:hAnsi="Arial" w:cs="Arial"/>
          <w:bCs/>
        </w:rPr>
        <w:t>MarkitSERV</w:t>
      </w:r>
      <w:proofErr w:type="spellEnd"/>
      <w:r>
        <w:rPr>
          <w:rFonts w:ascii="Arial" w:eastAsia="Arial" w:hAnsi="Arial" w:cs="Arial"/>
          <w:bCs/>
        </w:rPr>
        <w:t xml:space="preserve">, which are connected to multiple EU CCPs and trading venues, can provide clients with </w:t>
      </w:r>
      <w:proofErr w:type="spellStart"/>
      <w:r>
        <w:rPr>
          <w:rFonts w:ascii="Arial" w:eastAsia="Arial" w:hAnsi="Arial" w:cs="Arial"/>
          <w:bCs/>
        </w:rPr>
        <w:t>standardised</w:t>
      </w:r>
      <w:proofErr w:type="spellEnd"/>
      <w:r>
        <w:rPr>
          <w:rFonts w:ascii="Arial" w:eastAsia="Arial" w:hAnsi="Arial" w:cs="Arial"/>
          <w:bCs/>
        </w:rPr>
        <w:t>, efficient, cost-effective connections to clearing services, reduce barriers to entry for counterparties and increase competition amongst CCPs. It is therefore important that ESMA ensures that platforms and technology providers can also benefit from the FRANDT approach.</w:t>
      </w:r>
    </w:p>
    <w:permEnd w:id="842020735"/>
    <w:p w14:paraId="7CF98E6E" w14:textId="77777777" w:rsidR="007634C8" w:rsidRDefault="007634C8" w:rsidP="007634C8">
      <w:pPr>
        <w:rPr>
          <w:rFonts w:ascii="Arial" w:hAnsi="Arial" w:cs="Arial"/>
        </w:rPr>
      </w:pPr>
      <w:r>
        <w:rPr>
          <w:rFonts w:ascii="Arial" w:hAnsi="Arial" w:cs="Arial"/>
        </w:rPr>
        <w:t>&lt;ESMA_QUESTION_FRANDT_3&gt;</w:t>
      </w:r>
    </w:p>
    <w:p w14:paraId="0CDA0A4D" w14:textId="77777777" w:rsidR="007634C8" w:rsidRDefault="007634C8" w:rsidP="007634C8">
      <w:pPr>
        <w:rPr>
          <w:rFonts w:ascii="Arial" w:hAnsi="Arial" w:cs="Arial"/>
        </w:rPr>
      </w:pPr>
    </w:p>
    <w:p w14:paraId="23C9D4A9" w14:textId="77777777" w:rsidR="007634C8" w:rsidRDefault="007634C8" w:rsidP="007634C8">
      <w:pPr>
        <w:pStyle w:val="Questionstyle"/>
        <w:numPr>
          <w:ilvl w:val="0"/>
          <w:numId w:val="9"/>
        </w:numPr>
        <w:spacing w:after="250" w:line="276" w:lineRule="auto"/>
      </w:pPr>
      <w:r>
        <w:lastRenderedPageBreak/>
        <w:t>: Do you generally agree with the proposed elements regarding the risk control criteria? Please elaborate and if you disagree with any, please suggest alternative or additional ones.</w:t>
      </w:r>
    </w:p>
    <w:p w14:paraId="10F02313" w14:textId="77777777" w:rsidR="007634C8" w:rsidRDefault="007634C8" w:rsidP="007634C8">
      <w:pPr>
        <w:rPr>
          <w:rFonts w:ascii="Arial" w:hAnsi="Arial" w:cs="Arial"/>
        </w:rPr>
      </w:pPr>
      <w:r>
        <w:rPr>
          <w:rFonts w:ascii="Arial" w:hAnsi="Arial" w:cs="Arial"/>
        </w:rPr>
        <w:t>&lt;ESMA_QUESTION_FRANDT_4&gt;</w:t>
      </w:r>
    </w:p>
    <w:p w14:paraId="677E54E9" w14:textId="77777777" w:rsidR="007634C8" w:rsidRDefault="007634C8" w:rsidP="007634C8">
      <w:pPr>
        <w:rPr>
          <w:rFonts w:ascii="Arial" w:hAnsi="Arial" w:cs="Arial"/>
        </w:rPr>
      </w:pPr>
      <w:permStart w:id="16784335" w:edGrp="everyone"/>
      <w:r>
        <w:rPr>
          <w:rFonts w:ascii="Arial" w:hAnsi="Arial" w:cs="Arial"/>
        </w:rPr>
        <w:t>TYPE YOUR TEXT HERE</w:t>
      </w:r>
    </w:p>
    <w:permEnd w:id="16784335"/>
    <w:p w14:paraId="748C53A5" w14:textId="77777777" w:rsidR="007634C8" w:rsidRDefault="007634C8" w:rsidP="007634C8">
      <w:pPr>
        <w:rPr>
          <w:rFonts w:ascii="Arial" w:hAnsi="Arial" w:cs="Arial"/>
        </w:rPr>
      </w:pPr>
      <w:r>
        <w:rPr>
          <w:rFonts w:ascii="Arial" w:hAnsi="Arial" w:cs="Arial"/>
        </w:rPr>
        <w:t>&lt;ESMA_QUESTION_FRANDT_4&gt;</w:t>
      </w:r>
    </w:p>
    <w:p w14:paraId="4671DB73" w14:textId="77777777" w:rsidR="007634C8" w:rsidRDefault="007634C8" w:rsidP="007634C8">
      <w:pPr>
        <w:rPr>
          <w:rFonts w:ascii="Arial" w:hAnsi="Arial" w:cs="Arial"/>
        </w:rPr>
      </w:pPr>
    </w:p>
    <w:p w14:paraId="18FCA405" w14:textId="77777777" w:rsidR="007634C8" w:rsidRDefault="007634C8" w:rsidP="007634C8">
      <w:pPr>
        <w:pStyle w:val="Questionstyle"/>
        <w:numPr>
          <w:ilvl w:val="0"/>
          <w:numId w:val="9"/>
        </w:numPr>
        <w:spacing w:after="250" w:line="276" w:lineRule="auto"/>
      </w:pPr>
      <w:r>
        <w:t>: Do you identify other benefits and costs not mentioned above associated to the proposed approach (option 2)? If you advocated for a different approach, how would it impact this section on the impact assessment? Please provide details. </w:t>
      </w:r>
    </w:p>
    <w:p w14:paraId="2F2D141B" w14:textId="77777777" w:rsidR="007634C8" w:rsidRDefault="007634C8" w:rsidP="007634C8">
      <w:pPr>
        <w:rPr>
          <w:rFonts w:ascii="Arial" w:hAnsi="Arial" w:cs="Arial"/>
        </w:rPr>
      </w:pPr>
      <w:r>
        <w:rPr>
          <w:rFonts w:ascii="Arial" w:hAnsi="Arial" w:cs="Arial"/>
        </w:rPr>
        <w:t>&lt;ESMA_QUESTION_FRANDT_5&gt;</w:t>
      </w:r>
    </w:p>
    <w:p w14:paraId="52B0801F" w14:textId="77777777" w:rsidR="00525067" w:rsidRDefault="00525067" w:rsidP="00851644">
      <w:pPr>
        <w:pStyle w:val="BodyA"/>
        <w:jc w:val="both"/>
        <w:rPr>
          <w:rFonts w:ascii="Arial" w:eastAsia="Arial" w:hAnsi="Arial" w:cs="Arial"/>
          <w:bCs/>
        </w:rPr>
      </w:pPr>
      <w:permStart w:id="781584278" w:edGrp="everyone"/>
      <w:r>
        <w:rPr>
          <w:rFonts w:ascii="Arial" w:eastAsia="Arial" w:hAnsi="Arial" w:cs="Arial"/>
          <w:bCs/>
        </w:rPr>
        <w:t xml:space="preserve">As we explain above, platforms, such as </w:t>
      </w:r>
      <w:proofErr w:type="spellStart"/>
      <w:r>
        <w:rPr>
          <w:rFonts w:ascii="Arial" w:eastAsia="Arial" w:hAnsi="Arial" w:cs="Arial"/>
          <w:bCs/>
        </w:rPr>
        <w:t>MarkitSERV</w:t>
      </w:r>
      <w:proofErr w:type="spellEnd"/>
      <w:r>
        <w:rPr>
          <w:rFonts w:ascii="Arial" w:eastAsia="Arial" w:hAnsi="Arial" w:cs="Arial"/>
          <w:bCs/>
        </w:rPr>
        <w:t xml:space="preserve">, which are connected to multiple EU CCPs and trading venues can provide clients with </w:t>
      </w:r>
      <w:proofErr w:type="spellStart"/>
      <w:r>
        <w:rPr>
          <w:rFonts w:ascii="Arial" w:eastAsia="Arial" w:hAnsi="Arial" w:cs="Arial"/>
          <w:bCs/>
        </w:rPr>
        <w:t>standardised</w:t>
      </w:r>
      <w:proofErr w:type="spellEnd"/>
      <w:r>
        <w:rPr>
          <w:rFonts w:ascii="Arial" w:eastAsia="Arial" w:hAnsi="Arial" w:cs="Arial"/>
          <w:bCs/>
        </w:rPr>
        <w:t xml:space="preserve">, efficient, cost effective connections to clearing services, reduce barriers to entry for counterparties and increase competition amongst CCPs. It is therefore important that ESMA ensure that platforms and technology providers can also benefit from the FRANDT approach. </w:t>
      </w:r>
    </w:p>
    <w:p w14:paraId="48FCEBE3" w14:textId="29F2488B" w:rsidR="00525067" w:rsidRDefault="00525067" w:rsidP="007634C8">
      <w:pPr>
        <w:rPr>
          <w:rFonts w:ascii="Arial" w:eastAsia="Arial" w:hAnsi="Arial" w:cs="Arial"/>
          <w:bCs/>
        </w:rPr>
      </w:pPr>
      <w:r>
        <w:rPr>
          <w:rFonts w:ascii="Arial" w:eastAsia="Arial" w:hAnsi="Arial" w:cs="Arial"/>
          <w:bCs/>
        </w:rPr>
        <w:t>Ensuring technology platforms and connectivity providers could benefit from FRANDT terms would ensure improve the efficiency of and lower cost of entry to the OTC derivatives markets. This is because, by using technology providers and platforms, counterparties can take advantage of specialist connectivity services and connect to multiple CCPs under a single network. Such platforms can thereby share the costs among all their clients rather than force each counterparty to develop its own systems and approaches. Regulators also benefit from a standardised approach used by many market participants; particularly in terms of higher quality and more standardised data.</w:t>
      </w:r>
    </w:p>
    <w:permEnd w:id="781584278"/>
    <w:p w14:paraId="2F8F6111" w14:textId="0A506344" w:rsidR="007634C8" w:rsidRDefault="007634C8" w:rsidP="007634C8">
      <w:pPr>
        <w:rPr>
          <w:rFonts w:ascii="Arial" w:hAnsi="Arial" w:cs="Arial"/>
        </w:rPr>
      </w:pPr>
      <w:r>
        <w:rPr>
          <w:rFonts w:ascii="Arial" w:hAnsi="Arial" w:cs="Arial"/>
        </w:rPr>
        <w:t>&lt;ESMA_QUESTION_FRANDT_5&gt;</w:t>
      </w:r>
    </w:p>
    <w:p w14:paraId="2A8B8ABD" w14:textId="77777777" w:rsidR="007634C8" w:rsidRDefault="007634C8" w:rsidP="007634C8">
      <w:pPr>
        <w:rPr>
          <w:rFonts w:ascii="Arial" w:hAnsi="Arial" w:cs="Arial"/>
        </w:rPr>
      </w:pPr>
    </w:p>
    <w:p w14:paraId="46564C07" w14:textId="77777777" w:rsidR="007634C8" w:rsidRPr="007B52B2" w:rsidRDefault="007634C8" w:rsidP="007634C8">
      <w:pPr>
        <w:rPr>
          <w:rFonts w:ascii="Arial" w:hAnsi="Arial" w:cs="Arial"/>
        </w:rPr>
      </w:pPr>
    </w:p>
    <w:p w14:paraId="0F6B052D" w14:textId="5D1998FE" w:rsidR="00BE0B46" w:rsidRDefault="00BE0B46" w:rsidP="00C1698A">
      <w:pPr>
        <w:spacing w:line="276" w:lineRule="auto"/>
        <w:rPr>
          <w:rFonts w:asciiTheme="minorHAnsi" w:hAnsiTheme="minorHAnsi" w:cstheme="minorHAnsi"/>
          <w:b/>
          <w:sz w:val="28"/>
          <w:szCs w:val="28"/>
        </w:rPr>
      </w:pPr>
    </w:p>
    <w:sectPr w:rsidR="00BE0B46" w:rsidSect="00C85C8B">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1809F" w14:textId="77777777" w:rsidR="00A14150" w:rsidRDefault="00A14150" w:rsidP="007E7997">
      <w:r>
        <w:separator/>
      </w:r>
    </w:p>
  </w:endnote>
  <w:endnote w:type="continuationSeparator" w:id="0">
    <w:p w14:paraId="3E94EEBA" w14:textId="77777777" w:rsidR="00A14150" w:rsidRDefault="00A14150" w:rsidP="007E7997">
      <w:r>
        <w:continuationSeparator/>
      </w:r>
    </w:p>
  </w:endnote>
  <w:endnote w:type="continuationNotice" w:id="1">
    <w:p w14:paraId="2CB7E42E" w14:textId="77777777" w:rsidR="00A14150" w:rsidRDefault="00A14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5B409BB3"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4E2B62">
      <w:rPr>
        <w:rFonts w:asciiTheme="majorHAnsi" w:hAnsiTheme="majorHAnsi"/>
        <w:color w:val="FFFFFF" w:themeColor="background1"/>
      </w:rPr>
      <w:t>3</w:t>
    </w:r>
    <w:r w:rsidR="0090520E">
      <w:rPr>
        <w:rFonts w:asciiTheme="majorHAnsi" w:hAnsiTheme="majorHAnsi"/>
        <w:color w:val="FFFFFF" w:themeColor="background1"/>
      </w:rPr>
      <w:t xml:space="preserve"> October </w:t>
    </w:r>
    <w:r w:rsidR="00AB6157">
      <w:rPr>
        <w:rFonts w:asciiTheme="majorHAnsi" w:hAnsiTheme="majorHAnsi"/>
        <w:color w:val="FFFFFF" w:themeColor="background1"/>
      </w:rPr>
      <w:t>2019</w:t>
    </w:r>
    <w:r w:rsidR="00FF6930">
      <w:rPr>
        <w:rFonts w:asciiTheme="majorHAnsi" w:hAnsiTheme="majorHAnsi"/>
        <w:color w:val="FFFFFF" w:themeColor="background1"/>
      </w:rPr>
      <w:t xml:space="preserve"> </w:t>
    </w:r>
    <w:r w:rsidR="00FF6930" w:rsidRPr="00A17284">
      <w:rPr>
        <w:rFonts w:asciiTheme="majorHAnsi" w:hAnsiTheme="majorHAnsi"/>
        <w:color w:val="FFFFFF" w:themeColor="background1"/>
      </w:rPr>
      <w:t>ESMA</w:t>
    </w:r>
    <w:r w:rsidR="00A17284">
      <w:rPr>
        <w:rFonts w:asciiTheme="majorHAnsi" w:hAnsiTheme="majorHAnsi"/>
        <w:color w:val="FFFFFF" w:themeColor="background1"/>
      </w:rPr>
      <w:t>70-15</w:t>
    </w:r>
    <w:r w:rsidR="0090520E">
      <w:rPr>
        <w:rFonts w:asciiTheme="majorHAnsi" w:hAnsiTheme="majorHAnsi"/>
        <w:color w:val="FFFFFF" w:themeColor="background1"/>
      </w:rPr>
      <w:t>1-</w:t>
    </w:r>
    <w:r w:rsidR="004E2B62">
      <w:rPr>
        <w:rFonts w:asciiTheme="majorHAnsi" w:hAnsiTheme="majorHAnsi"/>
        <w:color w:val="FFFFFF" w:themeColor="background1"/>
      </w:rPr>
      <w:t>2758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12AF9" w14:textId="77777777" w:rsidR="00A14150" w:rsidRDefault="00A14150" w:rsidP="007E7997">
      <w:r>
        <w:separator/>
      </w:r>
    </w:p>
  </w:footnote>
  <w:footnote w:type="continuationSeparator" w:id="0">
    <w:p w14:paraId="5F478404" w14:textId="77777777" w:rsidR="00A14150" w:rsidRDefault="00A14150" w:rsidP="007E7997">
      <w:r>
        <w:continuationSeparator/>
      </w:r>
    </w:p>
  </w:footnote>
  <w:footnote w:type="continuationNotice" w:id="1">
    <w:p w14:paraId="07E6600E" w14:textId="77777777" w:rsidR="00A14150" w:rsidRDefault="00A141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CAA18"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21FF53CF"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D46AE"/>
    <w:multiLevelType w:val="hybridMultilevel"/>
    <w:tmpl w:val="80B41172"/>
    <w:lvl w:ilvl="0" w:tplc="0809000F">
      <w:start w:val="1"/>
      <w:numFmt w:val="decimal"/>
      <w:lvlText w:val="%1."/>
      <w:lvlJc w:val="left"/>
      <w:pPr>
        <w:ind w:left="789" w:hanging="360"/>
      </w:pPr>
    </w:lvl>
    <w:lvl w:ilvl="1" w:tplc="08090019">
      <w:start w:val="1"/>
      <w:numFmt w:val="lowerLetter"/>
      <w:lvlText w:val="%2."/>
      <w:lvlJc w:val="left"/>
      <w:pPr>
        <w:ind w:left="1509" w:hanging="360"/>
      </w:pPr>
    </w:lvl>
    <w:lvl w:ilvl="2" w:tplc="0809001B">
      <w:start w:val="1"/>
      <w:numFmt w:val="lowerRoman"/>
      <w:lvlText w:val="%3."/>
      <w:lvlJc w:val="right"/>
      <w:pPr>
        <w:ind w:left="2229" w:hanging="180"/>
      </w:pPr>
    </w:lvl>
    <w:lvl w:ilvl="3" w:tplc="0809000F">
      <w:start w:val="1"/>
      <w:numFmt w:val="decimal"/>
      <w:lvlText w:val="%4."/>
      <w:lvlJc w:val="left"/>
      <w:pPr>
        <w:ind w:left="2949" w:hanging="360"/>
      </w:pPr>
    </w:lvl>
    <w:lvl w:ilvl="4" w:tplc="08090019">
      <w:start w:val="1"/>
      <w:numFmt w:val="lowerLetter"/>
      <w:lvlText w:val="%5."/>
      <w:lvlJc w:val="left"/>
      <w:pPr>
        <w:ind w:left="3669" w:hanging="360"/>
      </w:pPr>
    </w:lvl>
    <w:lvl w:ilvl="5" w:tplc="0809001B">
      <w:start w:val="1"/>
      <w:numFmt w:val="lowerRoman"/>
      <w:lvlText w:val="%6."/>
      <w:lvlJc w:val="right"/>
      <w:pPr>
        <w:ind w:left="4389" w:hanging="180"/>
      </w:pPr>
    </w:lvl>
    <w:lvl w:ilvl="6" w:tplc="0809000F">
      <w:start w:val="1"/>
      <w:numFmt w:val="decimal"/>
      <w:lvlText w:val="%7."/>
      <w:lvlJc w:val="left"/>
      <w:pPr>
        <w:ind w:left="5109" w:hanging="360"/>
      </w:pPr>
    </w:lvl>
    <w:lvl w:ilvl="7" w:tplc="08090019">
      <w:start w:val="1"/>
      <w:numFmt w:val="lowerLetter"/>
      <w:lvlText w:val="%8."/>
      <w:lvlJc w:val="left"/>
      <w:pPr>
        <w:ind w:left="5829" w:hanging="360"/>
      </w:pPr>
    </w:lvl>
    <w:lvl w:ilvl="8" w:tplc="0809001B">
      <w:start w:val="1"/>
      <w:numFmt w:val="lowerRoman"/>
      <w:lvlText w:val="%9."/>
      <w:lvlJc w:val="right"/>
      <w:pPr>
        <w:ind w:left="6549" w:hanging="180"/>
      </w:pPr>
    </w:lvl>
  </w:abstractNum>
  <w:abstractNum w:abstractNumId="1"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4CD3E62"/>
    <w:multiLevelType w:val="hybridMultilevel"/>
    <w:tmpl w:val="C4E8B0B0"/>
    <w:lvl w:ilvl="0" w:tplc="45A2D64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
  </w:num>
  <w:num w:numId="3">
    <w:abstractNumId w:val="11"/>
  </w:num>
  <w:num w:numId="4">
    <w:abstractNumId w:val="2"/>
  </w:num>
  <w:num w:numId="5">
    <w:abstractNumId w:val="8"/>
  </w:num>
  <w:num w:numId="6">
    <w:abstractNumId w:val="13"/>
  </w:num>
  <w:num w:numId="7">
    <w:abstractNumId w:val="7"/>
  </w:num>
  <w:num w:numId="8">
    <w:abstractNumId w:val="3"/>
  </w:num>
  <w:num w:numId="9">
    <w:abstractNumId w:val="6"/>
  </w:num>
  <w:num w:numId="10">
    <w:abstractNumId w:val="5"/>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0"/>
  </w:num>
  <w:num w:numId="16">
    <w:abstractNumId w:val="1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U1rVclwcpWuCSR5/9U0wHH+W+F4uGoIN7R0ocpoAuKgngNtsLhUS6LNdyKaC0mVuP8G3jqmSNoMvTQqxV0ujYA==" w:salt="9FyX6ID89o/773uuf+4s0w=="/>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32F8E"/>
    <w:rsid w:val="00233071"/>
    <w:rsid w:val="00235E99"/>
    <w:rsid w:val="0024299F"/>
    <w:rsid w:val="00244792"/>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46A67"/>
    <w:rsid w:val="0035030F"/>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43C6"/>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465A"/>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B62"/>
    <w:rsid w:val="004E2C37"/>
    <w:rsid w:val="004E5285"/>
    <w:rsid w:val="004F0CF3"/>
    <w:rsid w:val="004F5740"/>
    <w:rsid w:val="004F58C9"/>
    <w:rsid w:val="005028B9"/>
    <w:rsid w:val="00505E17"/>
    <w:rsid w:val="00511A59"/>
    <w:rsid w:val="00511C3B"/>
    <w:rsid w:val="00514440"/>
    <w:rsid w:val="005166C3"/>
    <w:rsid w:val="00520F7C"/>
    <w:rsid w:val="00523974"/>
    <w:rsid w:val="00525067"/>
    <w:rsid w:val="00526E5D"/>
    <w:rsid w:val="005276D5"/>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2DE4"/>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34C8"/>
    <w:rsid w:val="00764582"/>
    <w:rsid w:val="00765FA3"/>
    <w:rsid w:val="00766961"/>
    <w:rsid w:val="00766B5A"/>
    <w:rsid w:val="00767E8C"/>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11B4"/>
    <w:rsid w:val="008842F7"/>
    <w:rsid w:val="00885B94"/>
    <w:rsid w:val="0089075A"/>
    <w:rsid w:val="00890F80"/>
    <w:rsid w:val="00892BFD"/>
    <w:rsid w:val="0089338A"/>
    <w:rsid w:val="00894199"/>
    <w:rsid w:val="008948BE"/>
    <w:rsid w:val="008A1E27"/>
    <w:rsid w:val="008A2A3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50AF"/>
    <w:rsid w:val="008E7DBA"/>
    <w:rsid w:val="008F3386"/>
    <w:rsid w:val="008F3AD9"/>
    <w:rsid w:val="008F4642"/>
    <w:rsid w:val="008F4E00"/>
    <w:rsid w:val="008F761D"/>
    <w:rsid w:val="00900D44"/>
    <w:rsid w:val="00902520"/>
    <w:rsid w:val="0090520E"/>
    <w:rsid w:val="00906DC4"/>
    <w:rsid w:val="00906E30"/>
    <w:rsid w:val="0091457F"/>
    <w:rsid w:val="0091729E"/>
    <w:rsid w:val="0093261E"/>
    <w:rsid w:val="0094008E"/>
    <w:rsid w:val="00941C0C"/>
    <w:rsid w:val="009437F2"/>
    <w:rsid w:val="0094528B"/>
    <w:rsid w:val="009578C8"/>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4150"/>
    <w:rsid w:val="00A16579"/>
    <w:rsid w:val="00A17284"/>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4E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AF7EC4"/>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4ED"/>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3A70"/>
    <w:rsid w:val="00C76054"/>
    <w:rsid w:val="00C779A2"/>
    <w:rsid w:val="00C80546"/>
    <w:rsid w:val="00C83CAD"/>
    <w:rsid w:val="00C8419E"/>
    <w:rsid w:val="00C851D7"/>
    <w:rsid w:val="00C85C8B"/>
    <w:rsid w:val="00C867AD"/>
    <w:rsid w:val="00C87F9F"/>
    <w:rsid w:val="00C901E4"/>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042"/>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393D"/>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82E52"/>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158"/>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nhideWhenUsed/>
    <w:qFormat/>
    <w:rsid w:val="006F53E8"/>
    <w:rPr>
      <w:sz w:val="16"/>
    </w:rPr>
  </w:style>
  <w:style w:type="character" w:customStyle="1" w:styleId="FootnoteTextChar">
    <w:name w:val="Footnote Text Char"/>
    <w:basedOn w:val="DefaultParagraphFont"/>
    <w:link w:val="FootnoteText"/>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44792"/>
    <w:rPr>
      <w:color w:val="605E5C"/>
      <w:shd w:val="clear" w:color="auto" w:fill="E1DFDD"/>
    </w:rPr>
  </w:style>
  <w:style w:type="paragraph" w:customStyle="1" w:styleId="BodyA">
    <w:name w:val="Body A"/>
    <w:rsid w:val="00525067"/>
    <w:pPr>
      <w:pBdr>
        <w:top w:val="nil"/>
        <w:left w:val="nil"/>
        <w:bottom w:val="nil"/>
        <w:right w:val="nil"/>
        <w:between w:val="nil"/>
        <w:bar w:val="nil"/>
      </w:pBdr>
      <w:spacing w:after="240" w:line="240" w:lineRule="exact"/>
    </w:pPr>
    <w:rPr>
      <w:rFonts w:ascii="Times New Roman" w:eastAsia="Times New Roman" w:hAnsi="Times New Roman" w:cs="Times New Roman"/>
      <w:color w:val="000000"/>
      <w:sz w:val="24"/>
      <w:szCs w:val="24"/>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sma.europa.eu/about-esma/data-protection"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mailto:david.cook@ihsmarki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avid.cook@ihsmarki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A6B48748149646B0852C6ED06686BD" ma:contentTypeVersion="7" ma:contentTypeDescription="Create a new document." ma:contentTypeScope="" ma:versionID="dc312e93a63bef69ddaab991ca832811">
  <xsd:schema xmlns:xsd="http://www.w3.org/2001/XMLSchema" xmlns:xs="http://www.w3.org/2001/XMLSchema" xmlns:p="http://schemas.microsoft.com/office/2006/metadata/properties" xmlns:ns3="cb6f8c0a-d121-470d-90d5-503791d565d6" xmlns:ns4="cc11f42f-e03f-4ad1-8683-5c2dfc9bfc51" targetNamespace="http://schemas.microsoft.com/office/2006/metadata/properties" ma:root="true" ma:fieldsID="2ddab08660ad5eb04f8b3f1e2dfe2e0a" ns3:_="" ns4:_="">
    <xsd:import namespace="cb6f8c0a-d121-470d-90d5-503791d565d6"/>
    <xsd:import namespace="cc11f42f-e03f-4ad1-8683-5c2dfc9bfc5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f8c0a-d121-470d-90d5-503791d565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11f42f-e03f-4ad1-8683-5c2dfc9bfc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http://schemas.microsoft.com/office/infopath/2007/PartnerControls"/>
    <ds:schemaRef ds:uri="cc11f42f-e03f-4ad1-8683-5c2dfc9bfc51"/>
    <ds:schemaRef ds:uri="http://purl.org/dc/elements/1.1/"/>
    <ds:schemaRef ds:uri="http://schemas.microsoft.com/office/2006/metadata/properties"/>
    <ds:schemaRef ds:uri="cb6f8c0a-d121-470d-90d5-503791d565d6"/>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23C2D7BF-4EA2-43CE-A836-E62CCD4C1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f8c0a-d121-470d-90d5-503791d565d6"/>
    <ds:schemaRef ds:uri="cc11f42f-e03f-4ad1-8683-5c2dfc9bf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ACAE42-FA7B-4DB8-8FC1-21643350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2</TotalTime>
  <Pages>8</Pages>
  <Words>1732</Words>
  <Characters>9875</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David Cook</cp:lastModifiedBy>
  <cp:revision>2</cp:revision>
  <cp:lastPrinted>2019-10-03T14:20:00Z</cp:lastPrinted>
  <dcterms:created xsi:type="dcterms:W3CDTF">2019-12-02T15:32:00Z</dcterms:created>
  <dcterms:modified xsi:type="dcterms:W3CDTF">2019-12-02T15:32:00Z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0x0101000CA6B48748149646B0852C6ED06686BD</vt:lpwstr>
  </property>
  <property fmtid="{D5CDD505-2E9C-101B-9397-08002B2CF9AE}" pid="5" name="_dlc_DocIdItemGuid">
    <vt:lpwstr>ad3a0656-fa11-4f19-bc0e-3d747e0ee69c</vt:lpwstr>
  </property>
  <property fmtid="{D5CDD505-2E9C-101B-9397-08002B2CF9AE}" pid="6" name="DocumentType">
    <vt:lpwstr>165;#Form / Request|efe27f23-61a2-47e7-916e-544dd02c80f4</vt:lpwstr>
  </property>
  <property fmtid="{D5CDD505-2E9C-101B-9397-08002B2CF9AE}" pid="7" name="Topic">
    <vt:lpwstr>212;#EMIR|79202087-eb2d-40a2-b85c-d4f7da6c50df</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4;#Post-Trading|edaa1ce6-4b9b-4aac-a462-2b226ce43f53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
  </property>
</Properties>
</file>