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128" w:type="dxa"/>
            <w:tblLayout w:type="fixed"/>
            <w:tblCellMar>
              <w:left w:w="0" w:type="dxa"/>
              <w:right w:w="0" w:type="dxa"/>
            </w:tblCellMar>
            <w:tblLook w:val="01E0" w:firstRow="1" w:lastRow="1" w:firstColumn="1" w:lastColumn="1" w:noHBand="0" w:noVBand="0"/>
          </w:tblPr>
          <w:tblGrid>
            <w:gridCol w:w="10128"/>
          </w:tblGrid>
          <w:tr w:rsidR="00AF2EF7" w:rsidRPr="00B8572C" w14:paraId="55D8B106" w14:textId="77777777" w:rsidTr="00FD2158">
            <w:trPr>
              <w:trHeight w:hRule="exact" w:val="1109"/>
            </w:trPr>
            <w:tc>
              <w:tcPr>
                <w:tcW w:w="10128"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FD2158">
            <w:trPr>
              <w:trHeight w:hRule="exact" w:val="1274"/>
            </w:trPr>
            <w:tc>
              <w:tcPr>
                <w:tcW w:w="10128" w:type="dxa"/>
                <w:tcMar>
                  <w:top w:w="142" w:type="dxa"/>
                </w:tcMar>
              </w:tcPr>
              <w:p w14:paraId="26CF3934" w14:textId="08E21947" w:rsidR="00AB6157" w:rsidRPr="00B8572C" w:rsidRDefault="00FD2158" w:rsidP="0090520E">
                <w:pPr>
                  <w:pStyle w:val="Heading2"/>
                  <w:numPr>
                    <w:ilvl w:val="0"/>
                    <w:numId w:val="0"/>
                  </w:numPr>
                  <w:ind w:left="142"/>
                </w:pPr>
                <w:r w:rsidRPr="00FD2158">
                  <w:t>Draft technical advice on commercial terms for providing clearing services under EMIR (FRANDT)</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176D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90520E">
            <w:rPr>
              <w:rFonts w:asciiTheme="minorHAnsi" w:eastAsiaTheme="minorEastAsia" w:hAnsiTheme="minorHAnsi" w:cstheme="minorBidi"/>
              <w:b/>
              <w:sz w:val="22"/>
              <w:szCs w:val="20"/>
              <w:lang w:eastAsia="en-US"/>
            </w:rPr>
            <w:t>2 December 2019</w:t>
          </w:r>
          <w:r w:rsidRPr="00AF7EC4">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76A28DE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7634C8">
            <w:rPr>
              <w:rFonts w:eastAsiaTheme="minorEastAsia" w:cstheme="minorBidi"/>
              <w:szCs w:val="20"/>
              <w:lang w:eastAsia="en-US"/>
            </w:rPr>
            <w:t>FRANDT</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D8D708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7634C8">
            <w:rPr>
              <w:rFonts w:eastAsiaTheme="minorEastAsia" w:cstheme="minorBidi"/>
              <w:szCs w:val="20"/>
              <w:lang w:eastAsia="en-US"/>
            </w:rPr>
            <w:t>FRANDT</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7634C8">
            <w:rPr>
              <w:rFonts w:eastAsiaTheme="minorEastAsia" w:cstheme="minorBidi"/>
              <w:szCs w:val="20"/>
              <w:lang w:eastAsia="en-US"/>
            </w:rPr>
            <w:t>FRANDT</w:t>
          </w:r>
          <w:r w:rsidRPr="00C85C8B">
            <w:rPr>
              <w:rFonts w:eastAsiaTheme="minorEastAsia" w:cstheme="minorBidi"/>
              <w:szCs w:val="20"/>
              <w:lang w:eastAsia="en-US"/>
            </w:rPr>
            <w:t>_ABC</w:t>
          </w:r>
          <w:r w:rsidR="007634C8">
            <w:rPr>
              <w:rFonts w:eastAsiaTheme="minorEastAsia" w:cstheme="minorBidi"/>
              <w:szCs w:val="20"/>
              <w:lang w:eastAsia="en-US"/>
            </w:rPr>
            <w:t>D</w:t>
          </w:r>
          <w:r w:rsidRPr="00C85C8B">
            <w:rPr>
              <w:rFonts w:eastAsiaTheme="minorEastAsia" w:cstheme="minorBidi"/>
              <w:szCs w:val="20"/>
              <w:lang w:eastAsia="en-US"/>
            </w:rPr>
            <w:t>_RESPONSEFORM.</w:t>
          </w:r>
        </w:p>
        <w:p w14:paraId="1A9C59D6" w14:textId="509803B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0045465A" w:rsidRPr="0045465A">
            <w:rPr>
              <w:rFonts w:eastAsiaTheme="minorEastAsia" w:cstheme="minorBidi"/>
              <w:szCs w:val="20"/>
              <w:lang w:eastAsia="en-US"/>
            </w:rPr>
            <w:t>Draft technical advice on commercial terms for providing clearing services under EMIR (FRANDT)</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01ABA9D1"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E5FEA" w14:textId="77777777" w:rsidR="00244792" w:rsidRPr="00244792" w:rsidRDefault="00244792" w:rsidP="00244792">
          <w:pPr>
            <w:spacing w:after="250" w:line="276" w:lineRule="auto"/>
            <w:jc w:val="both"/>
            <w:rPr>
              <w:rFonts w:asciiTheme="minorHAnsi" w:eastAsiaTheme="minorEastAsia" w:hAnsiTheme="minorHAnsi" w:cstheme="minorBidi"/>
              <w:b/>
              <w:sz w:val="22"/>
              <w:szCs w:val="20"/>
              <w:lang w:eastAsia="en-US"/>
            </w:rPr>
          </w:pPr>
          <w:r w:rsidRPr="00244792">
            <w:rPr>
              <w:rFonts w:asciiTheme="minorHAnsi" w:eastAsiaTheme="minorEastAsia" w:hAnsiTheme="minorHAnsi" w:cstheme="minorBidi"/>
              <w:b/>
              <w:sz w:val="22"/>
              <w:szCs w:val="20"/>
              <w:lang w:eastAsia="en-US"/>
            </w:rPr>
            <w:t>Data protection</w:t>
          </w:r>
        </w:p>
        <w:p w14:paraId="23D25533"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 xml:space="preserve">Information on data protection can be found at </w:t>
          </w:r>
          <w:hyperlink r:id="rId18" w:history="1">
            <w:r w:rsidRPr="00244792">
              <w:rPr>
                <w:rStyle w:val="Hyperlink"/>
                <w:rFonts w:asciiTheme="minorHAnsi" w:eastAsiaTheme="minorEastAsia" w:hAnsiTheme="minorHAnsi" w:cstheme="minorBidi"/>
                <w:sz w:val="22"/>
                <w:szCs w:val="20"/>
                <w:lang w:eastAsia="en-US"/>
              </w:rPr>
              <w:t>www.esma.europa.eu</w:t>
            </w:r>
          </w:hyperlink>
          <w:r w:rsidRPr="00244792">
            <w:rPr>
              <w:rFonts w:asciiTheme="minorHAnsi" w:eastAsiaTheme="minorEastAsia" w:hAnsiTheme="minorHAnsi" w:cstheme="minorBidi"/>
              <w:sz w:val="22"/>
              <w:szCs w:val="20"/>
              <w:lang w:eastAsia="en-US"/>
            </w:rPr>
            <w:t xml:space="preserve"> under the heading </w:t>
          </w:r>
          <w:r w:rsidRPr="00244792">
            <w:rPr>
              <w:rFonts w:asciiTheme="minorHAnsi" w:eastAsiaTheme="minorEastAsia" w:hAnsiTheme="minorHAnsi" w:cstheme="minorBidi"/>
              <w:sz w:val="22"/>
              <w:szCs w:val="20"/>
              <w:u w:val="single"/>
              <w:lang w:eastAsia="en-US"/>
            </w:rPr>
            <w:t>‘</w:t>
          </w:r>
          <w:hyperlink r:id="rId19" w:history="1">
            <w:r w:rsidRPr="00244792">
              <w:rPr>
                <w:rStyle w:val="Hyperlink"/>
                <w:rFonts w:asciiTheme="minorHAnsi" w:eastAsiaTheme="minorEastAsia" w:hAnsiTheme="minorHAnsi" w:cstheme="minorBidi"/>
                <w:sz w:val="22"/>
                <w:szCs w:val="20"/>
                <w:lang w:eastAsia="en-US"/>
              </w:rPr>
              <w:t>Data protection</w:t>
            </w:r>
          </w:hyperlink>
          <w:r w:rsidRPr="00244792">
            <w:rPr>
              <w:rFonts w:asciiTheme="minorHAnsi" w:eastAsiaTheme="minorEastAsia" w:hAnsiTheme="minorHAnsi" w:cstheme="minorBidi"/>
              <w:sz w:val="22"/>
              <w:szCs w:val="20"/>
              <w:u w:val="single"/>
              <w:lang w:eastAsia="en-US"/>
            </w:rPr>
            <w:t>’</w:t>
          </w:r>
          <w:r w:rsidRPr="00244792">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2303DD7F" w:rsidR="00AF2EF7" w:rsidRPr="00B8572C" w:rsidRDefault="008811B4" w:rsidP="00AF2EF7">
          <w:pPr>
            <w:spacing w:after="120" w:line="276" w:lineRule="auto"/>
            <w:rPr>
              <w:rFonts w:asciiTheme="minorHAnsi" w:hAnsiTheme="minorHAnsi" w:cstheme="minorHAnsi"/>
            </w:rPr>
          </w:pPr>
          <w:r w:rsidRPr="008811B4">
            <w:rPr>
              <w:rFonts w:asciiTheme="minorHAnsi" w:eastAsiaTheme="minorEastAsia" w:hAnsiTheme="minorHAnsi" w:cstheme="minorBidi"/>
              <w:sz w:val="22"/>
              <w:szCs w:val="20"/>
              <w:lang w:eastAsia="en-US"/>
            </w:rPr>
            <w:t>All interested stakeholders are invited to respond to this consultation. In particular, responses are sought from counterparties acting (or intending to act) as clearing service providers and counterparties that are current or potential clearing clients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B08C2FE" w:rsidR="00C85C8B" w:rsidRPr="00C85C8B" w:rsidRDefault="007C508C" w:rsidP="007C508C">
                <w:pPr>
                  <w:rPr>
                    <w:rFonts w:ascii="Arial" w:hAnsi="Arial" w:cs="Arial"/>
                    <w:color w:val="808080"/>
                    <w:sz w:val="20"/>
                    <w:lang w:eastAsia="de-DE"/>
                  </w:rPr>
                </w:pPr>
                <w:r>
                  <w:rPr>
                    <w:rFonts w:ascii="Arial" w:hAnsi="Arial" w:cs="Arial"/>
                    <w:color w:val="808080"/>
                    <w:sz w:val="20"/>
                    <w:lang w:eastAsia="de-DE"/>
                  </w:rPr>
                  <w:t>Association of the Luxembourg Fund Indstry (ALFI)</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177DC551" w:rsidR="00C85C8B" w:rsidRPr="00C85C8B" w:rsidRDefault="00443CE4"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C508C">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44B7D763" w:rsidR="00C85C8B" w:rsidRPr="00C85C8B" w:rsidRDefault="007C508C"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8AE488D" w:rsidR="00C85C8B" w:rsidRPr="00C85C8B" w:rsidRDefault="007C508C" w:rsidP="00C85C8B">
                <w:pPr>
                  <w:rPr>
                    <w:rFonts w:ascii="Arial" w:hAnsi="Arial" w:cs="Arial"/>
                    <w:sz w:val="20"/>
                    <w:lang w:eastAsia="de-DE"/>
                  </w:rPr>
                </w:pPr>
                <w:r>
                  <w:rPr>
                    <w:rFonts w:ascii="Arial" w:hAnsi="Arial" w:cs="Arial"/>
                    <w:sz w:val="20"/>
                    <w:lang w:eastAsia="de-DE"/>
                  </w:rPr>
                  <w:t>Luxembourg</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F2A02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2C7290CC" w14:textId="66D17F23" w:rsidR="00A85D85" w:rsidRPr="00A85D85" w:rsidRDefault="00A85D85" w:rsidP="00A85D85">
      <w:pPr>
        <w:spacing w:after="250" w:line="276" w:lineRule="auto"/>
        <w:jc w:val="both"/>
        <w:rPr>
          <w:rFonts w:eastAsiaTheme="minorEastAsia"/>
          <w:lang w:eastAsia="en-US"/>
        </w:rPr>
      </w:pPr>
      <w:permStart w:id="885457707" w:edGrp="everyone"/>
      <w:r w:rsidRPr="00A85D85">
        <w:t>The</w:t>
      </w:r>
      <w:r w:rsidRPr="00A85D85">
        <w:rPr>
          <w:rStyle w:val="Strong"/>
          <w:rFonts w:eastAsiaTheme="majorEastAsia"/>
        </w:rPr>
        <w:t xml:space="preserve"> Association of the Luxembourg Fund Industry (ALFI) </w:t>
      </w:r>
      <w:r w:rsidRPr="00A85D85">
        <w:t>represents the face and voice of the Luxembourg asset management and investment fund community. The Association is committed to the development of the Luxembourg fund industry by striving to create new business opportunities, and through the exchange of information and knowledge.</w:t>
      </w:r>
    </w:p>
    <w:p w14:paraId="4229B175" w14:textId="77777777" w:rsidR="00A85D85" w:rsidRPr="00A85D85" w:rsidRDefault="00A85D85" w:rsidP="00A85D85">
      <w:pPr>
        <w:pStyle w:val="NormalWeb"/>
      </w:pPr>
      <w:r w:rsidRPr="00A85D85">
        <w:t>Created in 1988, the Association today represents over 1,500 Luxembourg-domiciled investment funds, asset management companies and a wide range of businesses that serve the sector. These include depositary banks, fund administrators, transfer agents, distributors, law firms, consultants, tax advisory firms, auditors and accountants as well as specialist IT and communication companies. Luxembourg is the largest fund domicile in Europe and a worldwide leader in cross-border distribution of funds. Luxembourg-domiciled investment funds are distributed in more than 70 countries around the world.</w:t>
      </w:r>
    </w:p>
    <w:p w14:paraId="02AF2FF9" w14:textId="4FC4EA7F" w:rsidR="00C85C8B" w:rsidRPr="00A85D85" w:rsidRDefault="002938F7" w:rsidP="00C85C8B">
      <w:pPr>
        <w:spacing w:after="250" w:line="276" w:lineRule="auto"/>
        <w:jc w:val="both"/>
        <w:rPr>
          <w:rFonts w:eastAsiaTheme="minorEastAsia"/>
          <w:lang w:eastAsia="en-US"/>
        </w:rPr>
      </w:pPr>
      <w:r w:rsidRPr="00A85D85">
        <w:rPr>
          <w:rFonts w:eastAsiaTheme="minorEastAsia"/>
          <w:lang w:eastAsia="en-US"/>
        </w:rPr>
        <w:t>ALFI has been very much implied in the application of</w:t>
      </w:r>
      <w:r w:rsidR="003E1E43" w:rsidRPr="00A85D85">
        <w:rPr>
          <w:rFonts w:eastAsiaTheme="minorEastAsia"/>
          <w:lang w:eastAsia="en-US"/>
        </w:rPr>
        <w:t xml:space="preserve"> the mandatory clearing obligation of</w:t>
      </w:r>
      <w:r w:rsidRPr="00A85D85">
        <w:rPr>
          <w:rFonts w:eastAsiaTheme="minorEastAsia"/>
          <w:lang w:eastAsia="en-US"/>
        </w:rPr>
        <w:t xml:space="preserve"> EMIR</w:t>
      </w:r>
      <w:r w:rsidR="003E1E43" w:rsidRPr="00A85D85">
        <w:rPr>
          <w:rFonts w:eastAsiaTheme="minorEastAsia"/>
          <w:lang w:eastAsia="en-US"/>
        </w:rPr>
        <w:t>, and</w:t>
      </w:r>
      <w:r w:rsidRPr="00A85D85">
        <w:rPr>
          <w:rFonts w:eastAsiaTheme="minorEastAsia"/>
          <w:lang w:eastAsia="en-US"/>
        </w:rPr>
        <w:t xml:space="preserve"> is happy to provide views on the article 4(3a) of EMIR Refit regarding the conditions under which commercial terms of clearing services are to be considered to be fair, easonable, non-discriminatory and transparent (Frandt). </w:t>
      </w:r>
    </w:p>
    <w:p w14:paraId="11E556B1" w14:textId="6267ACDE" w:rsidR="00A85D85" w:rsidRPr="00C85C8B" w:rsidRDefault="00A85D85" w:rsidP="00C85C8B">
      <w:pPr>
        <w:spacing w:after="250" w:line="276" w:lineRule="auto"/>
        <w:jc w:val="both"/>
        <w:rPr>
          <w:rFonts w:ascii="Arial" w:eastAsiaTheme="minorEastAsia" w:hAnsi="Arial" w:cs="Arial"/>
          <w:sz w:val="22"/>
          <w:szCs w:val="20"/>
          <w:lang w:eastAsia="en-US"/>
        </w:rPr>
      </w:pPr>
      <w:r w:rsidRPr="00A85D85">
        <w:t>We thank the ESMA for the opportunity to participate in this consultation.</w:t>
      </w:r>
    </w:p>
    <w:permEnd w:id="885457707"/>
    <w:p w14:paraId="15D00E65" w14:textId="07981F2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bookmarkEnd w:id="0"/>
    <w:p w14:paraId="797BC345" w14:textId="77777777" w:rsidR="007634C8" w:rsidRDefault="007634C8" w:rsidP="007634C8">
      <w:pPr>
        <w:pStyle w:val="Questionstyle"/>
        <w:numPr>
          <w:ilvl w:val="0"/>
          <w:numId w:val="9"/>
        </w:numPr>
        <w:spacing w:after="250" w:line="276" w:lineRule="auto"/>
      </w:pPr>
      <w:r>
        <w:t>: Do you generally agree with the approach on transparency and how to publicly disclose fees and commercial terms and other conditions? Please elaborate and if you disagree with any specific requirement, please suggest alternative ones. You can also suggest additional ones.</w:t>
      </w:r>
    </w:p>
    <w:p w14:paraId="1BFF276A" w14:textId="77777777" w:rsidR="007634C8" w:rsidRDefault="007634C8" w:rsidP="007634C8">
      <w:pPr>
        <w:rPr>
          <w:rFonts w:ascii="Arial" w:hAnsi="Arial" w:cs="Arial"/>
        </w:rPr>
      </w:pPr>
      <w:r>
        <w:rPr>
          <w:rFonts w:ascii="Arial" w:hAnsi="Arial" w:cs="Arial"/>
        </w:rPr>
        <w:t>&lt;ESMA_QUESTION_FRANDT_1&gt;</w:t>
      </w:r>
    </w:p>
    <w:p w14:paraId="1B3DE414" w14:textId="561FB7D7" w:rsidR="008E4AB3" w:rsidRPr="00191860" w:rsidRDefault="008E4AB3" w:rsidP="007634C8">
      <w:permStart w:id="963859669" w:edGrp="everyone"/>
      <w:r w:rsidRPr="00191860">
        <w:t>We generally agree with the approach on transparency and how to publicly disclose fees and commer</w:t>
      </w:r>
      <w:r w:rsidR="002F05ED" w:rsidRPr="00191860">
        <w:t>cial terms as well as other conditions of clearing services.</w:t>
      </w:r>
    </w:p>
    <w:p w14:paraId="19BC19E3" w14:textId="5A063860" w:rsidR="002F05ED" w:rsidRPr="00191860" w:rsidRDefault="002F05ED" w:rsidP="007634C8">
      <w:r w:rsidRPr="00191860">
        <w:t>Transparency and fairness requirements can only facilitate the application of th</w:t>
      </w:r>
      <w:r w:rsidR="004753A7" w:rsidRPr="00191860">
        <w:t>e mandatory clearing obligation.</w:t>
      </w:r>
      <w:r w:rsidRPr="00191860">
        <w:t xml:space="preserve"> </w:t>
      </w:r>
    </w:p>
    <w:p w14:paraId="37AE1589" w14:textId="51AA6FA1" w:rsidR="002F05ED" w:rsidRPr="00191860" w:rsidRDefault="002F05ED" w:rsidP="007634C8">
      <w:r w:rsidRPr="00191860">
        <w:t>We agree on the segmented approach to consider different criteria such as,</w:t>
      </w:r>
      <w:r w:rsidR="00A35926" w:rsidRPr="00191860">
        <w:t xml:space="preserve"> the scope of services, the general contractual terms, fees disclosure, on-bo</w:t>
      </w:r>
      <w:r w:rsidR="008F2FD9">
        <w:t>a</w:t>
      </w:r>
      <w:r w:rsidR="00A35926" w:rsidRPr="00191860">
        <w:t>rding fees, fixed fees, fee per transaction.</w:t>
      </w:r>
      <w:r w:rsidR="00662DA9">
        <w:t xml:space="preserve"> </w:t>
      </w:r>
      <w:r w:rsidR="00662DA9" w:rsidRPr="002348CE">
        <w:t>Possible capital charges to the indirect clients depending on their risk profile is also a criteria to take into account.</w:t>
      </w:r>
      <w:r w:rsidR="005456D3" w:rsidRPr="002348CE">
        <w:t xml:space="preserve"> </w:t>
      </w:r>
      <w:r w:rsidR="005456D3">
        <w:t xml:space="preserve">For proper comparability purposes, we would welcome that the aforementioned criteria would be each distinguished by setting out uniform sub-criteria in a </w:t>
      </w:r>
      <w:r w:rsidR="004B748E">
        <w:t>s</w:t>
      </w:r>
      <w:r w:rsidR="005456D3">
        <w:t>ufficiently detailed manner.</w:t>
      </w:r>
    </w:p>
    <w:p w14:paraId="2697DA9C" w14:textId="46BC5A10" w:rsidR="007634C8" w:rsidRDefault="002F05ED" w:rsidP="007634C8">
      <w:pPr>
        <w:rPr>
          <w:rFonts w:ascii="Arial" w:hAnsi="Arial" w:cs="Arial"/>
        </w:rPr>
      </w:pPr>
      <w:r w:rsidRPr="00191860">
        <w:t xml:space="preserve">Regarding the </w:t>
      </w:r>
      <w:r w:rsidR="00A35926" w:rsidRPr="00191860">
        <w:t xml:space="preserve">compression </w:t>
      </w:r>
      <w:r w:rsidRPr="00191860">
        <w:t xml:space="preserve">services proposed </w:t>
      </w:r>
      <w:r w:rsidR="00A35926" w:rsidRPr="00191860">
        <w:t xml:space="preserve">in addition to the clearing, </w:t>
      </w:r>
      <w:r w:rsidRPr="00191860">
        <w:t xml:space="preserve">we observe </w:t>
      </w:r>
      <w:r w:rsidR="00A35926" w:rsidRPr="00191860">
        <w:t xml:space="preserve">that </w:t>
      </w:r>
      <w:r w:rsidRPr="00191860">
        <w:t>very few funds have more than 500 transaction</w:t>
      </w:r>
      <w:r w:rsidR="00807284">
        <w:t>s</w:t>
      </w:r>
      <w:r w:rsidRPr="00191860">
        <w:t>, so this criteria is not a major point.</w:t>
      </w:r>
    </w:p>
    <w:permEnd w:id="963859669"/>
    <w:p w14:paraId="2AAA68FE" w14:textId="77777777" w:rsidR="007634C8" w:rsidRDefault="007634C8" w:rsidP="007634C8">
      <w:pPr>
        <w:rPr>
          <w:rFonts w:ascii="Arial" w:hAnsi="Arial" w:cs="Arial"/>
        </w:rPr>
      </w:pPr>
      <w:r>
        <w:rPr>
          <w:rFonts w:ascii="Arial" w:hAnsi="Arial" w:cs="Arial"/>
        </w:rPr>
        <w:t>&lt;ESMA_QUESTION_FRANDT_1&gt;</w:t>
      </w:r>
    </w:p>
    <w:p w14:paraId="668A9557" w14:textId="77777777" w:rsidR="007634C8" w:rsidRDefault="007634C8" w:rsidP="007634C8">
      <w:pPr>
        <w:rPr>
          <w:rFonts w:ascii="Arial" w:hAnsi="Arial" w:cs="Arial"/>
        </w:rPr>
      </w:pPr>
    </w:p>
    <w:p w14:paraId="6D9005DE" w14:textId="77777777" w:rsidR="007634C8" w:rsidRDefault="007634C8" w:rsidP="007634C8">
      <w:pPr>
        <w:pStyle w:val="Questionstyle"/>
        <w:numPr>
          <w:ilvl w:val="0"/>
          <w:numId w:val="9"/>
        </w:numPr>
        <w:spacing w:after="250" w:line="276" w:lineRule="auto"/>
      </w:pPr>
      <w:r>
        <w:t>: Do you generally agree with the elements to be taken into consideration in the commercial terms for the provision of clearing services? Please elaborate and if you disagree with any specific element, please suggest alternative ones. You can also suggest additional ones.</w:t>
      </w:r>
    </w:p>
    <w:p w14:paraId="493DF8A1" w14:textId="77777777" w:rsidR="007634C8" w:rsidRDefault="007634C8" w:rsidP="007634C8">
      <w:pPr>
        <w:rPr>
          <w:rFonts w:ascii="Arial" w:hAnsi="Arial" w:cs="Arial"/>
        </w:rPr>
      </w:pPr>
      <w:r>
        <w:rPr>
          <w:rFonts w:ascii="Arial" w:hAnsi="Arial" w:cs="Arial"/>
        </w:rPr>
        <w:t>&lt;ESMA_QUESTION_FRANDT_2&gt;</w:t>
      </w:r>
    </w:p>
    <w:p w14:paraId="69781061" w14:textId="6A8E1396" w:rsidR="007634C8" w:rsidRDefault="008E4AB3" w:rsidP="007634C8">
      <w:permStart w:id="1506557908" w:edGrp="everyone"/>
      <w:r>
        <w:t>We generally agree with the elements to be taken into consideration in the commercial terms for the</w:t>
      </w:r>
      <w:r w:rsidR="004753A7">
        <w:t xml:space="preserve"> provision of clearing services, in particular the provisions in §65 and §71 r</w:t>
      </w:r>
      <w:r w:rsidR="008F2FD9">
        <w:t>egarding respectively the stand</w:t>
      </w:r>
      <w:r w:rsidR="004753A7">
        <w:t>a</w:t>
      </w:r>
      <w:r w:rsidR="008F2FD9">
        <w:t>r</w:t>
      </w:r>
      <w:r w:rsidR="004753A7">
        <w:t>disation and changes of commercial terms.</w:t>
      </w:r>
    </w:p>
    <w:p w14:paraId="1C57EF2E" w14:textId="372416B6" w:rsidR="00EC38B4" w:rsidRDefault="00EC38B4" w:rsidP="007634C8">
      <w:pPr>
        <w:rPr>
          <w:rFonts w:ascii="Arial" w:hAnsi="Arial" w:cs="Arial"/>
        </w:rPr>
      </w:pPr>
      <w:r>
        <w:t>We would welcome a market standard document reflecting the standardisation of the commercial terms. This would facilitate the claim of the counterparties rights. We would also welcome guidance on how a counterparty should proceed where doubt exists on the fulfilment of the Frandt regime by Clearing members.</w:t>
      </w:r>
    </w:p>
    <w:permEnd w:id="1506557908"/>
    <w:p w14:paraId="3E19358D" w14:textId="77777777" w:rsidR="007634C8" w:rsidRDefault="007634C8" w:rsidP="007634C8">
      <w:pPr>
        <w:rPr>
          <w:rFonts w:ascii="Arial" w:hAnsi="Arial" w:cs="Arial"/>
        </w:rPr>
      </w:pPr>
      <w:r>
        <w:rPr>
          <w:rFonts w:ascii="Arial" w:hAnsi="Arial" w:cs="Arial"/>
        </w:rPr>
        <w:t>&lt;ESMA_QUESTION_FRANDT_2&gt;</w:t>
      </w:r>
    </w:p>
    <w:p w14:paraId="682833AB" w14:textId="77777777" w:rsidR="007634C8" w:rsidRDefault="007634C8" w:rsidP="007634C8">
      <w:pPr>
        <w:rPr>
          <w:rFonts w:ascii="Arial" w:hAnsi="Arial" w:cs="Arial"/>
        </w:rPr>
      </w:pPr>
    </w:p>
    <w:p w14:paraId="695311F7" w14:textId="77777777" w:rsidR="007634C8" w:rsidRDefault="007634C8" w:rsidP="007634C8">
      <w:pPr>
        <w:pStyle w:val="Questionstyle"/>
        <w:numPr>
          <w:ilvl w:val="0"/>
          <w:numId w:val="9"/>
        </w:numPr>
        <w:spacing w:after="250" w:line="276" w:lineRule="auto"/>
      </w:pPr>
      <w:r>
        <w:t>: Do you generally agree with the suggestions to assist in facilitating access to clearing services? Do you generally agree with the requirements listed to ensure prices are fair, proportionate and non-discriminatory? Please elaborate and if you disagree with any specific element, please suggest alternative ones. You can also suggest additional ones.</w:t>
      </w:r>
    </w:p>
    <w:p w14:paraId="32E531AF" w14:textId="77777777" w:rsidR="007634C8" w:rsidRDefault="007634C8" w:rsidP="007634C8">
      <w:pPr>
        <w:rPr>
          <w:rFonts w:ascii="Arial" w:hAnsi="Arial" w:cs="Arial"/>
        </w:rPr>
      </w:pPr>
      <w:r>
        <w:rPr>
          <w:rFonts w:ascii="Arial" w:hAnsi="Arial" w:cs="Arial"/>
        </w:rPr>
        <w:t>&lt;ESMA_QUESTION_FRANDT_3&gt;</w:t>
      </w:r>
    </w:p>
    <w:p w14:paraId="06022315" w14:textId="5402003F" w:rsidR="008E4AB3" w:rsidRDefault="008E4AB3" w:rsidP="007634C8">
      <w:pPr>
        <w:rPr>
          <w:rFonts w:ascii="Arial" w:hAnsi="Arial" w:cs="Arial"/>
        </w:rPr>
      </w:pPr>
      <w:permStart w:id="842020735" w:edGrp="everyone"/>
      <w:r>
        <w:t xml:space="preserve">We </w:t>
      </w:r>
      <w:r w:rsidR="00191860">
        <w:t xml:space="preserve">appreciate </w:t>
      </w:r>
      <w:r>
        <w:t>the suggestions to assist in facilitating access to clearing services</w:t>
      </w:r>
      <w:r w:rsidR="00C67C9F">
        <w:t>, but do not fully agree with the requirements listed to ensure prices are fair, proportionate and non-discrimatory.</w:t>
      </w:r>
    </w:p>
    <w:p w14:paraId="398B54AC" w14:textId="6BD048DA" w:rsidR="00191860" w:rsidRPr="00C67C9F" w:rsidRDefault="00C67C9F" w:rsidP="004753A7">
      <w:r w:rsidRPr="00C67C9F">
        <w:lastRenderedPageBreak/>
        <w:t xml:space="preserve">Indeed, </w:t>
      </w:r>
      <w:r w:rsidR="00191860" w:rsidRPr="00C67C9F">
        <w:t xml:space="preserve">The provisions of §84-85 on proportionate prices and fees, should protect counterparties from the case where </w:t>
      </w:r>
      <w:r w:rsidR="004753A7" w:rsidRPr="00C67C9F">
        <w:t>clearing members are using their position to add contractual clauses that go far beyond CCPs requirements and increas</w:t>
      </w:r>
      <w:r w:rsidR="00191860" w:rsidRPr="00C67C9F">
        <w:t>e</w:t>
      </w:r>
      <w:r w:rsidR="004753A7" w:rsidRPr="00C67C9F">
        <w:t xml:space="preserve"> transactions costs, </w:t>
      </w:r>
    </w:p>
    <w:p w14:paraId="51F8DCF3" w14:textId="009638DF" w:rsidR="004753A7" w:rsidRPr="00C67C9F" w:rsidRDefault="004753A7" w:rsidP="004753A7">
      <w:r w:rsidRPr="00C67C9F">
        <w:t xml:space="preserve">Despite their size, even large asset management institution have are still facing less favourable trade contractual conditions compared to previous bilateral contractual framework. We are convinced that smaller institutions have even worst contractual conditions. </w:t>
      </w:r>
    </w:p>
    <w:p w14:paraId="534138BB" w14:textId="77777777" w:rsidR="004753A7" w:rsidRPr="00C67C9F" w:rsidRDefault="004753A7" w:rsidP="004753A7">
      <w:r w:rsidRPr="00C67C9F">
        <w:t xml:space="preserve"> </w:t>
      </w:r>
    </w:p>
    <w:p w14:paraId="7257DFBA" w14:textId="77777777" w:rsidR="00CC7779" w:rsidRDefault="00191860" w:rsidP="004753A7">
      <w:r w:rsidRPr="00C67C9F">
        <w:t>Hereafter</w:t>
      </w:r>
      <w:r w:rsidR="004753A7" w:rsidRPr="00C67C9F">
        <w:t xml:space="preserve"> is a set of limitation that are imposed on funds and asset managers:</w:t>
      </w:r>
      <w:r w:rsidRPr="00C67C9F">
        <w:t xml:space="preserve"> </w:t>
      </w:r>
      <w:r w:rsidR="004753A7" w:rsidRPr="00C67C9F">
        <w:t>Ability for the clearing member to</w:t>
      </w:r>
      <w:r w:rsidRPr="00C67C9F">
        <w:t xml:space="preserve"> cancel unilaterally the trades, </w:t>
      </w:r>
      <w:r w:rsidR="004753A7" w:rsidRPr="00C67C9F">
        <w:t>Ability to refuse collateral that even the CCP accepts</w:t>
      </w:r>
      <w:r w:rsidRPr="00C67C9F">
        <w:t xml:space="preserve">, </w:t>
      </w:r>
      <w:r w:rsidR="004753A7" w:rsidRPr="00C67C9F">
        <w:t>Ability to unilateral increase fees</w:t>
      </w:r>
      <w:r w:rsidRPr="00C67C9F">
        <w:t xml:space="preserve">, </w:t>
      </w:r>
      <w:r w:rsidR="004753A7" w:rsidRPr="00C67C9F">
        <w:t>Operational burden like intraday posting of margins which investor cannot perform due to daily NAV calculation</w:t>
      </w:r>
      <w:r w:rsidRPr="00C67C9F">
        <w:t xml:space="preserve">, </w:t>
      </w:r>
      <w:r w:rsidR="004753A7" w:rsidRPr="00C67C9F">
        <w:t>Ability to request unilateral margin on top of what the CCP requests</w:t>
      </w:r>
      <w:r w:rsidRPr="00C67C9F">
        <w:t>.</w:t>
      </w:r>
    </w:p>
    <w:p w14:paraId="0FE44D18" w14:textId="77777777" w:rsidR="00CC7779" w:rsidRDefault="00CC7779" w:rsidP="004753A7"/>
    <w:p w14:paraId="3DB9E3CE" w14:textId="55CBF7BF" w:rsidR="004753A7" w:rsidRPr="00C67C9F" w:rsidRDefault="00CC7779" w:rsidP="004753A7">
      <w:r>
        <w:t>In our experience the discrimination is also observed via a minimum level of fees to pay by the clearing counterparty whatever the volume of activity is.</w:t>
      </w:r>
      <w:r w:rsidR="004753A7" w:rsidRPr="00C67C9F">
        <w:t xml:space="preserve"> </w:t>
      </w:r>
    </w:p>
    <w:p w14:paraId="1F653286" w14:textId="77777777" w:rsidR="004753A7" w:rsidRPr="00C67C9F" w:rsidRDefault="004753A7" w:rsidP="004753A7">
      <w:r w:rsidRPr="00C67C9F">
        <w:t xml:space="preserve"> </w:t>
      </w:r>
    </w:p>
    <w:p w14:paraId="329F6039" w14:textId="67925747" w:rsidR="00191860" w:rsidRPr="00C67C9F" w:rsidRDefault="00191860" w:rsidP="00191860">
      <w:r w:rsidRPr="00C67C9F">
        <w:t>The treatment of the non-discrim</w:t>
      </w:r>
      <w:r w:rsidR="008F2FD9">
        <w:t>in</w:t>
      </w:r>
      <w:r w:rsidRPr="00C67C9F">
        <w:t>atory aspect should in particular protect small sized counterparties having less bargaining power.</w:t>
      </w:r>
    </w:p>
    <w:p w14:paraId="7D5F7C5B" w14:textId="77777777" w:rsidR="00C67C9F" w:rsidRDefault="00191860" w:rsidP="007634C8">
      <w:r w:rsidRPr="00C67C9F">
        <w:t>The clearing is an important piece i</w:t>
      </w:r>
      <w:r w:rsidR="000A7A6C" w:rsidRPr="00C67C9F">
        <w:t>n the C</w:t>
      </w:r>
      <w:r w:rsidRPr="00C67C9F">
        <w:t>apital Markets Union (C</w:t>
      </w:r>
      <w:r w:rsidR="000A7A6C" w:rsidRPr="00C67C9F">
        <w:t>MU</w:t>
      </w:r>
      <w:r w:rsidRPr="00C67C9F">
        <w:t>) implementation, which sho</w:t>
      </w:r>
      <w:r w:rsidR="000A7A6C" w:rsidRPr="00C67C9F">
        <w:t>uld not lead to a consolidation of the industry, but should leave room to smaller</w:t>
      </w:r>
      <w:r w:rsidRPr="00C67C9F">
        <w:t xml:space="preserve"> players in light of the barriers reported by the EPTF report</w:t>
      </w:r>
      <w:r w:rsidRPr="00C67C9F">
        <w:rPr>
          <w:rStyle w:val="FootnoteReference"/>
          <w:rFonts w:ascii="Times New Roman" w:hAnsi="Times New Roman"/>
        </w:rPr>
        <w:footnoteReference w:id="2"/>
      </w:r>
      <w:r w:rsidRPr="00C67C9F">
        <w:t xml:space="preserve"> and the </w:t>
      </w:r>
      <w:r w:rsidR="00E6259D" w:rsidRPr="00C67C9F">
        <w:t>IOSCO report</w:t>
      </w:r>
      <w:r w:rsidR="00C67C9F" w:rsidRPr="00C67C9F">
        <w:t xml:space="preserve"> on central clearing interdependencies</w:t>
      </w:r>
      <w:r w:rsidR="00C67C9F" w:rsidRPr="00C67C9F">
        <w:rPr>
          <w:rStyle w:val="FootnoteReference"/>
          <w:rFonts w:ascii="Times New Roman" w:hAnsi="Times New Roman"/>
        </w:rPr>
        <w:footnoteReference w:id="3"/>
      </w:r>
      <w:r w:rsidR="00C67C9F" w:rsidRPr="00C67C9F">
        <w:t>.</w:t>
      </w:r>
    </w:p>
    <w:permEnd w:id="842020735"/>
    <w:p w14:paraId="7CF98E6E" w14:textId="53329A81" w:rsidR="007634C8" w:rsidRDefault="007634C8" w:rsidP="007634C8">
      <w:pPr>
        <w:rPr>
          <w:rFonts w:ascii="Arial" w:hAnsi="Arial" w:cs="Arial"/>
        </w:rPr>
      </w:pPr>
      <w:r>
        <w:rPr>
          <w:rFonts w:ascii="Arial" w:hAnsi="Arial" w:cs="Arial"/>
        </w:rPr>
        <w:t>&lt;ESMA_QUESTION_FRANDT_3&gt;</w:t>
      </w:r>
    </w:p>
    <w:p w14:paraId="0CDA0A4D" w14:textId="77777777" w:rsidR="007634C8" w:rsidRDefault="007634C8" w:rsidP="007634C8">
      <w:pPr>
        <w:rPr>
          <w:rFonts w:ascii="Arial" w:hAnsi="Arial" w:cs="Arial"/>
        </w:rPr>
      </w:pPr>
    </w:p>
    <w:p w14:paraId="23C9D4A9" w14:textId="77777777" w:rsidR="007634C8" w:rsidRDefault="007634C8" w:rsidP="007634C8">
      <w:pPr>
        <w:pStyle w:val="Questionstyle"/>
        <w:numPr>
          <w:ilvl w:val="0"/>
          <w:numId w:val="9"/>
        </w:numPr>
        <w:spacing w:after="250" w:line="276" w:lineRule="auto"/>
      </w:pPr>
      <w:r>
        <w:t>: Do you generally agree with the proposed elements regarding the risk control criteria? Please elaborate and if you disagree with any, please suggest alternative or additional ones.</w:t>
      </w:r>
    </w:p>
    <w:p w14:paraId="10F02313" w14:textId="77777777" w:rsidR="007634C8" w:rsidRDefault="007634C8" w:rsidP="007634C8">
      <w:pPr>
        <w:rPr>
          <w:rFonts w:ascii="Arial" w:hAnsi="Arial" w:cs="Arial"/>
        </w:rPr>
      </w:pPr>
      <w:r>
        <w:rPr>
          <w:rFonts w:ascii="Arial" w:hAnsi="Arial" w:cs="Arial"/>
        </w:rPr>
        <w:t>&lt;ESMA_QUESTION_FRANDT_4&gt;</w:t>
      </w:r>
    </w:p>
    <w:p w14:paraId="4A925B90" w14:textId="77777777" w:rsidR="00662DA9" w:rsidRDefault="008E4AB3" w:rsidP="007634C8">
      <w:permStart w:id="16784335" w:edGrp="everyone"/>
      <w:r w:rsidRPr="0001702E">
        <w:t>We generally agree with the proposed elements rega</w:t>
      </w:r>
      <w:r w:rsidR="0001702E" w:rsidRPr="0001702E">
        <w:t>rding the risk control criteria,</w:t>
      </w:r>
    </w:p>
    <w:p w14:paraId="06ACFA74" w14:textId="77777777" w:rsidR="00662DA9" w:rsidRDefault="00662DA9" w:rsidP="007634C8"/>
    <w:p w14:paraId="03A9577B" w14:textId="5E170175" w:rsidR="008E4AB3" w:rsidRPr="0001702E" w:rsidRDefault="00662DA9" w:rsidP="007634C8">
      <w:r>
        <w:t xml:space="preserve">Moreover, we  would like to share </w:t>
      </w:r>
      <w:r w:rsidR="00485224">
        <w:t>4</w:t>
      </w:r>
      <w:r w:rsidR="0001702E" w:rsidRPr="0001702E">
        <w:t xml:space="preserve"> additional proposals.</w:t>
      </w:r>
    </w:p>
    <w:p w14:paraId="78088D20" w14:textId="77777777" w:rsidR="008E4AB3" w:rsidRDefault="008E4AB3" w:rsidP="007634C8"/>
    <w:p w14:paraId="544AA2B7" w14:textId="4E5117C7" w:rsidR="00662DA9" w:rsidRDefault="00662DA9" w:rsidP="00662DA9">
      <w:r w:rsidRPr="002348CE">
        <w:t>1. It would be interesting to understand how the risk profiling is done to ensure a clearing member client can have an idea of the detailed implications.</w:t>
      </w:r>
    </w:p>
    <w:p w14:paraId="786EF8C5" w14:textId="77777777" w:rsidR="00662DA9" w:rsidRPr="0001702E" w:rsidRDefault="00662DA9" w:rsidP="007634C8"/>
    <w:p w14:paraId="20D9A9AD" w14:textId="5AB6100C" w:rsidR="008E4AB3" w:rsidRDefault="00662DA9" w:rsidP="007634C8">
      <w:r>
        <w:t>2</w:t>
      </w:r>
      <w:r w:rsidR="0001702E" w:rsidRPr="0001702E">
        <w:t>. The Fra</w:t>
      </w:r>
      <w:r w:rsidR="0001702E">
        <w:t>n</w:t>
      </w:r>
      <w:r w:rsidR="0001702E" w:rsidRPr="0001702E">
        <w:t xml:space="preserve">dt and credit </w:t>
      </w:r>
      <w:r w:rsidR="0001702E">
        <w:t xml:space="preserve">assessment conditions should </w:t>
      </w:r>
      <w:r w:rsidR="0001702E" w:rsidRPr="0001702E">
        <w:t xml:space="preserve">offer the possibility to have a large scope of </w:t>
      </w:r>
      <w:r w:rsidR="00214F53" w:rsidRPr="0001702E">
        <w:t>assets eligible</w:t>
      </w:r>
      <w:r w:rsidR="0001702E" w:rsidRPr="0001702E">
        <w:t xml:space="preserve"> for collateral, not restricted to cash.</w:t>
      </w:r>
    </w:p>
    <w:p w14:paraId="6C0F6396" w14:textId="77777777" w:rsidR="00485224" w:rsidRDefault="00485224" w:rsidP="007634C8"/>
    <w:p w14:paraId="256C523A" w14:textId="44163A97" w:rsidR="00485224" w:rsidRDefault="00485224" w:rsidP="007634C8">
      <w:r>
        <w:t xml:space="preserve">3. </w:t>
      </w:r>
      <w:r w:rsidRPr="0001702E">
        <w:t>The Fra</w:t>
      </w:r>
      <w:r>
        <w:t>n</w:t>
      </w:r>
      <w:r>
        <w:t>dt and risk</w:t>
      </w:r>
      <w:r w:rsidRPr="0001702E">
        <w:t xml:space="preserve"> </w:t>
      </w:r>
      <w:r>
        <w:t>assessment conditions</w:t>
      </w:r>
      <w:r>
        <w:t xml:space="preserve"> should also take into account the regulatory requirements regarding the usage of Initial Margin (IM) models for bilateral margining applicable to OTC derivatives contracts not cleared by a CCP. In line with our letter to ESAs dated 17 May 2019, we would like to reiterate our recommendation to</w:t>
      </w:r>
      <w:r w:rsidR="00610F4A">
        <w:t xml:space="preserve"> exempt the smaller financial counterparties from</w:t>
      </w:r>
    </w:p>
    <w:p w14:paraId="19234BA7" w14:textId="33A41CCF" w:rsidR="00485224" w:rsidRDefault="00485224" w:rsidP="00610F4A">
      <w:pPr>
        <w:ind w:left="708"/>
      </w:pPr>
      <w:r>
        <w:t>-</w:t>
      </w:r>
      <w:r w:rsidR="00610F4A">
        <w:t xml:space="preserve">the </w:t>
      </w:r>
      <w:r w:rsidR="00610F4A" w:rsidRPr="00610F4A">
        <w:t>ini</w:t>
      </w:r>
      <w:r w:rsidR="00610F4A">
        <w:t>tial margin model approval as addressed</w:t>
      </w:r>
      <w:r w:rsidR="00610F4A" w:rsidRPr="00610F4A">
        <w:t xml:space="preserve"> </w:t>
      </w:r>
      <w:r w:rsidR="00610F4A">
        <w:t xml:space="preserve">Article 11 of </w:t>
      </w:r>
      <w:r w:rsidR="00610F4A" w:rsidRPr="00610F4A">
        <w:t>EMIR</w:t>
      </w:r>
      <w:r w:rsidR="00610F4A">
        <w:t>,</w:t>
      </w:r>
    </w:p>
    <w:p w14:paraId="3977FB40" w14:textId="13F4E373" w:rsidR="00610F4A" w:rsidRPr="0001702E" w:rsidRDefault="00610F4A" w:rsidP="00610F4A">
      <w:pPr>
        <w:ind w:left="708"/>
      </w:pPr>
      <w:r>
        <w:lastRenderedPageBreak/>
        <w:t xml:space="preserve">-the </w:t>
      </w:r>
      <w:r w:rsidRPr="00610F4A">
        <w:t>back-testing and internal governance process requirements for use of globally approved</w:t>
      </w:r>
      <w:r>
        <w:t xml:space="preserve"> standard IM models.</w:t>
      </w:r>
    </w:p>
    <w:p w14:paraId="2DBA1507" w14:textId="77777777" w:rsidR="00214F53" w:rsidRPr="0001702E" w:rsidRDefault="00214F53" w:rsidP="007634C8"/>
    <w:p w14:paraId="71D398B0" w14:textId="5CE758CE" w:rsidR="00214F53" w:rsidRDefault="00485224" w:rsidP="007634C8">
      <w:pPr>
        <w:rPr>
          <w:rFonts w:ascii="Arial" w:hAnsi="Arial" w:cs="Arial"/>
        </w:rPr>
      </w:pPr>
      <w:r>
        <w:t>4</w:t>
      </w:r>
      <w:r w:rsidR="0001702E">
        <w:t>. In line with ALFI’s general position on collateral management, we invite ESMA to provide flexibility regarding its guidelines 201</w:t>
      </w:r>
      <w:r w:rsidR="00CC7779">
        <w:t>4</w:t>
      </w:r>
      <w:r w:rsidR="0001702E">
        <w:t>/937 (on ETFs and UCITS).</w:t>
      </w:r>
    </w:p>
    <w:p w14:paraId="586924FE" w14:textId="77777777" w:rsidR="0001702E" w:rsidRDefault="0001702E" w:rsidP="0001702E">
      <w:r>
        <w:t>UCITS and ETFs vehicles have to comply with current limitations of the re-use of collateral received, as stated by these guidelines.</w:t>
      </w:r>
    </w:p>
    <w:p w14:paraId="73F13A8E" w14:textId="77777777" w:rsidR="0001702E" w:rsidRDefault="0001702E" w:rsidP="0001702E">
      <w:r>
        <w:t>-Art. 43 i) non-cash collateral received should not be sold, re-invested or pledged.</w:t>
      </w:r>
    </w:p>
    <w:p w14:paraId="429F1AFD" w14:textId="737E2AD5" w:rsidR="0001702E" w:rsidRDefault="0001702E" w:rsidP="0001702E">
      <w:r>
        <w:t xml:space="preserve">-Art. 43 j) cash collateral received should only be placed on deposit; invested in high quality government bonds; used for the purpose of reverse repo transactions; invested in short-term money market funds. </w:t>
      </w:r>
    </w:p>
    <w:p w14:paraId="63281DD1" w14:textId="77777777" w:rsidR="00501019" w:rsidRDefault="00501019" w:rsidP="0001702E"/>
    <w:p w14:paraId="6CDB39DE" w14:textId="77777777" w:rsidR="0001702E" w:rsidRDefault="0001702E" w:rsidP="0001702E">
      <w:r>
        <w:t>As a consequence, UCITS and ETFs vehicles are still prevented from accessing liquidity via repos (due to the limitations of the § 42 and 43i of the above mentioned guidelines). ESMA is aware of this issue.</w:t>
      </w:r>
    </w:p>
    <w:p w14:paraId="3147F14F" w14:textId="77777777" w:rsidR="0001702E" w:rsidRDefault="0001702E" w:rsidP="0001702E">
      <w:r>
        <w:t xml:space="preserve">ALFI would welcome some clarification on this aspect from ESMA at its earliest convenience, in the event it intends to amend the guidelines. ALFI would also welcome some flexibility on the cash collateral re-use limitations (with regard to the limitations of the § 43j of the above mentioned guidelines). Indeed ETFs and UCITS should be allowed to use cash collateral received to exchange margin (VM in particular). </w:t>
      </w:r>
    </w:p>
    <w:p w14:paraId="73A19CD2" w14:textId="77777777" w:rsidR="0001702E" w:rsidRDefault="0001702E" w:rsidP="007634C8">
      <w:r>
        <w:t>This amendment would be welcome to also ensure a level playing field with the banking sector which is not constrained by such limitations.</w:t>
      </w:r>
    </w:p>
    <w:permEnd w:id="16784335"/>
    <w:p w14:paraId="748C53A5" w14:textId="1A0A13B6" w:rsidR="007634C8" w:rsidRDefault="007634C8" w:rsidP="007634C8">
      <w:pPr>
        <w:rPr>
          <w:rFonts w:ascii="Arial" w:hAnsi="Arial" w:cs="Arial"/>
        </w:rPr>
      </w:pPr>
      <w:r>
        <w:rPr>
          <w:rFonts w:ascii="Arial" w:hAnsi="Arial" w:cs="Arial"/>
        </w:rPr>
        <w:t>&lt;ESMA_QUESTION_FRANDT_4&gt;</w:t>
      </w:r>
    </w:p>
    <w:p w14:paraId="4671DB73" w14:textId="77777777" w:rsidR="007634C8" w:rsidRDefault="007634C8" w:rsidP="007634C8">
      <w:pPr>
        <w:rPr>
          <w:rFonts w:ascii="Arial" w:hAnsi="Arial" w:cs="Arial"/>
        </w:rPr>
      </w:pPr>
    </w:p>
    <w:p w14:paraId="18FCA405" w14:textId="77777777" w:rsidR="007634C8" w:rsidRDefault="007634C8" w:rsidP="007634C8">
      <w:pPr>
        <w:pStyle w:val="Questionstyle"/>
        <w:numPr>
          <w:ilvl w:val="0"/>
          <w:numId w:val="9"/>
        </w:numPr>
        <w:spacing w:after="250" w:line="276" w:lineRule="auto"/>
      </w:pPr>
      <w:r>
        <w:t>: Do you identify other benefits and costs not mentioned above associated to the proposed approach (option 2)? If you advocated for a different approach, how would it impact this section on the impact assessment? Please provide details. </w:t>
      </w:r>
    </w:p>
    <w:p w14:paraId="2F2D141B" w14:textId="77777777" w:rsidR="007634C8" w:rsidRDefault="007634C8" w:rsidP="007634C8">
      <w:pPr>
        <w:rPr>
          <w:rFonts w:ascii="Arial" w:hAnsi="Arial" w:cs="Arial"/>
        </w:rPr>
      </w:pPr>
      <w:r>
        <w:rPr>
          <w:rFonts w:ascii="Arial" w:hAnsi="Arial" w:cs="Arial"/>
        </w:rPr>
        <w:t>&lt;ESMA_QUESTION_FRANDT_5&gt;</w:t>
      </w:r>
    </w:p>
    <w:p w14:paraId="38DA368B" w14:textId="742B2D4F" w:rsidR="003C4C9A" w:rsidRPr="008F2FD9" w:rsidRDefault="003C4C9A" w:rsidP="007634C8">
      <w:permStart w:id="781584278" w:edGrp="everyone"/>
      <w:r w:rsidRPr="008F2FD9">
        <w:t>We advocate for a different approach in order to take into accou</w:t>
      </w:r>
      <w:r w:rsidR="008F2FD9" w:rsidRPr="008F2FD9">
        <w:t>n</w:t>
      </w:r>
      <w:r w:rsidRPr="008F2FD9">
        <w:t>t the time factor.</w:t>
      </w:r>
    </w:p>
    <w:p w14:paraId="35D07C46" w14:textId="77777777" w:rsidR="003C4C9A" w:rsidRPr="008F2FD9" w:rsidRDefault="003C4C9A" w:rsidP="007634C8"/>
    <w:p w14:paraId="52B14E49" w14:textId="3A157E78" w:rsidR="003C4C9A" w:rsidRPr="008F2FD9" w:rsidRDefault="003C4C9A" w:rsidP="007634C8">
      <w:pPr>
        <w:rPr>
          <w:rFonts w:eastAsiaTheme="minorEastAsia"/>
          <w:lang w:eastAsia="en-US"/>
        </w:rPr>
      </w:pPr>
      <w:r w:rsidRPr="008F2FD9">
        <w:t>Indeed, whereas the EMIR clearing obligation timetable is now fully applicable, we have noted from the Refit text that the Article 4(3a) regarding Fran</w:t>
      </w:r>
      <w:r w:rsidR="008F2FD9" w:rsidRPr="008F2FD9">
        <w:t>d</w:t>
      </w:r>
      <w:r w:rsidRPr="008F2FD9">
        <w:t>t will be applicable only in 24 months af</w:t>
      </w:r>
      <w:r w:rsidR="008F2FD9" w:rsidRPr="008F2FD9">
        <w:t>t</w:t>
      </w:r>
      <w:r w:rsidRPr="008F2FD9">
        <w:t xml:space="preserve">er the Refit initial application date, i.e. from </w:t>
      </w:r>
      <w:r w:rsidRPr="008F2FD9">
        <w:rPr>
          <w:rFonts w:eastAsiaTheme="minorEastAsia"/>
          <w:lang w:eastAsia="en-US"/>
        </w:rPr>
        <w:t>18 June 2021.</w:t>
      </w:r>
    </w:p>
    <w:p w14:paraId="6F6923CD" w14:textId="4BA2A80B" w:rsidR="007634C8" w:rsidRDefault="003C4C9A" w:rsidP="007634C8">
      <w:pPr>
        <w:rPr>
          <w:rFonts w:ascii="Arial" w:hAnsi="Arial" w:cs="Arial"/>
        </w:rPr>
      </w:pPr>
      <w:r w:rsidRPr="008F2FD9">
        <w:t>During this period, counterparties will stil</w:t>
      </w:r>
      <w:r w:rsidR="008F2FD9" w:rsidRPr="008F2FD9">
        <w:t>l</w:t>
      </w:r>
      <w:r w:rsidRPr="008F2FD9">
        <w:t xml:space="preserve"> suffer from the commercial issues presented earlier.</w:t>
      </w:r>
    </w:p>
    <w:permEnd w:id="781584278"/>
    <w:p w14:paraId="2F8F6111" w14:textId="77777777" w:rsidR="007634C8" w:rsidRDefault="007634C8" w:rsidP="007634C8">
      <w:pPr>
        <w:rPr>
          <w:rFonts w:ascii="Arial" w:hAnsi="Arial" w:cs="Arial"/>
        </w:rPr>
      </w:pPr>
      <w:r>
        <w:rPr>
          <w:rFonts w:ascii="Arial" w:hAnsi="Arial" w:cs="Arial"/>
        </w:rPr>
        <w:t>&lt;ESMA_QUESTION_FRANDT_5&gt;</w:t>
      </w:r>
    </w:p>
    <w:p w14:paraId="2A8B8ABD" w14:textId="77777777" w:rsidR="007634C8" w:rsidRDefault="007634C8" w:rsidP="007634C8">
      <w:pPr>
        <w:rPr>
          <w:rFonts w:ascii="Arial" w:hAnsi="Arial" w:cs="Arial"/>
        </w:rPr>
      </w:pPr>
    </w:p>
    <w:p w14:paraId="46564C07" w14:textId="77777777" w:rsidR="007634C8" w:rsidRPr="007B52B2" w:rsidRDefault="007634C8" w:rsidP="007634C8">
      <w:pPr>
        <w:rPr>
          <w:rFonts w:ascii="Arial" w:hAnsi="Arial" w:cs="Arial"/>
        </w:rPr>
      </w:pPr>
    </w:p>
    <w:p w14:paraId="0F6B052D" w14:textId="5D1998FE" w:rsidR="00BE0B46" w:rsidRDefault="00BE0B46" w:rsidP="00C1698A">
      <w:pPr>
        <w:spacing w:line="276" w:lineRule="auto"/>
        <w:rPr>
          <w:rFonts w:asciiTheme="minorHAnsi" w:hAnsiTheme="minorHAnsi" w:cstheme="minorHAnsi"/>
          <w:b/>
          <w:sz w:val="28"/>
          <w:szCs w:val="28"/>
        </w:rPr>
      </w:pPr>
      <w:bookmarkStart w:id="1" w:name="_GoBack"/>
      <w:bookmarkEnd w:id="1"/>
    </w:p>
    <w:sectPr w:rsidR="00BE0B4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A4B61" w14:textId="77777777" w:rsidR="00E72DA2" w:rsidRDefault="00E72DA2" w:rsidP="007E7997">
      <w:r>
        <w:separator/>
      </w:r>
    </w:p>
  </w:endnote>
  <w:endnote w:type="continuationSeparator" w:id="0">
    <w:p w14:paraId="18AFD397" w14:textId="77777777" w:rsidR="00E72DA2" w:rsidRDefault="00E72DA2" w:rsidP="007E7997">
      <w:r>
        <w:continuationSeparator/>
      </w:r>
    </w:p>
  </w:endnote>
  <w:endnote w:type="continuationNotice" w:id="1">
    <w:p w14:paraId="566838F3" w14:textId="77777777" w:rsidR="00E72DA2" w:rsidRDefault="00E7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3915" w14:textId="5B409BB3"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4E2B62">
      <w:rPr>
        <w:rFonts w:asciiTheme="majorHAnsi" w:hAnsiTheme="majorHAnsi"/>
        <w:color w:val="FFFFFF" w:themeColor="background1"/>
      </w:rPr>
      <w:t>3</w:t>
    </w:r>
    <w:r w:rsidR="0090520E">
      <w:rPr>
        <w:rFonts w:asciiTheme="majorHAnsi" w:hAnsiTheme="majorHAnsi"/>
        <w:color w:val="FFFFFF" w:themeColor="background1"/>
      </w:rPr>
      <w:t xml:space="preserve"> October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w:t>
    </w:r>
    <w:r w:rsidR="0090520E">
      <w:rPr>
        <w:rFonts w:asciiTheme="majorHAnsi" w:hAnsiTheme="majorHAnsi"/>
        <w:color w:val="FFFFFF" w:themeColor="background1"/>
      </w:rPr>
      <w:t>1-</w:t>
    </w:r>
    <w:r w:rsidR="004E2B62">
      <w:rPr>
        <w:rFonts w:asciiTheme="majorHAnsi" w:hAnsiTheme="majorHAnsi"/>
        <w:color w:val="FFFFFF" w:themeColor="background1"/>
      </w:rPr>
      <w:t>2758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443CE4">
          <w:rPr>
            <w:noProof/>
          </w:rPr>
          <w:t>7</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1FD79" w14:textId="77777777" w:rsidR="00E72DA2" w:rsidRDefault="00E72DA2" w:rsidP="007E7997">
      <w:r>
        <w:separator/>
      </w:r>
    </w:p>
  </w:footnote>
  <w:footnote w:type="continuationSeparator" w:id="0">
    <w:p w14:paraId="1A767F57" w14:textId="77777777" w:rsidR="00E72DA2" w:rsidRDefault="00E72DA2" w:rsidP="007E7997">
      <w:r>
        <w:continuationSeparator/>
      </w:r>
    </w:p>
  </w:footnote>
  <w:footnote w:type="continuationNotice" w:id="1">
    <w:p w14:paraId="4D3829C7" w14:textId="77777777" w:rsidR="00E72DA2" w:rsidRDefault="00E72DA2"/>
  </w:footnote>
  <w:footnote w:id="2">
    <w:p w14:paraId="37E59754" w14:textId="62DD6204" w:rsidR="00191860" w:rsidRPr="00191860" w:rsidRDefault="00191860">
      <w:pPr>
        <w:pStyle w:val="FootnoteText"/>
        <w:rPr>
          <w:lang w:val="fr-FR"/>
        </w:rPr>
      </w:pPr>
      <w:r>
        <w:rPr>
          <w:rStyle w:val="FootnoteReference"/>
        </w:rPr>
        <w:footnoteRef/>
      </w:r>
      <w:r>
        <w:t xml:space="preserve"> </w:t>
      </w:r>
      <w:r w:rsidRPr="00191860">
        <w:t>https://ec.europa.eu/info/sites/info/files/170515-eptf-report_en.pdf</w:t>
      </w:r>
    </w:p>
  </w:footnote>
  <w:footnote w:id="3">
    <w:p w14:paraId="31B8CF02" w14:textId="77777777" w:rsidR="00C67C9F" w:rsidRPr="00A85D85" w:rsidRDefault="00C67C9F" w:rsidP="00C67C9F">
      <w:pPr>
        <w:rPr>
          <w:sz w:val="16"/>
          <w:lang w:val="fr-FR"/>
        </w:rPr>
      </w:pPr>
      <w:r>
        <w:rPr>
          <w:rStyle w:val="FootnoteReference"/>
        </w:rPr>
        <w:footnoteRef/>
      </w:r>
      <w:r w:rsidRPr="00C67C9F">
        <w:rPr>
          <w:lang w:val="fr-FR"/>
        </w:rPr>
        <w:t xml:space="preserve"> </w:t>
      </w:r>
      <w:hyperlink r:id="rId1" w:history="1">
        <w:r w:rsidRPr="00A85D85">
          <w:rPr>
            <w:sz w:val="16"/>
            <w:lang w:val="fr-FR"/>
          </w:rPr>
          <w:t>https://www.iosco.org/library/pubdocs/pdf/IOSCOPD610.pdf</w:t>
        </w:r>
      </w:hyperlink>
    </w:p>
    <w:p w14:paraId="3D566D19" w14:textId="2EA9589A" w:rsidR="00C67C9F" w:rsidRPr="00C67C9F" w:rsidRDefault="00C67C9F">
      <w:pPr>
        <w:pStyle w:val="FootnoteText"/>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CCAA1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21FF53CF"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fr-FR" w:vendorID="64" w:dllVersion="131078" w:nlCheck="1" w:checkStyle="1"/>
  <w:attachedTemplate r:id="rId1"/>
  <w:documentProtection w:edit="readOnly" w:enforcement="1" w:cryptProviderType="rsaAES" w:cryptAlgorithmClass="hash" w:cryptAlgorithmType="typeAny" w:cryptAlgorithmSid="14" w:cryptSpinCount="100000" w:hash="U1rVclwcpWuCSR5/9U0wHH+W+F4uGoIN7R0ocpoAuKgngNtsLhUS6LNdyKaC0mVuP8G3jqmSNoMvTQqxV0ujYA==" w:salt="9FyX6ID89o/773uuf+4s0w=="/>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02E"/>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A7A6C"/>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60"/>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026"/>
    <w:rsid w:val="001F3999"/>
    <w:rsid w:val="001F3D9D"/>
    <w:rsid w:val="00200894"/>
    <w:rsid w:val="00202333"/>
    <w:rsid w:val="00202FA8"/>
    <w:rsid w:val="002034B8"/>
    <w:rsid w:val="00205922"/>
    <w:rsid w:val="00206FB8"/>
    <w:rsid w:val="0020766F"/>
    <w:rsid w:val="00207A07"/>
    <w:rsid w:val="00210498"/>
    <w:rsid w:val="0021147A"/>
    <w:rsid w:val="00213BFB"/>
    <w:rsid w:val="00214F53"/>
    <w:rsid w:val="00217478"/>
    <w:rsid w:val="00220938"/>
    <w:rsid w:val="00224806"/>
    <w:rsid w:val="00232F8E"/>
    <w:rsid w:val="00233071"/>
    <w:rsid w:val="002348CE"/>
    <w:rsid w:val="00235E99"/>
    <w:rsid w:val="0024299F"/>
    <w:rsid w:val="00244792"/>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8F7"/>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05E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46A67"/>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C9A"/>
    <w:rsid w:val="003C4EB5"/>
    <w:rsid w:val="003D2CED"/>
    <w:rsid w:val="003D344A"/>
    <w:rsid w:val="003D3BB8"/>
    <w:rsid w:val="003D43C6"/>
    <w:rsid w:val="003D7C07"/>
    <w:rsid w:val="003E13FD"/>
    <w:rsid w:val="003E1C24"/>
    <w:rsid w:val="003E1E43"/>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3CE4"/>
    <w:rsid w:val="00444803"/>
    <w:rsid w:val="00445696"/>
    <w:rsid w:val="00446E5F"/>
    <w:rsid w:val="00450C4E"/>
    <w:rsid w:val="0045465A"/>
    <w:rsid w:val="00455577"/>
    <w:rsid w:val="00456795"/>
    <w:rsid w:val="00461CC8"/>
    <w:rsid w:val="00462B2F"/>
    <w:rsid w:val="00465EAA"/>
    <w:rsid w:val="004708CA"/>
    <w:rsid w:val="004709E7"/>
    <w:rsid w:val="00470ADE"/>
    <w:rsid w:val="004712C7"/>
    <w:rsid w:val="004753A7"/>
    <w:rsid w:val="004759EB"/>
    <w:rsid w:val="00477919"/>
    <w:rsid w:val="00482611"/>
    <w:rsid w:val="00482A27"/>
    <w:rsid w:val="00485224"/>
    <w:rsid w:val="00487DCE"/>
    <w:rsid w:val="00491DA8"/>
    <w:rsid w:val="004950B7"/>
    <w:rsid w:val="00497FEA"/>
    <w:rsid w:val="004B07B2"/>
    <w:rsid w:val="004B0955"/>
    <w:rsid w:val="004B1842"/>
    <w:rsid w:val="004B25D0"/>
    <w:rsid w:val="004B3553"/>
    <w:rsid w:val="004B5E92"/>
    <w:rsid w:val="004B748E"/>
    <w:rsid w:val="004C0A30"/>
    <w:rsid w:val="004C357C"/>
    <w:rsid w:val="004C3D18"/>
    <w:rsid w:val="004D42B1"/>
    <w:rsid w:val="004D526F"/>
    <w:rsid w:val="004E19C0"/>
    <w:rsid w:val="004E1C54"/>
    <w:rsid w:val="004E2B62"/>
    <w:rsid w:val="004E2C37"/>
    <w:rsid w:val="004E5285"/>
    <w:rsid w:val="004F0CF3"/>
    <w:rsid w:val="004F5740"/>
    <w:rsid w:val="004F58C9"/>
    <w:rsid w:val="00501019"/>
    <w:rsid w:val="005028B9"/>
    <w:rsid w:val="00505E17"/>
    <w:rsid w:val="00511A59"/>
    <w:rsid w:val="00511C3B"/>
    <w:rsid w:val="00514440"/>
    <w:rsid w:val="005166C3"/>
    <w:rsid w:val="00520F7C"/>
    <w:rsid w:val="00523974"/>
    <w:rsid w:val="00526E5D"/>
    <w:rsid w:val="005276D5"/>
    <w:rsid w:val="00531432"/>
    <w:rsid w:val="00532BC8"/>
    <w:rsid w:val="005333E8"/>
    <w:rsid w:val="00534912"/>
    <w:rsid w:val="005370E7"/>
    <w:rsid w:val="005409B7"/>
    <w:rsid w:val="005456D3"/>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0F4A"/>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2DA9"/>
    <w:rsid w:val="00663008"/>
    <w:rsid w:val="00663093"/>
    <w:rsid w:val="00665A7C"/>
    <w:rsid w:val="00665B0B"/>
    <w:rsid w:val="006705CD"/>
    <w:rsid w:val="00671363"/>
    <w:rsid w:val="00672780"/>
    <w:rsid w:val="00672842"/>
    <w:rsid w:val="00676CFC"/>
    <w:rsid w:val="00677133"/>
    <w:rsid w:val="00681482"/>
    <w:rsid w:val="00682DE4"/>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68F3"/>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34C8"/>
    <w:rsid w:val="00764582"/>
    <w:rsid w:val="00765FA3"/>
    <w:rsid w:val="00766961"/>
    <w:rsid w:val="00766B5A"/>
    <w:rsid w:val="00767E8C"/>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08C"/>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7284"/>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75576"/>
    <w:rsid w:val="00880140"/>
    <w:rsid w:val="008811B4"/>
    <w:rsid w:val="008842F7"/>
    <w:rsid w:val="00885B94"/>
    <w:rsid w:val="0089075A"/>
    <w:rsid w:val="00890F80"/>
    <w:rsid w:val="00892BFD"/>
    <w:rsid w:val="0089338A"/>
    <w:rsid w:val="00894199"/>
    <w:rsid w:val="008948BE"/>
    <w:rsid w:val="008A1E27"/>
    <w:rsid w:val="008A2A3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4AB3"/>
    <w:rsid w:val="008E50AF"/>
    <w:rsid w:val="008E7DBA"/>
    <w:rsid w:val="008F2FD9"/>
    <w:rsid w:val="008F3386"/>
    <w:rsid w:val="008F3AD9"/>
    <w:rsid w:val="008F4642"/>
    <w:rsid w:val="008F4E00"/>
    <w:rsid w:val="008F761D"/>
    <w:rsid w:val="00900D44"/>
    <w:rsid w:val="00902520"/>
    <w:rsid w:val="0090520E"/>
    <w:rsid w:val="00906DC4"/>
    <w:rsid w:val="00906E30"/>
    <w:rsid w:val="0091457F"/>
    <w:rsid w:val="0091729E"/>
    <w:rsid w:val="0093261E"/>
    <w:rsid w:val="0094008E"/>
    <w:rsid w:val="00941C0C"/>
    <w:rsid w:val="009437F2"/>
    <w:rsid w:val="0094528B"/>
    <w:rsid w:val="009578C8"/>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4150"/>
    <w:rsid w:val="00A16579"/>
    <w:rsid w:val="00A17284"/>
    <w:rsid w:val="00A24843"/>
    <w:rsid w:val="00A26D48"/>
    <w:rsid w:val="00A31C7C"/>
    <w:rsid w:val="00A35926"/>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4E3"/>
    <w:rsid w:val="00A7281F"/>
    <w:rsid w:val="00A73949"/>
    <w:rsid w:val="00A7697E"/>
    <w:rsid w:val="00A76E20"/>
    <w:rsid w:val="00A8284E"/>
    <w:rsid w:val="00A85D85"/>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4ED"/>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67C9F"/>
    <w:rsid w:val="00C73A70"/>
    <w:rsid w:val="00C76054"/>
    <w:rsid w:val="00C779A2"/>
    <w:rsid w:val="00C80546"/>
    <w:rsid w:val="00C83CAD"/>
    <w:rsid w:val="00C8419E"/>
    <w:rsid w:val="00C851D7"/>
    <w:rsid w:val="00C85C8B"/>
    <w:rsid w:val="00C867AD"/>
    <w:rsid w:val="00C87F9F"/>
    <w:rsid w:val="00C901E4"/>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779"/>
    <w:rsid w:val="00CC7FC6"/>
    <w:rsid w:val="00CD47B2"/>
    <w:rsid w:val="00CD5AFD"/>
    <w:rsid w:val="00CD74EB"/>
    <w:rsid w:val="00CE49F8"/>
    <w:rsid w:val="00CE4E1E"/>
    <w:rsid w:val="00CE54E8"/>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259D"/>
    <w:rsid w:val="00E63745"/>
    <w:rsid w:val="00E6699F"/>
    <w:rsid w:val="00E67B40"/>
    <w:rsid w:val="00E703AE"/>
    <w:rsid w:val="00E72373"/>
    <w:rsid w:val="00E72DA2"/>
    <w:rsid w:val="00E76AF9"/>
    <w:rsid w:val="00E84EF0"/>
    <w:rsid w:val="00E8649C"/>
    <w:rsid w:val="00E87886"/>
    <w:rsid w:val="00E87CDE"/>
    <w:rsid w:val="00E91FC1"/>
    <w:rsid w:val="00E92D54"/>
    <w:rsid w:val="00E9323C"/>
    <w:rsid w:val="00E95FD8"/>
    <w:rsid w:val="00EA0283"/>
    <w:rsid w:val="00EA393D"/>
    <w:rsid w:val="00EA5DE1"/>
    <w:rsid w:val="00EB0C86"/>
    <w:rsid w:val="00EB0E16"/>
    <w:rsid w:val="00EB236F"/>
    <w:rsid w:val="00EB237E"/>
    <w:rsid w:val="00EC1546"/>
    <w:rsid w:val="00EC38B4"/>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158"/>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24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osco.org/library/pubdocs/pdf/IOSCOPD61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ESMA70-151-2758</_dlc_DocId>
    <TaxCatchAll xmlns="20fbe147-bbda-4e53-b6b1-7e8bbff3fe19">
      <Value>4</Value>
      <Value>25</Value>
      <Value>212</Value>
      <Value>165</Value>
    </TaxCatchAll>
    <_dlc_DocIdUrl xmlns="20fbe147-bbda-4e53-b6b1-7e8bbff3fe19">
      <Url>https://sherpa.esma.europa.eu/sites/MKT/PTR/_layouts/15/DocIdRedir.aspx?ID=ESMA70-151-2758</Url>
      <Description>ESMA70-151-2758</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purl.org/dc/elements/1.1/"/>
    <ds:schemaRef ds:uri="http://schemas.microsoft.com/office/infopath/2007/PartnerControls"/>
    <ds:schemaRef ds:uri="http://purl.org/dc/dcmitype/"/>
    <ds:schemaRef ds:uri="http://schemas.microsoft.com/sharepoint/v4"/>
    <ds:schemaRef ds:uri="http://schemas.microsoft.com/office/2006/documentManagement/types"/>
    <ds:schemaRef ds:uri="http://purl.org/dc/terms/"/>
    <ds:schemaRef ds:uri="http://schemas.microsoft.com/office/2006/metadata/properties"/>
    <ds:schemaRef ds:uri="http://www.w3.org/XML/1998/namespace"/>
    <ds:schemaRef ds:uri="20fbe147-bbda-4e53-b6b1-7e8bbff3fe19"/>
    <ds:schemaRef ds:uri="http://schemas.openxmlformats.org/package/2006/metadata/core-properties"/>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5EC8B759-5138-4E23-B81E-7BF7660F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402</TotalTime>
  <Pages>8</Pages>
  <Words>1844</Words>
  <Characters>10512</Characters>
  <Application>Microsoft Office Word</Application>
  <DocSecurity>8</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ESMA</Company>
  <LinksUpToDate>false</LinksUpToDate>
  <CharactersWithSpaces>12332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François Baratte</cp:lastModifiedBy>
  <cp:revision>20</cp:revision>
  <cp:lastPrinted>2019-12-02T14:17:00Z</cp:lastPrinted>
  <dcterms:created xsi:type="dcterms:W3CDTF">2019-10-09T11:01:00Z</dcterms:created>
  <dcterms:modified xsi:type="dcterms:W3CDTF">2019-12-02T14:31:00Z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ad3a0656-fa11-4f19-bc0e-3d747e0ee69c</vt:lpwstr>
  </property>
  <property fmtid="{D5CDD505-2E9C-101B-9397-08002B2CF9AE}" pid="6" name="DocumentType">
    <vt:lpwstr>165;#Form / Request|efe27f23-61a2-47e7-916e-544dd02c80f4</vt:lpwstr>
  </property>
  <property fmtid="{D5CDD505-2E9C-101B-9397-08002B2CF9AE}" pid="7" name="Topic">
    <vt:lpwstr>212;#EMIR|79202087-eb2d-40a2-b85c-d4f7da6c50df</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